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b/>
          <w:sz w:val="48"/>
          <w:szCs w:val="48"/>
        </w:rPr>
      </w:pPr>
      <w:r>
        <w:rPr>
          <w:sz w:val="28"/>
        </w:rPr>
        <w:pict>
          <v:group id="_x0000_s1028" o:spid="_x0000_s1028" o:spt="203" style="position:absolute;left:0pt;margin-left:0.05pt;margin-top:-5.5pt;height:678pt;width:445.2pt;z-index:251659264;mso-width-relative:page;mso-height-relative:page;" coordorigin="1588,1578" coordsize="8904,13560">
            <o:lock v:ext="edit"/>
            <v:shape id="_x0000_s1029" o:spid="_x0000_s1029" o:spt="136" type="#_x0000_t136" style="position:absolute;left:1906;top:1578;height:866;width:8109;" fillcolor="#FF0000" filled="t" stroked="t" coordsize="21600,21600">
              <v:path/>
              <v:fill on="t" focussize="0,0"/>
              <v:stroke color="#FF0000"/>
              <v:imagedata o:title=""/>
              <o:lock v:ext="edit" grouping="f" rotation="f" text="f" aspectratio="f"/>
              <v:textpath on="t" fitshape="t" fitpath="t" trim="t" xscale="f" string="益阳市市场监督管理局" style="font-family:华文中宋;font-size:36pt;v-text-align:center;v-text-spacing:78644f;"/>
            </v:shape>
            <v:line id="_x0000_s1030" o:spid="_x0000_s1030" o:spt="20" style="position:absolute;left:1588;top:2978;height:0;width:8904;" filled="f" stroked="t" coordsize="21600,21600">
              <v:path arrowok="t"/>
              <v:fill on="f" focussize="0,0"/>
              <v:stroke weight="4.25pt" color="#FF0000" linestyle="thickThin"/>
              <v:imagedata o:title=""/>
              <o:lock v:ext="edit"/>
            </v:line>
            <v:line id="_x0000_s1031" o:spid="_x0000_s1031" o:spt="20" style="position:absolute;left:1588;top:15138;height:0;width:8904;" filled="f" stroked="t" coordsize="21600,21600">
              <v:path arrowok="t"/>
              <v:fill on="f" focussize="0,0"/>
              <v:stroke weight="4.5pt" color="#FF0000" linestyle="thinThick"/>
              <v:imagedata o:title=""/>
              <o:lock v:ext="edit"/>
            </v:line>
          </v:group>
        </w:pict>
      </w:r>
    </w:p>
    <w:p>
      <w:pPr>
        <w:spacing w:line="600" w:lineRule="exact"/>
        <w:jc w:val="center"/>
        <w:rPr>
          <w:rFonts w:ascii="宋体" w:hAnsi="宋体" w:eastAsia="宋体"/>
          <w:b/>
          <w:sz w:val="48"/>
          <w:szCs w:val="48"/>
        </w:rPr>
      </w:pPr>
    </w:p>
    <w:p>
      <w:pPr>
        <w:spacing w:line="600" w:lineRule="exact"/>
        <w:jc w:val="center"/>
        <w:rPr>
          <w:rFonts w:ascii="宋体" w:hAnsi="宋体" w:eastAsia="宋体"/>
          <w:b/>
          <w:sz w:val="48"/>
          <w:szCs w:val="48"/>
        </w:rPr>
      </w:pPr>
    </w:p>
    <w:p>
      <w:pPr>
        <w:spacing w:line="200" w:lineRule="exact"/>
        <w:jc w:val="center"/>
        <w:rPr>
          <w:rFonts w:hint="eastAsia" w:ascii="方正小标宋简体" w:hAnsi="方正小标宋简体" w:eastAsia="方正小标宋简体" w:cs="方正小标宋简体"/>
          <w:bCs/>
          <w:sz w:val="44"/>
          <w:szCs w:val="44"/>
        </w:rPr>
      </w:pP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益阳市市场监督管理局</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年部门整体支出绩效自评报告</w:t>
      </w:r>
    </w:p>
    <w:p>
      <w:pPr>
        <w:spacing w:line="560" w:lineRule="exact"/>
        <w:rPr>
          <w:rFonts w:ascii="仿宋" w:hAnsi="仿宋" w:eastAsia="仿宋" w:cs="仿宋_GB2312"/>
          <w:color w:val="000000"/>
          <w:szCs w:val="32"/>
        </w:rPr>
      </w:pPr>
    </w:p>
    <w:p>
      <w:pPr>
        <w:spacing w:line="600" w:lineRule="exact"/>
        <w:ind w:firstLine="640" w:firstLineChars="200"/>
        <w:rPr>
          <w:szCs w:val="32"/>
        </w:rPr>
      </w:pPr>
      <w:r>
        <w:rPr>
          <w:rFonts w:hint="eastAsia"/>
          <w:szCs w:val="32"/>
          <w:lang w:val="en-US" w:eastAsia="zh-CN"/>
        </w:rPr>
        <w:t>为认真落实</w:t>
      </w:r>
      <w:r>
        <w:rPr>
          <w:szCs w:val="32"/>
        </w:rPr>
        <w:t>《益阳市财政局关于开展202</w:t>
      </w:r>
      <w:r>
        <w:rPr>
          <w:rFonts w:hint="eastAsia"/>
          <w:szCs w:val="32"/>
          <w:lang w:val="en-US" w:eastAsia="zh-CN"/>
        </w:rPr>
        <w:t>3</w:t>
      </w:r>
      <w:r>
        <w:rPr>
          <w:szCs w:val="32"/>
        </w:rPr>
        <w:t>年度</w:t>
      </w:r>
      <w:r>
        <w:rPr>
          <w:rFonts w:hint="eastAsia"/>
          <w:szCs w:val="32"/>
          <w:lang w:val="en-US" w:eastAsia="zh-CN"/>
        </w:rPr>
        <w:t>市级预算部门</w:t>
      </w:r>
      <w:r>
        <w:rPr>
          <w:szCs w:val="32"/>
        </w:rPr>
        <w:t>绩效自评</w:t>
      </w:r>
      <w:r>
        <w:rPr>
          <w:rFonts w:hint="eastAsia"/>
          <w:szCs w:val="32"/>
          <w:lang w:val="en-US" w:eastAsia="zh-CN"/>
        </w:rPr>
        <w:t>和部门评价</w:t>
      </w:r>
      <w:r>
        <w:rPr>
          <w:szCs w:val="32"/>
        </w:rPr>
        <w:t>工作的通知》精神，</w:t>
      </w:r>
      <w:r>
        <w:rPr>
          <w:rFonts w:hint="eastAsia"/>
          <w:szCs w:val="32"/>
          <w:lang w:val="en-US" w:eastAsia="zh-CN"/>
        </w:rPr>
        <w:t>严格按要求</w:t>
      </w:r>
      <w:r>
        <w:rPr>
          <w:szCs w:val="32"/>
        </w:rPr>
        <w:t>对202</w:t>
      </w:r>
      <w:r>
        <w:rPr>
          <w:rFonts w:hint="eastAsia"/>
          <w:szCs w:val="32"/>
          <w:lang w:val="en-US" w:eastAsia="zh-CN"/>
        </w:rPr>
        <w:t>3</w:t>
      </w:r>
      <w:r>
        <w:rPr>
          <w:szCs w:val="32"/>
        </w:rPr>
        <w:t>年度部门整体支出进行</w:t>
      </w:r>
      <w:r>
        <w:rPr>
          <w:rFonts w:hint="eastAsia"/>
          <w:szCs w:val="32"/>
          <w:lang w:val="en-US" w:eastAsia="zh-CN"/>
        </w:rPr>
        <w:t>绩效</w:t>
      </w:r>
      <w:r>
        <w:rPr>
          <w:szCs w:val="32"/>
        </w:rPr>
        <w:t>自评，现</w:t>
      </w:r>
      <w:r>
        <w:rPr>
          <w:rFonts w:hint="eastAsia"/>
          <w:szCs w:val="32"/>
          <w:lang w:val="en-US" w:eastAsia="zh-CN"/>
        </w:rPr>
        <w:t>将有关</w:t>
      </w:r>
      <w:r>
        <w:rPr>
          <w:szCs w:val="32"/>
        </w:rPr>
        <w:t>报告如下：</w:t>
      </w:r>
    </w:p>
    <w:p>
      <w:pPr>
        <w:spacing w:line="600" w:lineRule="exact"/>
        <w:ind w:firstLine="640" w:firstLineChars="200"/>
        <w:rPr>
          <w:rFonts w:hint="eastAsia" w:ascii="黑体" w:hAnsi="黑体" w:eastAsia="黑体" w:cs="黑体"/>
          <w:color w:val="000000"/>
          <w:szCs w:val="32"/>
        </w:rPr>
      </w:pPr>
      <w:r>
        <w:rPr>
          <w:rFonts w:hint="eastAsia" w:ascii="黑体" w:hAnsi="黑体" w:eastAsia="黑体" w:cs="黑体"/>
          <w:color w:val="000000"/>
          <w:szCs w:val="32"/>
        </w:rPr>
        <w:t>一、部门基本情况</w:t>
      </w:r>
    </w:p>
    <w:p>
      <w:pPr>
        <w:spacing w:line="600" w:lineRule="exact"/>
        <w:ind w:firstLine="640" w:firstLineChars="200"/>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（一）单位基本情况</w:t>
      </w:r>
    </w:p>
    <w:p>
      <w:pPr>
        <w:spacing w:line="600" w:lineRule="exact"/>
        <w:ind w:firstLine="640" w:firstLineChars="200"/>
        <w:rPr>
          <w:szCs w:val="32"/>
        </w:rPr>
      </w:pPr>
      <w:r>
        <w:rPr>
          <w:rFonts w:hint="default" w:ascii="Times New Roman" w:hAnsi="Times New Roman" w:cs="Times New Roman"/>
          <w:szCs w:val="32"/>
        </w:rPr>
        <w:t>益阳市市场监督管理局（以下简称“我局”）是市政府工作部门，为正处级。我局</w:t>
      </w:r>
      <w:r>
        <w:rPr>
          <w:rFonts w:hint="eastAsia" w:ascii="Times New Roman" w:hAnsi="Times New Roman" w:cs="Times New Roman"/>
          <w:szCs w:val="32"/>
          <w:lang w:val="en-US" w:eastAsia="zh-CN"/>
        </w:rPr>
        <w:t>旨在</w:t>
      </w:r>
      <w:r>
        <w:rPr>
          <w:rFonts w:hint="default" w:ascii="Times New Roman" w:hAnsi="Times New Roman" w:cs="Times New Roman"/>
          <w:szCs w:val="32"/>
        </w:rPr>
        <w:t>贯彻落实党中央关于市场监督管理工作的方针政策和决策部署，全面落实省委、市委关于市场监督管理工作的部署要求，在履行职责过程中坚持和加强党对市场监督管理工作的集中统一领导。</w:t>
      </w:r>
    </w:p>
    <w:p>
      <w:pPr>
        <w:spacing w:line="600" w:lineRule="exact"/>
        <w:ind w:firstLine="640" w:firstLineChars="200"/>
        <w:rPr>
          <w:rFonts w:ascii="楷体_GB2312" w:hAnsi="楷体_GB2312" w:eastAsia="楷体_GB2312" w:cs="楷体_GB2312"/>
          <w:b/>
          <w:color w:val="000000"/>
          <w:szCs w:val="32"/>
        </w:rPr>
      </w:pPr>
      <w:r>
        <w:rPr>
          <w:rFonts w:ascii="楷体_GB2312" w:hAnsi="楷体_GB2312" w:eastAsia="楷体_GB2312" w:cs="楷体_GB2312"/>
          <w:b/>
          <w:color w:val="000000"/>
          <w:szCs w:val="32"/>
        </w:rPr>
        <w:t>（二）主要职能</w:t>
      </w:r>
    </w:p>
    <w:p>
      <w:pPr>
        <w:spacing w:line="600" w:lineRule="exact"/>
        <w:ind w:firstLine="640" w:firstLineChars="200"/>
        <w:rPr>
          <w:szCs w:val="32"/>
        </w:rPr>
      </w:pPr>
      <w:r>
        <w:rPr>
          <w:szCs w:val="32"/>
        </w:rPr>
        <w:t>根据三定方案，市市场监管局职能具体如下：</w:t>
      </w:r>
    </w:p>
    <w:p>
      <w:pPr>
        <w:spacing w:line="600" w:lineRule="exact"/>
        <w:ind w:firstLine="640" w:firstLineChars="200"/>
        <w:rPr>
          <w:szCs w:val="32"/>
        </w:rPr>
        <w:sectPr>
          <w:pgSz w:w="11906" w:h="16838"/>
          <w:pgMar w:top="1928" w:right="1474" w:bottom="1701" w:left="1587" w:header="851" w:footer="992" w:gutter="0"/>
          <w:pgNumType w:fmt="numberInDash" w:start="2"/>
          <w:cols w:space="720" w:num="1"/>
          <w:docGrid w:type="linesAndChars" w:linePitch="600" w:charSpace="0"/>
        </w:sectPr>
      </w:pPr>
      <w:r>
        <w:rPr>
          <w:szCs w:val="32"/>
        </w:rPr>
        <w:t>（一）负责市场综合监管管理。（二）负责市场主体统一登记注册。（三）负责组织和指导市场监管综合执法工作。（四）负责反垄断统一执法。（五）负责监督管理市场秩序。（六）</w:t>
      </w:r>
    </w:p>
    <w:p>
      <w:pPr>
        <w:spacing w:line="600" w:lineRule="exact"/>
        <w:rPr>
          <w:szCs w:val="32"/>
        </w:rPr>
      </w:pPr>
      <w:r>
        <w:rPr>
          <w:szCs w:val="32"/>
        </w:rPr>
        <w:t>负责宏观质量管理。（七）负责产品质量安全监督管理。（八）负责特种设备安全监督管理。（九）负责食品安全监督管理综合协调。（十）负责食品安全监督管理。（十一）负责统一管理计量工作。（十二）负责统一管理标准化工作。（十三）负责统一管理检验检测工作。（十四）负责统一管理、监督和综合协调全省认证认可工作。（十五）负责市场监督管理、知识产权领域科技和信息化建设、新闻宣传、对外交流与合作。（十六）负责实施知识产权战略，推进知识产权强市建设。（十七）负责保护知识产权。（十八）负责知识产权创造运用。（十九）负责组织开展有关服务领域消费维权工作，查处制售假冒伪劣等违法行为，指导消费者咨询、申诉、举报受理、处理和网络体系建设等工作，保护经营者、消费者合法权益。（二十）负责药品（含中药、民族药，下同）、医疗器械、化妆品安全监督管理。（二十一）负责药品、医疗器械、化妆品标准管理和质量管理。（二十二）负责药品、医疗器械、化妆品上市后风险管理。完成市委、市政府交办的其他任务。市场监督管理部门是一个与民生息息相关的职能部门，老百姓</w:t>
      </w:r>
      <w:r>
        <w:rPr>
          <w:rFonts w:hint="eastAsia" w:ascii="仿宋_GB2312" w:hAnsi="仿宋_GB2312" w:eastAsia="仿宋_GB2312" w:cs="仿宋_GB2312"/>
          <w:szCs w:val="32"/>
        </w:rPr>
        <w:t>的“衣、食、住、行、医、用、娱”无</w:t>
      </w:r>
      <w:r>
        <w:rPr>
          <w:szCs w:val="32"/>
        </w:rPr>
        <w:t>一不与市场监督管理工作相关。</w:t>
      </w:r>
    </w:p>
    <w:p>
      <w:pPr>
        <w:spacing w:line="600" w:lineRule="exact"/>
        <w:ind w:firstLine="640" w:firstLineChars="200"/>
        <w:rPr>
          <w:rFonts w:ascii="楷体_GB2312" w:hAnsi="楷体_GB2312" w:eastAsia="楷体_GB2312" w:cs="楷体_GB2312"/>
          <w:b/>
          <w:color w:val="000000"/>
          <w:szCs w:val="32"/>
        </w:rPr>
      </w:pPr>
      <w:r>
        <w:rPr>
          <w:rFonts w:ascii="楷体_GB2312" w:hAnsi="楷体_GB2312" w:eastAsia="楷体_GB2312" w:cs="楷体_GB2312"/>
          <w:b/>
          <w:color w:val="000000"/>
          <w:szCs w:val="32"/>
        </w:rPr>
        <w:t>（三）机构情况</w:t>
      </w:r>
    </w:p>
    <w:p>
      <w:pPr>
        <w:topLinePunct/>
        <w:spacing w:line="600" w:lineRule="exact"/>
        <w:ind w:firstLine="640" w:firstLineChars="200"/>
        <w:rPr>
          <w:szCs w:val="32"/>
        </w:rPr>
      </w:pPr>
      <w:r>
        <w:rPr>
          <w:rFonts w:hint="eastAsia"/>
          <w:szCs w:val="32"/>
          <w:lang w:val="en-US" w:eastAsia="zh-CN"/>
        </w:rPr>
        <w:t>1.</w:t>
      </w:r>
      <w:r>
        <w:rPr>
          <w:szCs w:val="32"/>
        </w:rPr>
        <w:t>内设机构（43个，均为正科级）：办公室、综合规划科、政策法规科、执法稽查科、行政审批改革科、登记注册科、信用监督管理科、反垄断和反不正当竞争科、打击传销和规范直销科、价格监督检查科、网络交易监督管理科、科技和新经济发展服务科、广告监督管理科、质量发展科、产品质量安全监督管理科、食品安全协调科、食品生产安全监督管理科、食品流通安全监督管理科、餐饮服务安全监督管理科、特殊食品安全监督管理科、盐业监督管理科、食品安全抽检监测科、特种设备安全监察科、计量科、标准化科、认证监督管理科、认可与检验检测监督管理科、知识产权促进运用科、知识产权保护科、药品生产服务科、药品流通监督管理科、医疗器械监督管理科、化妆品监督管理科、消费者权益保护科、市消费者委员会办公室、投诉举报科、新闻宣传和应急科、财务科、人事科、离退休人员管理科、机关党委、市非公有制经济组织综合党委、产业工会。</w:t>
      </w:r>
    </w:p>
    <w:p>
      <w:pPr>
        <w:topLinePunct/>
        <w:spacing w:line="600" w:lineRule="exact"/>
        <w:ind w:firstLine="640" w:firstLineChars="200"/>
        <w:rPr>
          <w:szCs w:val="32"/>
        </w:rPr>
      </w:pPr>
      <w:r>
        <w:rPr>
          <w:rFonts w:hint="eastAsia"/>
          <w:szCs w:val="32"/>
          <w:lang w:val="en-US" w:eastAsia="zh-CN"/>
        </w:rPr>
        <w:t>2.</w:t>
      </w:r>
      <w:r>
        <w:rPr>
          <w:szCs w:val="32"/>
        </w:rPr>
        <w:t>直属二级机构单位（9 个）。其中独立预算单位4 个，即：计量测试检定所、纤维质量监测中心、产商品质量监督检验研究院、食品药品检验所。并入市局机关预算单位5个，即：综合行政执法支队、不良反应中心、信息中心、培训中心、</w:t>
      </w:r>
      <w:r>
        <w:rPr>
          <w:rFonts w:hint="eastAsia"/>
          <w:szCs w:val="32"/>
          <w:lang w:val="en-US" w:eastAsia="zh-CN"/>
        </w:rPr>
        <w:t>知识产权保护</w:t>
      </w:r>
      <w:r>
        <w:rPr>
          <w:szCs w:val="32"/>
        </w:rPr>
        <w:t>中心</w:t>
      </w:r>
      <w:r>
        <w:rPr>
          <w:rFonts w:hint="eastAsia"/>
          <w:szCs w:val="32"/>
          <w:lang w:eastAsia="zh-CN"/>
        </w:rPr>
        <w:t>（</w:t>
      </w:r>
      <w:r>
        <w:rPr>
          <w:rFonts w:hint="eastAsia"/>
          <w:szCs w:val="32"/>
          <w:lang w:val="en-US" w:eastAsia="zh-CN"/>
        </w:rPr>
        <w:t>原非公有制指导中心</w:t>
      </w:r>
      <w:r>
        <w:rPr>
          <w:rFonts w:hint="eastAsia"/>
          <w:szCs w:val="32"/>
          <w:lang w:eastAsia="zh-CN"/>
        </w:rPr>
        <w:t>）</w:t>
      </w:r>
      <w:r>
        <w:rPr>
          <w:szCs w:val="32"/>
        </w:rPr>
        <w:t>。</w:t>
      </w:r>
    </w:p>
    <w:p>
      <w:pPr>
        <w:spacing w:line="600" w:lineRule="exact"/>
        <w:ind w:firstLine="640" w:firstLineChars="200"/>
        <w:rPr>
          <w:rFonts w:ascii="楷体_GB2312" w:hAnsi="楷体_GB2312" w:eastAsia="楷体_GB2312" w:cs="楷体_GB2312"/>
          <w:b/>
          <w:color w:val="000000"/>
          <w:szCs w:val="32"/>
        </w:rPr>
      </w:pPr>
      <w:r>
        <w:rPr>
          <w:rFonts w:ascii="楷体_GB2312" w:hAnsi="楷体_GB2312" w:eastAsia="楷体_GB2312" w:cs="楷体_GB2312"/>
          <w:b/>
          <w:color w:val="000000"/>
          <w:szCs w:val="32"/>
        </w:rPr>
        <w:t>（四）人员情况</w:t>
      </w:r>
    </w:p>
    <w:p>
      <w:pPr>
        <w:spacing w:line="600" w:lineRule="exact"/>
        <w:ind w:firstLine="640" w:firstLineChars="200"/>
        <w:rPr>
          <w:szCs w:val="32"/>
        </w:rPr>
      </w:pPr>
      <w:r>
        <w:rPr>
          <w:szCs w:val="32"/>
        </w:rPr>
        <w:t>202</w:t>
      </w:r>
      <w:r>
        <w:rPr>
          <w:rFonts w:hint="eastAsia"/>
          <w:szCs w:val="32"/>
          <w:lang w:val="en-US" w:eastAsia="zh-CN"/>
        </w:rPr>
        <w:t>3</w:t>
      </w:r>
      <w:r>
        <w:rPr>
          <w:szCs w:val="32"/>
        </w:rPr>
        <w:t>年末，市市场监管局共有编制 3</w:t>
      </w:r>
      <w:r>
        <w:rPr>
          <w:rFonts w:hint="eastAsia"/>
          <w:szCs w:val="32"/>
          <w:lang w:val="en-US" w:eastAsia="zh-CN"/>
        </w:rPr>
        <w:t>39</w:t>
      </w:r>
      <w:r>
        <w:rPr>
          <w:szCs w:val="32"/>
        </w:rPr>
        <w:t>名，其中行政编制</w:t>
      </w:r>
      <w:r>
        <w:rPr>
          <w:rFonts w:hint="eastAsia"/>
          <w:szCs w:val="32"/>
        </w:rPr>
        <w:t>99</w:t>
      </w:r>
      <w:r>
        <w:rPr>
          <w:szCs w:val="32"/>
        </w:rPr>
        <w:t>个，全额拨款事业编制2</w:t>
      </w:r>
      <w:r>
        <w:rPr>
          <w:rFonts w:hint="eastAsia"/>
          <w:szCs w:val="32"/>
          <w:lang w:val="en-US" w:eastAsia="zh-CN"/>
        </w:rPr>
        <w:t>31</w:t>
      </w:r>
      <w:r>
        <w:rPr>
          <w:szCs w:val="32"/>
        </w:rPr>
        <w:t>个，工勤编制</w:t>
      </w:r>
      <w:r>
        <w:rPr>
          <w:rFonts w:hint="eastAsia"/>
          <w:szCs w:val="32"/>
          <w:lang w:val="en-US" w:eastAsia="zh-CN"/>
        </w:rPr>
        <w:t>9</w:t>
      </w:r>
      <w:r>
        <w:rPr>
          <w:szCs w:val="32"/>
        </w:rPr>
        <w:t>个。现有在职人员31</w:t>
      </w:r>
      <w:r>
        <w:rPr>
          <w:rFonts w:hint="eastAsia"/>
          <w:szCs w:val="32"/>
          <w:lang w:val="en-US" w:eastAsia="zh-CN"/>
        </w:rPr>
        <w:t>4</w:t>
      </w:r>
      <w:r>
        <w:rPr>
          <w:szCs w:val="32"/>
        </w:rPr>
        <w:t>人，离退休人员</w:t>
      </w:r>
      <w:r>
        <w:rPr>
          <w:rFonts w:hint="eastAsia"/>
          <w:szCs w:val="32"/>
          <w:lang w:val="en-US" w:eastAsia="zh-CN"/>
        </w:rPr>
        <w:t>232</w:t>
      </w:r>
      <w:r>
        <w:rPr>
          <w:szCs w:val="32"/>
        </w:rPr>
        <w:t>人。市市场监管局局机关（含非独立核算二级机构）共有编制 23</w:t>
      </w:r>
      <w:r>
        <w:rPr>
          <w:rFonts w:hint="eastAsia"/>
          <w:szCs w:val="32"/>
          <w:lang w:val="en-US" w:eastAsia="zh-CN"/>
        </w:rPr>
        <w:t>0</w:t>
      </w:r>
      <w:r>
        <w:rPr>
          <w:szCs w:val="32"/>
        </w:rPr>
        <w:t>名，行政编制</w:t>
      </w:r>
      <w:r>
        <w:rPr>
          <w:rFonts w:hint="eastAsia"/>
          <w:szCs w:val="32"/>
        </w:rPr>
        <w:t>99</w:t>
      </w:r>
      <w:r>
        <w:rPr>
          <w:szCs w:val="32"/>
        </w:rPr>
        <w:t>个，事业编制122 人，工勤编制</w:t>
      </w:r>
      <w:r>
        <w:rPr>
          <w:rFonts w:hint="eastAsia"/>
          <w:szCs w:val="32"/>
          <w:lang w:val="en-US" w:eastAsia="zh-CN"/>
        </w:rPr>
        <w:t>9</w:t>
      </w:r>
      <w:r>
        <w:rPr>
          <w:szCs w:val="32"/>
        </w:rPr>
        <w:t>人。局机关实有在职人员2</w:t>
      </w:r>
      <w:r>
        <w:rPr>
          <w:rFonts w:hint="eastAsia"/>
          <w:szCs w:val="32"/>
          <w:lang w:val="en-US" w:eastAsia="zh-CN"/>
        </w:rPr>
        <w:t>14</w:t>
      </w:r>
      <w:r>
        <w:rPr>
          <w:szCs w:val="32"/>
        </w:rPr>
        <w:t>人，离退休人员1</w:t>
      </w:r>
      <w:r>
        <w:rPr>
          <w:rFonts w:hint="eastAsia"/>
          <w:szCs w:val="32"/>
          <w:lang w:val="en-US" w:eastAsia="zh-CN"/>
        </w:rPr>
        <w:t>89</w:t>
      </w:r>
      <w:r>
        <w:rPr>
          <w:szCs w:val="32"/>
        </w:rPr>
        <w:t>人。</w:t>
      </w:r>
    </w:p>
    <w:p>
      <w:pPr>
        <w:spacing w:line="600" w:lineRule="exact"/>
        <w:ind w:firstLine="640" w:firstLineChars="200"/>
        <w:rPr>
          <w:rFonts w:hint="eastAsia" w:ascii="黑体" w:hAnsi="黑体" w:eastAsia="黑体" w:cs="黑体"/>
          <w:color w:val="000000"/>
          <w:szCs w:val="32"/>
        </w:rPr>
      </w:pPr>
      <w:r>
        <w:rPr>
          <w:rFonts w:hint="eastAsia" w:ascii="黑体" w:hAnsi="黑体" w:eastAsia="黑体" w:cs="黑体"/>
          <w:color w:val="000000"/>
          <w:szCs w:val="32"/>
        </w:rPr>
        <w:t>二、一般公共预算支出情况</w:t>
      </w:r>
    </w:p>
    <w:p>
      <w:pPr>
        <w:spacing w:line="600" w:lineRule="exact"/>
        <w:ind w:firstLine="640" w:firstLineChars="200"/>
        <w:rPr>
          <w:rFonts w:ascii="楷体_GB2312" w:hAnsi="楷体_GB2312" w:eastAsia="楷体_GB2312" w:cs="楷体_GB2312"/>
          <w:b/>
          <w:color w:val="000000"/>
          <w:szCs w:val="32"/>
        </w:rPr>
      </w:pPr>
      <w:r>
        <w:rPr>
          <w:rFonts w:ascii="楷体_GB2312" w:hAnsi="楷体_GB2312" w:eastAsia="楷体_GB2312" w:cs="楷体_GB2312"/>
          <w:b/>
          <w:color w:val="000000"/>
          <w:szCs w:val="32"/>
        </w:rPr>
        <w:t>（一）收入预算支出总体情况</w:t>
      </w:r>
    </w:p>
    <w:p>
      <w:pPr>
        <w:spacing w:line="600" w:lineRule="exact"/>
        <w:ind w:firstLine="640" w:firstLineChars="200"/>
        <w:rPr>
          <w:szCs w:val="32"/>
        </w:rPr>
      </w:pPr>
      <w:r>
        <w:rPr>
          <w:rFonts w:hint="eastAsia"/>
          <w:szCs w:val="32"/>
          <w:lang w:eastAsia="zh-CN"/>
        </w:rPr>
        <w:t>202</w:t>
      </w:r>
      <w:r>
        <w:rPr>
          <w:rFonts w:hint="eastAsia"/>
          <w:szCs w:val="32"/>
          <w:lang w:val="en-US" w:eastAsia="zh-CN"/>
        </w:rPr>
        <w:t>3</w:t>
      </w:r>
      <w:r>
        <w:rPr>
          <w:rFonts w:hint="eastAsia"/>
          <w:szCs w:val="32"/>
          <w:lang w:eastAsia="zh-CN"/>
        </w:rPr>
        <w:t>年</w:t>
      </w:r>
      <w:r>
        <w:rPr>
          <w:szCs w:val="32"/>
        </w:rPr>
        <w:t>一般公共预算年初结转和结余资金</w:t>
      </w:r>
      <w:r>
        <w:rPr>
          <w:rFonts w:hint="eastAsia"/>
          <w:szCs w:val="32"/>
          <w:lang w:val="en-US" w:eastAsia="zh-CN"/>
        </w:rPr>
        <w:t>为零</w:t>
      </w:r>
      <w:r>
        <w:rPr>
          <w:szCs w:val="32"/>
        </w:rPr>
        <w:t>。</w:t>
      </w:r>
    </w:p>
    <w:p>
      <w:pPr>
        <w:spacing w:line="600" w:lineRule="exact"/>
        <w:ind w:firstLine="640" w:firstLineChars="200"/>
        <w:rPr>
          <w:szCs w:val="32"/>
        </w:rPr>
      </w:pPr>
      <w:r>
        <w:rPr>
          <w:rFonts w:hint="eastAsia"/>
          <w:szCs w:val="32"/>
          <w:lang w:eastAsia="zh-CN"/>
        </w:rPr>
        <w:t>202</w:t>
      </w:r>
      <w:r>
        <w:rPr>
          <w:rFonts w:hint="eastAsia"/>
          <w:szCs w:val="32"/>
          <w:lang w:val="en-US" w:eastAsia="zh-CN"/>
        </w:rPr>
        <w:t>3</w:t>
      </w:r>
      <w:r>
        <w:rPr>
          <w:rFonts w:hint="eastAsia"/>
          <w:szCs w:val="32"/>
          <w:lang w:eastAsia="zh-CN"/>
        </w:rPr>
        <w:t>年</w:t>
      </w:r>
      <w:r>
        <w:rPr>
          <w:szCs w:val="32"/>
        </w:rPr>
        <w:t>一般公共预算收入</w:t>
      </w:r>
      <w:r>
        <w:rPr>
          <w:rFonts w:hint="eastAsia"/>
          <w:szCs w:val="32"/>
          <w:lang w:val="en-US" w:eastAsia="zh-CN"/>
        </w:rPr>
        <w:t>9846.08</w:t>
      </w:r>
      <w:r>
        <w:rPr>
          <w:szCs w:val="32"/>
        </w:rPr>
        <w:t>万元。其中基本支出预算收入</w:t>
      </w:r>
      <w:r>
        <w:rPr>
          <w:rFonts w:hint="eastAsia"/>
          <w:szCs w:val="32"/>
          <w:lang w:val="en-US" w:eastAsia="zh-CN"/>
        </w:rPr>
        <w:t>7166.52</w:t>
      </w:r>
      <w:r>
        <w:rPr>
          <w:szCs w:val="32"/>
        </w:rPr>
        <w:t>万元，项目支出预算收入</w:t>
      </w:r>
      <w:r>
        <w:rPr>
          <w:rFonts w:hint="eastAsia"/>
          <w:szCs w:val="32"/>
          <w:lang w:val="en-US" w:eastAsia="zh-CN"/>
        </w:rPr>
        <w:t>2679.56</w:t>
      </w:r>
      <w:r>
        <w:rPr>
          <w:szCs w:val="32"/>
        </w:rPr>
        <w:t>万元。</w:t>
      </w:r>
    </w:p>
    <w:p>
      <w:pPr>
        <w:spacing w:line="600" w:lineRule="exact"/>
        <w:ind w:firstLine="640" w:firstLineChars="200"/>
        <w:rPr>
          <w:szCs w:val="32"/>
        </w:rPr>
      </w:pPr>
      <w:r>
        <w:rPr>
          <w:rFonts w:hint="eastAsia"/>
          <w:szCs w:val="32"/>
          <w:lang w:eastAsia="zh-CN"/>
        </w:rPr>
        <w:t>202</w:t>
      </w:r>
      <w:r>
        <w:rPr>
          <w:rFonts w:hint="eastAsia"/>
          <w:szCs w:val="32"/>
          <w:lang w:val="en-US" w:eastAsia="zh-CN"/>
        </w:rPr>
        <w:t>3</w:t>
      </w:r>
      <w:r>
        <w:rPr>
          <w:rFonts w:hint="eastAsia"/>
          <w:szCs w:val="32"/>
          <w:lang w:eastAsia="zh-CN"/>
        </w:rPr>
        <w:t>年</w:t>
      </w:r>
      <w:r>
        <w:rPr>
          <w:szCs w:val="32"/>
        </w:rPr>
        <w:t>支出总金额</w:t>
      </w:r>
      <w:r>
        <w:rPr>
          <w:rFonts w:hint="eastAsia"/>
          <w:szCs w:val="32"/>
          <w:lang w:val="en-US" w:eastAsia="zh-CN"/>
        </w:rPr>
        <w:t>9846.08</w:t>
      </w:r>
      <w:r>
        <w:rPr>
          <w:szCs w:val="32"/>
        </w:rPr>
        <w:t>万元。其中基本支出</w:t>
      </w:r>
      <w:r>
        <w:rPr>
          <w:rFonts w:hint="eastAsia"/>
          <w:szCs w:val="32"/>
          <w:lang w:val="en-US" w:eastAsia="zh-CN"/>
        </w:rPr>
        <w:t>7166.52</w:t>
      </w:r>
      <w:r>
        <w:rPr>
          <w:szCs w:val="32"/>
        </w:rPr>
        <w:t>万元，项目支出</w:t>
      </w:r>
      <w:r>
        <w:rPr>
          <w:rFonts w:hint="eastAsia"/>
          <w:szCs w:val="32"/>
          <w:lang w:val="en-US" w:eastAsia="zh-CN"/>
        </w:rPr>
        <w:t>2679.56</w:t>
      </w:r>
      <w:r>
        <w:rPr>
          <w:szCs w:val="32"/>
        </w:rPr>
        <w:t>万元。</w:t>
      </w:r>
    </w:p>
    <w:p>
      <w:pPr>
        <w:spacing w:line="600" w:lineRule="exact"/>
        <w:ind w:firstLine="640" w:firstLineChars="200"/>
        <w:rPr>
          <w:szCs w:val="32"/>
        </w:rPr>
      </w:pPr>
      <w:r>
        <w:rPr>
          <w:szCs w:val="32"/>
        </w:rPr>
        <w:t>202</w:t>
      </w:r>
      <w:r>
        <w:rPr>
          <w:rFonts w:hint="eastAsia"/>
          <w:szCs w:val="32"/>
          <w:lang w:val="en-US" w:eastAsia="zh-CN"/>
        </w:rPr>
        <w:t>3</w:t>
      </w:r>
      <w:r>
        <w:rPr>
          <w:szCs w:val="32"/>
        </w:rPr>
        <w:t>年年末结转和结余资金</w:t>
      </w:r>
      <w:r>
        <w:rPr>
          <w:rFonts w:hint="eastAsia"/>
          <w:szCs w:val="32"/>
        </w:rPr>
        <w:t>为</w:t>
      </w:r>
      <w:r>
        <w:rPr>
          <w:szCs w:val="32"/>
        </w:rPr>
        <w:t>零。</w:t>
      </w:r>
    </w:p>
    <w:p>
      <w:pPr>
        <w:spacing w:line="600" w:lineRule="exact"/>
        <w:ind w:firstLine="640" w:firstLineChars="200"/>
        <w:rPr>
          <w:b/>
          <w:bCs/>
          <w:color w:val="333333"/>
          <w:kern w:val="0"/>
          <w:szCs w:val="32"/>
        </w:rPr>
      </w:pPr>
      <w:r>
        <w:rPr>
          <w:b/>
          <w:bCs/>
          <w:color w:val="000000"/>
          <w:kern w:val="0"/>
          <w:szCs w:val="32"/>
        </w:rPr>
        <w:t>益阳市市场监督管理局机关及所属单位结转结余情况</w:t>
      </w:r>
    </w:p>
    <w:p>
      <w:pPr>
        <w:widowControl/>
        <w:shd w:val="clear" w:color="auto" w:fill="FFFFFF"/>
        <w:spacing w:line="600" w:lineRule="exact"/>
        <w:ind w:firstLine="420"/>
        <w:jc w:val="right"/>
        <w:rPr>
          <w:color w:val="333333"/>
          <w:kern w:val="0"/>
          <w:szCs w:val="32"/>
        </w:rPr>
      </w:pPr>
      <w:r>
        <w:rPr>
          <w:color w:val="000000"/>
          <w:kern w:val="0"/>
          <w:szCs w:val="32"/>
        </w:rPr>
        <w:t>（单位：万元）</w:t>
      </w:r>
    </w:p>
    <w:tbl>
      <w:tblPr>
        <w:tblStyle w:val="10"/>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22"/>
        <w:gridCol w:w="1265"/>
        <w:gridCol w:w="1500"/>
        <w:gridCol w:w="1396"/>
        <w:gridCol w:w="117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66" w:hRule="atLeast"/>
          <w:tblHeader/>
          <w:jc w:val="center"/>
        </w:trPr>
        <w:tc>
          <w:tcPr>
            <w:tcW w:w="372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000000"/>
                <w:kern w:val="0"/>
                <w:sz w:val="28"/>
                <w:szCs w:val="28"/>
              </w:rPr>
            </w:pPr>
            <w:r>
              <w:rPr>
                <w:color w:val="000000"/>
                <w:kern w:val="0"/>
                <w:sz w:val="28"/>
                <w:szCs w:val="28"/>
              </w:rPr>
              <w:t>单位名称</w:t>
            </w:r>
          </w:p>
        </w:tc>
        <w:tc>
          <w:tcPr>
            <w:tcW w:w="12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000000"/>
                <w:kern w:val="0"/>
                <w:sz w:val="28"/>
                <w:szCs w:val="28"/>
              </w:rPr>
            </w:pPr>
            <w:r>
              <w:rPr>
                <w:color w:val="000000"/>
                <w:kern w:val="0"/>
                <w:sz w:val="28"/>
                <w:szCs w:val="28"/>
              </w:rPr>
              <w:t>上年</w:t>
            </w:r>
          </w:p>
          <w:p>
            <w:pPr>
              <w:widowControl/>
              <w:spacing w:line="400" w:lineRule="exact"/>
              <w:jc w:val="center"/>
              <w:textAlignment w:val="center"/>
              <w:rPr>
                <w:color w:val="000000"/>
                <w:kern w:val="0"/>
                <w:sz w:val="28"/>
                <w:szCs w:val="28"/>
              </w:rPr>
            </w:pPr>
            <w:r>
              <w:rPr>
                <w:color w:val="000000"/>
                <w:kern w:val="0"/>
                <w:sz w:val="28"/>
                <w:szCs w:val="28"/>
              </w:rPr>
              <w:t>结余</w:t>
            </w:r>
          </w:p>
        </w:tc>
        <w:tc>
          <w:tcPr>
            <w:tcW w:w="15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000000"/>
                <w:kern w:val="0"/>
                <w:sz w:val="28"/>
                <w:szCs w:val="28"/>
              </w:rPr>
            </w:pPr>
            <w:r>
              <w:rPr>
                <w:color w:val="000000"/>
                <w:kern w:val="0"/>
                <w:sz w:val="28"/>
                <w:szCs w:val="28"/>
              </w:rPr>
              <w:t>本年收入</w:t>
            </w:r>
          </w:p>
        </w:tc>
        <w:tc>
          <w:tcPr>
            <w:tcW w:w="139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000000"/>
                <w:kern w:val="0"/>
                <w:sz w:val="28"/>
                <w:szCs w:val="28"/>
              </w:rPr>
            </w:pPr>
            <w:r>
              <w:rPr>
                <w:color w:val="000000"/>
                <w:kern w:val="0"/>
                <w:sz w:val="28"/>
                <w:szCs w:val="28"/>
              </w:rPr>
              <w:t>本年支出</w:t>
            </w:r>
          </w:p>
        </w:tc>
        <w:tc>
          <w:tcPr>
            <w:tcW w:w="117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000000"/>
                <w:kern w:val="0"/>
                <w:sz w:val="28"/>
                <w:szCs w:val="28"/>
              </w:rPr>
            </w:pPr>
            <w:r>
              <w:rPr>
                <w:color w:val="000000"/>
                <w:kern w:val="0"/>
                <w:sz w:val="28"/>
                <w:szCs w:val="28"/>
              </w:rPr>
              <w:t>期末</w:t>
            </w:r>
          </w:p>
          <w:p>
            <w:pPr>
              <w:widowControl/>
              <w:spacing w:line="400" w:lineRule="exact"/>
              <w:jc w:val="center"/>
              <w:textAlignment w:val="center"/>
              <w:rPr>
                <w:color w:val="000000"/>
                <w:kern w:val="0"/>
                <w:sz w:val="28"/>
                <w:szCs w:val="28"/>
              </w:rPr>
            </w:pPr>
            <w:r>
              <w:rPr>
                <w:color w:val="000000"/>
                <w:kern w:val="0"/>
                <w:sz w:val="28"/>
                <w:szCs w:val="28"/>
              </w:rPr>
              <w:t>结余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color w:val="000000"/>
                <w:kern w:val="0"/>
                <w:sz w:val="28"/>
                <w:szCs w:val="28"/>
              </w:rPr>
            </w:pPr>
            <w:r>
              <w:rPr>
                <w:color w:val="000000"/>
                <w:kern w:val="0"/>
                <w:sz w:val="28"/>
                <w:szCs w:val="28"/>
              </w:rPr>
              <w:t>益阳市市场监督管理局机关</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top"/>
              <w:rPr>
                <w:rFonts w:hint="eastAsia" w:eastAsia="仿宋_GB2312"/>
                <w:color w:val="333333"/>
                <w:kern w:val="0"/>
                <w:sz w:val="28"/>
                <w:szCs w:val="28"/>
                <w:lang w:eastAsia="zh-CN"/>
              </w:rPr>
            </w:pPr>
            <w:r>
              <w:rPr>
                <w:rFonts w:hint="eastAsia"/>
                <w:color w:val="333333"/>
                <w:kern w:val="0"/>
                <w:sz w:val="28"/>
                <w:szCs w:val="28"/>
                <w:lang w:val="en-US" w:eastAsia="zh-CN"/>
              </w:rPr>
              <w:t>/</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top"/>
              <w:rPr>
                <w:rFonts w:hint="default" w:eastAsia="仿宋_GB2312"/>
                <w:color w:val="333333"/>
                <w:kern w:val="0"/>
                <w:sz w:val="28"/>
                <w:szCs w:val="28"/>
                <w:lang w:val="en-US" w:eastAsia="zh-CN"/>
              </w:rPr>
            </w:pPr>
            <w:r>
              <w:rPr>
                <w:rFonts w:hint="eastAsia"/>
                <w:color w:val="333333"/>
                <w:kern w:val="0"/>
                <w:sz w:val="28"/>
                <w:szCs w:val="28"/>
                <w:lang w:val="en-US" w:eastAsia="zh-CN"/>
              </w:rPr>
              <w:t>6760.03</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top"/>
              <w:rPr>
                <w:rFonts w:hint="default" w:ascii="Times New Roman" w:hAnsi="Times New Roman" w:eastAsia="仿宋_GB2312" w:cs="Times New Roman"/>
                <w:color w:val="333333"/>
                <w:kern w:val="0"/>
                <w:sz w:val="28"/>
                <w:szCs w:val="28"/>
                <w:lang w:val="en-US" w:eastAsia="zh-CN" w:bidi="ar-SA"/>
              </w:rPr>
            </w:pPr>
            <w:r>
              <w:rPr>
                <w:rFonts w:hint="eastAsia"/>
                <w:color w:val="333333"/>
                <w:kern w:val="0"/>
                <w:sz w:val="28"/>
                <w:szCs w:val="28"/>
                <w:lang w:val="en-US" w:eastAsia="zh-CN"/>
              </w:rPr>
              <w:t>6760.03</w:t>
            </w:r>
          </w:p>
        </w:tc>
        <w:tc>
          <w:tcPr>
            <w:tcW w:w="11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top"/>
              <w:rPr>
                <w:color w:val="333333"/>
                <w:kern w:val="0"/>
                <w:sz w:val="28"/>
                <w:szCs w:val="28"/>
              </w:rPr>
            </w:pPr>
            <w:r>
              <w:rPr>
                <w:rFonts w:hint="eastAsia"/>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8"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color w:val="000000"/>
                <w:kern w:val="0"/>
                <w:sz w:val="28"/>
                <w:szCs w:val="28"/>
              </w:rPr>
            </w:pPr>
            <w:r>
              <w:rPr>
                <w:color w:val="000000"/>
                <w:kern w:val="0"/>
                <w:sz w:val="28"/>
                <w:szCs w:val="28"/>
              </w:rPr>
              <w:t>益阳市计量测试检定所</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eastAsia" w:eastAsia="仿宋_GB2312"/>
                <w:color w:val="333333"/>
                <w:kern w:val="0"/>
                <w:sz w:val="28"/>
                <w:szCs w:val="28"/>
                <w:lang w:eastAsia="zh-CN"/>
              </w:rPr>
            </w:pPr>
            <w:r>
              <w:rPr>
                <w:rFonts w:hint="eastAsia"/>
                <w:color w:val="333333"/>
                <w:kern w:val="0"/>
                <w:sz w:val="28"/>
                <w:szCs w:val="28"/>
                <w:lang w:val="en-US" w:eastAsia="zh-CN"/>
              </w:rPr>
              <w:t>/</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eastAsia="仿宋_GB2312"/>
                <w:color w:val="333333"/>
                <w:kern w:val="0"/>
                <w:sz w:val="28"/>
                <w:szCs w:val="28"/>
                <w:lang w:val="en-US" w:eastAsia="zh-CN"/>
              </w:rPr>
            </w:pPr>
            <w:r>
              <w:rPr>
                <w:rFonts w:hint="eastAsia"/>
                <w:color w:val="333333"/>
                <w:kern w:val="0"/>
                <w:sz w:val="28"/>
                <w:szCs w:val="28"/>
                <w:lang w:val="en-US" w:eastAsia="zh-CN"/>
              </w:rPr>
              <w:t>949.37</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ascii="Times New Roman" w:hAnsi="Times New Roman" w:eastAsia="仿宋_GB2312" w:cs="Times New Roman"/>
                <w:color w:val="333333"/>
                <w:kern w:val="0"/>
                <w:sz w:val="28"/>
                <w:szCs w:val="28"/>
                <w:lang w:val="en-US" w:eastAsia="zh-CN" w:bidi="ar-SA"/>
              </w:rPr>
            </w:pPr>
            <w:r>
              <w:rPr>
                <w:rFonts w:hint="eastAsia"/>
                <w:color w:val="333333"/>
                <w:kern w:val="0"/>
                <w:sz w:val="28"/>
                <w:szCs w:val="28"/>
                <w:lang w:val="en-US" w:eastAsia="zh-CN"/>
              </w:rPr>
              <w:t>949.37</w:t>
            </w:r>
          </w:p>
        </w:tc>
        <w:tc>
          <w:tcPr>
            <w:tcW w:w="11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rFonts w:hint="eastAsia"/>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2"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color w:val="000000"/>
                <w:kern w:val="0"/>
                <w:sz w:val="28"/>
                <w:szCs w:val="28"/>
              </w:rPr>
            </w:pPr>
            <w:r>
              <w:rPr>
                <w:color w:val="000000"/>
                <w:kern w:val="0"/>
                <w:sz w:val="28"/>
                <w:szCs w:val="28"/>
              </w:rPr>
              <w:t>益阳市纤维质量监测中心</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eastAsia" w:eastAsia="仿宋_GB2312"/>
                <w:color w:val="333333"/>
                <w:kern w:val="0"/>
                <w:sz w:val="28"/>
                <w:szCs w:val="28"/>
                <w:lang w:val="en-US" w:eastAsia="zh-CN"/>
              </w:rPr>
            </w:pPr>
            <w:r>
              <w:rPr>
                <w:rFonts w:hint="eastAsia"/>
                <w:color w:val="333333"/>
                <w:kern w:val="0"/>
                <w:sz w:val="28"/>
                <w:szCs w:val="28"/>
                <w:lang w:val="en-US" w:eastAsia="zh-CN"/>
              </w:rPr>
              <w:t>/</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eastAsia="仿宋_GB2312"/>
                <w:color w:val="333333"/>
                <w:kern w:val="0"/>
                <w:sz w:val="28"/>
                <w:szCs w:val="28"/>
                <w:lang w:val="en-US" w:eastAsia="zh-CN"/>
              </w:rPr>
            </w:pPr>
            <w:r>
              <w:rPr>
                <w:rFonts w:hint="eastAsia"/>
                <w:color w:val="333333"/>
                <w:kern w:val="0"/>
                <w:sz w:val="28"/>
                <w:szCs w:val="28"/>
                <w:lang w:val="en-US" w:eastAsia="zh-CN"/>
              </w:rPr>
              <w:t>365.39</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ascii="Times New Roman" w:hAnsi="Times New Roman" w:eastAsia="仿宋_GB2312" w:cs="Times New Roman"/>
                <w:color w:val="333333"/>
                <w:kern w:val="0"/>
                <w:sz w:val="28"/>
                <w:szCs w:val="28"/>
                <w:lang w:val="en-US" w:eastAsia="zh-CN" w:bidi="ar-SA"/>
              </w:rPr>
            </w:pPr>
            <w:r>
              <w:rPr>
                <w:rFonts w:hint="eastAsia"/>
                <w:color w:val="333333"/>
                <w:kern w:val="0"/>
                <w:sz w:val="28"/>
                <w:szCs w:val="28"/>
                <w:lang w:val="en-US" w:eastAsia="zh-CN"/>
              </w:rPr>
              <w:t>365.39</w:t>
            </w:r>
          </w:p>
        </w:tc>
        <w:tc>
          <w:tcPr>
            <w:tcW w:w="11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rFonts w:hint="eastAsia"/>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3"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color w:val="000000"/>
                <w:kern w:val="0"/>
                <w:sz w:val="28"/>
                <w:szCs w:val="28"/>
              </w:rPr>
            </w:pPr>
            <w:r>
              <w:rPr>
                <w:color w:val="000000"/>
                <w:kern w:val="0"/>
                <w:sz w:val="28"/>
                <w:szCs w:val="28"/>
              </w:rPr>
              <w:t>益阳市产商品质量监督检验研究院</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eastAsia" w:eastAsia="仿宋_GB2312"/>
                <w:color w:val="333333"/>
                <w:kern w:val="0"/>
                <w:sz w:val="28"/>
                <w:szCs w:val="28"/>
                <w:lang w:eastAsia="zh-CN"/>
              </w:rPr>
            </w:pPr>
            <w:r>
              <w:rPr>
                <w:rFonts w:hint="eastAsia"/>
                <w:color w:val="333333"/>
                <w:kern w:val="0"/>
                <w:sz w:val="28"/>
                <w:szCs w:val="28"/>
                <w:lang w:val="en-US" w:eastAsia="zh-CN"/>
              </w:rPr>
              <w:t>/</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color w:val="333333"/>
                <w:kern w:val="0"/>
                <w:sz w:val="28"/>
                <w:szCs w:val="28"/>
                <w:lang w:val="en-US"/>
              </w:rPr>
            </w:pPr>
            <w:r>
              <w:rPr>
                <w:rFonts w:hint="eastAsia"/>
                <w:color w:val="333333"/>
                <w:kern w:val="0"/>
                <w:sz w:val="28"/>
                <w:szCs w:val="28"/>
                <w:lang w:val="en-US" w:eastAsia="zh-CN"/>
              </w:rPr>
              <w:t>684.46</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ascii="Times New Roman" w:hAnsi="Times New Roman" w:eastAsia="仿宋_GB2312" w:cs="Times New Roman"/>
                <w:color w:val="333333"/>
                <w:kern w:val="0"/>
                <w:sz w:val="28"/>
                <w:szCs w:val="28"/>
                <w:lang w:val="en-US" w:eastAsia="zh-CN" w:bidi="ar-SA"/>
              </w:rPr>
            </w:pPr>
            <w:r>
              <w:rPr>
                <w:rFonts w:hint="eastAsia"/>
                <w:color w:val="333333"/>
                <w:kern w:val="0"/>
                <w:sz w:val="28"/>
                <w:szCs w:val="28"/>
                <w:lang w:val="en-US" w:eastAsia="zh-CN"/>
              </w:rPr>
              <w:t>684.46</w:t>
            </w:r>
          </w:p>
        </w:tc>
        <w:tc>
          <w:tcPr>
            <w:tcW w:w="11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rFonts w:hint="eastAsia"/>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5"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color w:val="000000"/>
                <w:kern w:val="0"/>
                <w:sz w:val="28"/>
                <w:szCs w:val="28"/>
              </w:rPr>
            </w:pPr>
            <w:r>
              <w:rPr>
                <w:color w:val="000000"/>
                <w:kern w:val="0"/>
                <w:sz w:val="28"/>
                <w:szCs w:val="28"/>
              </w:rPr>
              <w:t>益阳市药检所</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rFonts w:hint="eastAsia"/>
                <w:color w:val="333333"/>
                <w:kern w:val="0"/>
                <w:sz w:val="28"/>
                <w:szCs w:val="28"/>
              </w:rPr>
              <w:t>/</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eastAsia="仿宋_GB2312"/>
                <w:color w:val="333333"/>
                <w:kern w:val="0"/>
                <w:sz w:val="28"/>
                <w:szCs w:val="28"/>
                <w:lang w:val="en-US" w:eastAsia="zh-CN"/>
              </w:rPr>
            </w:pPr>
            <w:r>
              <w:rPr>
                <w:rFonts w:hint="eastAsia"/>
                <w:color w:val="333333"/>
                <w:kern w:val="0"/>
                <w:sz w:val="28"/>
                <w:szCs w:val="28"/>
                <w:lang w:val="en-US" w:eastAsia="zh-CN"/>
              </w:rPr>
              <w:t>1086.83</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default" w:ascii="Times New Roman" w:hAnsi="Times New Roman" w:eastAsia="仿宋_GB2312" w:cs="Times New Roman"/>
                <w:color w:val="333333"/>
                <w:kern w:val="0"/>
                <w:sz w:val="28"/>
                <w:szCs w:val="28"/>
                <w:lang w:val="en-US" w:eastAsia="zh-CN" w:bidi="ar-SA"/>
              </w:rPr>
            </w:pPr>
            <w:r>
              <w:rPr>
                <w:rFonts w:hint="eastAsia"/>
                <w:color w:val="333333"/>
                <w:kern w:val="0"/>
                <w:sz w:val="28"/>
                <w:szCs w:val="28"/>
                <w:lang w:val="en-US" w:eastAsia="zh-CN"/>
              </w:rPr>
              <w:t>1086.83</w:t>
            </w:r>
          </w:p>
        </w:tc>
        <w:tc>
          <w:tcPr>
            <w:tcW w:w="11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rFonts w:hint="eastAsia"/>
                <w:color w:val="333333"/>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0" w:hRule="atLeast"/>
          <w:jc w:val="center"/>
        </w:trPr>
        <w:tc>
          <w:tcPr>
            <w:tcW w:w="372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color w:val="333333"/>
                <w:kern w:val="0"/>
                <w:sz w:val="28"/>
                <w:szCs w:val="28"/>
              </w:rPr>
            </w:pPr>
            <w:r>
              <w:rPr>
                <w:color w:val="000000"/>
                <w:kern w:val="0"/>
                <w:sz w:val="28"/>
                <w:szCs w:val="28"/>
              </w:rPr>
              <w:t>合     计</w:t>
            </w:r>
          </w:p>
        </w:tc>
        <w:tc>
          <w:tcPr>
            <w:tcW w:w="126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center"/>
              <w:rPr>
                <w:rFonts w:hint="eastAsia" w:eastAsia="仿宋_GB2312"/>
                <w:color w:val="333333"/>
                <w:kern w:val="0"/>
                <w:sz w:val="28"/>
                <w:szCs w:val="28"/>
                <w:lang w:eastAsia="zh-CN"/>
              </w:rPr>
            </w:pPr>
            <w:r>
              <w:rPr>
                <w:rFonts w:hint="eastAsia"/>
                <w:color w:val="333333"/>
                <w:kern w:val="0"/>
                <w:sz w:val="28"/>
                <w:szCs w:val="28"/>
                <w:lang w:val="en-US" w:eastAsia="zh-CN"/>
              </w:rPr>
              <w:t>/</w:t>
            </w:r>
          </w:p>
        </w:tc>
        <w:tc>
          <w:tcPr>
            <w:tcW w:w="15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top"/>
              <w:rPr>
                <w:rFonts w:hint="eastAsia" w:eastAsia="仿宋_GB2312"/>
                <w:color w:val="333333"/>
                <w:kern w:val="0"/>
                <w:sz w:val="28"/>
                <w:szCs w:val="28"/>
                <w:lang w:val="en-US" w:eastAsia="zh-CN"/>
              </w:rPr>
            </w:pPr>
            <w:r>
              <w:rPr>
                <w:rFonts w:hint="default"/>
                <w:color w:val="333333"/>
                <w:kern w:val="0"/>
                <w:sz w:val="28"/>
                <w:szCs w:val="28"/>
              </w:rPr>
              <w:fldChar w:fldCharType="begin"/>
            </w:r>
            <w:r>
              <w:rPr>
                <w:rFonts w:hint="default"/>
                <w:color w:val="333333"/>
                <w:kern w:val="0"/>
                <w:sz w:val="28"/>
                <w:szCs w:val="28"/>
              </w:rPr>
              <w:instrText xml:space="preserve"> =SUM(ABOVE) \* MERGEFORMAT </w:instrText>
            </w:r>
            <w:r>
              <w:rPr>
                <w:rFonts w:hint="default"/>
                <w:color w:val="333333"/>
                <w:kern w:val="0"/>
                <w:sz w:val="28"/>
                <w:szCs w:val="28"/>
              </w:rPr>
              <w:fldChar w:fldCharType="separate"/>
            </w:r>
            <w:r>
              <w:rPr>
                <w:rFonts w:hint="default"/>
                <w:color w:val="333333"/>
                <w:kern w:val="0"/>
                <w:sz w:val="28"/>
                <w:szCs w:val="28"/>
              </w:rPr>
              <w:t>9846.0</w:t>
            </w:r>
            <w:r>
              <w:rPr>
                <w:rFonts w:hint="default"/>
                <w:color w:val="333333"/>
                <w:kern w:val="0"/>
                <w:sz w:val="28"/>
                <w:szCs w:val="28"/>
              </w:rPr>
              <w:fldChar w:fldCharType="end"/>
            </w:r>
            <w:r>
              <w:rPr>
                <w:rFonts w:hint="eastAsia"/>
                <w:color w:val="333333"/>
                <w:kern w:val="0"/>
                <w:sz w:val="28"/>
                <w:szCs w:val="28"/>
                <w:lang w:val="en-US" w:eastAsia="zh-CN"/>
              </w:rPr>
              <w:t>8</w:t>
            </w:r>
          </w:p>
        </w:tc>
        <w:tc>
          <w:tcPr>
            <w:tcW w:w="13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textAlignment w:val="top"/>
              <w:rPr>
                <w:rFonts w:hint="default" w:ascii="Times New Roman" w:hAnsi="Times New Roman" w:eastAsia="仿宋_GB2312" w:cs="Times New Roman"/>
                <w:color w:val="333333"/>
                <w:kern w:val="0"/>
                <w:sz w:val="28"/>
                <w:szCs w:val="28"/>
                <w:lang w:val="en-US" w:eastAsia="zh-CN" w:bidi="ar-SA"/>
              </w:rPr>
            </w:pPr>
            <w:r>
              <w:rPr>
                <w:rFonts w:hint="default"/>
                <w:color w:val="333333"/>
                <w:kern w:val="0"/>
                <w:sz w:val="28"/>
                <w:szCs w:val="28"/>
              </w:rPr>
              <w:fldChar w:fldCharType="begin"/>
            </w:r>
            <w:r>
              <w:rPr>
                <w:rFonts w:hint="default"/>
                <w:color w:val="333333"/>
                <w:kern w:val="0"/>
                <w:sz w:val="28"/>
                <w:szCs w:val="28"/>
              </w:rPr>
              <w:instrText xml:space="preserve"> =SUM(ABOVE) \* MERGEFORMAT </w:instrText>
            </w:r>
            <w:r>
              <w:rPr>
                <w:rFonts w:hint="default"/>
                <w:color w:val="333333"/>
                <w:kern w:val="0"/>
                <w:sz w:val="28"/>
                <w:szCs w:val="28"/>
              </w:rPr>
              <w:fldChar w:fldCharType="separate"/>
            </w:r>
            <w:r>
              <w:rPr>
                <w:rFonts w:hint="default"/>
                <w:color w:val="333333"/>
                <w:kern w:val="0"/>
                <w:sz w:val="28"/>
                <w:szCs w:val="28"/>
              </w:rPr>
              <w:t>9846.0</w:t>
            </w:r>
            <w:r>
              <w:rPr>
                <w:rFonts w:hint="default"/>
                <w:color w:val="333333"/>
                <w:kern w:val="0"/>
                <w:sz w:val="28"/>
                <w:szCs w:val="28"/>
              </w:rPr>
              <w:fldChar w:fldCharType="end"/>
            </w:r>
            <w:r>
              <w:rPr>
                <w:rFonts w:hint="eastAsia"/>
                <w:color w:val="333333"/>
                <w:kern w:val="0"/>
                <w:sz w:val="28"/>
                <w:szCs w:val="28"/>
                <w:lang w:val="en-US" w:eastAsia="zh-CN"/>
              </w:rPr>
              <w:t>8</w:t>
            </w:r>
          </w:p>
        </w:tc>
        <w:tc>
          <w:tcPr>
            <w:tcW w:w="11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color w:val="333333"/>
                <w:kern w:val="0"/>
                <w:sz w:val="28"/>
                <w:szCs w:val="28"/>
              </w:rPr>
            </w:pPr>
            <w:r>
              <w:rPr>
                <w:rFonts w:hint="eastAsia"/>
                <w:color w:val="333333"/>
                <w:kern w:val="0"/>
                <w:sz w:val="28"/>
                <w:szCs w:val="28"/>
              </w:rPr>
              <w:t>/</w:t>
            </w:r>
          </w:p>
        </w:tc>
      </w:tr>
    </w:tbl>
    <w:p>
      <w:pPr>
        <w:keepNext w:val="0"/>
        <w:keepLines w:val="0"/>
        <w:pageBreakBefore w:val="0"/>
        <w:widowControl w:val="0"/>
        <w:kinsoku/>
        <w:wordWrap/>
        <w:overflowPunct/>
        <w:autoSpaceDE/>
        <w:bidi w:val="0"/>
        <w:spacing w:line="600" w:lineRule="exact"/>
        <w:ind w:firstLine="640" w:firstLineChars="200"/>
        <w:textAlignment w:val="auto"/>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（二）基本支出情况</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1.基本支出系保障本单位机构正常运转、完成日常工作任务而发生的各项支出，包括用于在职</w:t>
      </w:r>
      <w:r>
        <w:rPr>
          <w:rFonts w:hint="eastAsia"/>
          <w:szCs w:val="32"/>
          <w:lang w:val="en-US" w:eastAsia="zh-CN"/>
        </w:rPr>
        <w:t>人员</w:t>
      </w:r>
      <w:r>
        <w:rPr>
          <w:szCs w:val="32"/>
        </w:rPr>
        <w:t>基本工资、津贴补贴</w:t>
      </w:r>
      <w:r>
        <w:rPr>
          <w:rFonts w:hint="eastAsia"/>
          <w:szCs w:val="32"/>
          <w:lang w:val="en-US" w:eastAsia="zh-CN"/>
        </w:rPr>
        <w:t>和社会保障费支出</w:t>
      </w:r>
      <w:r>
        <w:rPr>
          <w:rFonts w:hint="eastAsia"/>
          <w:szCs w:val="32"/>
          <w:lang w:eastAsia="zh-CN"/>
        </w:rPr>
        <w:t>，</w:t>
      </w:r>
      <w:r>
        <w:rPr>
          <w:rFonts w:hint="eastAsia"/>
          <w:szCs w:val="32"/>
          <w:lang w:val="en-US" w:eastAsia="zh-CN"/>
        </w:rPr>
        <w:t>离退休人员地方性补贴</w:t>
      </w:r>
      <w:r>
        <w:rPr>
          <w:szCs w:val="32"/>
        </w:rPr>
        <w:t>等人员经费以及办公费、印刷费、水电费、</w:t>
      </w:r>
      <w:r>
        <w:rPr>
          <w:rFonts w:hint="eastAsia"/>
          <w:szCs w:val="32"/>
          <w:lang w:val="en-US" w:eastAsia="zh-CN"/>
        </w:rPr>
        <w:t>物业费、</w:t>
      </w:r>
      <w:r>
        <w:rPr>
          <w:szCs w:val="32"/>
        </w:rPr>
        <w:t>办公设备购置等日常公用经费。</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2.202</w:t>
      </w:r>
      <w:r>
        <w:rPr>
          <w:rFonts w:hint="eastAsia"/>
          <w:szCs w:val="32"/>
          <w:lang w:val="en-US" w:eastAsia="zh-CN"/>
        </w:rPr>
        <w:t>3</w:t>
      </w:r>
      <w:r>
        <w:rPr>
          <w:szCs w:val="32"/>
        </w:rPr>
        <w:t>年基本支出</w:t>
      </w:r>
      <w:r>
        <w:rPr>
          <w:rFonts w:hint="eastAsia"/>
          <w:szCs w:val="32"/>
          <w:lang w:val="en-US" w:eastAsia="zh-CN"/>
        </w:rPr>
        <w:t>7166.52</w:t>
      </w:r>
      <w:r>
        <w:rPr>
          <w:szCs w:val="32"/>
        </w:rPr>
        <w:t>万元，其中工资福利支出</w:t>
      </w:r>
      <w:r>
        <w:rPr>
          <w:rFonts w:hint="eastAsia"/>
          <w:szCs w:val="32"/>
          <w:lang w:val="en-US" w:eastAsia="zh-CN"/>
        </w:rPr>
        <w:t>5067.71</w:t>
      </w:r>
      <w:r>
        <w:rPr>
          <w:szCs w:val="32"/>
        </w:rPr>
        <w:t>万元、一般商品和服务支出</w:t>
      </w:r>
      <w:r>
        <w:rPr>
          <w:rFonts w:hint="eastAsia"/>
          <w:szCs w:val="32"/>
          <w:lang w:val="en-US" w:eastAsia="zh-CN"/>
        </w:rPr>
        <w:t>1247.99</w:t>
      </w:r>
      <w:r>
        <w:rPr>
          <w:szCs w:val="32"/>
        </w:rPr>
        <w:t>万元、对个人和家庭的补助</w:t>
      </w:r>
      <w:r>
        <w:rPr>
          <w:rFonts w:hint="eastAsia"/>
          <w:szCs w:val="32"/>
          <w:lang w:val="en-US" w:eastAsia="zh-CN"/>
        </w:rPr>
        <w:t>850.82</w:t>
      </w:r>
      <w:r>
        <w:rPr>
          <w:szCs w:val="32"/>
        </w:rPr>
        <w:t>万元。</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3.</w:t>
      </w:r>
      <w:r>
        <w:rPr>
          <w:rFonts w:hint="eastAsia" w:ascii="仿宋_GB2312" w:hAnsi="仿宋_GB2312" w:eastAsia="仿宋_GB2312" w:cs="仿宋_GB2312"/>
          <w:szCs w:val="32"/>
        </w:rPr>
        <w:t>“三公经费”使</w:t>
      </w:r>
      <w:r>
        <w:rPr>
          <w:szCs w:val="32"/>
        </w:rPr>
        <w:t>用情况</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本单位坚持厉行节约、反对</w:t>
      </w:r>
      <w:r>
        <w:rPr>
          <w:rFonts w:hint="eastAsia"/>
          <w:szCs w:val="32"/>
          <w:lang w:val="en-US" w:eastAsia="zh-CN"/>
        </w:rPr>
        <w:t>铺张</w:t>
      </w:r>
      <w:r>
        <w:rPr>
          <w:szCs w:val="32"/>
        </w:rPr>
        <w:t>浪费的原则，严控公务接待、公务用车标准，坚决做</w:t>
      </w:r>
      <w:r>
        <w:rPr>
          <w:rFonts w:hint="eastAsia" w:ascii="仿宋_GB2312" w:hAnsi="仿宋_GB2312" w:eastAsia="仿宋_GB2312" w:cs="仿宋_GB2312"/>
          <w:szCs w:val="32"/>
        </w:rPr>
        <w:t>到“三公经费”预算</w:t>
      </w:r>
      <w:r>
        <w:rPr>
          <w:szCs w:val="32"/>
        </w:rPr>
        <w:t>只减不增，严格执行压减一般行政性支出的规定，经费开支手续齐全，管理规范,并取得了良好的效果。</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rFonts w:hint="eastAsia"/>
          <w:szCs w:val="32"/>
          <w:lang w:eastAsia="zh-CN"/>
        </w:rPr>
        <w:t>202</w:t>
      </w:r>
      <w:r>
        <w:rPr>
          <w:rFonts w:hint="eastAsia"/>
          <w:szCs w:val="32"/>
          <w:lang w:val="en-US" w:eastAsia="zh-CN"/>
        </w:rPr>
        <w:t>3</w:t>
      </w:r>
      <w:r>
        <w:rPr>
          <w:rFonts w:hint="eastAsia"/>
          <w:szCs w:val="32"/>
          <w:lang w:eastAsia="zh-CN"/>
        </w:rPr>
        <w:t>年</w:t>
      </w:r>
      <w:r>
        <w:rPr>
          <w:szCs w:val="32"/>
        </w:rPr>
        <w:t>度</w:t>
      </w:r>
      <w:r>
        <w:rPr>
          <w:rFonts w:hint="eastAsia" w:ascii="仿宋_GB2312" w:hAnsi="仿宋_GB2312" w:eastAsia="仿宋_GB2312" w:cs="仿宋_GB2312"/>
          <w:szCs w:val="32"/>
        </w:rPr>
        <w:t>“三公”经费支</w:t>
      </w:r>
      <w:r>
        <w:rPr>
          <w:szCs w:val="32"/>
        </w:rPr>
        <w:t>出预算数为</w:t>
      </w:r>
      <w:r>
        <w:rPr>
          <w:rFonts w:hint="eastAsia"/>
          <w:szCs w:val="32"/>
          <w:lang w:val="en-US" w:eastAsia="zh-CN"/>
        </w:rPr>
        <w:t>180.01</w:t>
      </w:r>
      <w:r>
        <w:rPr>
          <w:szCs w:val="32"/>
        </w:rPr>
        <w:t>万元，决算数为</w:t>
      </w:r>
      <w:r>
        <w:rPr>
          <w:rFonts w:hint="eastAsia"/>
          <w:szCs w:val="32"/>
          <w:lang w:val="en-US" w:eastAsia="zh-CN"/>
        </w:rPr>
        <w:t>86.25</w:t>
      </w:r>
      <w:r>
        <w:rPr>
          <w:szCs w:val="32"/>
        </w:rPr>
        <w:t>万元，为年初预算的</w:t>
      </w:r>
      <w:r>
        <w:rPr>
          <w:rFonts w:hint="eastAsia"/>
          <w:szCs w:val="32"/>
          <w:lang w:val="en-US" w:eastAsia="zh-CN"/>
        </w:rPr>
        <w:t>47.91</w:t>
      </w:r>
      <w:r>
        <w:rPr>
          <w:szCs w:val="32"/>
        </w:rPr>
        <w:t>%，其中：</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（1）公务接待费支出</w:t>
      </w:r>
      <w:r>
        <w:rPr>
          <w:rFonts w:hint="eastAsia"/>
          <w:szCs w:val="32"/>
          <w:lang w:val="en-US" w:eastAsia="zh-CN"/>
        </w:rPr>
        <w:t>18.81</w:t>
      </w:r>
      <w:r>
        <w:rPr>
          <w:szCs w:val="32"/>
        </w:rPr>
        <w:t>万元，为年初预算</w:t>
      </w:r>
      <w:r>
        <w:rPr>
          <w:rFonts w:hint="eastAsia"/>
          <w:szCs w:val="32"/>
          <w:lang w:val="en-US" w:eastAsia="zh-CN"/>
        </w:rPr>
        <w:t>47.01</w:t>
      </w:r>
      <w:r>
        <w:rPr>
          <w:szCs w:val="32"/>
        </w:rPr>
        <w:t>万元的</w:t>
      </w:r>
      <w:r>
        <w:rPr>
          <w:rFonts w:hint="eastAsia"/>
          <w:szCs w:val="32"/>
          <w:lang w:val="en-US" w:eastAsia="zh-CN"/>
        </w:rPr>
        <w:t>40.01</w:t>
      </w:r>
      <w:r>
        <w:rPr>
          <w:szCs w:val="32"/>
        </w:rPr>
        <w:t>%。</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（2）因公出国（境）本年预算数和执行数均为0。</w:t>
      </w:r>
    </w:p>
    <w:p>
      <w:pPr>
        <w:keepNext w:val="0"/>
        <w:keepLines w:val="0"/>
        <w:pageBreakBefore w:val="0"/>
        <w:widowControl w:val="0"/>
        <w:kinsoku/>
        <w:wordWrap/>
        <w:overflowPunct/>
        <w:autoSpaceDE/>
        <w:bidi w:val="0"/>
        <w:spacing w:line="600" w:lineRule="exact"/>
        <w:ind w:firstLine="640" w:firstLineChars="200"/>
        <w:textAlignment w:val="auto"/>
        <w:rPr>
          <w:rFonts w:hint="default" w:eastAsia="仿宋_GB2312"/>
          <w:szCs w:val="32"/>
          <w:lang w:val="en-US" w:eastAsia="zh-CN"/>
        </w:rPr>
      </w:pPr>
      <w:r>
        <w:rPr>
          <w:szCs w:val="32"/>
        </w:rPr>
        <w:t>（3）公务用车运行维护费支出</w:t>
      </w:r>
      <w:r>
        <w:rPr>
          <w:rFonts w:hint="eastAsia"/>
          <w:szCs w:val="32"/>
          <w:lang w:val="en-US" w:eastAsia="zh-CN"/>
        </w:rPr>
        <w:t>67.44</w:t>
      </w:r>
      <w:r>
        <w:rPr>
          <w:szCs w:val="32"/>
        </w:rPr>
        <w:t>万元，为年初预算1</w:t>
      </w:r>
      <w:r>
        <w:rPr>
          <w:rFonts w:hint="eastAsia"/>
          <w:szCs w:val="32"/>
          <w:lang w:val="en-US" w:eastAsia="zh-CN"/>
        </w:rPr>
        <w:t>3</w:t>
      </w:r>
      <w:r>
        <w:rPr>
          <w:rFonts w:hint="eastAsia"/>
          <w:szCs w:val="32"/>
        </w:rPr>
        <w:t>3</w:t>
      </w:r>
      <w:r>
        <w:rPr>
          <w:szCs w:val="32"/>
        </w:rPr>
        <w:t>万元的</w:t>
      </w:r>
      <w:r>
        <w:rPr>
          <w:rFonts w:hint="eastAsia"/>
          <w:szCs w:val="32"/>
          <w:lang w:val="en-US" w:eastAsia="zh-CN"/>
        </w:rPr>
        <w:t>50.71</w:t>
      </w:r>
      <w:r>
        <w:rPr>
          <w:szCs w:val="32"/>
        </w:rPr>
        <w:t>%。</w:t>
      </w:r>
      <w:r>
        <w:rPr>
          <w:rFonts w:hint="eastAsia"/>
          <w:szCs w:val="32"/>
          <w:lang w:val="en-US" w:eastAsia="zh-CN"/>
        </w:rPr>
        <w:t>2023年市计量所新增了1台检验检测用车。</w:t>
      </w:r>
    </w:p>
    <w:p>
      <w:pPr>
        <w:keepNext w:val="0"/>
        <w:keepLines w:val="0"/>
        <w:pageBreakBefore w:val="0"/>
        <w:widowControl w:val="0"/>
        <w:kinsoku/>
        <w:wordWrap/>
        <w:overflowPunct/>
        <w:autoSpaceDE/>
        <w:bidi w:val="0"/>
        <w:spacing w:line="600" w:lineRule="exact"/>
        <w:ind w:firstLine="640" w:firstLineChars="200"/>
        <w:textAlignment w:val="auto"/>
        <w:rPr>
          <w:rFonts w:hint="eastAsia" w:ascii="楷体_GB2312" w:hAnsi="楷体_GB2312" w:eastAsia="楷体_GB2312" w:cs="楷体_GB2312"/>
          <w:b/>
          <w:szCs w:val="32"/>
        </w:rPr>
      </w:pPr>
      <w:r>
        <w:rPr>
          <w:rFonts w:hint="eastAsia" w:ascii="楷体_GB2312" w:hAnsi="楷体_GB2312" w:eastAsia="楷体_GB2312" w:cs="楷体_GB2312"/>
          <w:b/>
          <w:szCs w:val="32"/>
        </w:rPr>
        <w:t>（三）项目支出情况</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项目支出系本单位为完成特定行政工作任务或事业发展目标而发生的支出，</w:t>
      </w:r>
      <w:r>
        <w:rPr>
          <w:rFonts w:ascii="Times New Roman" w:hAnsi="Times New Roman" w:cs="Times New Roman"/>
          <w:szCs w:val="32"/>
        </w:rPr>
        <w:t>包括</w:t>
      </w:r>
      <w:r>
        <w:rPr>
          <w:rFonts w:hint="eastAsia"/>
          <w:szCs w:val="32"/>
          <w:lang w:val="en-US" w:eastAsia="zh-CN"/>
        </w:rPr>
        <w:t>本级专项工作经费和</w:t>
      </w:r>
      <w:r>
        <w:rPr>
          <w:szCs w:val="32"/>
        </w:rPr>
        <w:t>业务工作经费。</w:t>
      </w:r>
      <w:r>
        <w:rPr>
          <w:rFonts w:hint="eastAsia"/>
          <w:szCs w:val="32"/>
          <w:lang w:val="en-US" w:eastAsia="zh-CN"/>
        </w:rPr>
        <w:t>本级专项</w:t>
      </w:r>
      <w:r>
        <w:rPr>
          <w:szCs w:val="32"/>
        </w:rPr>
        <w:t>工作经费支出主要用于市场监督管理，登记注册，</w:t>
      </w:r>
      <w:r>
        <w:rPr>
          <w:rFonts w:hint="eastAsia"/>
          <w:szCs w:val="32"/>
          <w:lang w:val="en-US" w:eastAsia="zh-CN"/>
        </w:rPr>
        <w:t>信用监管，广告监管，反不正当竞争、反垄断监管，网络监管，价格监管，打击传销，法治建设，综合</w:t>
      </w:r>
      <w:r>
        <w:rPr>
          <w:szCs w:val="32"/>
        </w:rPr>
        <w:t>执法，消费者权益保护，质量强市，产品质量监管</w:t>
      </w:r>
      <w:r>
        <w:rPr>
          <w:rFonts w:hint="eastAsia"/>
          <w:szCs w:val="32"/>
          <w:lang w:eastAsia="zh-CN"/>
        </w:rPr>
        <w:t>，</w:t>
      </w:r>
      <w:r>
        <w:rPr>
          <w:szCs w:val="32"/>
        </w:rPr>
        <w:t>计量监管</w:t>
      </w:r>
      <w:r>
        <w:rPr>
          <w:rFonts w:hint="eastAsia"/>
          <w:szCs w:val="32"/>
          <w:lang w:eastAsia="zh-CN"/>
        </w:rPr>
        <w:t>，</w:t>
      </w:r>
      <w:r>
        <w:rPr>
          <w:szCs w:val="32"/>
        </w:rPr>
        <w:t>标准化战略</w:t>
      </w:r>
      <w:r>
        <w:rPr>
          <w:rFonts w:hint="eastAsia"/>
          <w:szCs w:val="32"/>
          <w:lang w:eastAsia="zh-CN"/>
        </w:rPr>
        <w:t>，</w:t>
      </w:r>
      <w:r>
        <w:rPr>
          <w:szCs w:val="32"/>
        </w:rPr>
        <w:t>特种设备监管，认证认可监管，知识产权维持与保护、知识产权战略，食品、保健品、化妆品、药品、医疗器械等监管、检测，</w:t>
      </w:r>
      <w:r>
        <w:rPr>
          <w:rFonts w:hint="eastAsia"/>
          <w:szCs w:val="32"/>
          <w:lang w:val="en-US" w:eastAsia="zh-CN"/>
        </w:rPr>
        <w:t>检验检测能力提升等支出，</w:t>
      </w:r>
      <w:r>
        <w:rPr>
          <w:szCs w:val="32"/>
        </w:rPr>
        <w:t>其他市场行政管理事务支出主要用于市场监督管理系统信息网络建设</w:t>
      </w:r>
      <w:r>
        <w:rPr>
          <w:rFonts w:hint="eastAsia"/>
          <w:szCs w:val="32"/>
          <w:lang w:val="en-US" w:eastAsia="zh-CN"/>
        </w:rPr>
        <w:t>及</w:t>
      </w:r>
      <w:r>
        <w:rPr>
          <w:szCs w:val="32"/>
        </w:rPr>
        <w:t>维护</w:t>
      </w:r>
      <w:r>
        <w:rPr>
          <w:rFonts w:hint="eastAsia"/>
          <w:szCs w:val="32"/>
          <w:lang w:eastAsia="zh-CN"/>
        </w:rPr>
        <w:t>、</w:t>
      </w:r>
      <w:r>
        <w:rPr>
          <w:rFonts w:hint="eastAsia"/>
          <w:szCs w:val="32"/>
          <w:lang w:val="en-US" w:eastAsia="zh-CN"/>
        </w:rPr>
        <w:t>上级部署的其他市场监管相关工作</w:t>
      </w:r>
      <w:r>
        <w:rPr>
          <w:szCs w:val="32"/>
        </w:rPr>
        <w:t>等方面等</w:t>
      </w:r>
      <w:r>
        <w:rPr>
          <w:rFonts w:hint="eastAsia"/>
          <w:szCs w:val="32"/>
          <w:lang w:val="en-US" w:eastAsia="zh-CN"/>
        </w:rPr>
        <w:t>支出</w:t>
      </w:r>
      <w:r>
        <w:rPr>
          <w:szCs w:val="32"/>
        </w:rPr>
        <w:t>。</w:t>
      </w:r>
      <w:r>
        <w:rPr>
          <w:rFonts w:hint="eastAsia"/>
          <w:szCs w:val="32"/>
          <w:lang w:val="en-US" w:eastAsia="zh-CN"/>
        </w:rPr>
        <w:t>业务工作经费</w:t>
      </w:r>
      <w:r>
        <w:rPr>
          <w:szCs w:val="32"/>
        </w:rPr>
        <w:t>支出主要用于</w:t>
      </w:r>
      <w:r>
        <w:rPr>
          <w:rFonts w:hint="eastAsia"/>
          <w:szCs w:val="32"/>
          <w:lang w:val="en-US" w:eastAsia="zh-CN"/>
        </w:rPr>
        <w:t>所属二级机构一般业务工作支出</w:t>
      </w:r>
      <w:r>
        <w:rPr>
          <w:szCs w:val="32"/>
        </w:rPr>
        <w:t>。202</w:t>
      </w:r>
      <w:r>
        <w:rPr>
          <w:rFonts w:hint="eastAsia"/>
          <w:szCs w:val="32"/>
          <w:lang w:val="en-US" w:eastAsia="zh-CN"/>
        </w:rPr>
        <w:t>3</w:t>
      </w:r>
      <w:r>
        <w:rPr>
          <w:szCs w:val="32"/>
        </w:rPr>
        <w:t>年项目支出</w:t>
      </w:r>
      <w:r>
        <w:rPr>
          <w:rFonts w:hint="eastAsia"/>
          <w:szCs w:val="32"/>
          <w:lang w:val="en-US" w:eastAsia="zh-CN"/>
        </w:rPr>
        <w:t>2679.56</w:t>
      </w:r>
      <w:r>
        <w:rPr>
          <w:szCs w:val="32"/>
        </w:rPr>
        <w:t xml:space="preserve"> 万元，其中商品和服务支出</w:t>
      </w:r>
      <w:r>
        <w:rPr>
          <w:rFonts w:hint="eastAsia"/>
          <w:szCs w:val="32"/>
          <w:lang w:val="en-US" w:eastAsia="zh-CN"/>
        </w:rPr>
        <w:t>2124.36</w:t>
      </w:r>
      <w:r>
        <w:rPr>
          <w:szCs w:val="32"/>
        </w:rPr>
        <w:t>万元，其他类资本性支出</w:t>
      </w:r>
      <w:r>
        <w:rPr>
          <w:rFonts w:hint="eastAsia"/>
          <w:szCs w:val="32"/>
          <w:lang w:val="en-US" w:eastAsia="zh-CN"/>
        </w:rPr>
        <w:t>555.2</w:t>
      </w:r>
      <w:r>
        <w:rPr>
          <w:szCs w:val="32"/>
        </w:rPr>
        <w:t>万元。</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1.</w:t>
      </w:r>
      <w:r>
        <w:rPr>
          <w:rFonts w:hint="eastAsia"/>
          <w:szCs w:val="32"/>
          <w:lang w:eastAsia="zh-CN"/>
        </w:rPr>
        <w:t>202</w:t>
      </w:r>
      <w:r>
        <w:rPr>
          <w:rFonts w:hint="eastAsia"/>
          <w:szCs w:val="32"/>
          <w:lang w:val="en-US" w:eastAsia="zh-CN"/>
        </w:rPr>
        <w:t>3</w:t>
      </w:r>
      <w:r>
        <w:rPr>
          <w:rFonts w:hint="eastAsia"/>
          <w:szCs w:val="32"/>
          <w:lang w:eastAsia="zh-CN"/>
        </w:rPr>
        <w:t>年</w:t>
      </w:r>
      <w:r>
        <w:rPr>
          <w:szCs w:val="32"/>
        </w:rPr>
        <w:t>度本单位市级专项有市场监督管理专项、药品医疗器械监管专项、质量基础与安全监督专项、知识产权战略专项、食品安全监管专项</w:t>
      </w:r>
      <w:r>
        <w:rPr>
          <w:rFonts w:hint="eastAsia"/>
          <w:szCs w:val="32"/>
        </w:rPr>
        <w:t>5</w:t>
      </w:r>
      <w:r>
        <w:rPr>
          <w:szCs w:val="32"/>
        </w:rPr>
        <w:t>个。</w:t>
      </w:r>
    </w:p>
    <w:p>
      <w:pPr>
        <w:keepNext w:val="0"/>
        <w:keepLines w:val="0"/>
        <w:pageBreakBefore w:val="0"/>
        <w:widowControl w:val="0"/>
        <w:kinsoku/>
        <w:wordWrap/>
        <w:overflowPunct/>
        <w:autoSpaceDE/>
        <w:bidi w:val="0"/>
        <w:spacing w:line="600" w:lineRule="exact"/>
        <w:ind w:firstLine="640" w:firstLineChars="200"/>
        <w:textAlignment w:val="auto"/>
        <w:rPr>
          <w:szCs w:val="32"/>
        </w:rPr>
      </w:pPr>
      <w:r>
        <w:rPr>
          <w:szCs w:val="32"/>
        </w:rPr>
        <w:t>（1）</w:t>
      </w:r>
      <w:r>
        <w:rPr>
          <w:rFonts w:hint="eastAsia"/>
          <w:szCs w:val="32"/>
          <w:lang w:eastAsia="zh-CN"/>
        </w:rPr>
        <w:t>202</w:t>
      </w:r>
      <w:r>
        <w:rPr>
          <w:rFonts w:hint="eastAsia"/>
          <w:szCs w:val="32"/>
          <w:lang w:val="en-US" w:eastAsia="zh-CN"/>
        </w:rPr>
        <w:t>3</w:t>
      </w:r>
      <w:r>
        <w:rPr>
          <w:rFonts w:hint="eastAsia"/>
          <w:szCs w:val="32"/>
          <w:lang w:eastAsia="zh-CN"/>
        </w:rPr>
        <w:t>年</w:t>
      </w:r>
      <w:r>
        <w:rPr>
          <w:szCs w:val="32"/>
        </w:rPr>
        <w:t>共有市场监督管理专项资金</w:t>
      </w:r>
      <w:r>
        <w:rPr>
          <w:rFonts w:hint="eastAsia"/>
          <w:szCs w:val="32"/>
          <w:lang w:val="en-US" w:eastAsia="zh-CN"/>
        </w:rPr>
        <w:t>492.96</w:t>
      </w:r>
      <w:r>
        <w:rPr>
          <w:szCs w:val="32"/>
        </w:rPr>
        <w:t>万元，其中</w:t>
      </w:r>
      <w:r>
        <w:rPr>
          <w:rFonts w:hint="eastAsia"/>
          <w:szCs w:val="32"/>
          <w:lang w:val="en-US" w:eastAsia="zh-CN"/>
        </w:rPr>
        <w:t>公共财政</w:t>
      </w:r>
      <w:r>
        <w:rPr>
          <w:szCs w:val="32"/>
        </w:rPr>
        <w:t>预算资金</w:t>
      </w:r>
      <w:r>
        <w:rPr>
          <w:rFonts w:hint="eastAsia"/>
          <w:szCs w:val="32"/>
          <w:lang w:val="en-US" w:eastAsia="zh-CN"/>
        </w:rPr>
        <w:t>115.58万元，纳入预算管理的非税收入拨款145.3</w:t>
      </w:r>
      <w:r>
        <w:rPr>
          <w:szCs w:val="32"/>
        </w:rPr>
        <w:t>万元，省级追加资金</w:t>
      </w:r>
      <w:r>
        <w:rPr>
          <w:rFonts w:hint="eastAsia"/>
          <w:szCs w:val="32"/>
          <w:lang w:val="en-US" w:eastAsia="zh-CN"/>
        </w:rPr>
        <w:t>232.08</w:t>
      </w:r>
      <w:r>
        <w:rPr>
          <w:szCs w:val="32"/>
        </w:rPr>
        <w:t>万元，全部用于市场监督管理工作，主要包括深化</w:t>
      </w:r>
      <w:r>
        <w:rPr>
          <w:rFonts w:hint="eastAsia"/>
          <w:szCs w:val="32"/>
          <w:lang w:eastAsia="zh-CN"/>
        </w:rPr>
        <w:t>注册登记</w:t>
      </w:r>
      <w:r>
        <w:rPr>
          <w:szCs w:val="32"/>
        </w:rPr>
        <w:t>支出、企业信用监管及双随机一公开支出、商品与网络交易监管支出、广告监测监管支出、反垄断反不正当竞争支出、打击传销（含烟草市场整治）支出、价格监督支出、法制建设支出、消费者保护支出、</w:t>
      </w:r>
      <w:r>
        <w:rPr>
          <w:rFonts w:hint="eastAsia"/>
          <w:szCs w:val="32"/>
          <w:lang w:val="en-US" w:eastAsia="zh-CN"/>
        </w:rPr>
        <w:t>行政执法支出、非公党建支出</w:t>
      </w:r>
      <w:r>
        <w:rPr>
          <w:szCs w:val="32"/>
        </w:rPr>
        <w:t>项目等方面。</w:t>
      </w:r>
    </w:p>
    <w:p>
      <w:pPr>
        <w:keepNext w:val="0"/>
        <w:keepLines w:val="0"/>
        <w:pageBreakBefore w:val="0"/>
        <w:widowControl w:val="0"/>
        <w:kinsoku/>
        <w:wordWrap/>
        <w:overflowPunct/>
        <w:topLinePunct/>
        <w:autoSpaceDE/>
        <w:bidi w:val="0"/>
        <w:spacing w:line="600" w:lineRule="exact"/>
        <w:ind w:firstLine="640" w:firstLineChars="200"/>
        <w:textAlignment w:val="auto"/>
        <w:rPr>
          <w:rFonts w:hint="default" w:eastAsia="仿宋_GB2312"/>
          <w:szCs w:val="32"/>
          <w:lang w:val="en-US" w:eastAsia="zh-CN"/>
        </w:rPr>
      </w:pPr>
      <w:r>
        <w:rPr>
          <w:szCs w:val="32"/>
        </w:rPr>
        <w:t>（2）</w:t>
      </w:r>
      <w:r>
        <w:rPr>
          <w:rFonts w:hint="eastAsia"/>
          <w:szCs w:val="32"/>
          <w:lang w:eastAsia="zh-CN"/>
        </w:rPr>
        <w:t>202</w:t>
      </w:r>
      <w:r>
        <w:rPr>
          <w:rFonts w:hint="eastAsia"/>
          <w:szCs w:val="32"/>
          <w:lang w:val="en-US" w:eastAsia="zh-CN"/>
        </w:rPr>
        <w:t>3</w:t>
      </w:r>
      <w:r>
        <w:rPr>
          <w:rFonts w:hint="eastAsia"/>
          <w:szCs w:val="32"/>
          <w:lang w:eastAsia="zh-CN"/>
        </w:rPr>
        <w:t>年</w:t>
      </w:r>
      <w:r>
        <w:rPr>
          <w:szCs w:val="32"/>
        </w:rPr>
        <w:t>共有药品医疗器械监管资金</w:t>
      </w:r>
      <w:r>
        <w:rPr>
          <w:rFonts w:hint="eastAsia"/>
          <w:szCs w:val="32"/>
          <w:lang w:val="en-US" w:eastAsia="zh-CN"/>
        </w:rPr>
        <w:t>430.87</w:t>
      </w:r>
      <w:r>
        <w:rPr>
          <w:szCs w:val="32"/>
        </w:rPr>
        <w:t>万元</w:t>
      </w:r>
      <w:r>
        <w:rPr>
          <w:rFonts w:hint="eastAsia"/>
          <w:szCs w:val="32"/>
        </w:rPr>
        <w:t>，</w:t>
      </w:r>
      <w:r>
        <w:rPr>
          <w:szCs w:val="32"/>
        </w:rPr>
        <w:t>其中年初预算资金</w:t>
      </w:r>
      <w:r>
        <w:rPr>
          <w:rFonts w:hint="eastAsia"/>
          <w:szCs w:val="32"/>
        </w:rPr>
        <w:t>48</w:t>
      </w:r>
      <w:r>
        <w:rPr>
          <w:szCs w:val="32"/>
        </w:rPr>
        <w:t>万元,</w:t>
      </w:r>
      <w:r>
        <w:rPr>
          <w:rFonts w:hint="eastAsia"/>
          <w:szCs w:val="32"/>
          <w:lang w:val="en-US" w:eastAsia="zh-CN"/>
        </w:rPr>
        <w:t>中央和</w:t>
      </w:r>
      <w:r>
        <w:rPr>
          <w:szCs w:val="32"/>
        </w:rPr>
        <w:t>省级追加</w:t>
      </w:r>
      <w:r>
        <w:rPr>
          <w:rFonts w:hint="eastAsia"/>
          <w:szCs w:val="32"/>
          <w:lang w:val="en-US" w:eastAsia="zh-CN"/>
        </w:rPr>
        <w:t>专项</w:t>
      </w:r>
      <w:r>
        <w:rPr>
          <w:szCs w:val="32"/>
        </w:rPr>
        <w:t>资金</w:t>
      </w:r>
      <w:r>
        <w:rPr>
          <w:rFonts w:hint="eastAsia"/>
          <w:szCs w:val="32"/>
          <w:lang w:val="en-US" w:eastAsia="zh-CN"/>
        </w:rPr>
        <w:t>382.87</w:t>
      </w:r>
      <w:r>
        <w:rPr>
          <w:szCs w:val="32"/>
        </w:rPr>
        <w:t>万元，全部用于药品医疗器械监管工作，主要包括药品（含中药、民族药，下同）、医疗器械、化妆品标准管理、质量管理和安全监督管理和抽检支出；依法组织查处药品、医疗器械、化妆品经营、使用环节违法违规行为支出；监督实施药品、医疗器械、化妆品标准和分类管理制度支出；监督实施药品、医疗器械、化妆品经营质量管理规范支出；药品不良反应、医疗器械不良事件和化妆品不良反应的监测、评价和处置支出等方面</w:t>
      </w:r>
      <w:r>
        <w:rPr>
          <w:rFonts w:hint="eastAsia"/>
          <w:szCs w:val="32"/>
          <w:lang w:eastAsia="zh-CN"/>
        </w:rPr>
        <w:t>，</w:t>
      </w:r>
      <w:r>
        <w:rPr>
          <w:rFonts w:hint="eastAsia"/>
          <w:szCs w:val="32"/>
          <w:lang w:val="en-US" w:eastAsia="zh-CN"/>
        </w:rPr>
        <w:t>以及食药检所的药品基层能力建设设备购置支出。</w:t>
      </w:r>
    </w:p>
    <w:p>
      <w:pPr>
        <w:keepNext w:val="0"/>
        <w:keepLines w:val="0"/>
        <w:pageBreakBefore w:val="0"/>
        <w:widowControl w:val="0"/>
        <w:kinsoku/>
        <w:wordWrap/>
        <w:overflowPunct/>
        <w:topLinePunct/>
        <w:autoSpaceDE/>
        <w:bidi w:val="0"/>
        <w:spacing w:line="600" w:lineRule="exact"/>
        <w:ind w:firstLine="640" w:firstLineChars="200"/>
        <w:textAlignment w:val="auto"/>
        <w:rPr>
          <w:rFonts w:hint="default"/>
          <w:szCs w:val="32"/>
          <w:lang w:val="en-US"/>
        </w:rPr>
      </w:pPr>
      <w:r>
        <w:rPr>
          <w:szCs w:val="32"/>
        </w:rPr>
        <w:t>（3）</w:t>
      </w:r>
      <w:r>
        <w:rPr>
          <w:rFonts w:hint="eastAsia"/>
          <w:szCs w:val="32"/>
          <w:lang w:eastAsia="zh-CN"/>
        </w:rPr>
        <w:t>202</w:t>
      </w:r>
      <w:r>
        <w:rPr>
          <w:rFonts w:hint="eastAsia"/>
          <w:szCs w:val="32"/>
          <w:lang w:val="en-US" w:eastAsia="zh-CN"/>
        </w:rPr>
        <w:t>3</w:t>
      </w:r>
      <w:r>
        <w:rPr>
          <w:rFonts w:hint="eastAsia"/>
          <w:szCs w:val="32"/>
          <w:lang w:eastAsia="zh-CN"/>
        </w:rPr>
        <w:t>年</w:t>
      </w:r>
      <w:r>
        <w:rPr>
          <w:szCs w:val="32"/>
        </w:rPr>
        <w:t>共有质量监管专项</w:t>
      </w:r>
      <w:r>
        <w:rPr>
          <w:rFonts w:hint="eastAsia"/>
          <w:szCs w:val="32"/>
          <w:lang w:val="en-US" w:eastAsia="zh-CN"/>
        </w:rPr>
        <w:t>493.1</w:t>
      </w:r>
      <w:r>
        <w:rPr>
          <w:szCs w:val="32"/>
        </w:rPr>
        <w:t>万元，其中年初</w:t>
      </w:r>
      <w:r>
        <w:rPr>
          <w:rFonts w:hint="eastAsia"/>
          <w:szCs w:val="32"/>
          <w:lang w:val="en-US" w:eastAsia="zh-CN"/>
        </w:rPr>
        <w:t>公共</w:t>
      </w:r>
      <w:r>
        <w:rPr>
          <w:rFonts w:hint="eastAsia"/>
          <w:szCs w:val="32"/>
          <w:lang w:eastAsia="zh-CN"/>
        </w:rPr>
        <w:t>财政拨款</w:t>
      </w:r>
      <w:r>
        <w:rPr>
          <w:szCs w:val="32"/>
        </w:rPr>
        <w:t>预算资金</w:t>
      </w:r>
      <w:r>
        <w:rPr>
          <w:rFonts w:hint="eastAsia"/>
          <w:szCs w:val="32"/>
          <w:lang w:val="en-US" w:eastAsia="zh-CN"/>
        </w:rPr>
        <w:t>48</w:t>
      </w:r>
      <w:r>
        <w:rPr>
          <w:szCs w:val="32"/>
        </w:rPr>
        <w:t>万元，</w:t>
      </w:r>
      <w:r>
        <w:rPr>
          <w:rFonts w:hint="eastAsia"/>
          <w:szCs w:val="32"/>
          <w:lang w:val="en-US" w:eastAsia="zh-CN"/>
        </w:rPr>
        <w:t>纳入预算管理的非税收入拨款92.4万元，</w:t>
      </w:r>
      <w:r>
        <w:rPr>
          <w:szCs w:val="32"/>
        </w:rPr>
        <w:t>省级追加资金</w:t>
      </w:r>
      <w:r>
        <w:rPr>
          <w:rFonts w:hint="eastAsia"/>
          <w:szCs w:val="32"/>
          <w:lang w:val="en-US" w:eastAsia="zh-CN"/>
        </w:rPr>
        <w:t>135</w:t>
      </w:r>
      <w:r>
        <w:rPr>
          <w:szCs w:val="32"/>
        </w:rPr>
        <w:t>万元，</w:t>
      </w:r>
      <w:r>
        <w:rPr>
          <w:rFonts w:hint="eastAsia"/>
          <w:szCs w:val="32"/>
          <w:lang w:val="en-US" w:eastAsia="zh-CN"/>
        </w:rPr>
        <w:t>市级追加217.7万元，</w:t>
      </w:r>
      <w:r>
        <w:rPr>
          <w:szCs w:val="32"/>
        </w:rPr>
        <w:t>全部用于质量基础工作和质量安全监督管理工作。主要包括质量</w:t>
      </w:r>
      <w:r>
        <w:rPr>
          <w:rFonts w:hint="eastAsia"/>
          <w:szCs w:val="32"/>
          <w:lang w:val="en-US" w:eastAsia="zh-CN"/>
        </w:rPr>
        <w:t>发展</w:t>
      </w:r>
      <w:r>
        <w:rPr>
          <w:szCs w:val="32"/>
        </w:rPr>
        <w:t>支出、特种设备安全监管支出、计量经费支出、产商品质量抽查与风险监控支出、标准化战略支出、认证与认可监管支出等方面。</w:t>
      </w:r>
      <w:r>
        <w:rPr>
          <w:rFonts w:hint="eastAsia"/>
          <w:szCs w:val="32"/>
          <w:lang w:eastAsia="zh-CN"/>
        </w:rPr>
        <w:t>还包括计量所</w:t>
      </w:r>
      <w:r>
        <w:rPr>
          <w:rFonts w:hint="eastAsia"/>
          <w:szCs w:val="32"/>
          <w:lang w:val="en-US" w:eastAsia="zh-CN"/>
        </w:rPr>
        <w:t>验光仪检定项目设备购置及建标费用、电动汽车充电桩检定及电动汽车充电桩社会公用计量标准建设等支出。</w:t>
      </w:r>
    </w:p>
    <w:p>
      <w:pPr>
        <w:keepNext w:val="0"/>
        <w:keepLines w:val="0"/>
        <w:pageBreakBefore w:val="0"/>
        <w:widowControl w:val="0"/>
        <w:kinsoku/>
        <w:wordWrap/>
        <w:overflowPunct/>
        <w:topLinePunct/>
        <w:autoSpaceDE/>
        <w:bidi w:val="0"/>
        <w:spacing w:line="600" w:lineRule="exact"/>
        <w:ind w:firstLine="640" w:firstLineChars="200"/>
        <w:textAlignment w:val="auto"/>
        <w:rPr>
          <w:rFonts w:hint="eastAsia"/>
          <w:szCs w:val="32"/>
        </w:rPr>
      </w:pPr>
      <w:r>
        <w:rPr>
          <w:rFonts w:hint="eastAsia"/>
          <w:szCs w:val="32"/>
        </w:rPr>
        <w:t>（4）</w:t>
      </w:r>
      <w:r>
        <w:rPr>
          <w:rFonts w:hint="eastAsia"/>
          <w:szCs w:val="32"/>
          <w:lang w:eastAsia="zh-CN"/>
        </w:rPr>
        <w:t>202</w:t>
      </w:r>
      <w:r>
        <w:rPr>
          <w:rFonts w:hint="eastAsia"/>
          <w:szCs w:val="32"/>
          <w:lang w:val="en-US" w:eastAsia="zh-CN"/>
        </w:rPr>
        <w:t>3</w:t>
      </w:r>
      <w:r>
        <w:rPr>
          <w:rFonts w:hint="eastAsia"/>
          <w:szCs w:val="32"/>
          <w:lang w:eastAsia="zh-CN"/>
        </w:rPr>
        <w:t>年</w:t>
      </w:r>
      <w:r>
        <w:rPr>
          <w:rFonts w:hint="eastAsia"/>
          <w:szCs w:val="32"/>
        </w:rPr>
        <w:t>共有</w:t>
      </w:r>
      <w:r>
        <w:rPr>
          <w:szCs w:val="32"/>
        </w:rPr>
        <w:t>知识产权战略经费</w:t>
      </w:r>
      <w:r>
        <w:rPr>
          <w:rFonts w:hint="eastAsia"/>
          <w:szCs w:val="32"/>
          <w:lang w:val="en-US" w:eastAsia="zh-CN"/>
        </w:rPr>
        <w:t>237.08</w:t>
      </w:r>
      <w:r>
        <w:rPr>
          <w:szCs w:val="32"/>
        </w:rPr>
        <w:t>万元，其中年初预算资金</w:t>
      </w:r>
      <w:r>
        <w:rPr>
          <w:rFonts w:hint="eastAsia"/>
          <w:szCs w:val="32"/>
        </w:rPr>
        <w:t>25</w:t>
      </w:r>
      <w:r>
        <w:rPr>
          <w:szCs w:val="32"/>
        </w:rPr>
        <w:t>万元，省级</w:t>
      </w:r>
      <w:r>
        <w:rPr>
          <w:rFonts w:hint="eastAsia"/>
          <w:szCs w:val="32"/>
        </w:rPr>
        <w:t>追加</w:t>
      </w:r>
      <w:r>
        <w:rPr>
          <w:szCs w:val="32"/>
        </w:rPr>
        <w:t>资金</w:t>
      </w:r>
      <w:r>
        <w:rPr>
          <w:rFonts w:hint="eastAsia"/>
          <w:szCs w:val="32"/>
          <w:lang w:val="en-US" w:eastAsia="zh-CN"/>
        </w:rPr>
        <w:t>136.68</w:t>
      </w:r>
      <w:r>
        <w:rPr>
          <w:szCs w:val="32"/>
        </w:rPr>
        <w:t>万元，市级知识产权维持资金</w:t>
      </w:r>
      <w:r>
        <w:rPr>
          <w:rFonts w:hint="eastAsia"/>
          <w:szCs w:val="32"/>
          <w:lang w:val="en-US" w:eastAsia="zh-CN"/>
        </w:rPr>
        <w:t>75.4</w:t>
      </w:r>
      <w:r>
        <w:rPr>
          <w:rFonts w:hint="eastAsia"/>
          <w:szCs w:val="32"/>
        </w:rPr>
        <w:t>万元，</w:t>
      </w:r>
      <w:r>
        <w:rPr>
          <w:szCs w:val="32"/>
        </w:rPr>
        <w:t>主要用于</w:t>
      </w:r>
      <w:r>
        <w:rPr>
          <w:rFonts w:hint="eastAsia"/>
          <w:szCs w:val="32"/>
          <w:lang w:eastAsia="zh-CN"/>
        </w:rPr>
        <w:t>专利权转化支出、</w:t>
      </w:r>
      <w:r>
        <w:rPr>
          <w:rFonts w:hint="eastAsia"/>
          <w:szCs w:val="32"/>
        </w:rPr>
        <w:t>发明专利授权资助含国防专利、向国外专利申请资助、湖南专利奖、专利权质押融资评估费补贴、马德里商标国际申请资助、注册地理标志商标资助；发明专利申请和维持经费、</w:t>
      </w:r>
      <w:r>
        <w:rPr>
          <w:szCs w:val="32"/>
        </w:rPr>
        <w:t>知识产权创造保护运用</w:t>
      </w:r>
      <w:r>
        <w:rPr>
          <w:rFonts w:hint="eastAsia"/>
          <w:szCs w:val="32"/>
        </w:rPr>
        <w:t>。</w:t>
      </w:r>
    </w:p>
    <w:p>
      <w:pPr>
        <w:keepNext w:val="0"/>
        <w:keepLines w:val="0"/>
        <w:pageBreakBefore w:val="0"/>
        <w:widowControl w:val="0"/>
        <w:kinsoku/>
        <w:wordWrap/>
        <w:overflowPunct/>
        <w:topLinePunct/>
        <w:autoSpaceDE/>
        <w:bidi w:val="0"/>
        <w:spacing w:line="600" w:lineRule="exact"/>
        <w:ind w:firstLine="640" w:firstLineChars="200"/>
        <w:textAlignment w:val="auto"/>
        <w:rPr>
          <w:szCs w:val="32"/>
        </w:rPr>
      </w:pPr>
      <w:r>
        <w:rPr>
          <w:rFonts w:hint="eastAsia"/>
          <w:szCs w:val="32"/>
        </w:rPr>
        <w:t>（5）</w:t>
      </w:r>
      <w:r>
        <w:rPr>
          <w:rFonts w:hint="eastAsia"/>
          <w:szCs w:val="32"/>
          <w:lang w:eastAsia="zh-CN"/>
        </w:rPr>
        <w:t>202</w:t>
      </w:r>
      <w:r>
        <w:rPr>
          <w:rFonts w:hint="eastAsia"/>
          <w:szCs w:val="32"/>
          <w:lang w:val="en-US" w:eastAsia="zh-CN"/>
        </w:rPr>
        <w:t>3</w:t>
      </w:r>
      <w:r>
        <w:rPr>
          <w:rFonts w:hint="eastAsia"/>
          <w:szCs w:val="32"/>
          <w:lang w:eastAsia="zh-CN"/>
        </w:rPr>
        <w:t>年</w:t>
      </w:r>
      <w:r>
        <w:rPr>
          <w:rFonts w:hint="eastAsia"/>
          <w:szCs w:val="32"/>
        </w:rPr>
        <w:t>共有</w:t>
      </w:r>
      <w:r>
        <w:rPr>
          <w:szCs w:val="32"/>
        </w:rPr>
        <w:t>食品安全监管经费</w:t>
      </w:r>
      <w:r>
        <w:rPr>
          <w:rFonts w:hint="eastAsia"/>
          <w:szCs w:val="32"/>
          <w:lang w:val="en-US" w:eastAsia="zh-CN"/>
        </w:rPr>
        <w:t>345.81</w:t>
      </w:r>
      <w:r>
        <w:rPr>
          <w:szCs w:val="32"/>
        </w:rPr>
        <w:t>万元，其中预算资金</w:t>
      </w:r>
      <w:r>
        <w:rPr>
          <w:rFonts w:hint="eastAsia"/>
          <w:szCs w:val="32"/>
        </w:rPr>
        <w:t>48</w:t>
      </w:r>
      <w:r>
        <w:rPr>
          <w:szCs w:val="32"/>
        </w:rPr>
        <w:t>万元，省级追加资金</w:t>
      </w:r>
      <w:r>
        <w:rPr>
          <w:rFonts w:hint="eastAsia"/>
          <w:szCs w:val="32"/>
          <w:lang w:val="en-US" w:eastAsia="zh-CN"/>
        </w:rPr>
        <w:t>29.63</w:t>
      </w:r>
      <w:r>
        <w:rPr>
          <w:szCs w:val="32"/>
        </w:rPr>
        <w:t>万元，市级食安专项追加</w:t>
      </w:r>
      <w:r>
        <w:rPr>
          <w:rFonts w:hint="eastAsia"/>
          <w:szCs w:val="32"/>
          <w:lang w:val="en-US" w:eastAsia="zh-CN"/>
        </w:rPr>
        <w:t>268.18</w:t>
      </w:r>
      <w:r>
        <w:rPr>
          <w:rFonts w:hint="eastAsia"/>
          <w:szCs w:val="32"/>
        </w:rPr>
        <w:t>万元，</w:t>
      </w:r>
      <w:r>
        <w:rPr>
          <w:szCs w:val="32"/>
        </w:rPr>
        <w:t>主要用于食品安全监管、抽检、协调等方面</w:t>
      </w:r>
      <w:r>
        <w:rPr>
          <w:rFonts w:hint="eastAsia"/>
          <w:szCs w:val="32"/>
        </w:rPr>
        <w:t>。</w:t>
      </w:r>
    </w:p>
    <w:p>
      <w:pPr>
        <w:keepNext w:val="0"/>
        <w:keepLines w:val="0"/>
        <w:pageBreakBefore w:val="0"/>
        <w:widowControl w:val="0"/>
        <w:kinsoku/>
        <w:wordWrap/>
        <w:overflowPunct/>
        <w:topLinePunct/>
        <w:autoSpaceDE/>
        <w:bidi w:val="0"/>
        <w:spacing w:line="600" w:lineRule="exact"/>
        <w:ind w:firstLine="640" w:firstLineChars="200"/>
        <w:textAlignment w:val="auto"/>
        <w:rPr>
          <w:szCs w:val="32"/>
        </w:rPr>
      </w:pPr>
      <w:r>
        <w:rPr>
          <w:szCs w:val="32"/>
        </w:rPr>
        <w:t>2.</w:t>
      </w:r>
      <w:r>
        <w:rPr>
          <w:rFonts w:hint="eastAsia"/>
          <w:szCs w:val="32"/>
          <w:lang w:eastAsia="zh-CN"/>
        </w:rPr>
        <w:t>202</w:t>
      </w:r>
      <w:r>
        <w:rPr>
          <w:rFonts w:hint="eastAsia"/>
          <w:szCs w:val="32"/>
          <w:lang w:val="en-US" w:eastAsia="zh-CN"/>
        </w:rPr>
        <w:t>3</w:t>
      </w:r>
      <w:r>
        <w:rPr>
          <w:rFonts w:hint="eastAsia"/>
          <w:szCs w:val="32"/>
          <w:lang w:eastAsia="zh-CN"/>
        </w:rPr>
        <w:t>年</w:t>
      </w:r>
      <w:r>
        <w:rPr>
          <w:szCs w:val="32"/>
        </w:rPr>
        <w:t>度本单位</w:t>
      </w:r>
      <w:r>
        <w:rPr>
          <w:rFonts w:hint="eastAsia"/>
          <w:szCs w:val="32"/>
          <w:lang w:val="en-US" w:eastAsia="zh-CN"/>
        </w:rPr>
        <w:t>其他</w:t>
      </w:r>
      <w:r>
        <w:rPr>
          <w:szCs w:val="32"/>
        </w:rPr>
        <w:t>项目经费</w:t>
      </w:r>
      <w:r>
        <w:rPr>
          <w:rFonts w:hint="eastAsia"/>
          <w:szCs w:val="32"/>
          <w:lang w:val="en-US" w:eastAsia="zh-CN"/>
        </w:rPr>
        <w:t>679.74</w:t>
      </w:r>
      <w:r>
        <w:rPr>
          <w:szCs w:val="32"/>
        </w:rPr>
        <w:t>万元</w:t>
      </w:r>
      <w:r>
        <w:rPr>
          <w:rFonts w:hint="eastAsia"/>
          <w:szCs w:val="32"/>
          <w:lang w:eastAsia="zh-CN"/>
        </w:rPr>
        <w:t>（</w:t>
      </w:r>
      <w:r>
        <w:rPr>
          <w:rFonts w:hint="eastAsia"/>
          <w:szCs w:val="32"/>
          <w:lang w:val="en-US" w:eastAsia="zh-CN"/>
        </w:rPr>
        <w:t>含省级追加资金332.06万元），</w:t>
      </w:r>
      <w:r>
        <w:rPr>
          <w:szCs w:val="32"/>
        </w:rPr>
        <w:t>其中：质量事业运用</w:t>
      </w:r>
      <w:r>
        <w:rPr>
          <w:rFonts w:hint="eastAsia"/>
          <w:szCs w:val="32"/>
          <w:lang w:val="en-US" w:eastAsia="zh-CN"/>
        </w:rPr>
        <w:t>146.86</w:t>
      </w:r>
      <w:r>
        <w:rPr>
          <w:rFonts w:hint="eastAsia"/>
          <w:szCs w:val="32"/>
        </w:rPr>
        <w:t>万元，</w:t>
      </w:r>
      <w:r>
        <w:rPr>
          <w:szCs w:val="32"/>
        </w:rPr>
        <w:t>主要</w:t>
      </w:r>
      <w:r>
        <w:rPr>
          <w:rFonts w:hint="eastAsia"/>
          <w:szCs w:val="32"/>
          <w:lang w:val="en-US" w:eastAsia="zh-CN"/>
        </w:rPr>
        <w:t>是二级机构业务工作运行成本；</w:t>
      </w:r>
      <w:r>
        <w:rPr>
          <w:rFonts w:hint="eastAsia" w:ascii="Times New Roman" w:hAnsi="Times New Roman" w:cs="Times New Roman"/>
          <w:szCs w:val="32"/>
        </w:rPr>
        <w:t>进口冷链食品</w:t>
      </w:r>
      <w:r>
        <w:rPr>
          <w:rFonts w:hint="eastAsia" w:ascii="Times New Roman" w:hAnsi="Times New Roman" w:cs="Times New Roman"/>
          <w:szCs w:val="32"/>
          <w:lang w:val="en-US" w:eastAsia="zh-CN"/>
        </w:rPr>
        <w:t>监管仓专项</w:t>
      </w:r>
      <w:r>
        <w:rPr>
          <w:rFonts w:hint="eastAsia" w:cs="Times New Roman"/>
          <w:szCs w:val="32"/>
          <w:lang w:val="en-US" w:eastAsia="zh-CN"/>
        </w:rPr>
        <w:t>31.79</w:t>
      </w:r>
      <w:r>
        <w:rPr>
          <w:rFonts w:hint="eastAsia" w:ascii="Times New Roman" w:hAnsi="Times New Roman" w:cs="Times New Roman"/>
          <w:szCs w:val="32"/>
          <w:lang w:val="en-US" w:eastAsia="zh-CN"/>
        </w:rPr>
        <w:t>万元，主要用于进口冷链监管仓</w:t>
      </w:r>
      <w:r>
        <w:rPr>
          <w:rFonts w:hint="eastAsia" w:cs="Times New Roman"/>
          <w:szCs w:val="32"/>
          <w:lang w:val="en-US" w:eastAsia="zh-CN"/>
        </w:rPr>
        <w:t>尾期的</w:t>
      </w:r>
      <w:r>
        <w:rPr>
          <w:rFonts w:hint="eastAsia" w:ascii="Times New Roman" w:hAnsi="Times New Roman" w:cs="Times New Roman"/>
          <w:szCs w:val="32"/>
          <w:lang w:val="en-US" w:eastAsia="zh-CN"/>
        </w:rPr>
        <w:t>装卸、抽检、仓储租赁等日常运行支出；</w:t>
      </w:r>
      <w:r>
        <w:rPr>
          <w:rFonts w:hint="eastAsia"/>
          <w:szCs w:val="32"/>
        </w:rPr>
        <w:t>筹建国家电容器检测中心支出</w:t>
      </w:r>
      <w:r>
        <w:rPr>
          <w:rFonts w:hint="eastAsia"/>
          <w:szCs w:val="32"/>
          <w:lang w:val="en-US" w:eastAsia="zh-CN"/>
        </w:rPr>
        <w:t>90万元；省级追加棉花抽检专项242.06万元，主要用于开展棉花质量监测业务工作；</w:t>
      </w:r>
      <w:r>
        <w:rPr>
          <w:rFonts w:hint="eastAsia"/>
          <w:szCs w:val="32"/>
        </w:rPr>
        <w:t>八小行业长效监管</w:t>
      </w:r>
      <w:r>
        <w:rPr>
          <w:rFonts w:hint="eastAsia"/>
          <w:szCs w:val="32"/>
          <w:lang w:val="en-US" w:eastAsia="zh-CN"/>
        </w:rPr>
        <w:t>及创文</w:t>
      </w:r>
      <w:r>
        <w:rPr>
          <w:rFonts w:hint="eastAsia"/>
          <w:szCs w:val="32"/>
        </w:rPr>
        <w:t>工作</w:t>
      </w:r>
      <w:r>
        <w:rPr>
          <w:rFonts w:hint="eastAsia"/>
          <w:szCs w:val="32"/>
          <w:lang w:val="en-US" w:eastAsia="zh-CN"/>
        </w:rPr>
        <w:t>支出40.88</w:t>
      </w:r>
      <w:r>
        <w:rPr>
          <w:rFonts w:hint="eastAsia"/>
          <w:szCs w:val="32"/>
        </w:rPr>
        <w:t>万元；派驻纪检组专项</w:t>
      </w:r>
      <w:r>
        <w:rPr>
          <w:rFonts w:hint="eastAsia"/>
          <w:szCs w:val="32"/>
          <w:lang w:val="en-US" w:eastAsia="zh-CN"/>
        </w:rPr>
        <w:t>20</w:t>
      </w:r>
      <w:r>
        <w:rPr>
          <w:rFonts w:hint="eastAsia"/>
          <w:szCs w:val="32"/>
        </w:rPr>
        <w:t>万元</w:t>
      </w:r>
      <w:r>
        <w:rPr>
          <w:rFonts w:hint="eastAsia"/>
          <w:szCs w:val="32"/>
          <w:lang w:val="en-US" w:eastAsia="zh-CN"/>
        </w:rPr>
        <w:t>；大通湖禁磷专项21万元；机关信息化建设及更新34.15万元，乡村振兴帮扶拨款53万元</w:t>
      </w:r>
      <w:r>
        <w:rPr>
          <w:szCs w:val="32"/>
        </w:rPr>
        <w:t>。</w:t>
      </w:r>
    </w:p>
    <w:p>
      <w:pPr>
        <w:keepNext w:val="0"/>
        <w:keepLines w:val="0"/>
        <w:pageBreakBefore w:val="0"/>
        <w:widowControl w:val="0"/>
        <w:kinsoku/>
        <w:wordWrap/>
        <w:overflowPunct/>
        <w:autoSpaceDE/>
        <w:bidi w:val="0"/>
        <w:spacing w:line="600" w:lineRule="exact"/>
        <w:ind w:firstLine="640" w:firstLineChars="200"/>
        <w:textAlignment w:val="auto"/>
        <w:rPr>
          <w:rFonts w:hint="eastAsia" w:ascii="黑体" w:hAnsi="黑体" w:eastAsia="黑体" w:cs="黑体"/>
          <w:color w:val="000000"/>
          <w:szCs w:val="32"/>
        </w:rPr>
      </w:pPr>
      <w:r>
        <w:rPr>
          <w:rFonts w:hint="eastAsia" w:ascii="黑体" w:hAnsi="黑体" w:eastAsia="黑体" w:cs="黑体"/>
          <w:color w:val="000000"/>
          <w:szCs w:val="32"/>
        </w:rPr>
        <w:t>三、政府性基金预算支出情况</w:t>
      </w:r>
    </w:p>
    <w:p>
      <w:pPr>
        <w:keepNext w:val="0"/>
        <w:keepLines w:val="0"/>
        <w:pageBreakBefore w:val="0"/>
        <w:widowControl w:val="0"/>
        <w:kinsoku/>
        <w:wordWrap/>
        <w:overflowPunct/>
        <w:autoSpaceDE/>
        <w:bidi w:val="0"/>
        <w:spacing w:line="600" w:lineRule="exact"/>
        <w:ind w:firstLine="640" w:firstLineChars="200"/>
        <w:textAlignment w:val="auto"/>
        <w:rPr>
          <w:rFonts w:hint="default" w:eastAsia="黑体"/>
          <w:szCs w:val="32"/>
          <w:lang w:val="en-US" w:eastAsia="zh-CN"/>
        </w:rPr>
      </w:pPr>
      <w:r>
        <w:rPr>
          <w:rFonts w:hint="eastAsia"/>
          <w:szCs w:val="32"/>
          <w:lang w:val="en-US" w:eastAsia="zh-CN"/>
        </w:rPr>
        <w:t>2023年益阳市计量测试检定所政府性基金预算收入金额为15万元，预算支出金额为15万元，年初和年末均无结余。主要用于西流湾家属院的“三微”项目。</w:t>
      </w:r>
    </w:p>
    <w:p>
      <w:pPr>
        <w:keepNext w:val="0"/>
        <w:keepLines w:val="0"/>
        <w:pageBreakBefore w:val="0"/>
        <w:widowControl w:val="0"/>
        <w:kinsoku/>
        <w:wordWrap/>
        <w:overflowPunct/>
        <w:autoSpaceDE/>
        <w:bidi w:val="0"/>
        <w:spacing w:line="600" w:lineRule="exact"/>
        <w:ind w:firstLine="640" w:firstLineChars="200"/>
        <w:textAlignment w:val="auto"/>
        <w:rPr>
          <w:rFonts w:ascii="黑体" w:hAnsi="黑体" w:eastAsia="黑体" w:cs="黑体"/>
          <w:color w:val="000000"/>
          <w:szCs w:val="32"/>
        </w:rPr>
      </w:pPr>
      <w:r>
        <w:rPr>
          <w:rFonts w:ascii="黑体" w:hAnsi="黑体" w:eastAsia="黑体" w:cs="黑体"/>
          <w:color w:val="000000"/>
          <w:szCs w:val="32"/>
        </w:rPr>
        <w:t>四、国有资本经营预算支出情况</w:t>
      </w:r>
    </w:p>
    <w:p>
      <w:pPr>
        <w:keepNext w:val="0"/>
        <w:keepLines w:val="0"/>
        <w:pageBreakBefore w:val="0"/>
        <w:widowControl w:val="0"/>
        <w:kinsoku/>
        <w:wordWrap/>
        <w:overflowPunct/>
        <w:autoSpaceDE/>
        <w:bidi w:val="0"/>
        <w:spacing w:line="600" w:lineRule="exact"/>
        <w:ind w:firstLine="640" w:firstLineChars="200"/>
        <w:textAlignment w:val="auto"/>
        <w:rPr>
          <w:color w:val="000000"/>
          <w:szCs w:val="32"/>
        </w:rPr>
      </w:pPr>
      <w:r>
        <w:rPr>
          <w:szCs w:val="32"/>
        </w:rPr>
        <w:t>无。</w:t>
      </w:r>
    </w:p>
    <w:p>
      <w:pPr>
        <w:keepNext w:val="0"/>
        <w:keepLines w:val="0"/>
        <w:pageBreakBefore w:val="0"/>
        <w:widowControl w:val="0"/>
        <w:kinsoku/>
        <w:wordWrap/>
        <w:overflowPunct/>
        <w:autoSpaceDE/>
        <w:bidi w:val="0"/>
        <w:spacing w:line="600" w:lineRule="exact"/>
        <w:ind w:firstLine="640" w:firstLineChars="200"/>
        <w:textAlignment w:val="auto"/>
        <w:rPr>
          <w:rFonts w:ascii="黑体" w:hAnsi="黑体" w:eastAsia="黑体" w:cs="黑体"/>
          <w:color w:val="000000"/>
          <w:szCs w:val="32"/>
        </w:rPr>
      </w:pPr>
      <w:r>
        <w:rPr>
          <w:rFonts w:ascii="黑体" w:hAnsi="黑体" w:eastAsia="黑体" w:cs="黑体"/>
          <w:color w:val="000000"/>
          <w:szCs w:val="32"/>
        </w:rPr>
        <w:t>五、社会保险基金预算支出情况</w:t>
      </w:r>
    </w:p>
    <w:p>
      <w:pPr>
        <w:keepNext w:val="0"/>
        <w:keepLines w:val="0"/>
        <w:pageBreakBefore w:val="0"/>
        <w:widowControl w:val="0"/>
        <w:kinsoku/>
        <w:wordWrap/>
        <w:overflowPunct/>
        <w:autoSpaceDE/>
        <w:bidi w:val="0"/>
        <w:spacing w:line="600" w:lineRule="exact"/>
        <w:ind w:firstLine="640" w:firstLineChars="200"/>
        <w:textAlignment w:val="auto"/>
        <w:rPr>
          <w:color w:val="000000"/>
          <w:szCs w:val="32"/>
        </w:rPr>
      </w:pPr>
      <w:r>
        <w:rPr>
          <w:szCs w:val="32"/>
        </w:rPr>
        <w:t>无。</w:t>
      </w:r>
    </w:p>
    <w:p>
      <w:pPr>
        <w:keepNext w:val="0"/>
        <w:keepLines w:val="0"/>
        <w:pageBreakBefore w:val="0"/>
        <w:widowControl w:val="0"/>
        <w:kinsoku/>
        <w:wordWrap/>
        <w:overflowPunct/>
        <w:autoSpaceDE/>
        <w:bidi w:val="0"/>
        <w:spacing w:line="600" w:lineRule="exact"/>
        <w:ind w:firstLine="640" w:firstLineChars="200"/>
        <w:textAlignment w:val="auto"/>
        <w:rPr>
          <w:rFonts w:ascii="黑体" w:hAnsi="黑体" w:eastAsia="黑体" w:cs="黑体"/>
          <w:color w:val="000000"/>
          <w:szCs w:val="32"/>
        </w:rPr>
      </w:pPr>
      <w:r>
        <w:rPr>
          <w:rFonts w:ascii="黑体" w:hAnsi="黑体" w:eastAsia="黑体" w:cs="黑体"/>
          <w:color w:val="000000"/>
          <w:szCs w:val="32"/>
        </w:rPr>
        <w:t>六、部门整体支出绩效情况</w:t>
      </w:r>
    </w:p>
    <w:p>
      <w:pPr>
        <w:keepNext w:val="0"/>
        <w:keepLines w:val="0"/>
        <w:pageBreakBefore w:val="0"/>
        <w:widowControl w:val="0"/>
        <w:kinsoku/>
        <w:wordWrap/>
        <w:overflowPunct/>
        <w:autoSpaceDE/>
        <w:bidi w:val="0"/>
        <w:spacing w:line="600" w:lineRule="exact"/>
        <w:ind w:firstLine="640" w:firstLineChars="200"/>
        <w:textAlignment w:val="auto"/>
        <w:rPr>
          <w:rFonts w:hint="eastAsia" w:ascii="楷体_GB2312" w:hAnsi="楷体_GB2312" w:eastAsia="楷体_GB2312" w:cs="楷体_GB2312"/>
          <w:b/>
          <w:color w:val="000000"/>
          <w:szCs w:val="32"/>
          <w:lang w:val="en-US" w:eastAsia="zh-CN"/>
        </w:rPr>
      </w:pPr>
      <w:r>
        <w:rPr>
          <w:rFonts w:hint="eastAsia" w:ascii="楷体_GB2312" w:hAnsi="楷体_GB2312" w:eastAsia="楷体_GB2312" w:cs="楷体_GB2312"/>
          <w:b/>
          <w:color w:val="000000"/>
          <w:szCs w:val="32"/>
        </w:rPr>
        <w:t>（一）</w:t>
      </w:r>
      <w:r>
        <w:rPr>
          <w:rFonts w:hint="eastAsia" w:ascii="楷体_GB2312" w:hAnsi="楷体_GB2312" w:eastAsia="楷体_GB2312" w:cs="楷体_GB2312"/>
          <w:b/>
          <w:color w:val="000000"/>
          <w:szCs w:val="32"/>
          <w:lang w:val="en-US" w:eastAsia="zh-CN"/>
        </w:rPr>
        <w:t>基本运维及日常业务工作平稳有序</w:t>
      </w:r>
    </w:p>
    <w:p>
      <w:pPr>
        <w:keepNext w:val="0"/>
        <w:keepLines w:val="0"/>
        <w:pageBreakBefore w:val="0"/>
        <w:widowControl w:val="0"/>
        <w:kinsoku/>
        <w:wordWrap/>
        <w:overflowPunct/>
        <w:topLinePunct/>
        <w:autoSpaceDE/>
        <w:bidi w:val="0"/>
        <w:spacing w:line="600" w:lineRule="exact"/>
        <w:ind w:firstLine="640" w:firstLineChars="200"/>
        <w:textAlignment w:val="auto"/>
        <w:rPr>
          <w:rFonts w:hint="default" w:ascii="Times New Roman" w:hAnsi="Times New Roman" w:cs="Times New Roman"/>
          <w:szCs w:val="32"/>
          <w:lang w:val="en-US" w:eastAsia="zh-CN"/>
        </w:rPr>
      </w:pPr>
      <w:r>
        <w:rPr>
          <w:rFonts w:ascii="Times New Roman" w:hAnsi="Times New Roman" w:cs="Times New Roman"/>
          <w:szCs w:val="32"/>
          <w:lang w:val="en-US" w:eastAsia="zh-CN"/>
        </w:rPr>
        <w:t>为满足局机关及直属单位日常业务及运行维护工作需</w:t>
      </w:r>
      <w:r>
        <w:rPr>
          <w:rFonts w:hint="default" w:ascii="Times New Roman" w:hAnsi="Times New Roman" w:cs="Times New Roman"/>
          <w:szCs w:val="32"/>
          <w:lang w:val="en-US" w:eastAsia="zh-CN"/>
        </w:rPr>
        <w:t>求，保证局机关及直属事业单位各项工作顺利开展，202</w:t>
      </w:r>
      <w:r>
        <w:rPr>
          <w:rFonts w:hint="eastAsia" w:cs="Times New Roman"/>
          <w:szCs w:val="32"/>
          <w:lang w:val="en-US" w:eastAsia="zh-CN"/>
        </w:rPr>
        <w:t>3</w:t>
      </w:r>
      <w:r>
        <w:rPr>
          <w:rFonts w:hint="default" w:ascii="Times New Roman" w:hAnsi="Times New Roman" w:cs="Times New Roman"/>
          <w:szCs w:val="32"/>
          <w:lang w:val="en-US" w:eastAsia="zh-CN"/>
        </w:rPr>
        <w:t>年我</w:t>
      </w:r>
      <w:r>
        <w:rPr>
          <w:rFonts w:hint="eastAsia" w:ascii="Times New Roman" w:hAnsi="Times New Roman" w:cs="Times New Roman"/>
          <w:szCs w:val="32"/>
          <w:lang w:val="en-US" w:eastAsia="zh-CN"/>
        </w:rPr>
        <w:t>单位</w:t>
      </w:r>
      <w:r>
        <w:rPr>
          <w:rFonts w:hint="default" w:ascii="Times New Roman" w:hAnsi="Times New Roman" w:cs="Times New Roman"/>
          <w:szCs w:val="32"/>
          <w:lang w:val="en-US" w:eastAsia="zh-CN"/>
        </w:rPr>
        <w:t>对照年初绩效目标高质量完成了机关党建、系统培训、设备购置</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信息系统维护</w:t>
      </w:r>
      <w:r>
        <w:rPr>
          <w:rFonts w:hint="eastAsia" w:cs="Times New Roman"/>
          <w:szCs w:val="32"/>
          <w:lang w:val="en-US" w:eastAsia="zh-CN"/>
        </w:rPr>
        <w:t>、</w:t>
      </w:r>
      <w:r>
        <w:rPr>
          <w:rFonts w:hint="default" w:ascii="Times New Roman" w:hAnsi="Times New Roman" w:cs="Times New Roman"/>
          <w:szCs w:val="32"/>
          <w:lang w:val="en-US" w:eastAsia="zh-CN"/>
        </w:rPr>
        <w:t>新</w:t>
      </w:r>
      <w:r>
        <w:rPr>
          <w:rFonts w:hint="eastAsia" w:ascii="Times New Roman" w:hAnsi="Times New Roman" w:cs="Times New Roman"/>
          <w:szCs w:val="32"/>
          <w:lang w:val="en-US" w:eastAsia="zh-CN"/>
        </w:rPr>
        <w:t>闻宣传</w:t>
      </w:r>
      <w:r>
        <w:rPr>
          <w:rFonts w:hint="eastAsia" w:cs="Times New Roman"/>
          <w:szCs w:val="32"/>
          <w:lang w:val="en-US" w:eastAsia="zh-CN"/>
        </w:rPr>
        <w:t>和创文巩卫</w:t>
      </w:r>
      <w:r>
        <w:rPr>
          <w:rFonts w:hint="default" w:ascii="Times New Roman" w:hAnsi="Times New Roman" w:cs="Times New Roman"/>
          <w:szCs w:val="32"/>
          <w:lang w:val="en-US" w:eastAsia="zh-CN"/>
        </w:rPr>
        <w:t>等工作。</w:t>
      </w:r>
    </w:p>
    <w:p>
      <w:pPr>
        <w:keepNext w:val="0"/>
        <w:keepLines w:val="0"/>
        <w:pageBreakBefore w:val="0"/>
        <w:widowControl w:val="0"/>
        <w:kinsoku/>
        <w:wordWrap/>
        <w:overflowPunct/>
        <w:topLinePunct/>
        <w:autoSpaceDE/>
        <w:bidi w:val="0"/>
        <w:spacing w:line="600" w:lineRule="exact"/>
        <w:ind w:firstLine="640" w:firstLineChars="200"/>
        <w:textAlignment w:val="auto"/>
        <w:rPr>
          <w:rFonts w:hint="eastAsia"/>
          <w:szCs w:val="32"/>
        </w:rPr>
      </w:pPr>
      <w:r>
        <w:rPr>
          <w:rFonts w:hint="eastAsia" w:ascii="Times New Roman" w:hAnsi="Times New Roman" w:cs="Times New Roman"/>
          <w:sz w:val="32"/>
          <w:szCs w:val="32"/>
          <w:lang w:val="en-US" w:eastAsia="zh-CN"/>
        </w:rPr>
        <w:t>今年，</w:t>
      </w:r>
      <w:r>
        <w:rPr>
          <w:rFonts w:hint="eastAsia" w:ascii="Times New Roman" w:hAnsi="Times New Roman" w:eastAsia="仿宋_GB2312" w:cs="Times New Roman"/>
          <w:sz w:val="32"/>
          <w:szCs w:val="32"/>
          <w:lang w:val="en-US" w:eastAsia="zh-CN"/>
        </w:rPr>
        <w:t>召开党风廉政建设会议，统筹开展市场主体提升年、质量强市提升年、执行力提升年、能力素质提升年、营商环境提升年、廉洁文化示范点建设等系列活动</w:t>
      </w:r>
      <w:r>
        <w:rPr>
          <w:rFonts w:hint="default" w:ascii="Times New Roman" w:hAnsi="Times New Roman" w:cs="Times New Roman"/>
          <w:szCs w:val="32"/>
          <w:lang w:val="en-US" w:eastAsia="zh-CN"/>
        </w:rPr>
        <w:t>；</w:t>
      </w:r>
      <w:r>
        <w:rPr>
          <w:rFonts w:hint="default" w:ascii="Times New Roman" w:hAnsi="Times New Roman" w:eastAsia="仿宋_GB2312" w:cs="Times New Roman"/>
          <w:kern w:val="2"/>
          <w:sz w:val="32"/>
          <w:szCs w:val="32"/>
          <w:shd w:val="clear" w:color="auto" w:fill="FFFFFF"/>
          <w:lang w:val="en-US" w:eastAsia="zh-CN" w:bidi="ar-SA"/>
        </w:rPr>
        <w:t>全年中心组学习26次、主题教育读书班4次、研讨10次（其中有4次研讨中含主题教育内容），学习课堂26次。</w:t>
      </w:r>
      <w:r>
        <w:rPr>
          <w:rFonts w:hint="default" w:ascii="Times New Roman" w:hAnsi="Times New Roman" w:eastAsia="仿宋_GB2312" w:cs="Times New Roman"/>
          <w:sz w:val="32"/>
          <w:szCs w:val="32"/>
          <w:shd w:val="clear" w:color="auto" w:fill="FFFFFF"/>
          <w:lang w:val="en-US" w:eastAsia="zh-CN"/>
        </w:rPr>
        <w:t>深入开展调查研究，班子成员确定调研选题7个、开展调研350次、深入基层单位</w:t>
      </w:r>
      <w:r>
        <w:rPr>
          <w:rFonts w:hint="eastAsia" w:ascii="Times New Roman" w:hAnsi="Times New Roman" w:eastAsia="仿宋_GB2312" w:cs="Times New Roman"/>
          <w:sz w:val="32"/>
          <w:szCs w:val="32"/>
          <w:shd w:val="clear" w:color="auto" w:fill="FFFFFF"/>
          <w:lang w:val="en-US" w:eastAsia="zh-CN"/>
        </w:rPr>
        <w:t>243</w:t>
      </w:r>
      <w:r>
        <w:rPr>
          <w:rFonts w:hint="default" w:ascii="Times New Roman" w:hAnsi="Times New Roman" w:eastAsia="仿宋_GB2312" w:cs="Times New Roman"/>
          <w:sz w:val="32"/>
          <w:szCs w:val="32"/>
          <w:shd w:val="clear" w:color="auto" w:fill="FFFFFF"/>
          <w:lang w:val="en-US" w:eastAsia="zh-CN"/>
        </w:rPr>
        <w:t>个、座谈访谈</w:t>
      </w:r>
      <w:r>
        <w:rPr>
          <w:rFonts w:hint="eastAsia" w:ascii="Times New Roman" w:hAnsi="Times New Roman" w:eastAsia="仿宋_GB2312" w:cs="Times New Roman"/>
          <w:sz w:val="32"/>
          <w:szCs w:val="32"/>
          <w:shd w:val="clear" w:color="auto" w:fill="FFFFFF"/>
          <w:lang w:val="en-US" w:eastAsia="zh-CN"/>
        </w:rPr>
        <w:t>1247</w:t>
      </w:r>
      <w:r>
        <w:rPr>
          <w:rFonts w:hint="default" w:ascii="Times New Roman" w:hAnsi="Times New Roman" w:eastAsia="仿宋_GB2312" w:cs="Times New Roman"/>
          <w:sz w:val="32"/>
          <w:szCs w:val="32"/>
          <w:shd w:val="clear" w:color="auto" w:fill="FFFFFF"/>
          <w:lang w:val="en-US" w:eastAsia="zh-CN"/>
        </w:rPr>
        <w:t>人次，提出解决问题、改进工作的办法举措154个，解决问题154个，解决率100%</w:t>
      </w:r>
      <w:r>
        <w:rPr>
          <w:rFonts w:hint="eastAsia"/>
          <w:szCs w:val="32"/>
          <w:lang w:val="en-US" w:eastAsia="zh-CN"/>
        </w:rPr>
        <w:t>；</w:t>
      </w:r>
      <w:r>
        <w:rPr>
          <w:rFonts w:hint="eastAsia" w:ascii="Times New Roman" w:hAnsi="Times New Roman" w:cs="Times New Roman"/>
          <w:szCs w:val="32"/>
          <w:lang w:val="en-US" w:eastAsia="zh-CN"/>
        </w:rPr>
        <w:t>为</w:t>
      </w:r>
      <w:r>
        <w:rPr>
          <w:rFonts w:hint="default" w:ascii="Times New Roman" w:hAnsi="Times New Roman" w:cs="Times New Roman"/>
          <w:szCs w:val="32"/>
          <w:lang w:val="en-US" w:eastAsia="zh-CN"/>
        </w:rPr>
        <w:t>保障</w:t>
      </w:r>
      <w:r>
        <w:rPr>
          <w:rFonts w:hint="eastAsia" w:ascii="Times New Roman" w:hAnsi="Times New Roman" w:cs="Times New Roman"/>
          <w:szCs w:val="32"/>
          <w:lang w:val="en-US" w:eastAsia="zh-CN"/>
        </w:rPr>
        <w:t>业务系统</w:t>
      </w:r>
      <w:r>
        <w:rPr>
          <w:rFonts w:hint="default" w:ascii="Times New Roman" w:hAnsi="Times New Roman" w:cs="Times New Roman"/>
          <w:szCs w:val="32"/>
          <w:lang w:val="en-US" w:eastAsia="zh-CN"/>
        </w:rPr>
        <w:t>日常</w:t>
      </w:r>
      <w:r>
        <w:rPr>
          <w:rFonts w:hint="eastAsia" w:ascii="Times New Roman" w:hAnsi="Times New Roman" w:cs="Times New Roman"/>
          <w:szCs w:val="32"/>
          <w:lang w:val="en-US" w:eastAsia="zh-CN"/>
        </w:rPr>
        <w:t>运行和信息化安全，局机关更新了防火墙</w:t>
      </w:r>
      <w:r>
        <w:rPr>
          <w:rFonts w:hint="default" w:ascii="Times New Roman" w:hAnsi="Times New Roman" w:cs="Times New Roman"/>
          <w:szCs w:val="32"/>
          <w:lang w:val="en-US" w:eastAsia="zh-CN"/>
        </w:rPr>
        <w:t>软件系统，信息系统运行维护服务完成率达到 100%</w:t>
      </w:r>
      <w:r>
        <w:rPr>
          <w:rFonts w:hint="eastAsia" w:ascii="Times New Roman" w:hAnsi="Times New Roman" w:cs="Times New Roman"/>
          <w:szCs w:val="32"/>
          <w:lang w:val="en-US" w:eastAsia="zh-CN"/>
        </w:rPr>
        <w:t>；</w:t>
      </w:r>
      <w:r>
        <w:rPr>
          <w:rFonts w:hint="eastAsia" w:ascii="仿宋" w:hAnsi="仿宋" w:eastAsia="仿宋" w:cs="仿宋"/>
          <w:sz w:val="32"/>
          <w:szCs w:val="32"/>
          <w:lang w:val="en-US" w:eastAsia="zh-CN"/>
        </w:rPr>
        <w:t>今年共采发稿件1566篇，其中在学习强国、中国市场监管报、中国质量报等央级媒体上稿43篇，在湖南日报、湖南新闻联播、红网等省级媒体上稿621篇，在市局门户网站、益阳日报、益阳新闻联播等市级媒体采发902篇，编发公众号信息846条，营造了良好宣传舆论氛围。</w:t>
      </w:r>
      <w:r>
        <w:rPr>
          <w:rFonts w:hint="default" w:ascii="Times New Roman" w:hAnsi="Times New Roman" w:eastAsia="仿宋_GB2312" w:cs="Times New Roman"/>
          <w:kern w:val="2"/>
          <w:sz w:val="32"/>
          <w:szCs w:val="32"/>
          <w:lang w:val="en-US" w:eastAsia="zh-CN" w:bidi="ar-SA"/>
        </w:rPr>
        <w:t>对中心城区开展</w:t>
      </w:r>
      <w:r>
        <w:rPr>
          <w:rFonts w:hint="eastAsia" w:ascii="Times New Roman" w:hAnsi="Times New Roman" w:cs="Times New Roman"/>
          <w:kern w:val="2"/>
          <w:sz w:val="32"/>
          <w:szCs w:val="32"/>
          <w:lang w:val="en-US" w:eastAsia="zh-CN" w:bidi="ar-SA"/>
        </w:rPr>
        <w:t>了</w:t>
      </w:r>
      <w:r>
        <w:rPr>
          <w:rFonts w:hint="default" w:ascii="Times New Roman" w:hAnsi="Times New Roman" w:eastAsia="仿宋_GB2312" w:cs="Times New Roman"/>
          <w:kern w:val="2"/>
          <w:sz w:val="32"/>
          <w:szCs w:val="32"/>
          <w:lang w:val="en-US" w:eastAsia="zh-CN" w:bidi="ar-SA"/>
        </w:rPr>
        <w:t>创文巩卫督查，发出督查通报40期，督促整改食</w:t>
      </w:r>
      <w:r>
        <w:rPr>
          <w:rFonts w:hint="default" w:ascii="仿宋_GB2312" w:hAnsi="仿宋_GB2312" w:eastAsia="仿宋_GB2312" w:cs="仿宋_GB2312"/>
          <w:i w:val="0"/>
          <w:caps w:val="0"/>
          <w:color w:val="000000"/>
          <w:spacing w:val="0"/>
          <w:kern w:val="0"/>
          <w:sz w:val="32"/>
          <w:szCs w:val="32"/>
          <w:shd w:val="clear" w:fill="FFFFFF"/>
          <w:lang w:val="en-US" w:eastAsia="zh-CN" w:bidi="ar"/>
        </w:rPr>
        <w:t>品“三小”</w:t>
      </w:r>
      <w:r>
        <w:rPr>
          <w:rFonts w:hint="default" w:ascii="Times New Roman" w:hAnsi="Times New Roman" w:eastAsia="仿宋_GB2312" w:cs="Times New Roman"/>
          <w:kern w:val="2"/>
          <w:sz w:val="32"/>
          <w:szCs w:val="32"/>
          <w:lang w:val="en-US" w:eastAsia="zh-CN" w:bidi="ar-SA"/>
        </w:rPr>
        <w:t>行业存在的突出问题2800多个，</w:t>
      </w:r>
      <w:r>
        <w:rPr>
          <w:rFonts w:hint="default" w:ascii="Times New Roman" w:hAnsi="Times New Roman" w:eastAsia="仿宋_GB2312" w:cs="Times New Roman"/>
          <w:sz w:val="32"/>
          <w:szCs w:val="32"/>
          <w:lang w:val="en-US" w:eastAsia="zh-CN"/>
        </w:rPr>
        <w:t>在市国卫复审办对市直单位的考核中排位靠前，其中三次排名第二。</w:t>
      </w:r>
    </w:p>
    <w:p>
      <w:pPr>
        <w:keepNext w:val="0"/>
        <w:keepLines w:val="0"/>
        <w:pageBreakBefore w:val="0"/>
        <w:widowControl w:val="0"/>
        <w:kinsoku/>
        <w:wordWrap/>
        <w:overflowPunct/>
        <w:topLinePunct/>
        <w:autoSpaceDE/>
        <w:bidi w:val="0"/>
        <w:spacing w:line="600" w:lineRule="exact"/>
        <w:ind w:firstLine="640" w:firstLineChars="200"/>
        <w:textAlignment w:val="auto"/>
        <w:rPr>
          <w:rFonts w:hint="eastAsia"/>
          <w:szCs w:val="32"/>
        </w:rPr>
      </w:pPr>
      <w:r>
        <w:rPr>
          <w:rFonts w:hint="eastAsia"/>
          <w:color w:val="000000" w:themeColor="text1"/>
          <w:sz w:val="32"/>
          <w:szCs w:val="32"/>
          <w:lang w:val="en-US" w:eastAsia="zh-CN"/>
          <w14:textFill>
            <w14:solidFill>
              <w14:schemeClr w14:val="tx1"/>
            </w14:solidFill>
          </w14:textFill>
        </w:rPr>
        <w:t>通过</w:t>
      </w:r>
      <w:r>
        <w:rPr>
          <w:rFonts w:hint="eastAsia" w:eastAsia="仿宋_GB2312"/>
          <w:color w:val="000000" w:themeColor="text1"/>
          <w:sz w:val="32"/>
          <w:szCs w:val="32"/>
          <w:lang w:eastAsia="zh-CN"/>
          <w14:textFill>
            <w14:solidFill>
              <w14:schemeClr w14:val="tx1"/>
            </w14:solidFill>
          </w14:textFill>
        </w:rPr>
        <w:t>加强物业和食堂管理的</w:t>
      </w:r>
      <w:r>
        <w:rPr>
          <w:rFonts w:hint="eastAsia" w:eastAsia="仿宋_GB2312"/>
          <w:color w:val="000000" w:themeColor="text1"/>
          <w:sz w:val="32"/>
          <w:szCs w:val="32"/>
          <w:lang w:val="en-US" w:eastAsia="zh-CN"/>
          <w14:textFill>
            <w14:solidFill>
              <w14:schemeClr w14:val="tx1"/>
            </w14:solidFill>
          </w14:textFill>
        </w:rPr>
        <w:t>精细化管理</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干部职工满意率</w:t>
      </w:r>
      <w:r>
        <w:rPr>
          <w:rFonts w:hint="eastAsia" w:eastAsia="仿宋_GB2312"/>
          <w:color w:val="000000" w:themeColor="text1"/>
          <w:sz w:val="32"/>
          <w:szCs w:val="32"/>
          <w:lang w:val="en-US" w:eastAsia="zh-CN"/>
          <w14:textFill>
            <w14:solidFill>
              <w14:schemeClr w14:val="tx1"/>
            </w14:solidFill>
          </w14:textFill>
        </w:rPr>
        <w:t>进一步</w:t>
      </w:r>
      <w:r>
        <w:rPr>
          <w:rFonts w:hint="eastAsia" w:eastAsia="仿宋_GB2312"/>
          <w:color w:val="000000" w:themeColor="text1"/>
          <w:sz w:val="32"/>
          <w:szCs w:val="32"/>
          <w:lang w:eastAsia="zh-CN"/>
          <w14:textFill>
            <w14:solidFill>
              <w14:schemeClr w14:val="tx1"/>
            </w14:solidFill>
          </w14:textFill>
        </w:rPr>
        <w:t>提</w:t>
      </w:r>
      <w:r>
        <w:rPr>
          <w:rFonts w:hint="eastAsia" w:eastAsia="仿宋_GB2312"/>
          <w:color w:val="000000" w:themeColor="text1"/>
          <w:sz w:val="32"/>
          <w:szCs w:val="32"/>
          <w14:textFill>
            <w14:solidFill>
              <w14:schemeClr w14:val="tx1"/>
            </w14:solidFill>
          </w14:textFill>
        </w:rPr>
        <w:t>升。</w:t>
      </w:r>
      <w:r>
        <w:rPr>
          <w:rFonts w:hint="eastAsia"/>
          <w:szCs w:val="32"/>
        </w:rPr>
        <w:t>内部管理规范化、精细化和科学化水平的不断提高，确保了机关高效的运转，为持续加强市场监管综合执法、营造公平有序的市场环境提供了坚实的后盾。</w:t>
      </w:r>
    </w:p>
    <w:p>
      <w:pPr>
        <w:keepNext w:val="0"/>
        <w:keepLines w:val="0"/>
        <w:pageBreakBefore w:val="0"/>
        <w:widowControl w:val="0"/>
        <w:kinsoku/>
        <w:wordWrap/>
        <w:overflowPunct/>
        <w:autoSpaceDE/>
        <w:bidi w:val="0"/>
        <w:adjustRightInd w:val="0"/>
        <w:snapToGrid w:val="0"/>
        <w:spacing w:line="600" w:lineRule="exact"/>
        <w:ind w:firstLine="640" w:firstLineChars="200"/>
        <w:textAlignment w:val="auto"/>
        <w:rPr>
          <w:rFonts w:hint="default" w:ascii="楷体_GB2312" w:hAnsi="楷体_GB2312" w:eastAsia="楷体_GB2312" w:cs="楷体_GB2312"/>
          <w:b/>
          <w:color w:val="000000"/>
          <w:szCs w:val="32"/>
          <w:lang w:val="en-US" w:eastAsia="zh-CN"/>
        </w:rPr>
      </w:pPr>
      <w:r>
        <w:rPr>
          <w:rFonts w:hint="eastAsia" w:ascii="楷体_GB2312" w:hAnsi="楷体_GB2312" w:eastAsia="楷体_GB2312" w:cs="楷体_GB2312"/>
          <w:b/>
          <w:color w:val="000000"/>
          <w:szCs w:val="32"/>
        </w:rPr>
        <w:t>（二）</w:t>
      </w:r>
      <w:r>
        <w:rPr>
          <w:rFonts w:hint="eastAsia" w:ascii="楷体_GB2312" w:hAnsi="楷体_GB2312" w:eastAsia="楷体_GB2312" w:cs="楷体_GB2312"/>
          <w:b/>
          <w:color w:val="000000"/>
          <w:szCs w:val="32"/>
          <w:lang w:val="en-US" w:eastAsia="zh-CN"/>
        </w:rPr>
        <w:t>奋勇争先，彰显市场监管工作新作为</w:t>
      </w:r>
    </w:p>
    <w:p>
      <w:pPr>
        <w:pStyle w:val="2"/>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sz w:val="32"/>
          <w:szCs w:val="32"/>
          <w:lang w:val="en-US" w:eastAsia="zh-CN"/>
        </w:rPr>
        <w:t>一是持续深化商事制度改革。</w:t>
      </w:r>
      <w:r>
        <w:rPr>
          <w:rFonts w:hint="default" w:ascii="Times New Roman" w:hAnsi="Times New Roman" w:eastAsia="仿宋_GB2312" w:cs="Times New Roman"/>
          <w:kern w:val="2"/>
          <w:sz w:val="32"/>
          <w:szCs w:val="32"/>
          <w:lang w:val="en-US" w:eastAsia="zh-CN" w:bidi="ar-SA"/>
        </w:rPr>
        <w:t>优化登记注册服务，打造“五办五零”服务升级版，全面推行许可全程网办，持续巩固“证照分离”全覆盖，企业开办登记实行2小时办结。全市经营主体数量稳中有升，</w:t>
      </w:r>
      <w:r>
        <w:rPr>
          <w:rFonts w:hint="default" w:ascii="Times New Roman" w:hAnsi="Times New Roman" w:eastAsia="仿宋_GB2312" w:cs="Times New Roman"/>
          <w:sz w:val="32"/>
          <w:lang w:val="en-US" w:eastAsia="zh-CN"/>
        </w:rPr>
        <w:t>已达</w:t>
      </w:r>
      <w:r>
        <w:rPr>
          <w:rFonts w:hint="eastAsia" w:ascii="Times New Roman" w:hAnsi="Times New Roman" w:eastAsia="仿宋_GB2312" w:cs="Times New Roman"/>
          <w:sz w:val="32"/>
          <w:lang w:val="en-US" w:eastAsia="zh-CN"/>
        </w:rPr>
        <w:t>41.7万</w:t>
      </w:r>
      <w:r>
        <w:rPr>
          <w:rFonts w:hint="default" w:ascii="Times New Roman" w:hAnsi="Times New Roman" w:eastAsia="仿宋_GB2312" w:cs="Times New Roman"/>
          <w:sz w:val="32"/>
          <w:lang w:val="en-US" w:eastAsia="zh-CN"/>
        </w:rPr>
        <w:t>户，净增</w:t>
      </w:r>
      <w:r>
        <w:rPr>
          <w:rFonts w:hint="default" w:ascii="Times New Roman" w:hAnsi="Times New Roman" w:eastAsia="仿宋_GB2312" w:cs="Times New Roman"/>
          <w:sz w:val="32"/>
          <w:u w:val="none"/>
          <w:lang w:val="en-US" w:eastAsia="zh-CN"/>
        </w:rPr>
        <w:t>经营</w:t>
      </w:r>
      <w:r>
        <w:rPr>
          <w:rFonts w:hint="default" w:ascii="Times New Roman" w:hAnsi="Times New Roman" w:eastAsia="仿宋_GB2312" w:cs="Times New Roman"/>
          <w:sz w:val="32"/>
          <w:lang w:val="en-US" w:eastAsia="zh-CN"/>
        </w:rPr>
        <w:t>主体</w:t>
      </w:r>
      <w:r>
        <w:rPr>
          <w:rFonts w:hint="eastAsia" w:ascii="Times New Roman" w:hAnsi="Times New Roman" w:eastAsia="仿宋_GB2312" w:cs="Times New Roman"/>
          <w:sz w:val="32"/>
          <w:lang w:val="en-US" w:eastAsia="zh-CN"/>
        </w:rPr>
        <w:t>2.67万</w:t>
      </w:r>
      <w:r>
        <w:rPr>
          <w:rFonts w:hint="default" w:ascii="Times New Roman" w:hAnsi="Times New Roman" w:eastAsia="仿宋_GB2312" w:cs="Times New Roman"/>
          <w:sz w:val="32"/>
          <w:lang w:val="en-US" w:eastAsia="zh-CN"/>
        </w:rPr>
        <w:t>户，同比增长7.</w:t>
      </w:r>
      <w:r>
        <w:rPr>
          <w:rFonts w:hint="eastAsia" w:ascii="Times New Roman" w:hAnsi="Times New Roman" w:eastAsia="仿宋_GB2312" w:cs="Times New Roman"/>
          <w:sz w:val="32"/>
          <w:lang w:val="en-US" w:eastAsia="zh-CN"/>
        </w:rPr>
        <w:t>37</w:t>
      </w:r>
      <w:r>
        <w:rPr>
          <w:rFonts w:hint="default" w:ascii="Times New Roman" w:hAnsi="Times New Roman" w:eastAsia="仿宋_GB2312" w:cs="Times New Roman"/>
          <w:sz w:val="32"/>
          <w:lang w:val="en-US" w:eastAsia="zh-CN"/>
        </w:rPr>
        <w:t>%。</w:t>
      </w:r>
      <w:r>
        <w:rPr>
          <w:rFonts w:hint="default" w:ascii="Times New Roman" w:hAnsi="Times New Roman" w:eastAsia="仿宋_GB2312" w:cs="Times New Roman"/>
          <w:kern w:val="2"/>
          <w:sz w:val="32"/>
          <w:szCs w:val="32"/>
          <w:lang w:val="en-US" w:eastAsia="zh-CN" w:bidi="ar-SA"/>
        </w:rPr>
        <w:t>企业占比稳步提升至20%以上。全省经营主体培育工作调度会在益阳召开，</w:t>
      </w:r>
      <w:r>
        <w:rPr>
          <w:rFonts w:hint="eastAsia" w:ascii="Times New Roman" w:hAnsi="Times New Roman" w:eastAsia="仿宋_GB2312" w:cs="Times New Roman"/>
          <w:sz w:val="32"/>
          <w:u w:val="none"/>
          <w:lang w:val="en-US" w:eastAsia="zh-CN"/>
        </w:rPr>
        <w:t>省局</w:t>
      </w:r>
      <w:r>
        <w:rPr>
          <w:rFonts w:hint="default" w:ascii="Times New Roman" w:hAnsi="Times New Roman" w:eastAsia="仿宋_GB2312" w:cs="Times New Roman"/>
          <w:sz w:val="32"/>
          <w:u w:val="none"/>
          <w:lang w:val="en-US" w:eastAsia="zh-CN"/>
        </w:rPr>
        <w:t>充分肯定了</w:t>
      </w:r>
      <w:r>
        <w:rPr>
          <w:rFonts w:hint="eastAsia" w:ascii="Times New Roman" w:hAnsi="Times New Roman" w:eastAsia="仿宋_GB2312" w:cs="Times New Roman"/>
          <w:sz w:val="32"/>
          <w:u w:val="none"/>
          <w:lang w:val="en-US" w:eastAsia="zh-CN"/>
        </w:rPr>
        <w:t>我</w:t>
      </w:r>
      <w:r>
        <w:rPr>
          <w:rFonts w:hint="default" w:ascii="Times New Roman" w:hAnsi="Times New Roman" w:eastAsia="仿宋_GB2312" w:cs="Times New Roman"/>
          <w:sz w:val="32"/>
          <w:u w:val="none"/>
          <w:lang w:val="en-US" w:eastAsia="zh-CN"/>
        </w:rPr>
        <w:t>市的经营主体培育工作</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扎实推进登记全程电子化工作。</w:t>
      </w:r>
      <w:r>
        <w:rPr>
          <w:rFonts w:hint="default" w:ascii="Times New Roman" w:hAnsi="Times New Roman" w:eastAsia="仿宋_GB2312" w:cs="Times New Roman"/>
          <w:sz w:val="32"/>
          <w:szCs w:val="32"/>
          <w:lang w:val="en-US" w:eastAsia="zh-CN"/>
        </w:rPr>
        <w:t>全市企业全程电子化总申报量</w:t>
      </w:r>
      <w:r>
        <w:rPr>
          <w:rFonts w:hint="eastAsia" w:ascii="Times New Roman" w:hAnsi="Times New Roman" w:eastAsia="仿宋_GB2312" w:cs="Times New Roman"/>
          <w:sz w:val="32"/>
          <w:szCs w:val="32"/>
          <w:lang w:val="en-US" w:eastAsia="zh-CN"/>
        </w:rPr>
        <w:t>121031</w:t>
      </w:r>
      <w:r>
        <w:rPr>
          <w:rFonts w:hint="default" w:ascii="Times New Roman" w:hAnsi="Times New Roman" w:eastAsia="仿宋_GB2312" w:cs="Times New Roman"/>
          <w:sz w:val="32"/>
          <w:szCs w:val="32"/>
          <w:lang w:val="en-US" w:eastAsia="zh-CN"/>
        </w:rPr>
        <w:t>户，审核通过</w:t>
      </w:r>
      <w:r>
        <w:rPr>
          <w:rFonts w:hint="eastAsia" w:ascii="Times New Roman" w:hAnsi="Times New Roman" w:eastAsia="仿宋_GB2312" w:cs="Times New Roman"/>
          <w:sz w:val="32"/>
          <w:szCs w:val="32"/>
          <w:lang w:val="en-US" w:eastAsia="zh-CN"/>
        </w:rPr>
        <w:t>114906</w:t>
      </w:r>
      <w:r>
        <w:rPr>
          <w:rFonts w:hint="default" w:ascii="Times New Roman" w:hAnsi="Times New Roman" w:eastAsia="仿宋_GB2312" w:cs="Times New Roman"/>
          <w:sz w:val="32"/>
          <w:szCs w:val="32"/>
          <w:lang w:val="en-US" w:eastAsia="zh-CN"/>
        </w:rPr>
        <w:t>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企业全程电子化审核通过率</w:t>
      </w:r>
      <w:r>
        <w:rPr>
          <w:rFonts w:hint="eastAsia" w:ascii="Times New Roman" w:hAnsi="Times New Roman" w:eastAsia="仿宋_GB2312" w:cs="Times New Roman"/>
          <w:sz w:val="32"/>
          <w:szCs w:val="32"/>
          <w:lang w:val="en-US" w:eastAsia="zh-CN"/>
        </w:rPr>
        <w:t>94.94%，全省排名前列</w:t>
      </w:r>
      <w:r>
        <w:rPr>
          <w:rFonts w:hint="eastAsia" w:ascii="仿宋_GB2312" w:hAnsi="仿宋_GB2312" w:eastAsia="仿宋_GB2312" w:cs="仿宋_GB2312"/>
          <w:sz w:val="32"/>
          <w:szCs w:val="32"/>
          <w:lang w:val="en-US" w:eastAsia="zh-CN"/>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default" w:ascii="仿宋_GB2312" w:hAnsi="仿宋_GB2312" w:eastAsia="仿宋_GB2312" w:cs="仿宋_GB2312"/>
          <w:i w:val="0"/>
          <w:caps w:val="0"/>
          <w:color w:val="000000"/>
          <w:spacing w:val="0"/>
          <w:kern w:val="0"/>
          <w:sz w:val="32"/>
          <w:szCs w:val="32"/>
          <w:shd w:val="clear" w:fill="FFFFFF"/>
          <w:lang w:val="en-US" w:eastAsia="zh-CN" w:bidi="ar"/>
        </w:rPr>
      </w:pPr>
      <w:r>
        <w:rPr>
          <w:rFonts w:hint="default" w:ascii="Times New Roman" w:hAnsi="Times New Roman" w:eastAsia="仿宋_GB2312" w:cs="Times New Roman"/>
          <w:b/>
          <w:bCs/>
          <w:sz w:val="32"/>
          <w:szCs w:val="32"/>
          <w:lang w:val="en-US" w:eastAsia="zh-CN"/>
        </w:rPr>
        <w:t>二是推进“双随机、一公开”监管。</w:t>
      </w:r>
      <w:r>
        <w:rPr>
          <w:rFonts w:hint="default" w:ascii="Times New Roman" w:hAnsi="Times New Roman" w:eastAsia="仿宋_GB2312" w:cs="Times New Roman"/>
          <w:sz w:val="32"/>
          <w:szCs w:val="32"/>
          <w:lang w:val="en-US" w:eastAsia="zh-CN"/>
        </w:rPr>
        <w:t>创新事中事后监管方式，推进跨部</w:t>
      </w:r>
      <w:r>
        <w:rPr>
          <w:rFonts w:hint="default" w:ascii="仿宋_GB2312" w:hAnsi="仿宋_GB2312" w:eastAsia="仿宋_GB2312" w:cs="仿宋_GB2312"/>
          <w:kern w:val="2"/>
          <w:sz w:val="32"/>
          <w:szCs w:val="32"/>
          <w:lang w:val="en-US" w:eastAsia="zh-CN" w:bidi="ar-SA"/>
        </w:rPr>
        <w:t>门“双随机、一公开”监</w:t>
      </w:r>
      <w:r>
        <w:rPr>
          <w:rFonts w:hint="default" w:ascii="Times New Roman" w:hAnsi="Times New Roman" w:eastAsia="仿宋_GB2312" w:cs="Times New Roman"/>
          <w:sz w:val="32"/>
          <w:szCs w:val="32"/>
          <w:lang w:val="en-US" w:eastAsia="zh-CN"/>
        </w:rPr>
        <w:t>管，覆盖市县两级单位249个，联合抽查比例接近50%。</w:t>
      </w:r>
      <w:r>
        <w:rPr>
          <w:rFonts w:hint="default" w:ascii="Times New Roman" w:hAnsi="Times New Roman" w:eastAsia="仿宋_GB2312" w:cs="Times New Roman"/>
          <w:kern w:val="2"/>
          <w:sz w:val="32"/>
          <w:szCs w:val="32"/>
          <w:lang w:val="en-US" w:eastAsia="zh-CN" w:bidi="ar-SA"/>
        </w:rPr>
        <w:t>全市系统所有执法监管事项全部实行</w:t>
      </w:r>
      <w:r>
        <w:rPr>
          <w:rFonts w:hint="eastAsia" w:ascii="仿宋_GB2312" w:hAnsi="仿宋_GB2312" w:eastAsia="仿宋_GB2312" w:cs="仿宋_GB2312"/>
          <w:kern w:val="2"/>
          <w:sz w:val="32"/>
          <w:szCs w:val="32"/>
          <w:lang w:val="en-US" w:eastAsia="zh-CN" w:bidi="ar-SA"/>
        </w:rPr>
        <w:t>“双随机、一公开”监</w:t>
      </w:r>
      <w:r>
        <w:rPr>
          <w:rFonts w:hint="default" w:ascii="Times New Roman" w:hAnsi="Times New Roman" w:eastAsia="仿宋_GB2312" w:cs="Times New Roman"/>
          <w:kern w:val="2"/>
          <w:sz w:val="32"/>
          <w:szCs w:val="32"/>
          <w:lang w:val="en-US" w:eastAsia="zh-CN" w:bidi="ar-SA"/>
        </w:rPr>
        <w:t>管，部门专项（综合）随抽清单数达到44项，联查清单数达到91项。全面推进信用风险分级分类监管与随机抽查监管有机结合，除涉质量安全领域外，抽查比例严格控制在5%以内，对信用A等级主体</w:t>
      </w:r>
      <w:r>
        <w:rPr>
          <w:rFonts w:hint="default" w:ascii="仿宋_GB2312" w:hAnsi="仿宋_GB2312" w:eastAsia="仿宋_GB2312" w:cs="仿宋_GB2312"/>
          <w:i w:val="0"/>
          <w:caps w:val="0"/>
          <w:color w:val="000000"/>
          <w:spacing w:val="0"/>
          <w:kern w:val="0"/>
          <w:sz w:val="32"/>
          <w:szCs w:val="32"/>
          <w:shd w:val="clear" w:fill="FFFFFF"/>
          <w:lang w:val="en-US" w:eastAsia="zh-CN" w:bidi="ar"/>
        </w:rPr>
        <w:t>“五年内最多检查一次”。</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b/>
          <w:bCs/>
          <w:szCs w:val="32"/>
        </w:rPr>
        <w:t>三</w:t>
      </w:r>
      <w:r>
        <w:rPr>
          <w:rFonts w:hint="eastAsia"/>
          <w:b/>
          <w:bCs/>
          <w:szCs w:val="32"/>
          <w:lang w:eastAsia="zh-CN"/>
        </w:rPr>
        <w:t>是</w:t>
      </w:r>
      <w:r>
        <w:rPr>
          <w:rFonts w:hint="default" w:ascii="Times New Roman" w:hAnsi="Times New Roman" w:eastAsia="仿宋_GB2312" w:cs="Times New Roman"/>
          <w:b/>
          <w:bCs/>
          <w:sz w:val="32"/>
          <w:szCs w:val="32"/>
          <w:lang w:val="en-US" w:eastAsia="zh-CN"/>
        </w:rPr>
        <w:t>不断健全信用监管机制。</w:t>
      </w:r>
      <w:r>
        <w:rPr>
          <w:rFonts w:hint="default" w:ascii="Times New Roman" w:hAnsi="Times New Roman" w:eastAsia="仿宋_GB2312" w:cs="Times New Roman"/>
          <w:sz w:val="32"/>
          <w:szCs w:val="32"/>
          <w:lang w:val="en-US" w:eastAsia="zh-CN"/>
        </w:rPr>
        <w:t>建立《益阳市信用监管信用联合惩戒措施清单》，优化信用修复服务，及时将374家企业、99家农民专业合作社、3371户个体户移出经营异常名录，依程序将76家企业移出</w:t>
      </w:r>
      <w:r>
        <w:rPr>
          <w:rFonts w:hint="default" w:ascii="仿宋_GB2312" w:hAnsi="仿宋_GB2312" w:eastAsia="仿宋_GB2312" w:cs="仿宋_GB2312"/>
          <w:kern w:val="2"/>
          <w:sz w:val="32"/>
          <w:szCs w:val="32"/>
          <w:lang w:val="en-US" w:eastAsia="zh-CN" w:bidi="ar-SA"/>
        </w:rPr>
        <w:t>“黑名单”，</w:t>
      </w:r>
      <w:r>
        <w:rPr>
          <w:rFonts w:hint="default" w:ascii="Times New Roman" w:hAnsi="Times New Roman" w:eastAsia="仿宋_GB2312" w:cs="Times New Roman"/>
          <w:sz w:val="32"/>
          <w:szCs w:val="32"/>
          <w:lang w:val="en-US" w:eastAsia="zh-CN"/>
        </w:rPr>
        <w:t>及时受理完成19家市场主体行政处罚信息修复。</w:t>
      </w:r>
      <w:r>
        <w:rPr>
          <w:rFonts w:hint="eastAsia" w:cs="Times New Roman"/>
          <w:sz w:val="32"/>
          <w:szCs w:val="32"/>
          <w:lang w:val="en-US" w:eastAsia="zh-CN"/>
        </w:rPr>
        <w:t>建</w:t>
      </w:r>
      <w:r>
        <w:rPr>
          <w:rFonts w:hint="default" w:ascii="Times New Roman" w:hAnsi="Times New Roman" w:eastAsia="仿宋_GB2312" w:cs="Times New Roman"/>
          <w:color w:val="000000"/>
          <w:kern w:val="2"/>
          <w:sz w:val="32"/>
          <w:szCs w:val="32"/>
          <w:lang w:val="en-US" w:eastAsia="zh-CN" w:bidi="ar-SA"/>
        </w:rPr>
        <w:t>立《益阳市信用监管信用联合惩戒措施清单》，优化信用修复服务，及时移出经营异常名录主体3844家</w:t>
      </w:r>
      <w:r>
        <w:rPr>
          <w:rFonts w:hint="default" w:ascii="仿宋_GB2312" w:hAnsi="仿宋_GB2312" w:eastAsia="仿宋_GB2312" w:cs="仿宋_GB2312"/>
          <w:i w:val="0"/>
          <w:caps w:val="0"/>
          <w:color w:val="000000"/>
          <w:spacing w:val="0"/>
          <w:kern w:val="0"/>
          <w:sz w:val="32"/>
          <w:szCs w:val="32"/>
          <w:shd w:val="clear" w:fill="FFFFFF"/>
          <w:lang w:val="en-US" w:eastAsia="zh-CN" w:bidi="ar"/>
        </w:rPr>
        <w:t>、“黑名单”</w:t>
      </w:r>
      <w:r>
        <w:rPr>
          <w:rFonts w:hint="default" w:ascii="Times New Roman" w:hAnsi="Times New Roman" w:eastAsia="仿宋_GB2312" w:cs="Times New Roman"/>
          <w:color w:val="000000"/>
          <w:kern w:val="2"/>
          <w:sz w:val="32"/>
          <w:szCs w:val="32"/>
          <w:lang w:val="en-US" w:eastAsia="zh-CN" w:bidi="ar-SA"/>
        </w:rPr>
        <w:t>企业76家，完成行政处罚信息修复19家。</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sz w:val="32"/>
          <w:szCs w:val="32"/>
          <w:lang w:val="en-US" w:eastAsia="zh-CN"/>
        </w:rPr>
        <w:t>四是全力打造安全放心消费环境。</w:t>
      </w:r>
      <w:r>
        <w:rPr>
          <w:rFonts w:hint="default" w:ascii="Times New Roman" w:hAnsi="Times New Roman" w:eastAsia="仿宋_GB2312" w:cs="Times New Roman"/>
          <w:color w:val="000000"/>
          <w:kern w:val="2"/>
          <w:sz w:val="32"/>
          <w:szCs w:val="32"/>
          <w:lang w:val="en-US" w:eastAsia="zh-CN" w:bidi="ar-SA"/>
        </w:rPr>
        <w:t>持续推进</w:t>
      </w:r>
      <w:r>
        <w:rPr>
          <w:rFonts w:hint="default" w:ascii="仿宋_GB2312" w:hAnsi="仿宋_GB2312" w:eastAsia="仿宋_GB2312" w:cs="仿宋_GB2312"/>
          <w:kern w:val="2"/>
          <w:sz w:val="32"/>
          <w:szCs w:val="32"/>
          <w:lang w:val="en-US" w:eastAsia="zh-CN" w:bidi="ar-SA"/>
        </w:rPr>
        <w:t>“诚信经营·放心消费”创</w:t>
      </w:r>
      <w:r>
        <w:rPr>
          <w:rFonts w:hint="default" w:ascii="Times New Roman" w:hAnsi="Times New Roman" w:eastAsia="仿宋_GB2312" w:cs="Times New Roman"/>
          <w:color w:val="000000"/>
          <w:kern w:val="2"/>
          <w:sz w:val="32"/>
          <w:szCs w:val="32"/>
          <w:lang w:val="en-US" w:eastAsia="zh-CN" w:bidi="ar-SA"/>
        </w:rPr>
        <w:t>建，全市新增示范单位705家，累计达3165家；新增ODR企业25家，累计发展164家；指导160家经营主体完成省级放心消费创建单位网上申报。12315热线共受理消费者咨询、投诉、举报20521件，按期办结率99.87%，消费者通过全国12315平台与ODR企业达成先行和解的消费纠纷共计462件。</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Style w:val="17"/>
          <w:rFonts w:hint="default" w:ascii="仿宋_GB2312" w:hAnsi="仿宋_GB2312" w:cs="仿宋_GB2312"/>
          <w:b/>
          <w:szCs w:val="32"/>
          <w:lang w:val="en-US"/>
        </w:rPr>
      </w:pPr>
      <w:r>
        <w:rPr>
          <w:rStyle w:val="17"/>
          <w:rFonts w:hint="eastAsia" w:ascii="仿宋_GB2312" w:hAnsi="仿宋_GB2312" w:cs="仿宋_GB2312"/>
          <w:b/>
          <w:szCs w:val="32"/>
          <w:lang w:val="en-US" w:eastAsia="zh-CN"/>
        </w:rPr>
        <w:t>五</w:t>
      </w:r>
      <w:r>
        <w:rPr>
          <w:rStyle w:val="17"/>
          <w:rFonts w:hint="eastAsia" w:ascii="仿宋_GB2312" w:hAnsi="仿宋_GB2312" w:cs="仿宋_GB2312"/>
          <w:b/>
          <w:szCs w:val="32"/>
        </w:rPr>
        <w:t>是</w:t>
      </w:r>
      <w:r>
        <w:rPr>
          <w:rFonts w:hint="eastAsia" w:ascii="仿宋_GB2312" w:hAnsi="仿宋_GB2312" w:eastAsia="仿宋_GB2312" w:cs="仿宋_GB2312"/>
          <w:b/>
          <w:bCs/>
          <w:spacing w:val="0"/>
          <w:sz w:val="32"/>
          <w:szCs w:val="32"/>
        </w:rPr>
        <w:t>市场秩序监管有力。</w:t>
      </w:r>
      <w:r>
        <w:rPr>
          <w:rFonts w:hint="eastAsia" w:ascii="仿宋_GB2312" w:hAnsi="仿宋_GB2312" w:eastAsia="仿宋_GB2312" w:cs="仿宋_GB2312"/>
          <w:spacing w:val="0"/>
          <w:sz w:val="32"/>
          <w:szCs w:val="32"/>
        </w:rPr>
        <w:t>开展涉企收费、水电气等领域价费专项检查</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办结价格违法案件</w:t>
      </w:r>
      <w:r>
        <w:rPr>
          <w:rFonts w:hint="eastAsia" w:ascii="Times New Roman" w:hAnsi="Times New Roman" w:cs="Times New Roman"/>
          <w:spacing w:val="0"/>
          <w:sz w:val="32"/>
          <w:szCs w:val="32"/>
          <w:lang w:val="en-US" w:eastAsia="zh-CN"/>
        </w:rPr>
        <w:t>3</w:t>
      </w:r>
      <w:r>
        <w:rPr>
          <w:rFonts w:hint="eastAsia" w:ascii="Times New Roman" w:hAnsi="Times New Roman" w:eastAsia="仿宋_GB2312" w:cs="Times New Roman"/>
          <w:spacing w:val="0"/>
          <w:sz w:val="32"/>
          <w:szCs w:val="32"/>
          <w:lang w:val="en-US" w:eastAsia="zh-CN"/>
        </w:rPr>
        <w:t>件</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责令</w:t>
      </w:r>
      <w:r>
        <w:rPr>
          <w:rFonts w:hint="eastAsia" w:ascii="仿宋_GB2312" w:hAnsi="仿宋_GB2312" w:eastAsia="仿宋_GB2312" w:cs="仿宋_GB2312"/>
          <w:spacing w:val="0"/>
          <w:sz w:val="32"/>
          <w:szCs w:val="32"/>
        </w:rPr>
        <w:t>退还</w:t>
      </w:r>
      <w:r>
        <w:rPr>
          <w:rFonts w:hint="eastAsia" w:ascii="仿宋_GB2312" w:hAnsi="仿宋_GB2312" w:eastAsia="仿宋_GB2312" w:cs="仿宋_GB2312"/>
          <w:spacing w:val="0"/>
          <w:sz w:val="32"/>
          <w:szCs w:val="32"/>
          <w:lang w:eastAsia="zh-CN"/>
        </w:rPr>
        <w:t>价</w:t>
      </w:r>
      <w:r>
        <w:rPr>
          <w:rFonts w:hint="eastAsia" w:ascii="Times New Roman" w:hAnsi="Times New Roman" w:eastAsia="仿宋_GB2312" w:cs="Times New Roman"/>
          <w:spacing w:val="0"/>
          <w:sz w:val="32"/>
          <w:szCs w:val="32"/>
          <w:lang w:val="en-US" w:eastAsia="zh-CN"/>
        </w:rPr>
        <w:t>费165万</w:t>
      </w:r>
      <w:r>
        <w:rPr>
          <w:rFonts w:hint="eastAsia" w:ascii="仿宋_GB2312" w:hAnsi="仿宋_GB2312" w:eastAsia="仿宋_GB2312" w:cs="仿宋_GB2312"/>
          <w:spacing w:val="0"/>
          <w:sz w:val="32"/>
          <w:szCs w:val="32"/>
        </w:rPr>
        <w:t>元。</w:t>
      </w:r>
      <w:r>
        <w:rPr>
          <w:rFonts w:hint="default" w:ascii="Times New Roman" w:hAnsi="Times New Roman" w:eastAsia="仿宋_GB2312" w:cs="Times New Roman"/>
          <w:sz w:val="32"/>
          <w:szCs w:val="32"/>
          <w:lang w:val="en-US" w:eastAsia="zh-CN"/>
        </w:rPr>
        <w:t>通过公平竞争审查，撤销了2起限定体检单位选择区域的文件2份。组织梳理涉及市场主体经济活动的现行有效政策措施735件，发现妨碍公平竞争的政策措施3件，已废止1件、修订2件。持续开展</w:t>
      </w:r>
      <w:r>
        <w:rPr>
          <w:rFonts w:hint="default" w:ascii="Times New Roman" w:hAnsi="Times New Roman" w:eastAsia="仿宋_GB2312" w:cs="Times New Roman"/>
          <w:color w:val="000000"/>
          <w:sz w:val="32"/>
          <w:szCs w:val="32"/>
          <w:lang w:val="en-US" w:eastAsia="zh-CN"/>
        </w:rPr>
        <w:t>落实公平竞争审查制度</w:t>
      </w:r>
      <w:r>
        <w:rPr>
          <w:rFonts w:hint="default" w:ascii="Times New Roman" w:hAnsi="Times New Roman" w:eastAsia="仿宋_GB2312" w:cs="Times New Roman"/>
          <w:sz w:val="32"/>
          <w:szCs w:val="32"/>
          <w:lang w:val="en-US" w:eastAsia="zh-CN"/>
        </w:rPr>
        <w:t>第三方评估。</w:t>
      </w:r>
      <w:r>
        <w:rPr>
          <w:rFonts w:hint="eastAsia" w:ascii="仿宋_GB2312" w:hAnsi="仿宋_GB2312" w:eastAsia="仿宋_GB2312" w:cs="仿宋_GB2312"/>
          <w:spacing w:val="0"/>
          <w:sz w:val="32"/>
          <w:szCs w:val="32"/>
          <w:lang w:eastAsia="zh-CN"/>
        </w:rPr>
        <w:t>开展</w:t>
      </w:r>
      <w:r>
        <w:rPr>
          <w:rFonts w:hint="eastAsia" w:ascii="仿宋_GB2312" w:hAnsi="仿宋_GB2312" w:eastAsia="仿宋_GB2312" w:cs="仿宋_GB2312"/>
          <w:spacing w:val="0"/>
          <w:sz w:val="32"/>
          <w:szCs w:val="32"/>
        </w:rPr>
        <w:t>电商经营主体违法经营行为专项监测，</w:t>
      </w:r>
      <w:r>
        <w:rPr>
          <w:rFonts w:hint="eastAsia" w:ascii="仿宋_GB2312" w:hAnsi="仿宋_GB2312" w:eastAsia="仿宋_GB2312" w:cs="仿宋_GB2312"/>
          <w:spacing w:val="0"/>
          <w:sz w:val="32"/>
          <w:szCs w:val="32"/>
          <w:lang w:eastAsia="zh-CN"/>
        </w:rPr>
        <w:t>发</w:t>
      </w:r>
      <w:r>
        <w:rPr>
          <w:rFonts w:hint="eastAsia" w:ascii="Times New Roman" w:hAnsi="Times New Roman" w:eastAsia="仿宋_GB2312" w:cs="Times New Roman"/>
          <w:spacing w:val="0"/>
          <w:sz w:val="32"/>
          <w:szCs w:val="32"/>
          <w:lang w:val="en-US" w:eastAsia="zh-CN"/>
        </w:rPr>
        <w:t>现违法线索124条。联合公安捣毁传销窝点15个，查办网络传销案件8起。</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cs="Times New Roman"/>
          <w:b/>
          <w:bCs/>
          <w:sz w:val="32"/>
          <w:szCs w:val="32"/>
          <w:lang w:val="en-US" w:eastAsia="zh-CN"/>
        </w:rPr>
        <w:t>六</w:t>
      </w:r>
      <w:r>
        <w:rPr>
          <w:rFonts w:hint="default" w:ascii="Times New Roman" w:hAnsi="Times New Roman" w:eastAsia="仿宋_GB2312" w:cs="Times New Roman"/>
          <w:b/>
          <w:bCs/>
          <w:sz w:val="32"/>
          <w:szCs w:val="32"/>
          <w:lang w:val="en-US" w:eastAsia="zh-CN"/>
        </w:rPr>
        <w:t>是纵深推进行政综合执法。</w:t>
      </w:r>
      <w:r>
        <w:rPr>
          <w:rFonts w:hint="default" w:ascii="Times New Roman" w:hAnsi="Times New Roman" w:eastAsia="仿宋_GB2312" w:cs="Times New Roman"/>
          <w:color w:val="000000"/>
          <w:kern w:val="2"/>
          <w:sz w:val="32"/>
          <w:szCs w:val="32"/>
          <w:lang w:val="en-US" w:eastAsia="zh-CN" w:bidi="ar-SA"/>
        </w:rPr>
        <w:t>深入开</w:t>
      </w:r>
      <w:r>
        <w:rPr>
          <w:rFonts w:hint="default" w:ascii="仿宋_GB2312" w:hAnsi="仿宋_GB2312" w:eastAsia="仿宋_GB2312" w:cs="仿宋_GB2312"/>
          <w:kern w:val="2"/>
          <w:sz w:val="32"/>
          <w:szCs w:val="32"/>
          <w:lang w:val="en-US" w:eastAsia="zh-CN" w:bidi="ar-SA"/>
        </w:rPr>
        <w:t>展“铁拳”“年关守护”等综</w:t>
      </w:r>
      <w:r>
        <w:rPr>
          <w:rFonts w:hint="default" w:ascii="Times New Roman" w:hAnsi="Times New Roman" w:eastAsia="仿宋_GB2312" w:cs="Times New Roman"/>
          <w:color w:val="000000"/>
          <w:kern w:val="2"/>
          <w:sz w:val="32"/>
          <w:szCs w:val="32"/>
          <w:lang w:val="en-US" w:eastAsia="zh-CN" w:bidi="ar-SA"/>
        </w:rPr>
        <w:t>合执法行动，全市系统立案查处各类案件1945件，联合公安机关查处假劣药品案件9件，移送涉嫌犯罪食品案件12件，6个案件入选省局铁拳行动典型案例，1起案件由国家药品监管局挂牌督办，1起案件入选总局食品执法稽查十大优秀案例。</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Times New Roman" w:hAnsi="Times New Roman" w:eastAsia="仿宋_GB2312" w:cs="Times New Roman"/>
          <w:b w:val="0"/>
          <w:bCs w:val="0"/>
          <w:i w:val="0"/>
          <w:caps w:val="0"/>
          <w:color w:val="000000"/>
          <w:spacing w:val="0"/>
          <w:w w:val="100"/>
          <w:kern w:val="0"/>
          <w:sz w:val="32"/>
          <w:szCs w:val="32"/>
          <w:lang w:val="en-US" w:eastAsia="zh-CN" w:bidi="ar"/>
        </w:rPr>
      </w:pPr>
      <w:r>
        <w:rPr>
          <w:rFonts w:hint="eastAsia" w:ascii="仿宋_GB2312" w:hAnsi="仿宋_GB2312" w:cs="仿宋_GB2312"/>
          <w:b/>
          <w:bCs/>
          <w:spacing w:val="0"/>
          <w:sz w:val="32"/>
          <w:szCs w:val="32"/>
          <w:lang w:val="en-US" w:eastAsia="zh-CN"/>
        </w:rPr>
        <w:t>七是</w:t>
      </w:r>
      <w:r>
        <w:rPr>
          <w:rFonts w:hint="default" w:ascii="Times New Roman" w:hAnsi="Times New Roman" w:eastAsia="仿宋_GB2312" w:cs="Times New Roman"/>
          <w:b/>
          <w:bCs/>
          <w:sz w:val="32"/>
          <w:szCs w:val="32"/>
          <w:lang w:val="en-US" w:eastAsia="zh-CN"/>
        </w:rPr>
        <w:t>强化法治建设。</w:t>
      </w:r>
      <w:r>
        <w:rPr>
          <w:rFonts w:hint="default" w:ascii="Times New Roman" w:hAnsi="Times New Roman" w:eastAsia="仿宋_GB2312" w:cs="Times New Roman"/>
          <w:kern w:val="2"/>
          <w:sz w:val="32"/>
          <w:szCs w:val="32"/>
          <w:lang w:val="en-US" w:eastAsia="zh-CN" w:bidi="ar-SA"/>
        </w:rPr>
        <w:t>严格执法程序，全面落实行政执</w:t>
      </w:r>
      <w:r>
        <w:rPr>
          <w:rFonts w:hint="eastAsia" w:ascii="仿宋_GB2312" w:hAnsi="仿宋_GB2312" w:eastAsia="仿宋_GB2312" w:cs="仿宋_GB2312"/>
          <w:kern w:val="2"/>
          <w:sz w:val="32"/>
          <w:szCs w:val="32"/>
          <w:lang w:val="en-US" w:eastAsia="zh-CN" w:bidi="ar-SA"/>
        </w:rPr>
        <w:t>法“三项制度”，</w:t>
      </w:r>
      <w:r>
        <w:rPr>
          <w:rFonts w:hint="default" w:ascii="Times New Roman" w:hAnsi="Times New Roman" w:eastAsia="仿宋_GB2312" w:cs="Times New Roman"/>
          <w:kern w:val="2"/>
          <w:sz w:val="32"/>
          <w:szCs w:val="32"/>
          <w:lang w:val="en-US" w:eastAsia="zh-CN" w:bidi="ar-SA"/>
        </w:rPr>
        <w:t>强化行政执法公示，推行行政执法全过程记录，严把重大执法决定法制审核关，市局办理的行政案件无败诉、无撤销。</w:t>
      </w:r>
      <w:r>
        <w:rPr>
          <w:rFonts w:hint="default" w:ascii="Times New Roman" w:hAnsi="Times New Roman" w:eastAsia="仿宋_GB2312" w:cs="Times New Roman"/>
          <w:sz w:val="32"/>
          <w:szCs w:val="32"/>
          <w:lang w:val="en-US" w:eastAsia="zh-CN"/>
        </w:rPr>
        <w:t>全</w:t>
      </w:r>
      <w:r>
        <w:rPr>
          <w:rFonts w:hint="default" w:ascii="Times New Roman" w:hAnsi="Times New Roman" w:eastAsia="仿宋_GB2312" w:cs="Times New Roman"/>
          <w:kern w:val="2"/>
          <w:sz w:val="32"/>
          <w:szCs w:val="32"/>
          <w:lang w:val="en-US" w:eastAsia="zh-CN" w:bidi="ar-SA"/>
        </w:rPr>
        <w:t>面推行市场监管领域柔性执法</w:t>
      </w:r>
      <w:r>
        <w:rPr>
          <w:rFonts w:hint="default" w:ascii="仿宋_GB2312" w:hAnsi="仿宋_GB2312" w:eastAsia="仿宋_GB2312" w:cs="仿宋_GB2312"/>
          <w:i w:val="0"/>
          <w:caps w:val="0"/>
          <w:color w:val="000000"/>
          <w:spacing w:val="0"/>
          <w:kern w:val="0"/>
          <w:sz w:val="32"/>
          <w:szCs w:val="32"/>
          <w:shd w:val="clear" w:fill="FFFFFF"/>
          <w:lang w:val="en-US" w:eastAsia="zh-CN" w:bidi="ar"/>
        </w:rPr>
        <w:t>“四张清单”，</w:t>
      </w:r>
      <w:r>
        <w:rPr>
          <w:rFonts w:hint="default" w:ascii="Times New Roman" w:hAnsi="Times New Roman" w:eastAsia="仿宋_GB2312" w:cs="Times New Roman"/>
          <w:kern w:val="2"/>
          <w:sz w:val="32"/>
          <w:szCs w:val="32"/>
          <w:lang w:val="en-US" w:eastAsia="zh-CN" w:bidi="ar-SA"/>
        </w:rPr>
        <w:t>对轻微违法行为首违不罚，今年以来全市系统办理柔性执法案件1202件，有效提升执法监</w:t>
      </w:r>
      <w:r>
        <w:rPr>
          <w:rFonts w:hint="default" w:ascii="仿宋_GB2312" w:hAnsi="仿宋_GB2312" w:eastAsia="仿宋_GB2312" w:cs="仿宋_GB2312"/>
          <w:i w:val="0"/>
          <w:caps w:val="0"/>
          <w:color w:val="000000"/>
          <w:spacing w:val="0"/>
          <w:kern w:val="0"/>
          <w:sz w:val="32"/>
          <w:szCs w:val="32"/>
          <w:shd w:val="clear" w:fill="FFFFFF"/>
          <w:lang w:val="en-US" w:eastAsia="zh-CN" w:bidi="ar"/>
        </w:rPr>
        <w:t>管“温度”。</w:t>
      </w:r>
      <w:r>
        <w:rPr>
          <w:rFonts w:hint="default" w:ascii="Times New Roman" w:hAnsi="Times New Roman" w:eastAsia="仿宋_GB2312" w:cs="Times New Roman"/>
          <w:kern w:val="2"/>
          <w:sz w:val="32"/>
          <w:szCs w:val="32"/>
          <w:lang w:val="en-US" w:eastAsia="zh-CN" w:bidi="ar-SA"/>
        </w:rPr>
        <w:t>开展行政执法案卷评查2次，随机抽查案卷240个。</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仿宋" w:hAnsi="仿宋" w:eastAsia="仿宋"/>
          <w:b/>
          <w:bCs w:val="0"/>
          <w:color w:val="000000"/>
          <w:kern w:val="0"/>
          <w:sz w:val="32"/>
          <w:szCs w:val="32"/>
          <w:shd w:val="clear" w:color="auto" w:fill="FFFFFF"/>
          <w:lang w:val="en-US" w:eastAsia="zh-CN" w:bidi="ar"/>
        </w:rPr>
        <w:t>八是</w:t>
      </w:r>
      <w:r>
        <w:rPr>
          <w:rFonts w:ascii="仿宋" w:hAnsi="仿宋" w:eastAsia="仿宋"/>
          <w:b/>
          <w:bCs w:val="0"/>
          <w:color w:val="000000"/>
          <w:kern w:val="0"/>
          <w:sz w:val="32"/>
          <w:szCs w:val="32"/>
          <w:shd w:val="clear" w:color="auto" w:fill="FFFFFF"/>
          <w:lang w:bidi="ar"/>
        </w:rPr>
        <w:t>认真履行广告监管职责</w:t>
      </w:r>
      <w:r>
        <w:rPr>
          <w:rFonts w:hint="eastAsia" w:ascii="仿宋" w:hAnsi="仿宋" w:eastAsia="仿宋"/>
          <w:b/>
          <w:bCs w:val="0"/>
          <w:color w:val="000000"/>
          <w:kern w:val="0"/>
          <w:sz w:val="32"/>
          <w:szCs w:val="32"/>
          <w:shd w:val="clear" w:color="auto" w:fill="FFFFFF"/>
          <w:lang w:eastAsia="zh-CN" w:bidi="ar"/>
        </w:rPr>
        <w:t>，</w:t>
      </w:r>
      <w:r>
        <w:rPr>
          <w:rFonts w:ascii="仿宋" w:hAnsi="仿宋" w:eastAsia="仿宋"/>
          <w:b/>
          <w:bCs w:val="0"/>
          <w:color w:val="000000"/>
          <w:kern w:val="0"/>
          <w:sz w:val="32"/>
          <w:szCs w:val="32"/>
          <w:shd w:val="clear" w:color="auto" w:fill="FFFFFF"/>
          <w:lang w:bidi="ar"/>
        </w:rPr>
        <w:t>严厉打击虚假违法广告</w:t>
      </w:r>
      <w:r>
        <w:rPr>
          <w:rFonts w:hint="eastAsia" w:ascii="仿宋" w:hAnsi="仿宋" w:eastAsia="仿宋"/>
          <w:b/>
          <w:bCs w:val="0"/>
          <w:color w:val="000000"/>
          <w:kern w:val="0"/>
          <w:sz w:val="32"/>
          <w:szCs w:val="32"/>
          <w:shd w:val="clear" w:color="auto" w:fill="FFFFFF"/>
          <w:lang w:eastAsia="zh-CN" w:bidi="ar"/>
        </w:rPr>
        <w:t>。</w:t>
      </w:r>
      <w:r>
        <w:rPr>
          <w:rFonts w:hint="default" w:ascii="Times New Roman" w:hAnsi="Times New Roman" w:eastAsia="仿宋_GB2312" w:cs="Times New Roman"/>
          <w:sz w:val="32"/>
          <w:szCs w:val="32"/>
          <w:lang w:val="en-US" w:eastAsia="zh-CN"/>
        </w:rPr>
        <w:t>认真贯彻落实习近平总书记“广告宣传也要讲导向”的重要指示精神，监测传统媒体、互联网媒体和户外媒体广告11600条，未发现涉嫌以宗教名义发布商业广告行为。</w:t>
      </w:r>
      <w:r>
        <w:rPr>
          <w:rFonts w:hint="eastAsia" w:ascii="Times New Roman" w:hAnsi="Times New Roman" w:eastAsia="仿宋_GB2312" w:cs="Times New Roman"/>
          <w:spacing w:val="0"/>
          <w:sz w:val="32"/>
          <w:szCs w:val="32"/>
          <w:lang w:val="en-US" w:eastAsia="zh-CN"/>
        </w:rPr>
        <w:t>加强广告监管，责令撤除槟榔广告5000余块，查处违法广告案件63件。</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 w:hAnsi="仿宋" w:eastAsia="仿宋" w:cs="仿宋"/>
          <w:sz w:val="32"/>
          <w:szCs w:val="32"/>
        </w:rPr>
      </w:pPr>
      <w:r>
        <w:rPr>
          <w:rFonts w:hint="eastAsia" w:ascii="Times New Roman" w:hAnsi="Times New Roman" w:cs="Times New Roman"/>
          <w:b/>
          <w:bCs/>
          <w:kern w:val="2"/>
          <w:sz w:val="32"/>
          <w:szCs w:val="32"/>
          <w:lang w:val="en-US" w:eastAsia="zh-CN" w:bidi="ar"/>
        </w:rPr>
        <w:t>九是</w:t>
      </w:r>
      <w:r>
        <w:rPr>
          <w:rFonts w:hint="eastAsia" w:ascii="Times New Roman" w:hAnsi="Times New Roman" w:eastAsia="仿宋_GB2312" w:cs="Times New Roman"/>
          <w:b/>
          <w:bCs/>
          <w:kern w:val="2"/>
          <w:sz w:val="32"/>
          <w:szCs w:val="32"/>
          <w:lang w:val="en-US" w:eastAsia="zh-CN" w:bidi="ar"/>
        </w:rPr>
        <w:t>强</w:t>
      </w:r>
      <w:r>
        <w:rPr>
          <w:rFonts w:hint="eastAsia" w:cs="Times New Roman"/>
          <w:b/>
          <w:bCs/>
          <w:kern w:val="2"/>
          <w:sz w:val="32"/>
          <w:szCs w:val="32"/>
          <w:lang w:val="en-US" w:eastAsia="zh-CN" w:bidi="ar"/>
        </w:rPr>
        <w:t>化</w:t>
      </w:r>
      <w:r>
        <w:rPr>
          <w:rFonts w:hint="eastAsia" w:ascii="Times New Roman" w:hAnsi="Times New Roman" w:eastAsia="仿宋_GB2312" w:cs="Times New Roman"/>
          <w:b/>
          <w:bCs/>
          <w:kern w:val="2"/>
          <w:sz w:val="32"/>
          <w:szCs w:val="32"/>
          <w:lang w:val="en-US" w:eastAsia="zh-CN" w:bidi="ar"/>
        </w:rPr>
        <w:t>网络平台监管，推进网络交易规范化。</w:t>
      </w:r>
      <w:r>
        <w:rPr>
          <w:rFonts w:hint="default" w:ascii="Times New Roman Regular" w:hAnsi="Times New Roman Regular" w:eastAsia="仿宋" w:cs="Times New Roman Regular"/>
          <w:bCs/>
          <w:sz w:val="32"/>
          <w:szCs w:val="32"/>
        </w:rPr>
        <w:t>认真</w:t>
      </w:r>
      <w:r>
        <w:rPr>
          <w:rFonts w:hint="default" w:ascii="Times New Roman Regular" w:hAnsi="Times New Roman Regular" w:eastAsia="仿宋" w:cs="Times New Roman Regular"/>
          <w:sz w:val="32"/>
          <w:szCs w:val="32"/>
        </w:rPr>
        <w:t>落实</w:t>
      </w:r>
      <w:r>
        <w:rPr>
          <w:rFonts w:hint="default" w:ascii="Times New Roman Regular" w:hAnsi="Times New Roman Regular" w:eastAsia="仿宋" w:cs="Times New Roman Regular"/>
          <w:sz w:val="32"/>
          <w:szCs w:val="32"/>
          <w:lang w:eastAsia="zh-CN"/>
        </w:rPr>
        <w:t>市</w:t>
      </w:r>
      <w:r>
        <w:rPr>
          <w:rFonts w:hint="default" w:ascii="Times New Roman Regular" w:hAnsi="Times New Roman Regular" w:eastAsia="仿宋" w:cs="Times New Roman Regular"/>
          <w:sz w:val="32"/>
          <w:szCs w:val="32"/>
        </w:rPr>
        <w:t>委、</w:t>
      </w:r>
      <w:r>
        <w:rPr>
          <w:rFonts w:hint="default" w:ascii="Times New Roman Regular" w:hAnsi="Times New Roman Regular" w:eastAsia="仿宋" w:cs="Times New Roman Regular"/>
          <w:sz w:val="32"/>
          <w:szCs w:val="32"/>
          <w:lang w:eastAsia="zh-CN"/>
        </w:rPr>
        <w:t>市</w:t>
      </w:r>
      <w:r>
        <w:rPr>
          <w:rFonts w:hint="default" w:ascii="Times New Roman Regular" w:hAnsi="Times New Roman Regular" w:eastAsia="仿宋" w:cs="Times New Roman Regular"/>
          <w:sz w:val="32"/>
          <w:szCs w:val="32"/>
        </w:rPr>
        <w:t>政府和</w:t>
      </w:r>
      <w:r>
        <w:rPr>
          <w:rFonts w:hint="default" w:ascii="Times New Roman Regular" w:hAnsi="Times New Roman Regular" w:eastAsia="仿宋" w:cs="Times New Roman Regular"/>
          <w:sz w:val="32"/>
          <w:szCs w:val="32"/>
          <w:lang w:eastAsia="zh-CN"/>
        </w:rPr>
        <w:t>省</w:t>
      </w:r>
      <w:r>
        <w:rPr>
          <w:rFonts w:hint="default" w:ascii="Times New Roman Regular" w:hAnsi="Times New Roman Regular" w:eastAsia="仿宋" w:cs="Times New Roman Regular"/>
          <w:sz w:val="32"/>
          <w:szCs w:val="32"/>
        </w:rPr>
        <w:t>局决策部署，提升互联网平台常态化监管水平、推动平台经济规范健康持续发展</w:t>
      </w:r>
      <w:r>
        <w:rPr>
          <w:rFonts w:hint="default" w:ascii="Times New Roman Regular" w:hAnsi="Times New Roman Regular" w:eastAsia="仿宋" w:cs="Times New Roman Regular"/>
          <w:sz w:val="32"/>
          <w:szCs w:val="32"/>
          <w:lang w:eastAsia="zh-CN"/>
        </w:rPr>
        <w:t>，</w:t>
      </w:r>
      <w:r>
        <w:rPr>
          <w:rFonts w:hint="default" w:ascii="Times New Roman Regular" w:hAnsi="Times New Roman Regular" w:eastAsia="仿宋" w:cs="Times New Roman Regular"/>
          <w:sz w:val="32"/>
          <w:szCs w:val="32"/>
          <w:lang w:val="en-US" w:eastAsia="zh-CN"/>
        </w:rPr>
        <w:t>印发</w:t>
      </w:r>
      <w:r>
        <w:rPr>
          <w:rFonts w:hint="default" w:ascii="Times New Roman Regular" w:hAnsi="Times New Roman Regular" w:eastAsia="仿宋" w:cs="Times New Roman Regular"/>
          <w:sz w:val="32"/>
          <w:szCs w:val="32"/>
        </w:rPr>
        <w:t>《2023年全市网络交易监管工作要点</w:t>
      </w:r>
      <w:r>
        <w:rPr>
          <w:rFonts w:hint="default" w:ascii="Times New Roman Regular" w:hAnsi="Times New Roman Regular" w:eastAsia="仿宋" w:cs="Times New Roman Regular"/>
          <w:sz w:val="32"/>
          <w:szCs w:val="32"/>
          <w:lang w:eastAsia="zh-CN"/>
        </w:rPr>
        <w:t>》，</w:t>
      </w:r>
      <w:r>
        <w:rPr>
          <w:rFonts w:hint="default" w:ascii="Times New Roman Regular" w:hAnsi="Times New Roman Regular" w:eastAsia="仿宋" w:cs="Times New Roman Regular"/>
          <w:sz w:val="32"/>
          <w:szCs w:val="32"/>
        </w:rPr>
        <w:t>推动</w:t>
      </w:r>
      <w:r>
        <w:rPr>
          <w:rFonts w:hint="default" w:ascii="Times New Roman Regular" w:hAnsi="Times New Roman Regular" w:eastAsia="仿宋" w:cs="Times New Roman Regular"/>
          <w:sz w:val="32"/>
          <w:szCs w:val="32"/>
          <w:lang w:val="en-US" w:eastAsia="zh-CN"/>
        </w:rPr>
        <w:t>我</w:t>
      </w:r>
      <w:r>
        <w:rPr>
          <w:rFonts w:hint="default" w:ascii="Times New Roman Regular" w:hAnsi="Times New Roman Regular" w:eastAsia="仿宋" w:cs="Times New Roman Regular"/>
          <w:sz w:val="32"/>
          <w:szCs w:val="32"/>
        </w:rPr>
        <w:t>市网监工作落细落地，确保网络交易市场监管工作的规范化运行。</w:t>
      </w:r>
      <w:r>
        <w:rPr>
          <w:rFonts w:hint="default" w:ascii="Times New Roman Regular" w:hAnsi="Times New Roman Regular" w:eastAsia="仿宋" w:cs="Times New Roman Regular"/>
          <w:sz w:val="32"/>
          <w:szCs w:val="32"/>
          <w:lang w:val="en-US" w:eastAsia="zh-CN"/>
        </w:rPr>
        <w:t>加强平台监管，</w:t>
      </w:r>
      <w:r>
        <w:rPr>
          <w:rFonts w:hint="default" w:ascii="Times New Roman Regular" w:hAnsi="Times New Roman Regular" w:eastAsia="仿宋" w:cs="Times New Roman Regular"/>
          <w:sz w:val="32"/>
          <w:szCs w:val="32"/>
        </w:rPr>
        <w:t>深入推进“平台点亮”行动</w:t>
      </w:r>
      <w:r>
        <w:rPr>
          <w:rFonts w:hint="default" w:ascii="Times New Roman Regular" w:hAnsi="Times New Roman Regular" w:eastAsia="仿宋" w:cs="Times New Roman Regular"/>
          <w:sz w:val="32"/>
          <w:szCs w:val="32"/>
          <w:lang w:eastAsia="zh-CN"/>
        </w:rPr>
        <w:t>，</w:t>
      </w:r>
      <w:r>
        <w:rPr>
          <w:rFonts w:hint="default" w:ascii="Times New Roman Regular" w:hAnsi="Times New Roman Regular" w:eastAsia="仿宋" w:cs="Times New Roman Regular"/>
          <w:sz w:val="32"/>
          <w:szCs w:val="32"/>
        </w:rPr>
        <w:t>推动平台“亮照、亮证、亮规则”措施的落实见效，督促平台企业依法履行信息公示义务，规范平台内经营者行为，切实保障消费者知情权和选择权。加强网络监测</w:t>
      </w:r>
      <w:r>
        <w:rPr>
          <w:rFonts w:hint="default" w:ascii="Times New Roman Regular" w:hAnsi="Times New Roman Regular" w:eastAsia="仿宋" w:cs="Times New Roman Regular"/>
          <w:sz w:val="32"/>
          <w:szCs w:val="32"/>
          <w:lang w:eastAsia="zh-CN"/>
        </w:rPr>
        <w:t>，</w:t>
      </w:r>
      <w:r>
        <w:rPr>
          <w:rFonts w:hint="default" w:ascii="Times New Roman Regular" w:hAnsi="Times New Roman Regular" w:eastAsia="仿宋" w:cs="Times New Roman Regular"/>
          <w:sz w:val="32"/>
          <w:szCs w:val="32"/>
        </w:rPr>
        <w:t>集中整治网络市场突出问题，保护消费者和经营者合法权益，维护公平有</w:t>
      </w:r>
      <w:r>
        <w:rPr>
          <w:rFonts w:hint="default" w:ascii="Times New Roman Regular" w:hAnsi="Times New Roman Regular" w:eastAsia="仿宋" w:cs="Times New Roman Regular"/>
          <w:sz w:val="32"/>
          <w:szCs w:val="32"/>
          <w:lang w:eastAsia="zh-CN"/>
        </w:rPr>
        <w:t>序的</w:t>
      </w:r>
      <w:r>
        <w:rPr>
          <w:rFonts w:hint="default" w:ascii="Times New Roman Regular" w:hAnsi="Times New Roman Regular" w:eastAsia="仿宋" w:cs="Times New Roman Regular"/>
          <w:sz w:val="32"/>
          <w:szCs w:val="32"/>
        </w:rPr>
        <w:t>市场环境，对辖区内电子商务经营者销售的产品加强网络监测</w:t>
      </w:r>
      <w:r>
        <w:rPr>
          <w:rFonts w:hint="default" w:ascii="Times New Roman Regular" w:hAnsi="Times New Roman Regular" w:eastAsia="仿宋" w:cs="Times New Roman Regular"/>
          <w:sz w:val="32"/>
          <w:szCs w:val="32"/>
          <w:lang w:eastAsia="zh-CN"/>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20" w:firstLineChars="200"/>
        <w:textAlignment w:val="auto"/>
        <w:rPr>
          <w:rFonts w:hint="default" w:ascii="Arial" w:hAnsi="Arial" w:eastAsia="仿宋_GB2312" w:cs="Arial"/>
          <w:color w:val="auto"/>
          <w:sz w:val="32"/>
          <w:szCs w:val="32"/>
          <w:lang w:eastAsia="zh-CN"/>
        </w:rPr>
      </w:pPr>
      <w:r>
        <w:rPr>
          <w:rFonts w:hint="eastAsia" w:ascii="方正仿宋_GBK" w:hAnsi="方正仿宋_GBK" w:eastAsia="方正仿宋_GBK" w:cs="方正仿宋_GBK"/>
          <w:b/>
          <w:bCs/>
          <w:color w:val="000000"/>
          <w:kern w:val="0"/>
          <w:sz w:val="31"/>
          <w:szCs w:val="31"/>
          <w:lang w:val="en-US" w:eastAsia="zh-CN" w:bidi="ar"/>
        </w:rPr>
        <w:t>十是</w:t>
      </w:r>
      <w:r>
        <w:rPr>
          <w:rFonts w:ascii="方正仿宋_GBK" w:hAnsi="方正仿宋_GBK" w:eastAsia="方正仿宋_GBK" w:cs="方正仿宋_GBK"/>
          <w:b/>
          <w:bCs/>
          <w:color w:val="000000"/>
          <w:kern w:val="0"/>
          <w:sz w:val="31"/>
          <w:szCs w:val="31"/>
          <w:lang w:val="en-US" w:eastAsia="zh-CN" w:bidi="ar"/>
        </w:rPr>
        <w:t>引导全</w:t>
      </w:r>
      <w:r>
        <w:rPr>
          <w:rFonts w:hint="eastAsia" w:ascii="方正仿宋_GBK" w:hAnsi="方正仿宋_GBK" w:eastAsia="方正仿宋_GBK" w:cs="方正仿宋_GBK"/>
          <w:b/>
          <w:bCs/>
          <w:color w:val="000000"/>
          <w:kern w:val="0"/>
          <w:sz w:val="31"/>
          <w:szCs w:val="31"/>
          <w:lang w:val="en-US" w:eastAsia="zh-CN" w:bidi="ar"/>
        </w:rPr>
        <w:t>市</w:t>
      </w:r>
      <w:r>
        <w:rPr>
          <w:rFonts w:ascii="方正仿宋_GBK" w:hAnsi="方正仿宋_GBK" w:eastAsia="方正仿宋_GBK" w:cs="方正仿宋_GBK"/>
          <w:b/>
          <w:bCs/>
          <w:color w:val="000000"/>
          <w:kern w:val="0"/>
          <w:sz w:val="31"/>
          <w:szCs w:val="31"/>
          <w:lang w:val="en-US" w:eastAsia="zh-CN" w:bidi="ar"/>
        </w:rPr>
        <w:t>非公经济党组织积极作为，承担社会责任。</w:t>
      </w:r>
      <w:r>
        <w:rPr>
          <w:rFonts w:hint="default" w:ascii="Times New Roman Regular" w:hAnsi="Times New Roman Regular" w:eastAsia="仿宋" w:cs="Times New Roman Regular"/>
          <w:sz w:val="32"/>
          <w:szCs w:val="32"/>
        </w:rPr>
        <w:t>突出党建引领，培根铸魂</w:t>
      </w:r>
      <w:r>
        <w:rPr>
          <w:rFonts w:hint="default" w:ascii="Times New Roman Regular" w:hAnsi="Times New Roman Regular" w:eastAsia="仿宋" w:cs="Times New Roman Regular"/>
          <w:sz w:val="32"/>
          <w:szCs w:val="32"/>
          <w:lang w:eastAsia="zh-CN"/>
        </w:rPr>
        <w:t>，</w:t>
      </w:r>
      <w:r>
        <w:rPr>
          <w:rFonts w:hint="default" w:ascii="Times New Roman Regular" w:hAnsi="Times New Roman Regular" w:eastAsia="仿宋" w:cs="Times New Roman Regular"/>
          <w:sz w:val="32"/>
          <w:szCs w:val="32"/>
        </w:rPr>
        <w:t>增强非公经济组织“向心力”</w:t>
      </w:r>
      <w:r>
        <w:rPr>
          <w:rFonts w:hint="default" w:ascii="Times New Roman Regular" w:hAnsi="Times New Roman Regular" w:eastAsia="仿宋" w:cs="Times New Roman Regular"/>
          <w:sz w:val="32"/>
          <w:szCs w:val="32"/>
          <w:lang w:eastAsia="zh-CN"/>
        </w:rPr>
        <w:t>。</w:t>
      </w:r>
      <w:r>
        <w:rPr>
          <w:rFonts w:hint="default" w:ascii="Times New Roman Regular" w:hAnsi="Times New Roman Regular" w:eastAsia="仿宋" w:cs="Times New Roman Regular"/>
          <w:sz w:val="32"/>
          <w:szCs w:val="32"/>
          <w:lang w:val="en-US" w:eastAsia="zh-CN"/>
        </w:rPr>
        <w:t>2023年度我</w:t>
      </w:r>
      <w:r>
        <w:rPr>
          <w:rFonts w:hint="default" w:ascii="Times New Roman Regular" w:hAnsi="Times New Roman Regular" w:eastAsia="仿宋_GB2312" w:cs="Times New Roman Regular"/>
          <w:b w:val="0"/>
          <w:bCs w:val="0"/>
          <w:color w:val="auto"/>
          <w:sz w:val="32"/>
          <w:szCs w:val="32"/>
          <w:lang w:val="en-US" w:eastAsia="zh-CN"/>
        </w:rPr>
        <w:t>市非公有制经济组织党组织部署开展学习宣传贯彻党的二十大精神，</w:t>
      </w:r>
      <w:r>
        <w:rPr>
          <w:rFonts w:hint="default" w:ascii="Times New Roman Regular" w:hAnsi="Times New Roman Regular" w:eastAsia="仿宋_GB2312" w:cs="Times New Roman Regular"/>
          <w:color w:val="auto"/>
          <w:spacing w:val="0"/>
          <w:sz w:val="32"/>
          <w:szCs w:val="32"/>
          <w:lang w:val="en-US" w:eastAsia="zh-CN"/>
        </w:rPr>
        <w:t>举办培训班156场次，培训2881余人，组织宣讲团6个，宣讲16场次，针对专题理论研讨中发现的11个问题并已全部解决。</w:t>
      </w:r>
      <w:r>
        <w:rPr>
          <w:rFonts w:hint="default" w:ascii="Times New Roman Regular" w:hAnsi="Times New Roman Regular" w:eastAsia="仿宋_GB2312" w:cs="Times New Roman Regular"/>
          <w:color w:val="auto"/>
          <w:sz w:val="32"/>
          <w:szCs w:val="32"/>
        </w:rPr>
        <w:t>坚持</w:t>
      </w:r>
      <w:r>
        <w:rPr>
          <w:rFonts w:hint="default" w:ascii="Times New Roman Regular" w:hAnsi="Times New Roman Regular" w:eastAsia="仿宋_GB2312" w:cs="Times New Roman Regular"/>
          <w:color w:val="auto"/>
          <w:sz w:val="32"/>
          <w:szCs w:val="32"/>
          <w:lang w:val="en-US" w:eastAsia="zh-CN"/>
        </w:rPr>
        <w:t>以</w:t>
      </w:r>
      <w:r>
        <w:rPr>
          <w:rFonts w:hint="default" w:ascii="Times New Roman Regular" w:hAnsi="Times New Roman Regular" w:eastAsia="仿宋_GB2312" w:cs="Times New Roman Regular"/>
          <w:color w:val="auto"/>
          <w:sz w:val="32"/>
          <w:szCs w:val="32"/>
        </w:rPr>
        <w:t>学习贯彻习近平新时代中国特色社会主义思想作为首要政治任务，制定下发主题教育实施方案，指导各基层党组织制定学习计划，依托“三会一课”“一月一课一片一实践”主题党日活动等载体，开展主题教育，践行真学实悟</w:t>
      </w:r>
      <w:r>
        <w:rPr>
          <w:rFonts w:hint="default" w:ascii="Times New Roman Regular" w:hAnsi="Times New Roman Regular" w:eastAsia="仿宋_GB2312" w:cs="Times New Roman Regular"/>
          <w:color w:val="auto"/>
          <w:sz w:val="32"/>
          <w:szCs w:val="32"/>
          <w:lang w:eastAsia="zh-CN"/>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szCs w:val="32"/>
          <w:lang w:eastAsia="zh-CN"/>
        </w:rPr>
      </w:pPr>
      <w:r>
        <w:rPr>
          <w:rFonts w:hint="eastAsia"/>
          <w:b/>
          <w:bCs/>
          <w:szCs w:val="32"/>
          <w:lang w:val="en-US" w:eastAsia="zh-CN"/>
        </w:rPr>
        <w:t>十一是</w:t>
      </w:r>
      <w:r>
        <w:rPr>
          <w:rFonts w:hint="eastAsia"/>
          <w:b/>
          <w:bCs/>
          <w:szCs w:val="32"/>
          <w:lang w:eastAsia="zh-CN"/>
        </w:rPr>
        <w:t>加强干部队伍建设，提高业务水平。</w:t>
      </w:r>
      <w:r>
        <w:rPr>
          <w:rFonts w:hint="eastAsia"/>
          <w:szCs w:val="32"/>
          <w:lang w:eastAsia="zh-CN"/>
        </w:rPr>
        <w:t>着力培养专业精神、专业素质、专业知识、专业能力，不断增强教育培训的针对性、实效性，为提高市场监管综合治理</w:t>
      </w:r>
      <w:r>
        <w:rPr>
          <w:rFonts w:hint="eastAsia"/>
          <w:szCs w:val="32"/>
          <w:lang w:val="en-US" w:eastAsia="zh-CN"/>
        </w:rPr>
        <w:t>体系</w:t>
      </w:r>
      <w:r>
        <w:rPr>
          <w:rFonts w:hint="eastAsia"/>
          <w:szCs w:val="32"/>
          <w:lang w:eastAsia="zh-CN"/>
        </w:rPr>
        <w:t>和治理</w:t>
      </w:r>
      <w:r>
        <w:rPr>
          <w:rFonts w:hint="eastAsia"/>
          <w:szCs w:val="32"/>
          <w:lang w:val="en-US" w:eastAsia="zh-CN"/>
        </w:rPr>
        <w:t>能力</w:t>
      </w:r>
      <w:bookmarkStart w:id="0" w:name="_GoBack"/>
      <w:bookmarkEnd w:id="0"/>
      <w:r>
        <w:rPr>
          <w:rFonts w:hint="eastAsia"/>
          <w:szCs w:val="32"/>
          <w:lang w:eastAsia="zh-CN"/>
        </w:rPr>
        <w:t>现代化提供人才支撑。</w:t>
      </w:r>
      <w:r>
        <w:rPr>
          <w:rFonts w:hint="default" w:ascii="Times New Roman Regular" w:hAnsi="Times New Roman Regular" w:eastAsia="仿宋" w:cs="Times New Roman Regular"/>
          <w:sz w:val="32"/>
          <w:szCs w:val="32"/>
        </w:rPr>
        <w:t>深入学习贯彻习近平法治思想，认真执行市局法治政府</w:t>
      </w:r>
      <w:r>
        <w:rPr>
          <w:rFonts w:hint="default" w:ascii="Times New Roman Regular" w:hAnsi="Times New Roman Regular" w:eastAsia="仿宋" w:cs="Times New Roman Regular"/>
          <w:sz w:val="32"/>
          <w:szCs w:val="32"/>
          <w:lang w:val="en-US" w:eastAsia="zh-CN"/>
        </w:rPr>
        <w:t>的</w:t>
      </w:r>
      <w:r>
        <w:rPr>
          <w:rFonts w:hint="default" w:ascii="Times New Roman Regular" w:hAnsi="Times New Roman Regular" w:eastAsia="仿宋" w:cs="Times New Roman Regular"/>
          <w:sz w:val="32"/>
          <w:szCs w:val="32"/>
        </w:rPr>
        <w:t>决策部署，把新出台的法规政策作为业务学习重点，培训交流商讨，拓展知识领域、提升业务能力。以全市“八五”普法中期评估为契机，稳步推进“谁执法谁普法”普法责任制落实。全年12期行政执法专题培训讲座的举办，成为提升全系统执法人员法律素养与执法能力的重要舞台。</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b/>
          <w:bCs/>
          <w:spacing w:val="0"/>
          <w:sz w:val="32"/>
          <w:szCs w:val="32"/>
          <w:lang w:eastAsia="zh-CN"/>
        </w:rPr>
      </w:pPr>
      <w:r>
        <w:rPr>
          <w:rFonts w:hint="eastAsia"/>
          <w:szCs w:val="32"/>
          <w:lang w:eastAsia="zh-CN"/>
        </w:rPr>
        <w:t>202</w:t>
      </w:r>
      <w:r>
        <w:rPr>
          <w:rFonts w:hint="eastAsia"/>
          <w:szCs w:val="32"/>
          <w:lang w:val="en-US" w:eastAsia="zh-CN"/>
        </w:rPr>
        <w:t>3</w:t>
      </w:r>
      <w:r>
        <w:rPr>
          <w:rFonts w:hint="eastAsia"/>
          <w:szCs w:val="32"/>
          <w:lang w:eastAsia="zh-CN"/>
        </w:rPr>
        <w:t>年</w:t>
      </w:r>
      <w:r>
        <w:rPr>
          <w:szCs w:val="32"/>
        </w:rPr>
        <w:t>共</w:t>
      </w:r>
      <w:r>
        <w:rPr>
          <w:rFonts w:hint="eastAsia"/>
          <w:szCs w:val="32"/>
        </w:rPr>
        <w:t>使用</w:t>
      </w:r>
      <w:r>
        <w:rPr>
          <w:rFonts w:hint="eastAsia"/>
          <w:szCs w:val="32"/>
          <w:lang w:val="en-US" w:eastAsia="zh-CN"/>
        </w:rPr>
        <w:t>市场</w:t>
      </w:r>
      <w:r>
        <w:rPr>
          <w:szCs w:val="32"/>
        </w:rPr>
        <w:t>监管资金</w:t>
      </w:r>
      <w:r>
        <w:rPr>
          <w:rFonts w:hint="eastAsia"/>
          <w:szCs w:val="32"/>
          <w:lang w:val="en-US" w:eastAsia="zh-CN"/>
        </w:rPr>
        <w:t>492.96</w:t>
      </w:r>
      <w:r>
        <w:rPr>
          <w:szCs w:val="32"/>
        </w:rPr>
        <w:t>万元</w:t>
      </w:r>
      <w:r>
        <w:rPr>
          <w:rFonts w:hint="eastAsia"/>
          <w:szCs w:val="32"/>
        </w:rPr>
        <w:t>，主要</w:t>
      </w:r>
      <w:r>
        <w:rPr>
          <w:rFonts w:hint="eastAsia"/>
          <w:szCs w:val="32"/>
          <w:lang w:val="en-US" w:eastAsia="zh-CN"/>
        </w:rPr>
        <w:t>包括一是信用监管，公平竞争审查评估，执法装备购置等支出；二是</w:t>
      </w:r>
      <w:r>
        <w:rPr>
          <w:rFonts w:hint="eastAsia"/>
          <w:szCs w:val="32"/>
        </w:rPr>
        <w:t>市场监管各业务线</w:t>
      </w:r>
      <w:r>
        <w:rPr>
          <w:rFonts w:hint="eastAsia"/>
          <w:szCs w:val="32"/>
          <w:lang w:val="en-US" w:eastAsia="zh-CN"/>
        </w:rPr>
        <w:t>日常监管、</w:t>
      </w:r>
      <w:r>
        <w:rPr>
          <w:rFonts w:hint="eastAsia"/>
          <w:szCs w:val="32"/>
        </w:rPr>
        <w:t>专项整治行动、培训、会议、</w:t>
      </w:r>
      <w:r>
        <w:rPr>
          <w:rFonts w:hint="eastAsia"/>
          <w:szCs w:val="32"/>
          <w:lang w:val="en-US" w:eastAsia="zh-CN"/>
        </w:rPr>
        <w:t>印刷、新闻</w:t>
      </w:r>
      <w:r>
        <w:rPr>
          <w:rFonts w:hint="eastAsia"/>
          <w:szCs w:val="32"/>
        </w:rPr>
        <w:t>宣传等方面支出</w:t>
      </w:r>
      <w:r>
        <w:rPr>
          <w:rFonts w:hint="eastAsia"/>
          <w:szCs w:val="32"/>
          <w:lang w:val="en-US" w:eastAsia="zh-CN"/>
        </w:rPr>
        <w:t>；三是消费质量合格测评、广告监管服务、网监分析服务、网络传销技术服务、执法办案律师代理等业务委托支出</w:t>
      </w:r>
      <w:r>
        <w:rPr>
          <w:rFonts w:hint="eastAsia"/>
          <w:szCs w:val="32"/>
        </w:rPr>
        <w:t>。</w:t>
      </w:r>
      <w:r>
        <w:rPr>
          <w:rFonts w:hint="default" w:ascii="Times New Roman" w:hAnsi="Times New Roman" w:eastAsia="仿宋_GB2312" w:cs="Times New Roman"/>
          <w:sz w:val="32"/>
          <w:szCs w:val="32"/>
          <w:lang w:val="en-US" w:eastAsia="zh-CN"/>
        </w:rPr>
        <w:t>2023年在全市继续推行企业开办首套印章免费送，全年共计免费赠送印章10257套，全年为企业节省576万余元</w:t>
      </w:r>
      <w:r>
        <w:rPr>
          <w:rFonts w:hint="eastAsia" w:ascii="Times New Roman" w:hAnsi="Times New Roman" w:cs="Times New Roman"/>
          <w:sz w:val="32"/>
          <w:szCs w:val="32"/>
          <w:lang w:val="en-US" w:eastAsia="zh-CN"/>
        </w:rPr>
        <w:t>。其中市本级免费赠送186套，节省10.83万元。</w:t>
      </w:r>
      <w:r>
        <w:rPr>
          <w:rFonts w:hint="eastAsia"/>
          <w:szCs w:val="32"/>
          <w:lang w:val="en-US" w:eastAsia="zh-CN"/>
        </w:rPr>
        <w:t>今年</w:t>
      </w:r>
      <w:r>
        <w:rPr>
          <w:rStyle w:val="17"/>
          <w:rFonts w:hint="default" w:ascii="Times New Roman" w:hAnsi="Times New Roman" w:eastAsia="仿宋_GB2312" w:cs="Times New Roman"/>
          <w:color w:val="000000"/>
          <w:sz w:val="32"/>
          <w:szCs w:val="32"/>
          <w:lang w:val="en-US" w:eastAsia="zh-CN"/>
        </w:rPr>
        <w:t>我局</w:t>
      </w:r>
      <w:r>
        <w:rPr>
          <w:rStyle w:val="17"/>
          <w:rFonts w:hint="default" w:ascii="Times New Roman" w:hAnsi="Times New Roman" w:eastAsia="仿宋_GB2312" w:cs="Times New Roman"/>
          <w:color w:val="000000"/>
          <w:sz w:val="32"/>
          <w:szCs w:val="32"/>
          <w:lang w:eastAsia="zh-CN"/>
        </w:rPr>
        <w:t>获全</w:t>
      </w:r>
      <w:r>
        <w:rPr>
          <w:rFonts w:hint="default" w:ascii="仿宋_GB2312" w:hAnsi="仿宋_GB2312" w:eastAsia="仿宋_GB2312" w:cs="仿宋_GB2312"/>
          <w:kern w:val="2"/>
          <w:sz w:val="32"/>
          <w:szCs w:val="32"/>
          <w:lang w:val="en-US" w:eastAsia="zh-CN" w:bidi="ar-SA"/>
        </w:rPr>
        <w:t>国“长江禁捕 打非断链”专项行动先进集体、“湖南省法治政府建设示范单位”</w:t>
      </w:r>
      <w:r>
        <w:rPr>
          <w:rFonts w:hint="default" w:ascii="Times New Roman" w:hAnsi="Times New Roman" w:eastAsia="仿宋_GB2312" w:cs="Times New Roman"/>
          <w:sz w:val="32"/>
          <w:szCs w:val="32"/>
          <w:lang w:val="en-US" w:eastAsia="zh-CN"/>
        </w:rPr>
        <w:t>。</w:t>
      </w:r>
      <w:r>
        <w:rPr>
          <w:rFonts w:hint="eastAsia" w:cs="Times New Roman"/>
          <w:sz w:val="32"/>
          <w:szCs w:val="32"/>
          <w:lang w:val="en-US" w:eastAsia="zh-CN"/>
        </w:rPr>
        <w:t>在</w:t>
      </w:r>
      <w:r>
        <w:rPr>
          <w:rFonts w:hint="default" w:ascii="Times New Roman" w:hAnsi="Times New Roman" w:eastAsia="仿宋_GB2312" w:cs="Times New Roman"/>
          <w:sz w:val="32"/>
          <w:szCs w:val="32"/>
          <w:shd w:val="clear" w:color="auto" w:fill="FFFFFF"/>
          <w:lang w:eastAsia="zh-CN"/>
        </w:rPr>
        <w:t>坚持讲政治</w:t>
      </w:r>
      <w:r>
        <w:rPr>
          <w:rFonts w:hint="default" w:ascii="Times New Roman" w:hAnsi="Times New Roman" w:eastAsia="仿宋_GB2312" w:cs="Times New Roman"/>
          <w:sz w:val="32"/>
          <w:szCs w:val="32"/>
          <w:shd w:val="clear" w:color="auto" w:fill="FFFFFF"/>
        </w:rPr>
        <w:t>、提质量、</w:t>
      </w:r>
      <w:r>
        <w:rPr>
          <w:rFonts w:hint="default" w:ascii="Times New Roman" w:hAnsi="Times New Roman" w:eastAsia="仿宋_GB2312" w:cs="Times New Roman"/>
          <w:sz w:val="32"/>
          <w:szCs w:val="32"/>
          <w:shd w:val="clear" w:color="auto" w:fill="FFFFFF"/>
          <w:lang w:eastAsia="zh-CN"/>
        </w:rPr>
        <w:t>强监管、促发展、保安全工作思</w:t>
      </w:r>
      <w:r>
        <w:rPr>
          <w:rFonts w:hint="default" w:ascii="仿宋_GB2312" w:hAnsi="仿宋_GB2312" w:eastAsia="仿宋_GB2312" w:cs="仿宋_GB2312"/>
          <w:kern w:val="2"/>
          <w:sz w:val="32"/>
          <w:szCs w:val="32"/>
          <w:lang w:val="en-US" w:eastAsia="zh-CN" w:bidi="ar-SA"/>
        </w:rPr>
        <w:t>路</w:t>
      </w:r>
      <w:r>
        <w:rPr>
          <w:rFonts w:hint="eastAsia" w:ascii="仿宋_GB2312" w:hAnsi="仿宋_GB2312" w:cs="仿宋_GB2312"/>
          <w:kern w:val="2"/>
          <w:sz w:val="32"/>
          <w:szCs w:val="32"/>
          <w:lang w:val="en-US" w:eastAsia="zh-CN" w:bidi="ar-SA"/>
        </w:rPr>
        <w:t>上</w:t>
      </w:r>
      <w:r>
        <w:rPr>
          <w:rFonts w:hint="default" w:ascii="仿宋_GB2312" w:hAnsi="仿宋_GB2312" w:eastAsia="仿宋_GB2312" w:cs="仿宋_GB2312"/>
          <w:kern w:val="2"/>
          <w:sz w:val="32"/>
          <w:szCs w:val="32"/>
          <w:lang w:val="en-US" w:eastAsia="zh-CN" w:bidi="ar-SA"/>
        </w:rPr>
        <w:t>，以“真抓</w:t>
      </w:r>
      <w:r>
        <w:rPr>
          <w:rFonts w:hint="default" w:ascii="Times New Roman" w:hAnsi="Times New Roman" w:eastAsia="仿宋_GB2312" w:cs="Times New Roman"/>
          <w:sz w:val="32"/>
          <w:szCs w:val="32"/>
        </w:rPr>
        <w:t>实干争国省先进、绩效考核争市级一类、其他</w:t>
      </w:r>
      <w:r>
        <w:rPr>
          <w:rFonts w:hint="default" w:ascii="仿宋_GB2312" w:hAnsi="仿宋_GB2312" w:eastAsia="仿宋_GB2312" w:cs="仿宋_GB2312"/>
          <w:kern w:val="2"/>
          <w:sz w:val="32"/>
          <w:szCs w:val="32"/>
          <w:lang w:val="en-US" w:eastAsia="zh-CN" w:bidi="ar-SA"/>
        </w:rPr>
        <w:t>工作争省市优秀、文明创建争国家单位”为</w:t>
      </w:r>
      <w:r>
        <w:rPr>
          <w:rFonts w:hint="default" w:ascii="Times New Roman" w:hAnsi="Times New Roman" w:eastAsia="仿宋_GB2312" w:cs="Times New Roman"/>
          <w:sz w:val="32"/>
          <w:szCs w:val="32"/>
        </w:rPr>
        <w:t>目标，</w:t>
      </w:r>
      <w:r>
        <w:rPr>
          <w:rFonts w:hint="default" w:ascii="Times New Roman" w:hAnsi="Times New Roman" w:eastAsia="仿宋_GB2312" w:cs="Times New Roman"/>
          <w:sz w:val="32"/>
          <w:szCs w:val="32"/>
          <w:lang w:val="en-US" w:eastAsia="zh-CN"/>
        </w:rPr>
        <w:t>推动</w:t>
      </w:r>
      <w:r>
        <w:rPr>
          <w:rFonts w:hint="default" w:ascii="Times New Roman" w:hAnsi="Times New Roman" w:eastAsia="仿宋_GB2312" w:cs="Times New Roman"/>
          <w:sz w:val="32"/>
          <w:szCs w:val="32"/>
          <w:lang w:eastAsia="zh-CN"/>
        </w:rPr>
        <w:t>工作迈上新台阶</w:t>
      </w:r>
      <w:r>
        <w:rPr>
          <w:rFonts w:hint="default" w:ascii="Times New Roman" w:hAnsi="Times New Roman" w:eastAsia="仿宋_GB2312" w:cs="Times New Roman"/>
          <w:sz w:val="32"/>
          <w:szCs w:val="32"/>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Times New Roman" w:hAnsi="Times New Roman" w:eastAsia="楷体_GB2312" w:cs="Times New Roman"/>
          <w:b/>
          <w:bCs/>
          <w:szCs w:val="32"/>
        </w:rPr>
      </w:pPr>
      <w:r>
        <w:rPr>
          <w:rFonts w:hint="eastAsia" w:ascii="楷体_GB2312" w:hAnsi="楷体_GB2312" w:eastAsia="楷体_GB2312" w:cs="楷体_GB2312"/>
          <w:b/>
          <w:color w:val="000000"/>
          <w:szCs w:val="32"/>
        </w:rPr>
        <w:t>（三）</w:t>
      </w:r>
      <w:r>
        <w:rPr>
          <w:rFonts w:hint="eastAsia" w:ascii="Times New Roman" w:hAnsi="Times New Roman" w:eastAsia="楷体_GB2312" w:cs="Times New Roman"/>
          <w:b/>
          <w:bCs/>
          <w:szCs w:val="32"/>
          <w:lang w:val="en-US" w:eastAsia="zh-CN"/>
        </w:rPr>
        <w:t>坚守药品安全底线</w:t>
      </w:r>
      <w:r>
        <w:rPr>
          <w:rFonts w:hint="eastAsia" w:eastAsia="楷体_GB2312" w:cs="Times New Roman"/>
          <w:b/>
          <w:bCs/>
          <w:szCs w:val="32"/>
          <w:lang w:val="en-US" w:eastAsia="zh-CN"/>
        </w:rPr>
        <w:t>，</w:t>
      </w:r>
      <w:r>
        <w:rPr>
          <w:rFonts w:hint="eastAsia" w:ascii="Times New Roman" w:hAnsi="Times New Roman" w:eastAsia="楷体_GB2312" w:cs="Times New Roman"/>
          <w:b/>
          <w:bCs/>
          <w:szCs w:val="32"/>
        </w:rPr>
        <w:t>药品安全监管</w:t>
      </w:r>
      <w:r>
        <w:rPr>
          <w:rFonts w:hint="eastAsia" w:ascii="Times New Roman" w:hAnsi="Times New Roman" w:eastAsia="楷体_GB2312" w:cs="Times New Roman"/>
          <w:b/>
          <w:bCs/>
          <w:szCs w:val="32"/>
          <w:lang w:eastAsia="zh-CN"/>
        </w:rPr>
        <w:t>取得新成效</w:t>
      </w:r>
      <w:r>
        <w:rPr>
          <w:rFonts w:hint="eastAsia" w:ascii="Times New Roman" w:hAnsi="Times New Roman" w:eastAsia="楷体_GB2312" w:cs="Times New Roman"/>
          <w:b/>
          <w:bCs/>
          <w:szCs w:val="32"/>
        </w:rPr>
        <w:t>。</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sz w:val="32"/>
          <w:szCs w:val="32"/>
          <w:lang w:val="en-US" w:eastAsia="zh-CN"/>
        </w:rPr>
        <w:t>一是严格</w:t>
      </w:r>
      <w:r>
        <w:rPr>
          <w:rFonts w:hint="eastAsia" w:ascii="仿宋" w:hAnsi="仿宋" w:eastAsia="仿宋" w:cs="仿宋"/>
          <w:b/>
          <w:sz w:val="32"/>
          <w:szCs w:val="32"/>
        </w:rPr>
        <w:t>药械化质量安全监管</w:t>
      </w:r>
      <w:r>
        <w:rPr>
          <w:rFonts w:hint="eastAsia" w:ascii="仿宋" w:hAnsi="仿宋" w:eastAsia="仿宋" w:cs="仿宋"/>
          <w:b/>
          <w:sz w:val="32"/>
          <w:szCs w:val="32"/>
          <w:lang w:eastAsia="zh-CN"/>
        </w:rPr>
        <w:t>。</w:t>
      </w:r>
      <w:r>
        <w:rPr>
          <w:rFonts w:hint="eastAsia" w:ascii="仿宋_GB2312" w:hAnsi="仿宋_GB2312" w:eastAsia="仿宋_GB2312" w:cs="仿宋_GB2312"/>
          <w:kern w:val="2"/>
          <w:sz w:val="32"/>
          <w:szCs w:val="32"/>
          <w:lang w:val="en-US" w:eastAsia="zh-CN" w:bidi="ar-SA"/>
        </w:rPr>
        <w:t>多维度主动服务，不断规范经营质量管理。市、县两级市场监管部门加强上下联动，坚持问题导向，通过组织培训、参观学习、线上沟通、上门指导、拟定经营质量管理体系模板等方式多维度主动服务，指导经营企业严格按照《医疗器械经营质量管理规范》要求，加强质量管理体系建设，完善质量管控措施，不断规范经营质量管理，提升服务质量水平，增强企业竞争力，为企业高质量可持续发展打下坚实基础，推动医疗健康产业稳定向好发展。</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sz w:val="32"/>
          <w:szCs w:val="32"/>
          <w:lang w:val="en-US" w:eastAsia="zh-CN"/>
        </w:rPr>
        <w:t>二是</w:t>
      </w:r>
      <w:r>
        <w:rPr>
          <w:rStyle w:val="17"/>
          <w:rFonts w:hint="eastAsia" w:ascii="仿宋_GB2312" w:hAnsi="仿宋_GB2312" w:eastAsia="仿宋_GB2312" w:cs="仿宋_GB2312"/>
          <w:b/>
          <w:bCs/>
          <w:color w:val="000000"/>
          <w:lang w:val="en-US" w:eastAsia="zh-CN"/>
        </w:rPr>
        <w:t>加大</w:t>
      </w:r>
      <w:r>
        <w:rPr>
          <w:rStyle w:val="17"/>
          <w:rFonts w:hint="eastAsia" w:ascii="仿宋_GB2312" w:hAnsi="仿宋_GB2312" w:eastAsia="仿宋_GB2312" w:cs="仿宋_GB2312"/>
          <w:b/>
          <w:bCs/>
          <w:color w:val="000000"/>
        </w:rPr>
        <w:t>宣传力度，</w:t>
      </w:r>
      <w:r>
        <w:rPr>
          <w:rStyle w:val="17"/>
          <w:rFonts w:hint="eastAsia" w:ascii="仿宋_GB2312" w:hAnsi="仿宋_GB2312" w:eastAsia="仿宋_GB2312" w:cs="仿宋_GB2312"/>
          <w:b/>
          <w:bCs/>
          <w:color w:val="000000"/>
          <w:lang w:val="en-US" w:eastAsia="zh-CN"/>
        </w:rPr>
        <w:t>提高用药安全意识。</w:t>
      </w:r>
      <w:r>
        <w:rPr>
          <w:rFonts w:hint="eastAsia" w:ascii="仿宋_GB2312" w:hAnsi="仿宋_GB2312" w:eastAsia="仿宋_GB2312" w:cs="仿宋_GB2312"/>
          <w:kern w:val="2"/>
          <w:sz w:val="32"/>
          <w:szCs w:val="32"/>
          <w:lang w:val="en-US" w:eastAsia="zh-CN" w:bidi="ar-SA"/>
        </w:rPr>
        <w:t>今年组织开展“全国医疗器械安全宣传周”活动。通过活动启动仪式、微信公众号医疗器械知识竞赛、电梯物联网终端播放（法规、常识）、媒体报道等宣传方式以及进社区、进小区、进医疗机构等现场活动，普及医疗器械法律法规和常识，增强市民的关注度、参与度、知晓度。化妆品安全科普宣传进校园，我局联合益阳市梵花芳香生物科技有限公司一同走进校园开展“安全用妆、共治共享”为主题的化妆品科普宣传，工作人员为学校师生送上了《化妆品监督管理条例》及安全用妆宣传材料，利用多媒体向孩子们讲解化妆品以及化妆品不良反应等相关知识，普及儿童化妆品安全使用知识。同时倡导文明健康绿色环保生活方式，科学护肤。</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sz w:val="32"/>
          <w:szCs w:val="32"/>
          <w:lang w:val="en-US" w:eastAsia="zh-CN"/>
        </w:rPr>
        <w:t>三是</w:t>
      </w:r>
      <w:r>
        <w:rPr>
          <w:rStyle w:val="17"/>
          <w:rFonts w:hint="eastAsia" w:ascii="仿宋_GB2312" w:hAnsi="仿宋_GB2312" w:eastAsia="仿宋_GB2312" w:cs="仿宋_GB2312"/>
          <w:b/>
          <w:bCs/>
          <w:color w:val="000000"/>
          <w:lang w:val="en-US" w:eastAsia="zh-CN"/>
        </w:rPr>
        <w:t>立足日常监测，不良反应发</w:t>
      </w:r>
      <w:r>
        <w:rPr>
          <w:rStyle w:val="17"/>
          <w:rFonts w:hint="eastAsia" w:ascii="仿宋_GB2312" w:hAnsi="仿宋_GB2312" w:eastAsia="仿宋_GB2312" w:cs="仿宋_GB2312"/>
          <w:b/>
          <w:bCs/>
          <w:color w:val="000000"/>
        </w:rPr>
        <w:t>挥行政监管权威作用。</w:t>
      </w:r>
      <w:r>
        <w:rPr>
          <w:rFonts w:hint="eastAsia" w:ascii="仿宋_GB2312" w:hAnsi="仿宋_GB2312" w:eastAsia="仿宋_GB2312" w:cs="仿宋_GB2312"/>
          <w:kern w:val="2"/>
          <w:sz w:val="32"/>
          <w:szCs w:val="32"/>
          <w:lang w:val="en-US" w:eastAsia="zh-CN" w:bidi="ar-SA"/>
        </w:rPr>
        <w:t>药械化不良反应监测以及时发现并指导安全风险点得到有效控制为落脚点。每月对监测数据进行综合分析，做出预警风险研判，并组织编写2023年度益阳市药品不良反应、医疗器械不良事件、化妆品不良反应、药物滥用监测分析报告书。为进一步提高我市药品不良反应、医疗器械不良事件、化妆品不良反应及药物滥用监测工作水平，保障用药安全，药品不良反应监测中心联合益阳市卫健委召开2023年度药械化不良反应监测工作推进暨业务培训会，该业务培训的重点为提升市中心本级及区县局监测队伍能力建设，提高监测人员技术水平。</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 w:cs="仿宋"/>
          <w:b/>
          <w:color w:val="auto"/>
          <w:sz w:val="32"/>
          <w:szCs w:val="32"/>
          <w:lang w:val="en-US" w:eastAsia="zh-CN" w:bidi="ar"/>
        </w:rPr>
        <w:t>四是</w:t>
      </w:r>
      <w:r>
        <w:rPr>
          <w:rFonts w:hint="eastAsia" w:ascii="仿宋" w:hAnsi="仿宋" w:eastAsia="仿宋" w:cs="仿宋"/>
          <w:b/>
          <w:color w:val="auto"/>
          <w:sz w:val="32"/>
          <w:szCs w:val="32"/>
          <w:lang w:bidi="ar"/>
        </w:rPr>
        <w:t>药械化抽检</w:t>
      </w:r>
      <w:r>
        <w:rPr>
          <w:rFonts w:hint="eastAsia" w:ascii="仿宋" w:hAnsi="仿宋" w:eastAsia="仿宋" w:cs="仿宋"/>
          <w:b/>
          <w:color w:val="auto"/>
          <w:sz w:val="32"/>
          <w:szCs w:val="32"/>
          <w:lang w:val="en-US" w:eastAsia="zh-CN" w:bidi="ar"/>
        </w:rPr>
        <w:t>任务顺利完成。</w:t>
      </w:r>
      <w:r>
        <w:rPr>
          <w:rFonts w:hint="eastAsia" w:ascii="仿宋_GB2312" w:hAnsi="仿宋_GB2312" w:eastAsia="仿宋_GB2312" w:cs="仿宋_GB2312"/>
          <w:kern w:val="2"/>
          <w:sz w:val="32"/>
          <w:szCs w:val="32"/>
          <w:lang w:val="en-US" w:eastAsia="zh-CN" w:bidi="ar-SA"/>
        </w:rPr>
        <w:t>结合省级“两品一械”监督抽检计划，针对承检品种检验标准，涉及检验项目的实际情况，计划和产出完成情况，今天完成药品抽验批次（国抽和省抽）65次，完成化妆品抽验批次（国抽和省抽）62次；完成医疗器械抽验批次（国抽和省抽）18次。完成药品检验批次160次，完成化妆品检验64次，100%完成各项抽检任务。在日常的检验工作中严格遵守各项廉洁自律纪律和保密规定，无违纪，无泄密事件发生。</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共使用药品医疗器械监管资金430.87万元，主要用于药械化质量安全监管、药械化不良反应监测、科普宣传应急、药械化抽验、稽查执法补助、药品专项整治。为了更好地保证目前药械化检验标准和检验技术的要求，今年食药检所购买了原子吸收光谱仪1台、高效液相色谱仪2台、显微镜1台，自动真空平行浓缩仪1台等高精尖端检测仪器。我局通过日常监测、专项活动、飞行检查等一系列行动，不断提升了药品监管水平、化妆品监管水平、医疗器械监管水平，结合市安全用药月、化妆品安全科普宣传周等活动，开展药械化安全科普宣传进企业、进社区、进学校活动，药品安全科普宣传体系得到不断完善，人民群众“两品一械”安全科普知识水平得到不断提高。今年我市</w:t>
      </w:r>
      <w:r>
        <w:rPr>
          <w:rFonts w:hint="default" w:ascii="仿宋_GB2312" w:hAnsi="仿宋_GB2312" w:eastAsia="仿宋_GB2312" w:cs="仿宋_GB2312"/>
          <w:kern w:val="2"/>
          <w:sz w:val="32"/>
          <w:szCs w:val="32"/>
          <w:lang w:val="en-US" w:eastAsia="zh-CN" w:bidi="ar-SA"/>
        </w:rPr>
        <w:t>药品安全考核获全省先进，排名全省第二。</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color w:val="000000"/>
          <w:szCs w:val="32"/>
        </w:rPr>
        <w:t>（四）</w:t>
      </w:r>
      <w:r>
        <w:rPr>
          <w:rFonts w:hint="eastAsia" w:ascii="楷体_GB2312" w:hAnsi="楷体_GB2312" w:eastAsia="楷体_GB2312" w:cs="楷体_GB2312"/>
          <w:b/>
          <w:bCs/>
          <w:spacing w:val="0"/>
          <w:sz w:val="32"/>
          <w:szCs w:val="32"/>
          <w:lang w:val="en-US" w:eastAsia="zh-CN"/>
        </w:rPr>
        <w:t>提质量、树品牌，质量强市取得新进展。</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b/>
          <w:bCs/>
          <w:color w:val="auto"/>
          <w:sz w:val="32"/>
          <w:szCs w:val="32"/>
          <w:u w:val="none"/>
        </w:rPr>
        <w:t>一是质量强市战略加快推进。</w:t>
      </w:r>
      <w:r>
        <w:rPr>
          <w:rFonts w:hint="default" w:ascii="仿宋_GB2312" w:hAnsi="仿宋_GB2312" w:eastAsia="仿宋_GB2312" w:cs="仿宋_GB2312"/>
          <w:kern w:val="2"/>
          <w:sz w:val="32"/>
          <w:szCs w:val="32"/>
          <w:lang w:val="en-US" w:eastAsia="zh-CN" w:bidi="ar-SA"/>
        </w:rPr>
        <w:t>积极培育和践行“质善质美 益美益阳”城市质量精神，市政府常务会专题研究部署质量强市工作，出台相关实施意见和考核方案。举办</w:t>
      </w:r>
      <w:r>
        <w:rPr>
          <w:rFonts w:hint="default" w:ascii="Times New Roman" w:hAnsi="Times New Roman" w:eastAsia="仿宋_GB2312" w:cs="Times New Roman"/>
          <w:kern w:val="2"/>
          <w:sz w:val="32"/>
          <w:szCs w:val="32"/>
          <w:lang w:val="en-US" w:eastAsia="zh-CN" w:bidi="ar-SA"/>
        </w:rPr>
        <w:t>2023年“</w:t>
      </w:r>
      <w:r>
        <w:rPr>
          <w:rFonts w:hint="default" w:ascii="仿宋_GB2312" w:hAnsi="仿宋_GB2312" w:eastAsia="仿宋_GB2312" w:cs="仿宋_GB2312"/>
          <w:kern w:val="2"/>
          <w:sz w:val="32"/>
          <w:szCs w:val="32"/>
          <w:lang w:val="en-US" w:eastAsia="zh-CN" w:bidi="ar-SA"/>
        </w:rPr>
        <w:t>质量月”活动</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邀请原国务院参事张纲在银城大讲堂作质量工作专题讲座。持续开展质量提升行动，全市产品质量、工程质量、服务质量、环境质量持续改善。省政府质量工作考核连续两年保持先进。</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Style w:val="17"/>
          <w:rFonts w:hint="default" w:ascii="Times New Roman" w:hAnsi="Times New Roman" w:eastAsia="仿宋_GB2312" w:cs="Times New Roman"/>
          <w:sz w:val="32"/>
          <w:szCs w:val="32"/>
        </w:rPr>
      </w:pPr>
      <w:r>
        <w:rPr>
          <w:rFonts w:hint="default" w:ascii="Times New Roman" w:hAnsi="Times New Roman" w:eastAsia="仿宋_GB2312" w:cs="Times New Roman"/>
          <w:b/>
          <w:bCs/>
          <w:color w:val="auto"/>
          <w:sz w:val="32"/>
          <w:szCs w:val="32"/>
          <w:u w:val="none"/>
        </w:rPr>
        <w:t>二是</w:t>
      </w:r>
      <w:r>
        <w:rPr>
          <w:rFonts w:hint="default" w:ascii="Times New Roman" w:hAnsi="Times New Roman" w:eastAsia="仿宋_GB2312" w:cs="Times New Roman"/>
          <w:b/>
          <w:bCs/>
          <w:color w:val="auto"/>
          <w:sz w:val="32"/>
          <w:szCs w:val="32"/>
          <w:u w:val="none"/>
          <w:lang w:eastAsia="zh-CN"/>
        </w:rPr>
        <w:t>质量基础日益夯实。</w:t>
      </w:r>
      <w:r>
        <w:rPr>
          <w:rFonts w:hint="default" w:ascii="Times New Roman" w:hAnsi="Times New Roman" w:eastAsia="仿宋_GB2312" w:cs="Times New Roman"/>
          <w:color w:val="000000"/>
          <w:kern w:val="0"/>
          <w:sz w:val="32"/>
          <w:szCs w:val="32"/>
          <w:lang w:val="en-US" w:eastAsia="zh-CN" w:bidi="ar-SA"/>
        </w:rPr>
        <w:t>积极申报筹建国家电容器质检中心，国家市场监管总局来益开展申报筹建现场调研。</w:t>
      </w:r>
      <w:r>
        <w:rPr>
          <w:rFonts w:hint="default" w:ascii="Times New Roman" w:hAnsi="Times New Roman" w:eastAsia="仿宋_GB2312" w:cs="Times New Roman"/>
          <w:color w:val="auto"/>
          <w:sz w:val="32"/>
          <w:szCs w:val="32"/>
          <w:u w:val="none"/>
          <w:lang w:eastAsia="zh-CN"/>
        </w:rPr>
        <w:t>安化</w:t>
      </w:r>
      <w:r>
        <w:rPr>
          <w:rFonts w:hint="default" w:ascii="Times New Roman" w:hAnsi="Times New Roman" w:eastAsia="仿宋_GB2312" w:cs="Times New Roman"/>
          <w:color w:val="auto"/>
          <w:sz w:val="32"/>
          <w:szCs w:val="32"/>
          <w:u w:val="none"/>
        </w:rPr>
        <w:t>融合国家现代农业产业园和黑茶5G智慧农业大数据中心建设，建成全省首批质量基础设</w:t>
      </w:r>
      <w:r>
        <w:rPr>
          <w:rFonts w:hint="default" w:ascii="仿宋_GB2312" w:hAnsi="仿宋_GB2312" w:eastAsia="仿宋_GB2312" w:cs="仿宋_GB2312"/>
          <w:kern w:val="2"/>
          <w:sz w:val="32"/>
          <w:szCs w:val="32"/>
          <w:lang w:val="en-US" w:eastAsia="zh-CN" w:bidi="ar-SA"/>
        </w:rPr>
        <w:t>施“一站式”服</w:t>
      </w:r>
      <w:r>
        <w:rPr>
          <w:rFonts w:hint="default" w:ascii="Times New Roman" w:hAnsi="Times New Roman" w:eastAsia="仿宋_GB2312" w:cs="Times New Roman"/>
          <w:color w:val="auto"/>
          <w:sz w:val="32"/>
          <w:szCs w:val="32"/>
          <w:u w:val="none"/>
        </w:rPr>
        <w:t>务平台。积极主导或参与制定国际标准、国家标准、行业标准、地方标准共265项</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创建国家级、省级、市级标准化试点示范项目共28个。</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持续</w:t>
      </w:r>
      <w:r>
        <w:rPr>
          <w:rFonts w:hint="default" w:ascii="仿宋_GB2312" w:hAnsi="仿宋_GB2312" w:eastAsia="仿宋_GB2312" w:cs="仿宋_GB2312"/>
          <w:kern w:val="2"/>
          <w:sz w:val="32"/>
          <w:szCs w:val="32"/>
          <w:lang w:val="en-US" w:eastAsia="zh-CN" w:bidi="ar-SA"/>
        </w:rPr>
        <w:t>以“一企多带”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模式开</w:t>
      </w:r>
      <w:r>
        <w:rPr>
          <w:rFonts w:hint="default" w:ascii="仿宋_GB2312" w:hAnsi="仿宋_GB2312" w:eastAsia="仿宋_GB2312" w:cs="仿宋_GB2312"/>
          <w:kern w:val="2"/>
          <w:sz w:val="32"/>
          <w:szCs w:val="32"/>
          <w:lang w:val="en-US" w:eastAsia="zh-CN" w:bidi="ar-SA"/>
        </w:rPr>
        <w:t>展“质量体检进企业”活动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，完善体检指标诊断体系，开出《企业质量体检报告》10份。</w:t>
      </w:r>
      <w:r>
        <w:rPr>
          <w:rFonts w:hint="default" w:ascii="Times New Roman" w:hAnsi="Times New Roman" w:eastAsia="仿宋_GB2312" w:cs="Times New Roman"/>
          <w:b w:val="0"/>
          <w:bCs/>
          <w:sz w:val="32"/>
          <w:szCs w:val="32"/>
          <w:lang w:val="en-US" w:eastAsia="zh-CN"/>
        </w:rPr>
        <w:t>对</w:t>
      </w:r>
      <w:r>
        <w:rPr>
          <w:rFonts w:hint="default" w:ascii="Times New Roman" w:hAnsi="Times New Roman" w:eastAsia="仿宋_GB2312" w:cs="Times New Roman"/>
          <w:b w:val="0"/>
          <w:bCs/>
          <w:color w:val="auto"/>
          <w:sz w:val="32"/>
          <w:szCs w:val="32"/>
          <w:lang w:val="en-US" w:eastAsia="zh-CN"/>
        </w:rPr>
        <w:t>26</w:t>
      </w:r>
      <w:r>
        <w:rPr>
          <w:rFonts w:hint="default" w:ascii="Times New Roman" w:hAnsi="Times New Roman" w:eastAsia="仿宋_GB2312" w:cs="Times New Roman"/>
          <w:b w:val="0"/>
          <w:bCs/>
          <w:sz w:val="32"/>
          <w:szCs w:val="32"/>
          <w:lang w:val="en-US" w:eastAsia="zh-CN"/>
        </w:rPr>
        <w:t>家生产许可证申办企业全部开展技术指导。</w:t>
      </w:r>
      <w:r>
        <w:rPr>
          <w:rFonts w:hint="default" w:ascii="Times New Roman" w:hAnsi="Times New Roman" w:eastAsia="仿宋_GB2312" w:cs="Times New Roman"/>
          <w:color w:val="000000"/>
          <w:kern w:val="2"/>
          <w:sz w:val="32"/>
          <w:szCs w:val="32"/>
          <w:lang w:val="en-US" w:eastAsia="zh-CN" w:bidi="ar-SA"/>
        </w:rPr>
        <w:t>强化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农资产品、烟花爆竹、成品油、燃气具产品、消防产品、建材产品和儿童学生用品监督检查，</w:t>
      </w:r>
      <w:r>
        <w:rPr>
          <w:rFonts w:hint="eastAsia" w:cs="Times New Roman"/>
          <w:sz w:val="32"/>
          <w:szCs w:val="32"/>
          <w:lang w:val="en-US" w:eastAsia="zh-CN"/>
        </w:rPr>
        <w:t>重点工业产商品抽检612批次，</w:t>
      </w:r>
      <w:r>
        <w:rPr>
          <w:rFonts w:hint="default" w:ascii="Times New Roman" w:hAnsi="Times New Roman" w:eastAsia="仿宋_GB2312" w:cs="Times New Roman"/>
          <w:color w:val="000000"/>
          <w:kern w:val="2"/>
          <w:sz w:val="32"/>
          <w:szCs w:val="32"/>
          <w:lang w:val="en-US" w:eastAsia="zh-CN" w:bidi="ar-SA"/>
        </w:rPr>
        <w:t>全市工业产品质量状况保持稳定，抽检合格率达97.5%。</w:t>
      </w:r>
      <w:r>
        <w:rPr>
          <w:rStyle w:val="17"/>
          <w:rFonts w:hint="default" w:ascii="Times New Roman" w:hAnsi="Times New Roman" w:eastAsia="仿宋_GB2312" w:cs="Times New Roman"/>
          <w:sz w:val="32"/>
          <w:szCs w:val="32"/>
          <w:lang w:eastAsia="zh-CN"/>
        </w:rPr>
        <w:t>全市未发生市场监管领域一般</w:t>
      </w:r>
      <w:r>
        <w:rPr>
          <w:rStyle w:val="17"/>
          <w:rFonts w:hint="default" w:ascii="Times New Roman" w:hAnsi="Times New Roman" w:eastAsia="仿宋_GB2312" w:cs="Times New Roman"/>
          <w:sz w:val="32"/>
          <w:szCs w:val="32"/>
        </w:rPr>
        <w:t>以上安全事故。</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
          <w:bCs/>
          <w:color w:val="auto"/>
          <w:sz w:val="32"/>
          <w:szCs w:val="32"/>
          <w:u w:val="none"/>
        </w:rPr>
        <w:t>三是品牌建设扎实推进。</w:t>
      </w:r>
      <w:r>
        <w:rPr>
          <w:rFonts w:hint="default" w:ascii="Times New Roman" w:hAnsi="Times New Roman" w:eastAsia="仿宋_GB2312" w:cs="Times New Roman"/>
          <w:kern w:val="2"/>
          <w:sz w:val="32"/>
          <w:szCs w:val="32"/>
          <w:lang w:val="en-US" w:eastAsia="zh-CN" w:bidi="ar-SA"/>
        </w:rPr>
        <w:t>培育了电容器、PCB、安化黑茶、沅江芦笋、南县稻虾米、大通湖大闸蟹等特色品牌。全市拥有省长质量奖１个，市长质量奖15个，</w:t>
      </w:r>
      <w:r>
        <w:rPr>
          <w:rFonts w:hint="default" w:ascii="Times New Roman" w:hAnsi="Times New Roman" w:eastAsia="仿宋_GB2312" w:cs="Times New Roman"/>
          <w:b w:val="0"/>
          <w:bCs w:val="0"/>
          <w:color w:val="000000"/>
          <w:sz w:val="32"/>
          <w:szCs w:val="32"/>
          <w:highlight w:val="none"/>
          <w:lang w:val="en-US" w:eastAsia="zh-CN"/>
        </w:rPr>
        <w:t>县市</w:t>
      </w:r>
      <w:r>
        <w:rPr>
          <w:rFonts w:hint="default" w:ascii="Times New Roman" w:hAnsi="Times New Roman" w:eastAsia="仿宋_GB2312" w:cs="Times New Roman"/>
          <w:kern w:val="2"/>
          <w:sz w:val="32"/>
          <w:szCs w:val="32"/>
          <w:lang w:val="en-US" w:eastAsia="zh-CN" w:bidi="ar-SA"/>
        </w:rPr>
        <w:t>区</w:t>
      </w:r>
      <w:r>
        <w:rPr>
          <w:rFonts w:hint="default" w:ascii="Times New Roman" w:hAnsi="Times New Roman" w:eastAsia="仿宋_GB2312" w:cs="Times New Roman"/>
          <w:b w:val="0"/>
          <w:bCs w:val="0"/>
          <w:color w:val="000000"/>
          <w:sz w:val="32"/>
          <w:szCs w:val="32"/>
          <w:highlight w:val="none"/>
          <w:lang w:val="en-US" w:eastAsia="zh-CN"/>
        </w:rPr>
        <w:t>质量奖评选全覆盖。全省首批</w:t>
      </w:r>
      <w:r>
        <w:rPr>
          <w:rFonts w:hint="default" w:ascii="仿宋_GB2312" w:hAnsi="仿宋_GB2312" w:eastAsia="仿宋_GB2312" w:cs="仿宋_GB2312"/>
          <w:kern w:val="2"/>
          <w:sz w:val="32"/>
          <w:szCs w:val="32"/>
          <w:lang w:val="en-US" w:eastAsia="zh-CN" w:bidi="ar-SA"/>
        </w:rPr>
        <w:t>“湖南名品”评</w:t>
      </w:r>
      <w:r>
        <w:rPr>
          <w:rFonts w:hint="default" w:ascii="Times New Roman" w:hAnsi="Times New Roman" w:eastAsia="仿宋_GB2312" w:cs="Times New Roman"/>
          <w:b w:val="0"/>
          <w:bCs w:val="0"/>
          <w:color w:val="000000"/>
          <w:sz w:val="32"/>
          <w:szCs w:val="32"/>
          <w:highlight w:val="none"/>
          <w:lang w:val="en-US" w:eastAsia="zh-CN"/>
        </w:rPr>
        <w:t>选，益阳有5家企业成功获评。</w:t>
      </w:r>
      <w:r>
        <w:rPr>
          <w:rFonts w:hint="default" w:ascii="Times New Roman" w:hAnsi="Times New Roman" w:eastAsia="仿宋_GB2312" w:cs="Times New Roman"/>
          <w:color w:val="auto"/>
          <w:sz w:val="32"/>
          <w:szCs w:val="32"/>
          <w:u w:val="none"/>
        </w:rPr>
        <w:t>安化黑茶入选全国商标品牌建设优秀案例</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Regular" w:hAnsi="Times New Roman Regular" w:eastAsia="仿宋_GB2312" w:cs="Times New Roman Regular"/>
          <w:b w:val="0"/>
          <w:color w:val="000000" w:themeColor="text1"/>
          <w:sz w:val="32"/>
          <w:szCs w:val="32"/>
          <w14:textFill>
            <w14:solidFill>
              <w14:schemeClr w14:val="tx1"/>
            </w14:solidFill>
          </w14:textFill>
        </w:rPr>
      </w:pPr>
      <w:r>
        <w:rPr>
          <w:rFonts w:hint="eastAsia" w:ascii="Times New Roman Regular" w:hAnsi="Times New Roman Regular" w:cs="Times New Roman Regular"/>
          <w:b/>
          <w:bCs/>
          <w:color w:val="000000" w:themeColor="text1"/>
          <w:kern w:val="2"/>
          <w:sz w:val="32"/>
          <w:szCs w:val="32"/>
          <w:lang w:val="en-US" w:eastAsia="zh-CN"/>
          <w14:textFill>
            <w14:solidFill>
              <w14:schemeClr w14:val="tx1"/>
            </w14:solidFill>
          </w14:textFill>
        </w:rPr>
        <w:t>四</w:t>
      </w:r>
      <w:r>
        <w:rPr>
          <w:rFonts w:hint="default" w:ascii="Times New Roman Regular" w:hAnsi="Times New Roman Regular" w:eastAsia="仿宋_GB2312" w:cs="Times New Roman Regular"/>
          <w:b/>
          <w:bCs/>
          <w:color w:val="000000" w:themeColor="text1"/>
          <w:kern w:val="2"/>
          <w:sz w:val="32"/>
          <w:szCs w:val="32"/>
          <w:lang w:val="en-US" w:eastAsia="zh-CN"/>
          <w14:textFill>
            <w14:solidFill>
              <w14:schemeClr w14:val="tx1"/>
            </w14:solidFill>
          </w14:textFill>
        </w:rPr>
        <w:t>是</w:t>
      </w:r>
      <w:r>
        <w:rPr>
          <w:rFonts w:hint="default" w:ascii="Times New Roman Regular" w:hAnsi="Times New Roman Regular" w:cs="Times New Roman Regular"/>
          <w:b/>
          <w:bCs/>
          <w:color w:val="000000" w:themeColor="text1"/>
          <w:kern w:val="2"/>
          <w:sz w:val="32"/>
          <w:szCs w:val="32"/>
          <w:lang w:val="en-US" w:eastAsia="zh-CN"/>
          <w14:textFill>
            <w14:solidFill>
              <w14:schemeClr w14:val="tx1"/>
            </w14:solidFill>
          </w14:textFill>
        </w:rPr>
        <w:t>完善计量制度，强化计量监管。</w:t>
      </w:r>
      <w:r>
        <w:rPr>
          <w:rFonts w:hint="default" w:ascii="Times New Roman Regular" w:hAnsi="Times New Roman Regular" w:eastAsia="仿宋_GB2312" w:cs="Times New Roman Regular"/>
          <w:b w:val="0"/>
          <w:color w:val="000000" w:themeColor="text1"/>
          <w:kern w:val="2"/>
          <w:sz w:val="32"/>
          <w:szCs w:val="32"/>
          <w:lang w:val="en-US" w:eastAsia="zh-CN"/>
          <w14:textFill>
            <w14:solidFill>
              <w14:schemeClr w14:val="tx1"/>
            </w14:solidFill>
          </w14:textFill>
        </w:rPr>
        <w:t>建设</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8项社会公用计量标准并开展检定</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包括</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电动汽车交流充电桩检定</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装备</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、电动汽车直流充电机检定装置、天平检定装置、耐压测试仪检定装置、接地导通电阻测试仪检定装置等。强制检定工作计量器具（除民用三表外）已全部实行网上预约申请，</w:t>
      </w:r>
      <w:r>
        <w:rPr>
          <w:rFonts w:hint="eastAsia" w:ascii="Times New Roman Regular" w:hAnsi="Times New Roman Regular" w:cs="Times New Roman Regular"/>
          <w:color w:val="000000" w:themeColor="text1"/>
          <w:sz w:val="32"/>
          <w:szCs w:val="32"/>
          <w:lang w:val="en-US" w:eastAsia="zh-CN"/>
          <w14:textFill>
            <w14:solidFill>
              <w14:schemeClr w14:val="tx1"/>
            </w14:solidFill>
          </w14:textFill>
        </w:rPr>
        <w:t>今年</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共有23246台（件）通过强检系统完成了预约检定，全年共完成92050台（件）各类计量器具强制检定。</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cs="Times New Roman"/>
          <w:b/>
          <w:bCs/>
          <w:sz w:val="32"/>
          <w:szCs w:val="32"/>
          <w:lang w:val="en-US" w:eastAsia="zh-CN"/>
        </w:rPr>
        <w:t>五</w:t>
      </w:r>
      <w:r>
        <w:rPr>
          <w:rFonts w:hint="default" w:ascii="Times New Roman" w:hAnsi="Times New Roman" w:eastAsia="仿宋_GB2312" w:cs="Times New Roman"/>
          <w:b/>
          <w:bCs/>
          <w:sz w:val="32"/>
          <w:szCs w:val="32"/>
          <w:lang w:val="en-US" w:eastAsia="zh-CN"/>
        </w:rPr>
        <w:t>是严格特种设备安全监管。</w:t>
      </w:r>
      <w:r>
        <w:rPr>
          <w:rFonts w:hint="default" w:ascii="Times New Roman" w:hAnsi="Times New Roman" w:eastAsia="仿宋_GB2312" w:cs="Times New Roman"/>
          <w:b w:val="0"/>
          <w:bCs w:val="0"/>
          <w:sz w:val="32"/>
          <w:szCs w:val="32"/>
          <w:lang w:val="en-US" w:eastAsia="zh-CN"/>
        </w:rPr>
        <w:t>推</w:t>
      </w:r>
      <w:r>
        <w:rPr>
          <w:rFonts w:hint="default" w:ascii="仿宋_GB2312" w:hAnsi="仿宋_GB2312" w:eastAsia="仿宋_GB2312" w:cs="仿宋_GB2312"/>
          <w:kern w:val="2"/>
          <w:sz w:val="32"/>
          <w:szCs w:val="32"/>
          <w:lang w:val="en-US" w:eastAsia="zh-CN" w:bidi="ar-SA"/>
        </w:rPr>
        <w:t>进“特种设备企业主体责任推进年”活动，组织开展小型锅炉、高</w:t>
      </w:r>
      <w:r>
        <w:rPr>
          <w:rFonts w:hint="default" w:ascii="Times New Roman" w:hAnsi="Times New Roman" w:eastAsia="仿宋_GB2312" w:cs="Times New Roman"/>
          <w:b w:val="0"/>
          <w:bCs w:val="0"/>
          <w:sz w:val="32"/>
          <w:szCs w:val="32"/>
          <w:lang w:val="en-US" w:eastAsia="zh-CN"/>
        </w:rPr>
        <w:t>压气瓶、压力管道、客运架空索道、医用氧舱等安全专项整治，</w:t>
      </w:r>
      <w:r>
        <w:rPr>
          <w:rFonts w:hint="default" w:ascii="Times New Roman" w:hAnsi="Times New Roman" w:eastAsia="仿宋_GB2312" w:cs="Times New Roman"/>
          <w:sz w:val="32"/>
          <w:szCs w:val="32"/>
          <w:lang w:val="en-US" w:eastAsia="zh-CN"/>
        </w:rPr>
        <w:t>检查特种设备使用单位2126家，下达安全监察指令518份，</w:t>
      </w:r>
      <w:r>
        <w:rPr>
          <w:rFonts w:hint="default" w:ascii="Times New Roman" w:hAnsi="Times New Roman" w:eastAsia="仿宋_GB2312" w:cs="Times New Roman"/>
          <w:sz w:val="32"/>
          <w:szCs w:val="32"/>
          <w:lang w:eastAsia="zh-CN"/>
        </w:rPr>
        <w:t>立案</w:t>
      </w:r>
      <w:r>
        <w:rPr>
          <w:rFonts w:hint="default" w:ascii="Times New Roman" w:hAnsi="Times New Roman" w:eastAsia="仿宋_GB2312" w:cs="Times New Roman"/>
          <w:sz w:val="32"/>
          <w:szCs w:val="32"/>
          <w:lang w:val="en-US" w:eastAsia="zh-CN"/>
        </w:rPr>
        <w:t>197起，封停设备12台，媒体公开曝光案例</w:t>
      </w:r>
      <w:r>
        <w:rPr>
          <w:rFonts w:hint="default" w:ascii="Times New Roman" w:hAnsi="Times New Roman" w:eastAsia="仿宋_GB2312" w:cs="Times New Roman"/>
          <w:sz w:val="32"/>
          <w:szCs w:val="32"/>
          <w:lang w:val="en" w:eastAsia="zh-CN"/>
        </w:rPr>
        <w:t>4</w:t>
      </w:r>
      <w:r>
        <w:rPr>
          <w:rFonts w:hint="default" w:ascii="Times New Roman" w:hAnsi="Times New Roman" w:eastAsia="仿宋_GB2312" w:cs="Times New Roman"/>
          <w:sz w:val="32"/>
          <w:szCs w:val="32"/>
          <w:lang w:val="en-US" w:eastAsia="zh-CN"/>
        </w:rPr>
        <w:t>8起。</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升级电梯应急救援处置服务平台和气瓶智慧监管平台，在用电梯信息化监管率</w:t>
      </w:r>
      <w:r>
        <w:rPr>
          <w:rFonts w:hint="default" w:ascii="Times New Roman" w:hAnsi="Times New Roman" w:eastAsia="仿宋_GB2312" w:cs="Times New Roman"/>
          <w:color w:val="000000"/>
          <w:sz w:val="32"/>
          <w:szCs w:val="32"/>
          <w:lang w:val="en-US" w:eastAsia="zh-CN"/>
        </w:rPr>
        <w:t>92%，78家气瓶充装单位120多</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万只气瓶在全省率先实现质量安全追溯管理。</w:t>
      </w:r>
      <w:r>
        <w:rPr>
          <w:rFonts w:hint="default" w:ascii="Times New Roman" w:hAnsi="Times New Roman" w:eastAsia="仿宋_GB2312" w:cs="Times New Roman"/>
          <w:color w:val="000000"/>
          <w:sz w:val="32"/>
          <w:szCs w:val="32"/>
          <w:lang w:val="en-US" w:eastAsia="zh-CN"/>
        </w:rPr>
        <w:t>全市13069台</w:t>
      </w:r>
      <w:r>
        <w:rPr>
          <w:rFonts w:hint="default" w:ascii="Times New Roman" w:hAnsi="Times New Roman" w:eastAsia="仿宋_GB2312" w:cs="Times New Roman"/>
          <w:sz w:val="32"/>
          <w:szCs w:val="32"/>
          <w:lang w:val="en-US" w:eastAsia="zh-CN"/>
        </w:rPr>
        <w:t>在用电梯实现了无纸化维保，覆盖率达98%</w:t>
      </w:r>
      <w:r>
        <w:rPr>
          <w:rFonts w:hint="default" w:ascii="Times New Roman" w:hAnsi="Times New Roman" w:eastAsia="仿宋_GB2312" w:cs="Times New Roman"/>
          <w:color w:val="000000"/>
          <w:sz w:val="32"/>
          <w:szCs w:val="32"/>
          <w:lang w:val="en-US" w:eastAsia="zh-CN"/>
        </w:rPr>
        <w:t>。全市69家特种</w:t>
      </w:r>
      <w:r>
        <w:rPr>
          <w:rFonts w:hint="default" w:ascii="Times New Roman" w:hAnsi="Times New Roman" w:eastAsia="仿宋_GB2312" w:cs="Times New Roman"/>
          <w:sz w:val="32"/>
          <w:szCs w:val="32"/>
          <w:lang w:val="en-US" w:eastAsia="zh-CN"/>
        </w:rPr>
        <w:t>设备重点单位全面开展风险分级管控和隐患排查治理双重预防机制创建。</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Times New Roman" w:hAnsi="Times New Roman" w:eastAsia="仿宋_GB2312" w:cs="Times New Roman"/>
          <w:color w:val="000000"/>
          <w:spacing w:val="0"/>
          <w:kern w:val="0"/>
          <w:sz w:val="32"/>
          <w:szCs w:val="32"/>
          <w:lang w:eastAsia="zh-CN"/>
        </w:rPr>
        <w:t>202</w:t>
      </w:r>
      <w:r>
        <w:rPr>
          <w:rFonts w:hint="eastAsia" w:cs="Times New Roman"/>
          <w:color w:val="000000"/>
          <w:spacing w:val="0"/>
          <w:kern w:val="0"/>
          <w:sz w:val="32"/>
          <w:szCs w:val="32"/>
          <w:lang w:val="en-US" w:eastAsia="zh-CN"/>
        </w:rPr>
        <w:t>3</w:t>
      </w:r>
      <w:r>
        <w:rPr>
          <w:rFonts w:hint="eastAsia" w:ascii="Times New Roman" w:hAnsi="Times New Roman" w:eastAsia="仿宋_GB2312" w:cs="Times New Roman"/>
          <w:color w:val="000000"/>
          <w:spacing w:val="0"/>
          <w:kern w:val="0"/>
          <w:sz w:val="32"/>
          <w:szCs w:val="32"/>
          <w:lang w:eastAsia="zh-CN"/>
        </w:rPr>
        <w:t>年</w:t>
      </w:r>
      <w:r>
        <w:rPr>
          <w:rFonts w:hint="eastAsia" w:ascii="Times New Roman" w:hAnsi="Times New Roman" w:eastAsia="仿宋_GB2312" w:cs="Times New Roman"/>
          <w:color w:val="000000"/>
          <w:spacing w:val="0"/>
          <w:kern w:val="0"/>
          <w:sz w:val="32"/>
          <w:szCs w:val="32"/>
        </w:rPr>
        <w:t>共使用质量监管专项</w:t>
      </w:r>
      <w:r>
        <w:rPr>
          <w:rFonts w:hint="eastAsia" w:cs="Times New Roman"/>
          <w:color w:val="000000"/>
          <w:spacing w:val="0"/>
          <w:kern w:val="0"/>
          <w:sz w:val="32"/>
          <w:szCs w:val="32"/>
          <w:lang w:val="en-US" w:eastAsia="zh-CN"/>
        </w:rPr>
        <w:t>493.1</w:t>
      </w:r>
      <w:r>
        <w:rPr>
          <w:rFonts w:hint="eastAsia" w:ascii="Times New Roman" w:hAnsi="Times New Roman" w:eastAsia="仿宋_GB2312" w:cs="Times New Roman"/>
          <w:color w:val="000000"/>
          <w:spacing w:val="0"/>
          <w:kern w:val="0"/>
          <w:sz w:val="32"/>
          <w:szCs w:val="32"/>
        </w:rPr>
        <w:t>万</w:t>
      </w:r>
      <w:r>
        <w:rPr>
          <w:rFonts w:hint="eastAsia" w:ascii="仿宋_GB2312" w:hAnsi="仿宋_GB2312" w:eastAsia="仿宋_GB2312" w:cs="仿宋_GB2312"/>
          <w:szCs w:val="32"/>
        </w:rPr>
        <w:t>元，产商品质量安全抽检、</w:t>
      </w:r>
      <w:r>
        <w:rPr>
          <w:rFonts w:hint="eastAsia" w:ascii="仿宋_GB2312" w:hAnsi="仿宋_GB2312" w:eastAsia="仿宋_GB2312" w:cs="仿宋_GB2312"/>
          <w:szCs w:val="32"/>
          <w:lang w:val="en-US" w:eastAsia="zh-CN"/>
        </w:rPr>
        <w:t>全省质量月启动仪式活动</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eastAsia="zh-CN"/>
        </w:rPr>
        <w:t>质量大讲堂、</w:t>
      </w:r>
      <w:r>
        <w:rPr>
          <w:rFonts w:hint="eastAsia" w:ascii="仿宋_GB2312" w:hAnsi="仿宋_GB2312" w:eastAsia="仿宋_GB2312" w:cs="仿宋_GB2312"/>
          <w:szCs w:val="32"/>
        </w:rPr>
        <w:t>市长质量奖评审、特种设备</w:t>
      </w:r>
      <w:r>
        <w:rPr>
          <w:rFonts w:hint="eastAsia" w:ascii="仿宋_GB2312" w:hAnsi="仿宋_GB2312" w:eastAsia="仿宋_GB2312" w:cs="仿宋_GB2312"/>
          <w:szCs w:val="32"/>
          <w:lang w:val="en-US" w:eastAsia="zh-CN"/>
        </w:rPr>
        <w:t>维护和</w:t>
      </w:r>
      <w:r>
        <w:rPr>
          <w:rFonts w:hint="eastAsia" w:ascii="仿宋_GB2312" w:hAnsi="仿宋_GB2312" w:eastAsia="仿宋_GB2312" w:cs="仿宋_GB2312"/>
          <w:szCs w:val="32"/>
        </w:rPr>
        <w:t>应急救援服务、认证与认可监管，计量、标准化等方面支出</w:t>
      </w:r>
      <w:r>
        <w:rPr>
          <w:rFonts w:hint="eastAsia" w:ascii="仿宋_GB2312" w:hAnsi="仿宋_GB2312" w:cs="仿宋_GB2312"/>
          <w:szCs w:val="32"/>
          <w:lang w:eastAsia="zh-CN"/>
        </w:rPr>
        <w:t>，</w:t>
      </w:r>
      <w:r>
        <w:rPr>
          <w:rFonts w:hint="eastAsia" w:ascii="仿宋_GB2312" w:hAnsi="仿宋_GB2312" w:cs="仿宋_GB2312"/>
          <w:szCs w:val="32"/>
          <w:lang w:val="en-US" w:eastAsia="zh-CN"/>
        </w:rPr>
        <w:t>今年计量所还购置了电动汽车非车载充电机检定装置和综合验光仪检测装置等设备，共计159.71万元，做到了强检计量器具网上预约申报率全省第一，计量民生服务满意度持续增长</w:t>
      </w:r>
      <w:r>
        <w:rPr>
          <w:rFonts w:hint="eastAsia" w:ascii="仿宋_GB2312" w:hAnsi="仿宋_GB2312" w:eastAsia="仿宋_GB2312" w:cs="仿宋_GB2312"/>
          <w:szCs w:val="32"/>
        </w:rPr>
        <w:t>。</w:t>
      </w:r>
      <w:r>
        <w:rPr>
          <w:rFonts w:hint="eastAsia" w:ascii="仿宋_GB2312" w:hAnsi="仿宋_GB2312" w:cs="仿宋_GB2312"/>
          <w:szCs w:val="32"/>
          <w:lang w:val="en-US" w:eastAsia="zh-CN"/>
        </w:rPr>
        <w:t>质量监管</w:t>
      </w:r>
      <w:r>
        <w:rPr>
          <w:rFonts w:hint="eastAsia" w:ascii="仿宋_GB2312" w:hAnsi="仿宋_GB2312" w:eastAsia="仿宋_GB2312" w:cs="仿宋_GB2312"/>
          <w:szCs w:val="32"/>
        </w:rPr>
        <w:t>工作以争先创优的决心完成，在深化质量管理改革创新、深入推进质量提升行动、强化质量基础“一站式”服务、推动“益阳产品”向“益阳品牌”跨越、推动制造产业向价值链中高端跃升上跨出了新台阶。</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（五）</w:t>
      </w:r>
      <w:r>
        <w:rPr>
          <w:rFonts w:hint="eastAsia" w:ascii="楷体_GB2312" w:hAnsi="楷体_GB2312" w:eastAsia="楷体_GB2312" w:cs="楷体_GB2312"/>
          <w:b/>
          <w:color w:val="000000"/>
          <w:szCs w:val="32"/>
          <w:lang w:val="en-US" w:eastAsia="zh-CN"/>
        </w:rPr>
        <w:t>严格落实</w:t>
      </w:r>
      <w:r>
        <w:rPr>
          <w:rFonts w:hint="eastAsia" w:ascii="楷体_GB2312" w:hAnsi="楷体_GB2312" w:eastAsia="楷体_GB2312" w:cs="楷体_GB2312"/>
          <w:b/>
          <w:color w:val="000000"/>
          <w:szCs w:val="32"/>
          <w:lang w:eastAsia="zh-CN"/>
        </w:rPr>
        <w:t>“</w:t>
      </w:r>
      <w:r>
        <w:rPr>
          <w:rFonts w:hint="eastAsia" w:ascii="楷体_GB2312" w:hAnsi="楷体_GB2312" w:eastAsia="楷体_GB2312" w:cs="楷体_GB2312"/>
          <w:b/>
          <w:color w:val="000000"/>
          <w:szCs w:val="32"/>
          <w:lang w:val="en-US" w:eastAsia="zh-CN"/>
        </w:rPr>
        <w:t>四个最严</w:t>
      </w:r>
      <w:r>
        <w:rPr>
          <w:rFonts w:hint="eastAsia" w:ascii="楷体_GB2312" w:hAnsi="楷体_GB2312" w:eastAsia="楷体_GB2312" w:cs="楷体_GB2312"/>
          <w:b/>
          <w:color w:val="000000"/>
          <w:szCs w:val="32"/>
          <w:lang w:eastAsia="zh-CN"/>
        </w:rPr>
        <w:t>”</w:t>
      </w:r>
      <w:r>
        <w:rPr>
          <w:rFonts w:hint="eastAsia" w:ascii="楷体_GB2312" w:hAnsi="楷体_GB2312" w:eastAsia="楷体_GB2312" w:cs="楷体_GB2312"/>
          <w:b/>
          <w:color w:val="000000"/>
          <w:szCs w:val="32"/>
          <w:lang w:val="en-US" w:eastAsia="zh-CN"/>
        </w:rPr>
        <w:t>要求</w:t>
      </w:r>
      <w:r>
        <w:rPr>
          <w:rFonts w:hint="eastAsia" w:ascii="楷体_GB2312" w:hAnsi="楷体_GB2312" w:eastAsia="楷体_GB2312" w:cs="楷体_GB2312"/>
          <w:b/>
          <w:color w:val="000000"/>
          <w:szCs w:val="32"/>
        </w:rPr>
        <w:t>，</w:t>
      </w:r>
      <w:r>
        <w:rPr>
          <w:rFonts w:hint="eastAsia" w:ascii="楷体_GB2312" w:hAnsi="楷体_GB2312" w:eastAsia="楷体_GB2312" w:cs="楷体_GB2312"/>
          <w:b/>
          <w:color w:val="000000"/>
          <w:szCs w:val="32"/>
          <w:lang w:eastAsia="zh-CN"/>
        </w:rPr>
        <w:t>食品安全</w:t>
      </w:r>
      <w:r>
        <w:rPr>
          <w:rFonts w:hint="eastAsia" w:ascii="楷体_GB2312" w:hAnsi="楷体_GB2312" w:eastAsia="楷体_GB2312" w:cs="楷体_GB2312"/>
          <w:b/>
          <w:color w:val="000000"/>
          <w:szCs w:val="32"/>
          <w:lang w:val="en-US" w:eastAsia="zh-CN"/>
        </w:rPr>
        <w:t>新巩固</w:t>
      </w:r>
      <w:r>
        <w:rPr>
          <w:rFonts w:hint="eastAsia" w:ascii="楷体_GB2312" w:hAnsi="楷体_GB2312" w:eastAsia="楷体_GB2312" w:cs="楷体_GB2312"/>
          <w:b/>
          <w:color w:val="000000"/>
          <w:szCs w:val="32"/>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黑体" w:eastAsia="仿宋_GB2312" w:cs="黑体"/>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持续</w:t>
      </w:r>
      <w:r>
        <w:rPr>
          <w:rFonts w:hint="eastAsia" w:ascii="Times New Roman" w:hAnsi="Times New Roman" w:cs="Times New Roman"/>
          <w:sz w:val="32"/>
          <w:szCs w:val="32"/>
          <w:lang w:val="en-US" w:eastAsia="zh-CN"/>
        </w:rPr>
        <w:t>推进</w:t>
      </w:r>
      <w:r>
        <w:rPr>
          <w:rFonts w:hint="eastAsia" w:ascii="Times New Roman" w:hAnsi="Times New Roman" w:eastAsia="仿宋_GB2312" w:cs="Times New Roman"/>
          <w:sz w:val="32"/>
          <w:szCs w:val="32"/>
          <w:lang w:val="en-US" w:eastAsia="zh-CN"/>
        </w:rPr>
        <w:t>各项</w:t>
      </w:r>
      <w:r>
        <w:rPr>
          <w:rFonts w:hint="eastAsia" w:ascii="Times New Roman" w:hAnsi="Times New Roman" w:cs="Times New Roman"/>
          <w:sz w:val="32"/>
          <w:szCs w:val="32"/>
          <w:lang w:val="en-US" w:eastAsia="zh-CN"/>
        </w:rPr>
        <w:t>食品安全</w:t>
      </w:r>
      <w:r>
        <w:rPr>
          <w:rFonts w:hint="eastAsia" w:ascii="Times New Roman" w:hAnsi="Times New Roman" w:eastAsia="仿宋_GB2312" w:cs="Times New Roman"/>
          <w:sz w:val="32"/>
          <w:szCs w:val="32"/>
          <w:lang w:val="en-US" w:eastAsia="zh-CN"/>
        </w:rPr>
        <w:t>专项整治行动。</w:t>
      </w:r>
      <w:r>
        <w:rPr>
          <w:rFonts w:hint="default" w:ascii="Times New Roman" w:hAnsi="Times New Roman" w:eastAsia="仿宋_GB2312" w:cs="Times New Roman"/>
          <w:sz w:val="32"/>
          <w:szCs w:val="32"/>
          <w:lang w:val="en-US" w:eastAsia="zh-CN"/>
        </w:rPr>
        <w:t>推进食品安全“护老”行动暨保健食品行业清理整治工作</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color w:val="000000"/>
          <w:sz w:val="32"/>
          <w:szCs w:val="32"/>
        </w:rPr>
        <w:t>严厉打击食品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保健食品非法生产经营、欺诈和虚假宣传等违法违规行为，</w:t>
      </w:r>
      <w:r>
        <w:rPr>
          <w:rFonts w:hint="eastAsia" w:ascii="仿宋_GB2312" w:hAnsi="仿宋_GB2312" w:eastAsia="仿宋_GB2312" w:cs="仿宋_GB2312"/>
          <w:snapToGrid w:val="0"/>
          <w:color w:val="000000"/>
          <w:sz w:val="32"/>
          <w:szCs w:val="32"/>
        </w:rPr>
        <w:t>净化食品</w:t>
      </w:r>
      <w:r>
        <w:rPr>
          <w:rFonts w:hint="eastAsia" w:ascii="仿宋_GB2312" w:hAnsi="仿宋_GB2312" w:eastAsia="仿宋_GB2312" w:cs="仿宋_GB2312"/>
          <w:snapToGrid w:val="0"/>
          <w:color w:val="000000"/>
          <w:sz w:val="32"/>
          <w:szCs w:val="32"/>
          <w:lang w:eastAsia="zh-CN"/>
        </w:rPr>
        <w:t>、</w:t>
      </w:r>
      <w:r>
        <w:rPr>
          <w:rFonts w:hint="eastAsia" w:ascii="仿宋_GB2312" w:hAnsi="仿宋_GB2312" w:eastAsia="仿宋_GB2312" w:cs="仿宋_GB2312"/>
          <w:snapToGrid w:val="0"/>
          <w:color w:val="000000"/>
          <w:sz w:val="32"/>
          <w:szCs w:val="32"/>
        </w:rPr>
        <w:t>保健食品市场环境</w:t>
      </w:r>
      <w:r>
        <w:rPr>
          <w:rFonts w:hint="eastAsia" w:ascii="仿宋_GB2312" w:hAnsi="仿宋_GB2312" w:eastAsia="仿宋_GB2312" w:cs="仿宋_GB2312"/>
          <w:snapToGrid w:val="0"/>
          <w:color w:val="000000"/>
          <w:sz w:val="32"/>
          <w:szCs w:val="32"/>
          <w:lang w:eastAsia="zh-CN"/>
        </w:rPr>
        <w:t>。</w:t>
      </w:r>
      <w:r>
        <w:rPr>
          <w:rFonts w:hint="eastAsia" w:ascii="仿宋_GB2312" w:hAnsi="黑体" w:eastAsia="仿宋_GB2312" w:cs="黑体"/>
          <w:sz w:val="32"/>
          <w:szCs w:val="32"/>
          <w:lang w:val="en-US" w:eastAsia="zh-CN"/>
        </w:rPr>
        <w:t>持续加强校园食品安全监管，</w:t>
      </w:r>
      <w:r>
        <w:rPr>
          <w:rFonts w:hint="default" w:ascii="Times New Roman Regular" w:hAnsi="Times New Roman Regular" w:eastAsia="仿宋_GB2312" w:cs="Times New Roman Regular"/>
          <w:sz w:val="32"/>
          <w:szCs w:val="32"/>
          <w:lang w:val="en-US" w:eastAsia="zh-CN"/>
        </w:rPr>
        <w:t>组织对全市1499所学校开展春、秋季开学全覆盖食品安全风险隐患排查；督促校外托管机构落实食品安全主体责任；加强校外供餐单位食品安全监管，校外供餐单位“互联网+明厨亮灶”覆盖率达100%，提升了校外供餐单位食品安全管理水平和风险防控能力。</w:t>
      </w:r>
      <w:r>
        <w:rPr>
          <w:rFonts w:hint="eastAsia" w:ascii="仿宋_GB2312" w:hAnsi="黑体" w:eastAsia="仿宋_GB2312" w:cs="黑体"/>
          <w:sz w:val="32"/>
          <w:szCs w:val="32"/>
          <w:lang w:val="en-US" w:eastAsia="zh-CN"/>
        </w:rPr>
        <w:t>加大餐饮门店食品安全监管，指导餐饮服务提供者加强环境卫生规范化，如经营场所卫生、原料进货查验、餐用具清洗消毒等关键环节。规范农村集体聚餐安全管理，结合我市农村集体聚餐食品安全监管的实际情况，加强了农村集体聚餐食品安全管理，预防了食物中毒事件和食源性疾病的发生，保障人民群众身体健康和生命安全。</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黑体" w:eastAsia="仿宋_GB2312" w:cs="黑体"/>
          <w:sz w:val="32"/>
          <w:szCs w:val="32"/>
          <w:lang w:val="en-US" w:eastAsia="zh-CN"/>
        </w:rPr>
      </w:pPr>
      <w:r>
        <w:rPr>
          <w:rFonts w:hint="eastAsia" w:ascii="仿宋_GB2312" w:hAnsi="黑体" w:eastAsia="仿宋_GB2312" w:cs="黑体"/>
          <w:b/>
          <w:bCs/>
          <w:sz w:val="32"/>
          <w:szCs w:val="32"/>
          <w:lang w:val="en-US" w:eastAsia="zh-CN"/>
        </w:rPr>
        <w:t>二是</w:t>
      </w:r>
      <w:r>
        <w:rPr>
          <w:rFonts w:hint="eastAsia" w:ascii="仿宋_GB2312" w:hAnsi="黑体" w:eastAsia="仿宋_GB2312" w:cs="黑体"/>
          <w:b w:val="0"/>
          <w:bCs w:val="0"/>
          <w:sz w:val="32"/>
          <w:szCs w:val="32"/>
          <w:lang w:val="en-US" w:eastAsia="zh-CN"/>
        </w:rPr>
        <w:t>积极组织多种形式科普宣传教育</w:t>
      </w:r>
      <w:r>
        <w:rPr>
          <w:rFonts w:hint="eastAsia" w:ascii="仿宋_GB2312" w:hAnsi="黑体" w:eastAsia="仿宋_GB2312" w:cs="黑体"/>
          <w:sz w:val="32"/>
          <w:szCs w:val="32"/>
          <w:lang w:val="en-US" w:eastAsia="zh-CN"/>
        </w:rPr>
        <w:t>，结合3·15国际消费者权益日、全国食品安全宣传周、传统节假日等时间节点不定期开展科普宣传教育，设置咨询台、摆放展板、发放科普宣传资料，进社区、乡村、商超、敬老院、进网络等聚集较多的场所开展老年人识骗、防骗为主要内容的宣传活动。</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eastAsia" w:ascii="仿宋_GB2312" w:hAnsi="黑体" w:eastAsia="仿宋_GB2312" w:cs="黑体"/>
          <w:b/>
          <w:bCs/>
          <w:sz w:val="32"/>
          <w:szCs w:val="32"/>
          <w:lang w:val="en-US" w:eastAsia="zh-CN"/>
        </w:rPr>
        <w:t>三是</w:t>
      </w:r>
      <w:r>
        <w:rPr>
          <w:rFonts w:hint="eastAsia" w:ascii="仿宋_GB2312" w:hAnsi="黑体" w:eastAsia="仿宋_GB2312" w:cs="黑体"/>
          <w:sz w:val="32"/>
          <w:szCs w:val="32"/>
          <w:lang w:val="en-US" w:eastAsia="zh-CN"/>
        </w:rPr>
        <w:t>严格监管执法。对辖区的食品、保健食品生产经营主体进行全覆盖的风险隐患排查和检查，严厉查处涉嫌夸大功能或虚假宣传保健功能等</w:t>
      </w:r>
      <w:r>
        <w:rPr>
          <w:rFonts w:hint="eastAsia" w:ascii="仿宋_GB2312" w:hAnsi="黑体" w:eastAsia="仿宋_GB2312" w:cs="黑体"/>
          <w:color w:val="auto"/>
          <w:sz w:val="32"/>
          <w:szCs w:val="32"/>
          <w:lang w:val="en-US" w:eastAsia="zh-CN"/>
        </w:rPr>
        <w:t>违法违规的行为；重点检查会议营销活动的宾馆酒店，容易发生推销活动的社区、公园、广场、车站、码头等人员密集场所；销售对象主要为老年、病弱群体的“保健类”店铺。</w:t>
      </w:r>
      <w:r>
        <w:rPr>
          <w:rFonts w:hint="default" w:ascii="Times New Roman Regular" w:hAnsi="Times New Roman Regular" w:eastAsia="仿宋_GB2312" w:cs="Times New Roman Regular"/>
          <w:b w:val="0"/>
          <w:color w:val="auto"/>
          <w:kern w:val="2"/>
          <w:sz w:val="32"/>
          <w:szCs w:val="32"/>
          <w:lang w:val="en-US" w:eastAsia="zh-CN" w:bidi="ar-SA"/>
        </w:rPr>
        <w:t>从重打击生产经营不</w:t>
      </w:r>
      <w:r>
        <w:rPr>
          <w:rFonts w:hint="default" w:ascii="Times New Roman Regular" w:hAnsi="Times New Roman Regular" w:eastAsia="仿宋_GB2312" w:cs="Times New Roman Regular"/>
          <w:sz w:val="32"/>
          <w:szCs w:val="32"/>
        </w:rPr>
        <w:t>合格</w:t>
      </w:r>
      <w:r>
        <w:rPr>
          <w:rFonts w:hint="default" w:ascii="Times New Roman Regular" w:hAnsi="Times New Roman Regular" w:eastAsia="仿宋_GB2312" w:cs="Times New Roman Regular"/>
          <w:sz w:val="32"/>
          <w:szCs w:val="32"/>
          <w:lang w:val="en-US" w:eastAsia="zh-CN"/>
        </w:rPr>
        <w:t>食品、</w:t>
      </w:r>
      <w:r>
        <w:rPr>
          <w:rFonts w:hint="default" w:ascii="Times New Roman Regular" w:hAnsi="Times New Roman Regular" w:eastAsia="仿宋_GB2312" w:cs="Times New Roman Regular"/>
          <w:sz w:val="32"/>
          <w:szCs w:val="32"/>
        </w:rPr>
        <w:t>非法添加</w:t>
      </w:r>
      <w:r>
        <w:rPr>
          <w:rFonts w:hint="default" w:ascii="Times New Roman Regular" w:hAnsi="Times New Roman Regular" w:eastAsia="仿宋_GB2312" w:cs="Times New Roman Regular"/>
          <w:sz w:val="32"/>
          <w:szCs w:val="32"/>
          <w:lang w:val="en-US" w:eastAsia="zh-CN"/>
        </w:rPr>
        <w:t>等</w:t>
      </w:r>
      <w:r>
        <w:rPr>
          <w:rFonts w:hint="default" w:ascii="Times New Roman Regular" w:hAnsi="Times New Roman Regular" w:eastAsia="仿宋_GB2312" w:cs="Times New Roman Regular"/>
          <w:sz w:val="32"/>
          <w:szCs w:val="32"/>
        </w:rPr>
        <w:t>食品违法行为。</w:t>
      </w:r>
      <w:r>
        <w:rPr>
          <w:rFonts w:hint="default" w:ascii="Times New Roman Regular" w:hAnsi="Times New Roman Regular" w:eastAsia="仿宋_GB2312" w:cs="Times New Roman Regular"/>
          <w:sz w:val="32"/>
          <w:szCs w:val="32"/>
          <w:lang w:eastAsia="zh-CN"/>
        </w:rPr>
        <w:t>全市食品生产环节办理案件</w:t>
      </w:r>
      <w:r>
        <w:rPr>
          <w:rFonts w:hint="default" w:ascii="Times New Roman Regular" w:hAnsi="Times New Roman Regular" w:eastAsia="仿宋_GB2312" w:cs="Times New Roman Regular"/>
          <w:sz w:val="32"/>
          <w:szCs w:val="32"/>
          <w:lang w:val="en-US" w:eastAsia="zh-CN"/>
        </w:rPr>
        <w:t>101起，罚没320余万元。</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
        </w:rPr>
      </w:pPr>
      <w:r>
        <w:rPr>
          <w:rFonts w:hint="eastAsia" w:ascii="仿宋_GB2312" w:hAnsi="黑体" w:cs="黑体"/>
          <w:b/>
          <w:bCs w:val="0"/>
          <w:color w:val="auto"/>
          <w:kern w:val="2"/>
          <w:sz w:val="32"/>
          <w:szCs w:val="32"/>
          <w:lang w:val="en-US" w:eastAsia="zh-CN" w:bidi="ar-SA"/>
        </w:rPr>
        <w:t>四</w:t>
      </w:r>
      <w:r>
        <w:rPr>
          <w:rFonts w:hint="eastAsia" w:ascii="仿宋_GB2312" w:hAnsi="黑体" w:eastAsia="仿宋_GB2312" w:cs="黑体"/>
          <w:b/>
          <w:bCs w:val="0"/>
          <w:color w:val="auto"/>
          <w:kern w:val="2"/>
          <w:sz w:val="32"/>
          <w:szCs w:val="32"/>
          <w:lang w:val="en-US" w:eastAsia="zh-CN" w:bidi="ar-SA"/>
        </w:rPr>
        <w:t>是</w:t>
      </w:r>
      <w:r>
        <w:rPr>
          <w:rFonts w:hint="eastAsia" w:ascii="仿宋_GB2312" w:hAnsi="黑体" w:eastAsia="仿宋_GB2312" w:cs="黑体"/>
          <w:bCs/>
          <w:color w:val="auto"/>
          <w:kern w:val="2"/>
          <w:sz w:val="32"/>
          <w:szCs w:val="32"/>
          <w:lang w:val="en-US" w:eastAsia="zh-CN" w:bidi="ar-SA"/>
        </w:rPr>
        <w:t>强化重点领域食品抽检。</w:t>
      </w:r>
      <w:r>
        <w:rPr>
          <w:rFonts w:hint="eastAsia" w:ascii="Times New Roman Regular" w:hAnsi="Times New Roman Regular" w:eastAsia="仿宋_GB2312" w:cs="Times New Roman Regular"/>
          <w:b w:val="0"/>
          <w:bCs/>
          <w:color w:val="auto"/>
          <w:kern w:val="2"/>
          <w:sz w:val="32"/>
          <w:szCs w:val="32"/>
          <w:lang w:val="en-US" w:eastAsia="zh-CN" w:bidi="ar-SA"/>
        </w:rPr>
        <w:t>今年我局完成任务食品抽检3800批次，任务完成率100%，</w:t>
      </w:r>
      <w:r>
        <w:rPr>
          <w:rFonts w:hint="eastAsia" w:ascii="Times New Roman" w:hAnsi="Times New Roman" w:eastAsia="仿宋_GB2312" w:cs="Times New Roman"/>
          <w:sz w:val="32"/>
          <w:szCs w:val="32"/>
          <w:lang w:val="en-US" w:eastAsia="zh-CN"/>
        </w:rPr>
        <w:t>全市市场监管系统对大米、湿米粉、瓶（桶）装饮用水、酱腌菜、肉制品等地方特色食品加大了监督抽检力度；</w:t>
      </w:r>
      <w:r>
        <w:rPr>
          <w:rFonts w:hint="eastAsia" w:ascii="Times New Roman" w:hAnsi="Times New Roman" w:eastAsia="仿宋_GB2312"/>
          <w:sz w:val="32"/>
          <w:szCs w:val="32"/>
        </w:rPr>
        <w:t>强化重点领域食品抽检</w:t>
      </w:r>
      <w:r>
        <w:rPr>
          <w:rFonts w:hint="eastAsia" w:ascii="Times New Roman" w:hAnsi="Times New Roman" w:eastAsia="仿宋_GB2312"/>
          <w:sz w:val="32"/>
          <w:szCs w:val="32"/>
          <w:lang w:eastAsia="zh-CN"/>
        </w:rPr>
        <w:t>，</w:t>
      </w:r>
      <w:r>
        <w:rPr>
          <w:rFonts w:hint="eastAsia" w:ascii="Times New Roman" w:hAnsi="Times New Roman" w:eastAsia="仿宋_GB2312" w:cs="Times New Roman"/>
          <w:sz w:val="32"/>
          <w:szCs w:val="32"/>
          <w:lang w:val="en-US" w:eastAsia="zh-CN"/>
        </w:rPr>
        <w:t>开展“护老”“护苗”专项监督抽检，突出“一老一少”重点人群，强化养老机构及校园食品的监督抽检；</w:t>
      </w:r>
      <w:r>
        <w:rPr>
          <w:rFonts w:hint="eastAsia" w:ascii="Times New Roman" w:hAnsi="Times New Roman" w:eastAsia="仿宋_GB2312"/>
          <w:sz w:val="32"/>
          <w:szCs w:val="32"/>
        </w:rPr>
        <w:t>创新食品抽检模式</w:t>
      </w:r>
      <w:r>
        <w:rPr>
          <w:rFonts w:hint="eastAsia" w:ascii="Times New Roman" w:hAnsi="Times New Roman" w:eastAsia="仿宋_GB2312"/>
          <w:sz w:val="32"/>
          <w:szCs w:val="32"/>
          <w:lang w:eastAsia="zh-CN"/>
        </w:rPr>
        <w:t>，</w:t>
      </w:r>
      <w:r>
        <w:rPr>
          <w:rFonts w:hint="eastAsia" w:ascii="Times New Roman" w:hAnsi="Times New Roman" w:eastAsia="仿宋_GB2312" w:cs="Times New Roman"/>
          <w:sz w:val="32"/>
          <w:szCs w:val="32"/>
          <w:lang w:val="en-US" w:eastAsia="zh-CN"/>
        </w:rPr>
        <w:t>开展了食品安全“你点我检·服务惠民生”活动，</w:t>
      </w:r>
      <w:r>
        <w:rPr>
          <w:rFonts w:hint="eastAsia" w:ascii="Times New Roman" w:hAnsi="Times New Roman" w:eastAsia="仿宋_GB2312"/>
          <w:sz w:val="32"/>
          <w:szCs w:val="32"/>
        </w:rPr>
        <w:t>稳妥公布食品抽检信息</w:t>
      </w:r>
      <w:r>
        <w:rPr>
          <w:rFonts w:hint="eastAsia" w:ascii="Times New Roman" w:hAnsi="Times New Roman" w:eastAsia="仿宋_GB2312"/>
          <w:sz w:val="32"/>
          <w:szCs w:val="32"/>
          <w:lang w:eastAsia="zh-CN"/>
        </w:rPr>
        <w:t>，</w:t>
      </w:r>
      <w:r>
        <w:rPr>
          <w:rFonts w:hint="eastAsia" w:ascii="Times New Roman" w:hAnsi="Times New Roman" w:eastAsia="仿宋_GB2312" w:cs="Times New Roman"/>
          <w:sz w:val="32"/>
          <w:szCs w:val="32"/>
          <w:lang w:val="en-US" w:eastAsia="zh-CN"/>
        </w:rPr>
        <w:t>始终坚持食品安全公布信息“时、度、效”的原则，严格把关监督抽检结果信息公布内容，依照规定的程序进行审核，采取门户网站、国抽系统等多种方式依法依规依政策及时、稳妥公布抽检结果和核查处置信息，</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cs="Times New Roman"/>
          <w:b/>
          <w:bCs/>
          <w:sz w:val="32"/>
          <w:szCs w:val="32"/>
          <w:lang w:val="en-US" w:eastAsia="zh-CN"/>
        </w:rPr>
        <w:t>五</w:t>
      </w:r>
      <w:r>
        <w:rPr>
          <w:rFonts w:hint="eastAsia"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sz w:val="32"/>
          <w:szCs w:val="32"/>
          <w:lang w:val="en-US" w:eastAsia="zh-CN"/>
        </w:rPr>
        <w:t>规范推进食品经营环节“两个责任”落地落实。</w:t>
      </w:r>
      <w:r>
        <w:rPr>
          <w:rFonts w:hint="default" w:ascii="Times New Roman" w:hAnsi="Times New Roman" w:eastAsia="仿宋_GB2312" w:cs="Times New Roman"/>
          <w:bCs w:val="0"/>
          <w:kern w:val="2"/>
          <w:sz w:val="32"/>
          <w:szCs w:val="32"/>
          <w:lang w:val="en-US" w:eastAsia="zh-CN" w:bidi="ar-SA"/>
        </w:rPr>
        <w:t>督促指导餐饮服务单位建立健全食品安全责任体系，食品安全风险管控清单，完善食品安全管理制度，按规定要求配备食品安全总监和食品安全员，严格落实食品安全主体责任及“日管控、周排查、月调度”等工作机制。</w:t>
      </w:r>
      <w:r>
        <w:rPr>
          <w:rFonts w:hint="default" w:ascii="Times New Roman" w:hAnsi="Times New Roman" w:eastAsia="仿宋_GB2312" w:cs="Times New Roman"/>
          <w:sz w:val="32"/>
          <w:szCs w:val="32"/>
          <w:lang w:val="en-US" w:eastAsia="zh-CN"/>
        </w:rPr>
        <w:t>全市所有保健食品生产、经营单位均落实了包保责任人，每季度按时上传包保督查记录、问题记录和整改记录。</w:t>
      </w:r>
      <w:r>
        <w:rPr>
          <w:rFonts w:hint="default" w:ascii="Times New Roman" w:hAnsi="Times New Roman" w:eastAsia="仿宋_GB2312" w:cs="Times New Roman"/>
          <w:color w:val="000000"/>
          <w:sz w:val="32"/>
          <w:szCs w:val="32"/>
          <w:lang w:eastAsia="zh-CN"/>
        </w:rPr>
        <w:t>益阳市食品经营</w:t>
      </w:r>
      <w:r>
        <w:rPr>
          <w:rFonts w:hint="default" w:ascii="Times New Roman" w:hAnsi="Times New Roman" w:eastAsia="仿宋_GB2312" w:cs="Times New Roman"/>
          <w:color w:val="000000"/>
          <w:sz w:val="32"/>
          <w:szCs w:val="32"/>
          <w:lang w:val="en-US" w:eastAsia="zh-CN"/>
        </w:rPr>
        <w:t>A级主体全部由市级领导包保，BC级主体由县、乡两级领导干部包保督导</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全年共使用食品安全监管经费</w:t>
      </w:r>
      <w:r>
        <w:rPr>
          <w:rFonts w:hint="eastAsia" w:ascii="Times New Roman" w:hAnsi="Times New Roman" w:eastAsia="仿宋_GB2312" w:cs="Times New Roman"/>
          <w:color w:val="000000"/>
          <w:kern w:val="0"/>
          <w:sz w:val="32"/>
          <w:szCs w:val="32"/>
          <w:lang w:eastAsia="zh-CN"/>
        </w:rPr>
        <w:t>3</w:t>
      </w:r>
      <w:r>
        <w:rPr>
          <w:rFonts w:hint="eastAsia" w:ascii="Times New Roman" w:hAnsi="Times New Roman" w:eastAsia="仿宋_GB2312" w:cs="Times New Roman"/>
          <w:color w:val="000000"/>
          <w:kern w:val="0"/>
          <w:sz w:val="32"/>
          <w:szCs w:val="32"/>
          <w:lang w:val="en-US" w:eastAsia="zh-CN"/>
        </w:rPr>
        <w:t>4</w:t>
      </w:r>
      <w:r>
        <w:rPr>
          <w:rFonts w:hint="eastAsia" w:cs="Times New Roman"/>
          <w:color w:val="000000"/>
          <w:kern w:val="0"/>
          <w:sz w:val="32"/>
          <w:szCs w:val="32"/>
          <w:lang w:val="en-US" w:eastAsia="zh-CN"/>
        </w:rPr>
        <w:t>5</w:t>
      </w:r>
      <w:r>
        <w:rPr>
          <w:rFonts w:hint="eastAsia" w:ascii="Times New Roman" w:hAnsi="Times New Roman" w:eastAsia="仿宋_GB2312" w:cs="Times New Roman"/>
          <w:color w:val="000000"/>
          <w:kern w:val="0"/>
          <w:sz w:val="32"/>
          <w:szCs w:val="32"/>
          <w:lang w:val="en-US" w:eastAsia="zh-CN"/>
        </w:rPr>
        <w:t>.</w:t>
      </w:r>
      <w:r>
        <w:rPr>
          <w:rFonts w:hint="eastAsia" w:cs="Times New Roman"/>
          <w:color w:val="000000"/>
          <w:kern w:val="0"/>
          <w:sz w:val="32"/>
          <w:szCs w:val="32"/>
          <w:lang w:val="en-US" w:eastAsia="zh-CN"/>
        </w:rPr>
        <w:t>81</w:t>
      </w:r>
      <w:r>
        <w:rPr>
          <w:rFonts w:hint="eastAsia" w:ascii="Times New Roman" w:hAnsi="Times New Roman" w:eastAsia="仿宋_GB2312" w:cs="Times New Roman"/>
          <w:color w:val="000000"/>
          <w:kern w:val="0"/>
          <w:sz w:val="32"/>
          <w:szCs w:val="32"/>
          <w:lang w:eastAsia="zh-CN"/>
        </w:rPr>
        <w:t>万元</w:t>
      </w:r>
      <w:r>
        <w:rPr>
          <w:rFonts w:hint="eastAsia" w:cs="Times New Roman"/>
          <w:color w:val="000000"/>
          <w:kern w:val="0"/>
          <w:sz w:val="32"/>
          <w:szCs w:val="32"/>
          <w:lang w:eastAsia="zh-CN"/>
        </w:rPr>
        <w:t>。</w:t>
      </w:r>
      <w:r>
        <w:rPr>
          <w:rFonts w:hint="eastAsia" w:ascii="仿宋_GB2312" w:hAnsi="仿宋_GB2312" w:eastAsia="仿宋_GB2312" w:cs="仿宋_GB2312"/>
          <w:szCs w:val="32"/>
        </w:rPr>
        <w:t>全市连</w:t>
      </w:r>
      <w:r>
        <w:rPr>
          <w:rFonts w:hint="eastAsia" w:ascii="Times New Roman" w:hAnsi="Times New Roman" w:eastAsia="仿宋_GB2312" w:cs="Times New Roman"/>
          <w:color w:val="000000"/>
          <w:kern w:val="0"/>
          <w:sz w:val="32"/>
          <w:szCs w:val="32"/>
          <w:lang w:eastAsia="zh-CN"/>
        </w:rPr>
        <w:t>续10年以</w:t>
      </w:r>
      <w:r>
        <w:rPr>
          <w:rFonts w:hint="eastAsia" w:ascii="仿宋_GB2312" w:hAnsi="仿宋_GB2312" w:eastAsia="仿宋_GB2312" w:cs="仿宋_GB2312"/>
          <w:szCs w:val="32"/>
        </w:rPr>
        <w:t>上未发生较大以上食品安全事故，保障了人民群众的健康权益。实现了二个提升，即：提升了食品安全日常监管水平，监管体制改革全面到位；提升了食品安全专项整治力度，“护苗”“护老”“治违禁 控药残 促提升”“</w:t>
      </w:r>
      <w:r>
        <w:rPr>
          <w:rFonts w:hint="eastAsia" w:ascii="仿宋_GB2312" w:hAnsi="仿宋_GB2312" w:eastAsia="仿宋_GB2312" w:cs="仿宋_GB2312"/>
          <w:szCs w:val="32"/>
          <w:lang w:val="en-US" w:eastAsia="zh-CN"/>
        </w:rPr>
        <w:t>守查保</w:t>
      </w:r>
      <w:r>
        <w:rPr>
          <w:rFonts w:hint="eastAsia" w:ascii="仿宋_GB2312" w:hAnsi="仿宋_GB2312" w:eastAsia="仿宋_GB2312" w:cs="仿宋_GB2312"/>
          <w:szCs w:val="32"/>
        </w:rPr>
        <w:t>”</w:t>
      </w:r>
      <w:r>
        <w:rPr>
          <w:rFonts w:hint="eastAsia" w:ascii="仿宋_GB2312" w:hAnsi="仿宋_GB2312" w:eastAsia="仿宋_GB2312" w:cs="仿宋_GB2312"/>
          <w:b w:val="0"/>
          <w:bCs w:val="0"/>
          <w:szCs w:val="32"/>
          <w:lang w:eastAsia="zh-CN"/>
        </w:rPr>
        <w:t>“</w:t>
      </w:r>
      <w:r>
        <w:rPr>
          <w:rFonts w:hint="eastAsia" w:ascii="仿宋_GB2312" w:hAnsi="仿宋_GB2312" w:eastAsia="仿宋_GB2312" w:cs="仿宋_GB2312"/>
          <w:b w:val="0"/>
          <w:bCs w:val="0"/>
          <w:sz w:val="32"/>
          <w:szCs w:val="32"/>
        </w:rPr>
        <w:t>斩非断链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Cs w:val="32"/>
        </w:rPr>
        <w:t>等专项整治卓有成效。</w:t>
      </w:r>
      <w:r>
        <w:rPr>
          <w:rFonts w:hint="eastAsia" w:ascii="仿宋_GB2312" w:hAnsi="仿宋_GB2312" w:eastAsia="仿宋_GB2312" w:cs="仿宋_GB2312"/>
          <w:szCs w:val="32"/>
          <w:lang w:val="en-US" w:eastAsia="zh-CN"/>
        </w:rPr>
        <w:t>通过</w:t>
      </w:r>
      <w:r>
        <w:rPr>
          <w:rFonts w:hint="eastAsia" w:ascii="仿宋_GB2312" w:hAnsi="仿宋_GB2312" w:eastAsia="仿宋_GB2312" w:cs="仿宋_GB2312"/>
          <w:szCs w:val="32"/>
        </w:rPr>
        <w:t>高度重视食品安全工作，遵循预防为主、标本兼治、全程监管、社会共治的原则，坚持问题导向</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树立食品安全社会共治和科学监管理念，形成了政府主导、部门监管、企业自律、社会监管的机制，为不断提高食品安全社会共治水平提供了保障。</w:t>
      </w:r>
      <w:r>
        <w:rPr>
          <w:rFonts w:hint="default" w:ascii="仿宋_GB2312" w:hAnsi="仿宋_GB2312" w:eastAsia="仿宋_GB2312" w:cs="仿宋_GB2312"/>
          <w:kern w:val="2"/>
          <w:sz w:val="32"/>
          <w:szCs w:val="32"/>
          <w:lang w:val="en-US" w:eastAsia="zh-CN" w:bidi="ar-SA"/>
        </w:rPr>
        <w:t>益阳市“四大行动”落实食品安全“两个责任”经</w:t>
      </w:r>
      <w:r>
        <w:rPr>
          <w:rStyle w:val="17"/>
          <w:rFonts w:hint="default" w:ascii="Times New Roman" w:hAnsi="Times New Roman" w:eastAsia="仿宋_GB2312" w:cs="Times New Roman"/>
          <w:color w:val="000000"/>
          <w:sz w:val="32"/>
          <w:szCs w:val="32"/>
          <w:lang w:val="en-US" w:eastAsia="zh-CN"/>
        </w:rPr>
        <w:t>验做法在全省推广。</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202</w:t>
      </w:r>
      <w:r>
        <w:rPr>
          <w:rFonts w:hint="eastAsia"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lang w:eastAsia="zh-CN"/>
        </w:rPr>
        <w:t>年，我市在省级食品安全公众满意度调查中得分8</w:t>
      </w:r>
      <w:r>
        <w:rPr>
          <w:rFonts w:hint="eastAsia" w:ascii="Times New Roman" w:hAnsi="Times New Roman" w:eastAsia="仿宋_GB2312" w:cs="Times New Roman"/>
          <w:color w:val="000000"/>
          <w:kern w:val="0"/>
          <w:sz w:val="32"/>
          <w:szCs w:val="32"/>
          <w:lang w:val="en-US" w:eastAsia="zh-CN"/>
        </w:rPr>
        <w:t>6.97</w:t>
      </w:r>
      <w:r>
        <w:rPr>
          <w:rFonts w:hint="eastAsia" w:ascii="Times New Roman" w:hAnsi="Times New Roman" w:eastAsia="仿宋_GB2312" w:cs="Times New Roman"/>
          <w:color w:val="000000"/>
          <w:kern w:val="0"/>
          <w:sz w:val="32"/>
          <w:szCs w:val="32"/>
          <w:lang w:eastAsia="zh-CN"/>
        </w:rPr>
        <w:t>分。</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楷体_GB2312" w:hAnsi="楷体_GB2312" w:eastAsia="楷体_GB2312" w:cs="楷体_GB2312"/>
          <w:b/>
          <w:color w:val="000000"/>
          <w:szCs w:val="32"/>
          <w:lang w:val="en-US" w:eastAsia="zh-CN"/>
        </w:rPr>
      </w:pPr>
      <w:r>
        <w:rPr>
          <w:rFonts w:hint="eastAsia" w:ascii="楷体_GB2312" w:hAnsi="楷体_GB2312" w:eastAsia="楷体_GB2312" w:cs="楷体_GB2312"/>
          <w:b/>
          <w:color w:val="000000"/>
          <w:szCs w:val="32"/>
        </w:rPr>
        <w:t>（六）</w:t>
      </w:r>
      <w:r>
        <w:rPr>
          <w:rFonts w:hint="default" w:ascii="楷体_GB2312" w:hAnsi="楷体_GB2312" w:eastAsia="楷体_GB2312" w:cs="楷体_GB2312"/>
          <w:b/>
          <w:color w:val="000000"/>
          <w:szCs w:val="32"/>
          <w:lang w:val="en-US" w:eastAsia="zh-CN"/>
        </w:rPr>
        <w:t>知识产权试点城市建设迈出新步代</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sz w:val="32"/>
          <w:szCs w:val="32"/>
          <w:lang w:val="en-US" w:eastAsia="zh-CN"/>
        </w:rPr>
        <w:t>一是夯实技术基础。</w:t>
      </w:r>
      <w:r>
        <w:rPr>
          <w:rFonts w:hint="default" w:ascii="Times New Roman" w:hAnsi="Times New Roman" w:eastAsia="仿宋_GB2312" w:cs="Times New Roman"/>
          <w:color w:val="000000"/>
          <w:sz w:val="32"/>
          <w:szCs w:val="32"/>
          <w:lang w:eastAsia="zh-CN"/>
        </w:rPr>
        <w:t>全市有效发明专利2</w:t>
      </w:r>
      <w:r>
        <w:rPr>
          <w:rFonts w:hint="default" w:ascii="Times New Roman" w:hAnsi="Times New Roman" w:eastAsia="仿宋_GB2312" w:cs="Times New Roman"/>
          <w:color w:val="000000"/>
          <w:sz w:val="32"/>
          <w:szCs w:val="32"/>
          <w:lang w:val="en-US" w:eastAsia="zh-CN"/>
        </w:rPr>
        <w:t>302</w:t>
      </w:r>
      <w:r>
        <w:rPr>
          <w:rFonts w:hint="default" w:ascii="Times New Roman" w:hAnsi="Times New Roman" w:eastAsia="仿宋_GB2312" w:cs="Times New Roman"/>
          <w:color w:val="000000"/>
          <w:sz w:val="32"/>
          <w:szCs w:val="32"/>
          <w:lang w:eastAsia="zh-CN"/>
        </w:rPr>
        <w:t>件。每万人口有效发明6.0</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eastAsia="zh-CN"/>
        </w:rPr>
        <w:t>件，位列全省第5，</w:t>
      </w:r>
      <w:r>
        <w:rPr>
          <w:rFonts w:hint="default" w:ascii="Times New Roman" w:hAnsi="Times New Roman" w:eastAsia="仿宋_GB2312" w:cs="Times New Roman"/>
          <w:color w:val="000000"/>
          <w:sz w:val="32"/>
          <w:szCs w:val="32"/>
          <w:lang w:val="en-US" w:eastAsia="zh-CN"/>
        </w:rPr>
        <w:t>B类地区第一。全市有国家知识产权示范企业6家，优势企业38家，总数全省排名第二，B类地区排名第一。</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二是搭建服务平台。</w:t>
      </w:r>
      <w:r>
        <w:rPr>
          <w:rFonts w:hint="default" w:ascii="Times New Roman" w:hAnsi="Times New Roman" w:eastAsia="仿宋_GB2312" w:cs="Times New Roman"/>
          <w:color w:val="000000"/>
          <w:sz w:val="32"/>
          <w:szCs w:val="32"/>
          <w:lang w:val="en-US" w:eastAsia="zh-CN"/>
        </w:rPr>
        <w:t>市人民政府与省局签订共建国家知识产权强市建设试点城市合作协议。湖南省地理标志产品保护示范区建设现场会在安化召</w:t>
      </w:r>
      <w:r>
        <w:rPr>
          <w:rFonts w:hint="default" w:ascii="Times New Roman" w:hAnsi="Times New Roman" w:eastAsia="仿宋_GB2312" w:cs="Times New Roman"/>
          <w:b w:val="0"/>
          <w:bCs w:val="0"/>
          <w:color w:val="000000"/>
          <w:kern w:val="0"/>
          <w:sz w:val="32"/>
          <w:szCs w:val="32"/>
          <w:lang w:val="en-US" w:eastAsia="zh-CN"/>
        </w:rPr>
        <w:t>开。新获批省级知识产权公共服务网</w:t>
      </w:r>
      <w:r>
        <w:rPr>
          <w:rFonts w:hint="default" w:ascii="Times New Roman" w:hAnsi="Times New Roman" w:eastAsia="仿宋_GB2312" w:cs="Times New Roman"/>
          <w:color w:val="000000"/>
          <w:sz w:val="32"/>
          <w:szCs w:val="32"/>
          <w:lang w:val="en-US" w:eastAsia="zh-CN"/>
        </w:rPr>
        <w:t>点2个，全市</w:t>
      </w:r>
      <w:r>
        <w:rPr>
          <w:rFonts w:hint="default" w:ascii="Times New Roman" w:hAnsi="Times New Roman" w:eastAsia="仿宋_GB2312" w:cs="Times New Roman"/>
          <w:color w:val="000000"/>
          <w:kern w:val="0"/>
          <w:sz w:val="32"/>
          <w:szCs w:val="32"/>
          <w:lang w:val="en-US" w:eastAsia="zh-CN"/>
        </w:rPr>
        <w:t>知识产权公共服务网点达到7个。</w:t>
      </w:r>
      <w:r>
        <w:rPr>
          <w:rFonts w:hint="default" w:ascii="Times New Roman" w:hAnsi="Times New Roman" w:eastAsia="仿宋_GB2312" w:cs="Times New Roman"/>
          <w:color w:val="000000"/>
          <w:sz w:val="32"/>
          <w:szCs w:val="32"/>
          <w:lang w:val="en-US" w:eastAsia="zh-CN"/>
        </w:rPr>
        <w:t>组建益阳市知识产权专家库。</w:t>
      </w:r>
      <w:r>
        <w:rPr>
          <w:rFonts w:hint="default" w:ascii="Times New Roman" w:hAnsi="Times New Roman" w:eastAsia="仿宋_GB2312" w:cs="Times New Roman"/>
          <w:sz w:val="32"/>
          <w:szCs w:val="32"/>
          <w:lang w:val="en-US" w:eastAsia="zh-CN"/>
        </w:rPr>
        <w:t>争取省知识产权专项项目28个。</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sz w:val="32"/>
          <w:szCs w:val="32"/>
          <w:lang w:val="en-US" w:eastAsia="zh-CN"/>
        </w:rPr>
        <w:t>三是强化应用保护。</w:t>
      </w:r>
      <w:r>
        <w:rPr>
          <w:rFonts w:hint="default" w:ascii="Times New Roman" w:hAnsi="Times New Roman" w:eastAsia="仿宋_GB2312" w:cs="Times New Roman"/>
          <w:color w:val="000000"/>
          <w:sz w:val="32"/>
          <w:szCs w:val="32"/>
          <w:lang w:val="en-US" w:eastAsia="zh-CN"/>
        </w:rPr>
        <w:t>益阳市地理标志数量26件，新增数量1件，位列全省第五。地理标志专用标志使用企业363家，全省第一。地理标志保护产品使用率达100%。新增注册商标申请量6336件，注册3760件，全市商标累计有效注册量54208件</w:t>
      </w:r>
      <w:r>
        <w:rPr>
          <w:rFonts w:hint="default" w:ascii="仿宋_GB2312" w:hAnsi="仿宋_GB2312" w:eastAsia="仿宋_GB2312" w:cs="仿宋_GB2312"/>
          <w:kern w:val="2"/>
          <w:sz w:val="32"/>
          <w:szCs w:val="32"/>
          <w:lang w:val="en-US" w:eastAsia="zh-CN" w:bidi="ar-SA"/>
        </w:rPr>
        <w:t>。“沅江芦笋”获</w:t>
      </w:r>
      <w:r>
        <w:rPr>
          <w:rFonts w:hint="default" w:ascii="Times New Roman" w:hAnsi="Times New Roman" w:eastAsia="仿宋_GB2312" w:cs="Times New Roman"/>
          <w:color w:val="000000"/>
          <w:sz w:val="32"/>
          <w:szCs w:val="32"/>
          <w:lang w:val="en-US" w:eastAsia="zh-CN"/>
        </w:rPr>
        <w:t>批为地理标志保护省级示范区。在全省率先对商标与地理标志质押贷款进行补助，新增知识产权质押融资金额超13亿元。行政裁决试点项目顺利通过验收，办理专利侵权纠纷案件62件。推进强链护链专项行动，开展PCB印制电路板等产业专利导航和专利预警。</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000000"/>
          <w:kern w:val="0"/>
          <w:sz w:val="32"/>
          <w:szCs w:val="32"/>
          <w:lang w:eastAsia="zh-CN"/>
        </w:rPr>
        <w:t>202</w:t>
      </w:r>
      <w:r>
        <w:rPr>
          <w:rFonts w:hint="eastAsia"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lang w:eastAsia="zh-CN"/>
        </w:rPr>
        <w:t>年共使用知识产权战略经费</w:t>
      </w:r>
      <w:r>
        <w:rPr>
          <w:rFonts w:hint="eastAsia" w:cs="Times New Roman"/>
          <w:color w:val="000000"/>
          <w:kern w:val="0"/>
          <w:sz w:val="32"/>
          <w:szCs w:val="32"/>
          <w:lang w:val="en-US" w:eastAsia="zh-CN"/>
        </w:rPr>
        <w:t>237.08</w:t>
      </w:r>
      <w:r>
        <w:rPr>
          <w:rFonts w:hint="eastAsia" w:ascii="Times New Roman" w:hAnsi="Times New Roman" w:eastAsia="仿宋_GB2312" w:cs="Times New Roman"/>
          <w:color w:val="000000"/>
          <w:kern w:val="0"/>
          <w:sz w:val="32"/>
          <w:szCs w:val="32"/>
          <w:lang w:eastAsia="zh-CN"/>
        </w:rPr>
        <w:t>万元，</w:t>
      </w:r>
      <w:r>
        <w:rPr>
          <w:rFonts w:hint="eastAsia" w:ascii="仿宋_GB2312" w:hAnsi="仿宋_GB2312" w:eastAsia="仿宋_GB2312" w:cs="仿宋_GB2312"/>
          <w:szCs w:val="32"/>
        </w:rPr>
        <w:t>主要用于</w:t>
      </w:r>
      <w:r>
        <w:rPr>
          <w:rFonts w:hint="eastAsia" w:ascii="仿宋_GB2312" w:hAnsi="仿宋_GB2312" w:cs="仿宋_GB2312"/>
          <w:szCs w:val="32"/>
          <w:lang w:val="en-US" w:eastAsia="zh-CN"/>
        </w:rPr>
        <w:t>知识产权专利化转化资金，</w:t>
      </w:r>
      <w:r>
        <w:rPr>
          <w:rFonts w:hint="eastAsia" w:ascii="仿宋_GB2312" w:hAnsi="仿宋_GB2312" w:eastAsia="仿宋_GB2312" w:cs="仿宋_GB2312"/>
          <w:szCs w:val="32"/>
        </w:rPr>
        <w:t>发明专利授权资助（含国防专利、向国外专利申请资助、湖南专利奖、专利权质押融资评估费补贴、马德里商标国际申请资助、注册地理标志商标资助）</w:t>
      </w:r>
      <w:r>
        <w:rPr>
          <w:rFonts w:hint="eastAsia" w:ascii="仿宋_GB2312" w:hAnsi="仿宋_GB2312" w:cs="仿宋_GB2312"/>
          <w:szCs w:val="32"/>
          <w:lang w:eastAsia="zh-CN"/>
        </w:rPr>
        <w:t>，</w:t>
      </w:r>
      <w:r>
        <w:rPr>
          <w:rFonts w:hint="eastAsia" w:ascii="仿宋_GB2312" w:hAnsi="仿宋_GB2312" w:eastAsia="仿宋_GB2312" w:cs="仿宋_GB2312"/>
          <w:szCs w:val="32"/>
        </w:rPr>
        <w:t>发明专利申请和维持经费知识产权创造保护运用方面</w:t>
      </w:r>
      <w:r>
        <w:rPr>
          <w:rFonts w:hint="eastAsia" w:ascii="仿宋_GB2312" w:hAnsi="仿宋_GB2312" w:eastAsia="仿宋_GB2312" w:cs="仿宋_GB2312"/>
          <w:szCs w:val="32"/>
          <w:lang w:val="en-US" w:eastAsia="zh-CN"/>
        </w:rPr>
        <w:t>的支出</w:t>
      </w:r>
      <w:r>
        <w:rPr>
          <w:rFonts w:hint="eastAsia" w:ascii="仿宋_GB2312" w:hAnsi="仿宋_GB2312" w:eastAsia="仿宋_GB2312" w:cs="仿宋_GB2312"/>
          <w:szCs w:val="32"/>
        </w:rPr>
        <w:t>。通过开展以上知识产权战略工作，加强了技术创新，加强了知识产权运用、服务、管理与保护。鼓励了企业根据自身发展需求引进高价值专利，减少研发费用，实现快速发展。</w:t>
      </w:r>
      <w:r>
        <w:rPr>
          <w:rFonts w:hint="eastAsia" w:ascii="仿宋_GB2312" w:hAnsi="仿宋_GB2312" w:eastAsia="仿宋_GB2312" w:cs="仿宋_GB2312"/>
          <w:color w:val="000000"/>
          <w:spacing w:val="0"/>
          <w:kern w:val="0"/>
          <w:sz w:val="32"/>
          <w:szCs w:val="32"/>
          <w:lang w:val="en-US" w:eastAsia="zh-CN"/>
        </w:rPr>
        <w:t>进一步</w:t>
      </w:r>
      <w:r>
        <w:rPr>
          <w:rFonts w:hint="eastAsia" w:ascii="仿宋_GB2312" w:hAnsi="仿宋_GB2312" w:eastAsia="仿宋_GB2312" w:cs="仿宋_GB2312"/>
          <w:szCs w:val="32"/>
        </w:rPr>
        <w:t>促进了知识产权价值实现，</w:t>
      </w:r>
      <w:r>
        <w:rPr>
          <w:rFonts w:hint="eastAsia" w:ascii="仿宋_GB2312" w:hAnsi="仿宋_GB2312" w:eastAsia="仿宋_GB2312" w:cs="仿宋_GB2312"/>
          <w:szCs w:val="32"/>
          <w:lang w:val="en-US" w:eastAsia="zh-CN"/>
        </w:rPr>
        <w:t>为</w:t>
      </w:r>
      <w:r>
        <w:rPr>
          <w:rFonts w:hint="eastAsia" w:ascii="仿宋_GB2312" w:hAnsi="仿宋_GB2312" w:eastAsia="仿宋_GB2312" w:cs="仿宋_GB2312"/>
          <w:sz w:val="32"/>
          <w:szCs w:val="32"/>
        </w:rPr>
        <w:t>实现知识产权创造、运用、保护、管理和服务全链条发展</w:t>
      </w:r>
      <w:r>
        <w:rPr>
          <w:rFonts w:hint="eastAsia" w:ascii="仿宋_GB2312" w:hAnsi="仿宋_GB2312" w:eastAsia="仿宋_GB2312" w:cs="仿宋_GB2312"/>
          <w:sz w:val="32"/>
          <w:szCs w:val="32"/>
          <w:lang w:val="en-US" w:eastAsia="zh-CN"/>
        </w:rPr>
        <w:t>打下良好的基础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Cs w:val="32"/>
        </w:rPr>
        <w:t>助力了我市经济高质量发展</w:t>
      </w:r>
      <w:r>
        <w:rPr>
          <w:rFonts w:hint="eastAsia" w:ascii="仿宋_GB2312" w:hAnsi="仿宋_GB2312" w:eastAsia="仿宋_GB2312" w:cs="仿宋_GB2312"/>
          <w:sz w:val="32"/>
          <w:szCs w:val="32"/>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08" w:firstLineChars="200"/>
        <w:textAlignment w:val="auto"/>
        <w:rPr>
          <w:rFonts w:hint="eastAsia" w:ascii="黑体" w:hAnsi="黑体" w:eastAsia="黑体" w:cs="黑体"/>
          <w:spacing w:val="-8"/>
          <w:szCs w:val="32"/>
        </w:rPr>
      </w:pPr>
      <w:r>
        <w:rPr>
          <w:rFonts w:hint="eastAsia" w:ascii="黑体" w:hAnsi="黑体" w:eastAsia="黑体" w:cs="黑体"/>
          <w:spacing w:val="-8"/>
          <w:szCs w:val="32"/>
        </w:rPr>
        <w:t>七、存在的问题及原因分析</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（一）市场监管经费存在缺口</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eastAsia" w:cs="Times New Roman"/>
          <w:b/>
          <w:bCs w:val="0"/>
          <w:color w:val="000000"/>
          <w:kern w:val="0"/>
          <w:lang w:val="en-US" w:eastAsia="zh-CN"/>
        </w:rPr>
        <w:t>一是</w:t>
      </w:r>
      <w:r>
        <w:rPr>
          <w:rFonts w:hint="eastAsia" w:ascii="Times New Roman" w:hAnsi="Times New Roman" w:cs="Times New Roman"/>
          <w:bCs/>
          <w:color w:val="000000"/>
          <w:kern w:val="0"/>
          <w:lang w:val="en-US" w:eastAsia="zh-CN"/>
        </w:rPr>
        <w:t>我局在职人员和离退休人员数量庞大，对应工会经费、福利费等形成的资金缺口相对同级其他单位存在更大的资金压力。原有预算安排的财政拨款资金</w:t>
      </w:r>
      <w:r>
        <w:rPr>
          <w:rFonts w:ascii="Times New Roman" w:hAnsi="Times New Roman" w:eastAsia="仿宋_GB2312" w:cs="Times New Roman"/>
          <w:bCs/>
          <w:color w:val="000000"/>
          <w:kern w:val="0"/>
        </w:rPr>
        <w:t>只能</w:t>
      </w:r>
      <w:r>
        <w:rPr>
          <w:rFonts w:hint="eastAsia" w:ascii="Times New Roman" w:hAnsi="Times New Roman" w:cs="Times New Roman"/>
          <w:bCs/>
          <w:color w:val="000000"/>
          <w:kern w:val="0"/>
          <w:lang w:val="en-US" w:eastAsia="zh-CN"/>
        </w:rPr>
        <w:t>保障我局的基本运转</w:t>
      </w:r>
      <w:r>
        <w:rPr>
          <w:rFonts w:ascii="Times New Roman" w:hAnsi="Times New Roman" w:eastAsia="仿宋_GB2312" w:cs="Times New Roman"/>
          <w:bCs/>
          <w:color w:val="000000"/>
          <w:kern w:val="0"/>
        </w:rPr>
        <w:t>。</w:t>
      </w:r>
      <w:r>
        <w:rPr>
          <w:rFonts w:hint="eastAsia" w:cs="Times New Roman"/>
          <w:b/>
          <w:bCs w:val="0"/>
          <w:color w:val="000000"/>
          <w:kern w:val="0"/>
          <w:lang w:eastAsia="zh-CN"/>
        </w:rPr>
        <w:t>二是</w:t>
      </w:r>
      <w:r>
        <w:rPr>
          <w:rFonts w:ascii="Times New Roman" w:hAnsi="Times New Roman" w:eastAsia="仿宋_GB2312" w:cs="Times New Roman"/>
          <w:bCs/>
          <w:color w:val="000000"/>
          <w:kern w:val="0"/>
        </w:rPr>
        <w:t>从202</w:t>
      </w:r>
      <w:r>
        <w:rPr>
          <w:rFonts w:hint="eastAsia" w:ascii="Times New Roman" w:hAnsi="Times New Roman" w:cs="Times New Roman"/>
          <w:bCs/>
          <w:color w:val="000000"/>
          <w:kern w:val="0"/>
          <w:lang w:val="en-US" w:eastAsia="zh-CN"/>
        </w:rPr>
        <w:t>4</w:t>
      </w:r>
      <w:r>
        <w:rPr>
          <w:rFonts w:ascii="Times New Roman" w:hAnsi="Times New Roman" w:eastAsia="仿宋_GB2312" w:cs="Times New Roman"/>
          <w:bCs/>
          <w:color w:val="000000"/>
          <w:kern w:val="0"/>
        </w:rPr>
        <w:t>年开始，纳入预算管理的非税收入拨款</w:t>
      </w:r>
      <w:r>
        <w:rPr>
          <w:rFonts w:hint="eastAsia" w:ascii="Times New Roman" w:hAnsi="Times New Roman" w:cs="Times New Roman"/>
          <w:bCs/>
          <w:color w:val="000000"/>
          <w:kern w:val="0"/>
          <w:lang w:val="en-US" w:eastAsia="zh-CN"/>
        </w:rPr>
        <w:t>资金比机构改革合并时减少了71.43%</w:t>
      </w:r>
      <w:r>
        <w:rPr>
          <w:rFonts w:ascii="Times New Roman" w:hAnsi="Times New Roman" w:eastAsia="仿宋_GB2312" w:cs="Times New Roman"/>
          <w:bCs/>
          <w:color w:val="000000"/>
          <w:kern w:val="0"/>
        </w:rPr>
        <w:t>，</w:t>
      </w:r>
      <w:r>
        <w:rPr>
          <w:rFonts w:hint="eastAsia" w:cs="Times New Roman"/>
          <w:bCs/>
          <w:color w:val="000000"/>
          <w:kern w:val="0"/>
          <w:lang w:eastAsia="zh-CN"/>
        </w:rPr>
        <w:t>非税收入拨款无法保障</w:t>
      </w:r>
      <w:r>
        <w:rPr>
          <w:rFonts w:hint="default" w:ascii="Times New Roman" w:hAnsi="Times New Roman" w:eastAsia="仿宋_GB2312" w:cs="Times New Roman"/>
          <w:b w:val="0"/>
          <w:bCs/>
          <w:color w:val="auto"/>
          <w:kern w:val="2"/>
          <w:sz w:val="32"/>
          <w:szCs w:val="32"/>
          <w:lang w:val="en-US" w:eastAsia="zh-CN" w:bidi="ar-SA"/>
        </w:rPr>
        <w:t>我局</w:t>
      </w:r>
      <w:r>
        <w:rPr>
          <w:rFonts w:hint="eastAsia" w:ascii="Times New Roman" w:hAnsi="Times New Roman" w:cs="Times New Roman"/>
          <w:b w:val="0"/>
          <w:bCs/>
          <w:color w:val="auto"/>
          <w:kern w:val="2"/>
          <w:sz w:val="32"/>
          <w:szCs w:val="32"/>
          <w:lang w:val="en-US" w:eastAsia="zh-CN" w:bidi="ar-SA"/>
        </w:rPr>
        <w:t>的执法办案成本，</w:t>
      </w:r>
      <w:r>
        <w:rPr>
          <w:rFonts w:hint="default" w:ascii="Times New Roman" w:hAnsi="Times New Roman" w:eastAsia="仿宋_GB2312" w:cs="Times New Roman"/>
          <w:b w:val="0"/>
          <w:bCs/>
          <w:color w:val="auto"/>
          <w:kern w:val="2"/>
          <w:sz w:val="32"/>
          <w:szCs w:val="32"/>
          <w:lang w:val="en-US" w:eastAsia="zh-CN" w:bidi="ar-SA"/>
        </w:rPr>
        <w:t>而执法办案是维护市场经济秩序，确保</w:t>
      </w:r>
      <w:r>
        <w:rPr>
          <w:rFonts w:hint="default" w:ascii="Times New Roman" w:hAnsi="Times New Roman" w:eastAsia="仿宋_GB2312" w:cs="Times New Roman"/>
          <w:b w:val="0"/>
          <w:bCs/>
          <w:sz w:val="32"/>
          <w:szCs w:val="32"/>
          <w:lang w:val="en-US" w:eastAsia="zh-CN"/>
        </w:rPr>
        <w:t>食品药品安全、产商品质量安全、特种设备安全、消费安全的有效手段。</w:t>
      </w:r>
      <w:r>
        <w:rPr>
          <w:rFonts w:hint="eastAsia" w:ascii="Times New Roman" w:hAnsi="Times New Roman" w:cs="Times New Roman"/>
          <w:b/>
          <w:bCs w:val="0"/>
          <w:sz w:val="32"/>
          <w:szCs w:val="32"/>
          <w:lang w:val="en-US" w:eastAsia="zh-CN"/>
        </w:rPr>
        <w:t>三是</w:t>
      </w:r>
      <w:r>
        <w:rPr>
          <w:rFonts w:hint="eastAsia" w:ascii="Times New Roman" w:hAnsi="Times New Roman" w:cs="Times New Roman"/>
          <w:bCs/>
          <w:color w:val="000000"/>
          <w:kern w:val="0"/>
          <w:lang w:val="en-US" w:eastAsia="zh-CN"/>
        </w:rPr>
        <w:t>专项资金由合并时的952.95万元减少到260.75万元，省级追加专项资金也相应减少，</w:t>
      </w:r>
      <w:r>
        <w:rPr>
          <w:rFonts w:hint="default" w:ascii="Times New Roman" w:hAnsi="Times New Roman" w:eastAsia="仿宋_GB2312" w:cs="Times New Roman"/>
          <w:b w:val="0"/>
          <w:bCs/>
          <w:sz w:val="32"/>
          <w:szCs w:val="32"/>
          <w:lang w:val="en-US" w:eastAsia="zh-CN"/>
        </w:rPr>
        <w:t>专项业务工作经费不</w:t>
      </w:r>
      <w:r>
        <w:rPr>
          <w:rFonts w:hint="eastAsia" w:ascii="Times New Roman" w:hAnsi="Times New Roman" w:cs="Times New Roman"/>
          <w:b w:val="0"/>
          <w:bCs/>
          <w:sz w:val="32"/>
          <w:szCs w:val="32"/>
          <w:lang w:val="en-US" w:eastAsia="zh-CN"/>
        </w:rPr>
        <w:t>断下</w:t>
      </w:r>
      <w:r>
        <w:rPr>
          <w:rFonts w:hint="default" w:ascii="Times New Roman" w:hAnsi="Times New Roman" w:eastAsia="仿宋_GB2312" w:cs="Times New Roman"/>
          <w:b w:val="0"/>
          <w:bCs/>
          <w:sz w:val="32"/>
          <w:szCs w:val="32"/>
          <w:lang w:val="en-US" w:eastAsia="zh-CN"/>
        </w:rPr>
        <w:t>降，与益阳经济社会发展、市场规模不断扩大、安全监管要求不断提高等严重不相适应，不能满足当前市场监管工作需要。目前，我局产商品及药械化产品抽检、特种设备安全监察工作、检验检测设备购置等项目所需经费预算未列入财政预算或安排不足，成为制约市场监管工作开展的瓶颈。</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color w:val="000000"/>
          <w:szCs w:val="32"/>
        </w:rPr>
        <w:t>（二）执法力量薄弱</w:t>
      </w:r>
      <w:r>
        <w:rPr>
          <w:rFonts w:hint="eastAsia" w:ascii="楷体_GB2312" w:hAnsi="楷体_GB2312" w:eastAsia="楷体_GB2312" w:cs="楷体_GB2312"/>
          <w:b/>
          <w:color w:val="000000"/>
          <w:szCs w:val="32"/>
          <w:lang w:eastAsia="zh-CN"/>
        </w:rPr>
        <w:t>，执法人员专业度不足和执法设备匮乏，执法力量难以适应新市场环境下的监管要求。</w:t>
      </w:r>
      <w:r>
        <w:rPr>
          <w:rFonts w:hint="eastAsia" w:ascii="仿宋_GB2312" w:hAnsi="仿宋_GB2312" w:eastAsia="仿宋_GB2312" w:cs="仿宋_GB2312"/>
          <w:sz w:val="32"/>
          <w:szCs w:val="32"/>
        </w:rPr>
        <w:t>市场监管队伍普遍老化，习惯于“传统监管”</w:t>
      </w:r>
      <w:r>
        <w:rPr>
          <w:rFonts w:hint="eastAsia" w:ascii="仿宋_GB2312" w:hAnsi="仿宋_GB2312" w:eastAsia="仿宋_GB2312" w:cs="仿宋_GB2312"/>
          <w:sz w:val="32"/>
          <w:szCs w:val="32"/>
          <w:lang w:eastAsia="zh-CN"/>
        </w:rPr>
        <w:t>，基层执法一线信息不能及时上传、问题不能及时处置、记录没有及时留痕，行政许可、监督抽检、日常监管、企业自查、稽查执法数据无法整合。</w:t>
      </w:r>
      <w:r>
        <w:rPr>
          <w:rFonts w:hint="eastAsia" w:ascii="仿宋_GB2312" w:hAnsi="仿宋_GB2312" w:eastAsia="仿宋_GB2312" w:cs="仿宋_GB2312"/>
          <w:sz w:val="32"/>
          <w:szCs w:val="32"/>
          <w:lang w:val="en-US" w:eastAsia="zh-CN"/>
        </w:rPr>
        <w:t>特别是药械化</w:t>
      </w:r>
      <w:r>
        <w:rPr>
          <w:rFonts w:hint="eastAsia" w:ascii="仿宋_GB2312" w:hAnsi="仿宋_GB2312" w:eastAsia="仿宋_GB2312" w:cs="仿宋_GB2312"/>
          <w:sz w:val="32"/>
          <w:szCs w:val="32"/>
        </w:rPr>
        <w:t>监管人员素质有待提升。医疗器械专业性较强，专业的监管人员严重不足，给监管工作带来一定的难度，不能满足医疗器械产业高质量发展。业务能力与工作要求不匹配，药械化安全风险挖掘不足，技术支持能力不佳，医疗机构上报主渠道维护困难。</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color w:val="000000"/>
          <w:szCs w:val="32"/>
          <w:lang w:val="en-US" w:eastAsia="zh-CN"/>
        </w:rPr>
      </w:pPr>
      <w:r>
        <w:rPr>
          <w:rFonts w:hint="eastAsia" w:ascii="楷体_GB2312" w:hAnsi="楷体_GB2312" w:eastAsia="楷体_GB2312" w:cs="楷体_GB2312"/>
          <w:b/>
          <w:color w:val="000000"/>
          <w:szCs w:val="32"/>
          <w:lang w:eastAsia="zh-CN"/>
        </w:rPr>
        <w:t>（三）</w:t>
      </w:r>
      <w:r>
        <w:rPr>
          <w:rFonts w:hint="default" w:ascii="Times New Roman Regular" w:hAnsi="Times New Roman Regular" w:eastAsia="仿宋" w:cs="Times New Roman Regular"/>
          <w:b/>
          <w:bCs/>
          <w:kern w:val="2"/>
          <w:sz w:val="32"/>
          <w:szCs w:val="32"/>
          <w:lang w:val="en-US" w:eastAsia="zh-CN" w:bidi="ar-SA"/>
        </w:rPr>
        <w:t>项目管理</w:t>
      </w:r>
      <w:r>
        <w:rPr>
          <w:rFonts w:hint="eastAsia" w:ascii="楷体_GB2312" w:hAnsi="楷体_GB2312" w:eastAsia="楷体_GB2312" w:cs="楷体_GB2312"/>
          <w:b/>
          <w:color w:val="000000"/>
          <w:szCs w:val="32"/>
          <w:lang w:val="en-US" w:eastAsia="zh-CN"/>
        </w:rPr>
        <w:t>意识有待加强。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落实企业产品质量安全主体责任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的方法不多、手段不强和途径不广；对事中事前的监管有要求无手段，没有强制约束力，导致一些诸如产品标识类的问题长期得不到解决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；流通环节企业（门店）质量意识、管理能力和人员素质仍是今后一段时间内的突出问题。</w:t>
      </w:r>
      <w:r>
        <w:rPr>
          <w:rFonts w:hint="eastAsia" w:ascii="仿宋_GB2312" w:hAnsi="仿宋_GB2312" w:eastAsia="仿宋_GB2312" w:cs="仿宋_GB2312"/>
          <w:b w:val="0"/>
          <w:bCs w:val="0"/>
          <w:kern w:val="2"/>
          <w:sz w:val="32"/>
          <w:szCs w:val="32"/>
          <w:lang w:val="en-US" w:eastAsia="zh-CN" w:bidi="ar-SA"/>
        </w:rPr>
        <w:t>个别</w:t>
      </w:r>
      <w:r>
        <w:rPr>
          <w:rFonts w:hint="eastAsia" w:ascii="仿宋_GB2312" w:hAnsi="仿宋_GB2312" w:eastAsia="仿宋_GB2312" w:cs="仿宋_GB2312"/>
          <w:b w:val="0"/>
          <w:bCs w:val="0"/>
          <w:sz w:val="32"/>
          <w:szCs w:val="32"/>
        </w:rPr>
        <w:t>项目</w:t>
      </w:r>
      <w:r>
        <w:rPr>
          <w:rFonts w:hint="eastAsia" w:ascii="仿宋_GB2312" w:hAnsi="仿宋_GB2312" w:eastAsia="仿宋_GB2312" w:cs="仿宋_GB2312"/>
          <w:b w:val="0"/>
          <w:bCs w:val="0"/>
          <w:sz w:val="32"/>
          <w:szCs w:val="32"/>
          <w:lang w:val="en-US" w:eastAsia="zh-CN"/>
        </w:rPr>
        <w:t>在</w:t>
      </w:r>
      <w:r>
        <w:rPr>
          <w:rFonts w:hint="eastAsia" w:ascii="仿宋_GB2312" w:hAnsi="仿宋_GB2312" w:eastAsia="仿宋_GB2312" w:cs="仿宋_GB2312"/>
          <w:b w:val="0"/>
          <w:bCs w:val="0"/>
          <w:sz w:val="32"/>
          <w:szCs w:val="32"/>
        </w:rPr>
        <w:t>推进过程中缺乏事中</w:t>
      </w:r>
      <w:r>
        <w:rPr>
          <w:rFonts w:hint="eastAsia" w:ascii="仿宋_GB2312" w:hAnsi="仿宋_GB2312" w:eastAsia="仿宋_GB2312" w:cs="仿宋_GB2312"/>
          <w:b w:val="0"/>
          <w:bCs w:val="0"/>
          <w:sz w:val="32"/>
          <w:szCs w:val="32"/>
          <w:lang w:val="en-US" w:eastAsia="zh-CN"/>
        </w:rPr>
        <w:t>绩效监控</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绩效管理</w:t>
      </w:r>
      <w:r>
        <w:rPr>
          <w:rFonts w:hint="eastAsia" w:ascii="仿宋_GB2312" w:hAnsi="仿宋_GB2312" w:eastAsia="仿宋_GB2312" w:cs="仿宋_GB2312"/>
          <w:b w:val="0"/>
          <w:bCs w:val="0"/>
          <w:sz w:val="32"/>
          <w:szCs w:val="32"/>
        </w:rPr>
        <w:t>小组一般只在年底对资金进行监督，对专项资金的使用没有进行全程追踪。</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黑体" w:hAnsi="黑体" w:eastAsia="黑体" w:cs="黑体"/>
          <w:bCs/>
          <w:szCs w:val="32"/>
        </w:rPr>
      </w:pPr>
      <w:r>
        <w:rPr>
          <w:rFonts w:hint="eastAsia" w:ascii="黑体" w:hAnsi="黑体" w:eastAsia="黑体" w:cs="黑体"/>
          <w:bCs/>
          <w:szCs w:val="32"/>
        </w:rPr>
        <w:t>八、下一步改进措施</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楷体_GB2312" w:hAnsi="楷体_GB2312" w:eastAsia="楷体_GB2312" w:cs="楷体_GB2312"/>
          <w:b/>
          <w:color w:val="000000"/>
          <w:szCs w:val="32"/>
        </w:rPr>
      </w:pPr>
      <w:r>
        <w:rPr>
          <w:rFonts w:hint="eastAsia" w:ascii="楷体_GB2312" w:hAnsi="楷体_GB2312" w:eastAsia="楷体_GB2312" w:cs="楷体_GB2312"/>
          <w:b/>
          <w:color w:val="000000"/>
          <w:szCs w:val="32"/>
        </w:rPr>
        <w:t>（一）请求财政加大对市场监管经费的政策支持。</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color w:val="auto"/>
          <w:kern w:val="2"/>
          <w:sz w:val="32"/>
          <w:szCs w:val="32"/>
          <w:lang w:val="en-US" w:eastAsia="zh-CN" w:bidi="ar-SA"/>
        </w:rPr>
        <w:t>为保障行政执法工作正常开展，有效降低市场监管风险，</w:t>
      </w:r>
      <w:r>
        <w:rPr>
          <w:rFonts w:hint="default" w:ascii="Times New Roman" w:hAnsi="Times New Roman" w:eastAsia="仿宋_GB2312" w:cs="Times New Roman"/>
          <w:b w:val="0"/>
          <w:bCs/>
          <w:sz w:val="32"/>
          <w:szCs w:val="32"/>
          <w:lang w:val="en-US" w:eastAsia="zh-CN"/>
        </w:rPr>
        <w:t>请求按财政核定的罚没收入执收成本率40%安排我局执法办案经费。</w:t>
      </w:r>
      <w:r>
        <w:rPr>
          <w:rFonts w:hint="eastAsia" w:ascii="Times New Roman" w:hAnsi="Times New Roman" w:cs="Times New Roman"/>
          <w:b w:val="0"/>
          <w:bCs/>
          <w:color w:val="000000"/>
          <w:sz w:val="32"/>
          <w:szCs w:val="32"/>
          <w:lang w:val="en-US" w:eastAsia="zh-CN"/>
        </w:rPr>
        <w:t>鉴于</w:t>
      </w:r>
      <w:r>
        <w:rPr>
          <w:rFonts w:hint="default" w:ascii="Times New Roman" w:hAnsi="Times New Roman" w:eastAsia="仿宋_GB2312" w:cs="Times New Roman"/>
          <w:b w:val="0"/>
          <w:bCs/>
          <w:color w:val="000000"/>
          <w:sz w:val="32"/>
          <w:szCs w:val="32"/>
          <w:lang w:eastAsia="zh-CN"/>
        </w:rPr>
        <w:t>《药品管理法》</w:t>
      </w:r>
      <w:r>
        <w:rPr>
          <w:rFonts w:hint="default" w:ascii="Times New Roman" w:hAnsi="Times New Roman" w:eastAsia="仿宋_GB2312" w:cs="Times New Roman"/>
          <w:b w:val="0"/>
          <w:bCs/>
          <w:color w:val="000000"/>
          <w:sz w:val="32"/>
          <w:szCs w:val="32"/>
        </w:rPr>
        <w:t>《产品质量监督抽查管理暂行办法》</w:t>
      </w:r>
      <w:r>
        <w:rPr>
          <w:rFonts w:hint="eastAsia" w:ascii="Times New Roman" w:hAnsi="Times New Roman" w:cs="Times New Roman"/>
          <w:b w:val="0"/>
          <w:bCs/>
          <w:color w:val="000000"/>
          <w:sz w:val="32"/>
          <w:szCs w:val="32"/>
          <w:lang w:val="en-US" w:eastAsia="zh-CN"/>
        </w:rPr>
        <w:t>等</w:t>
      </w:r>
      <w:r>
        <w:rPr>
          <w:rFonts w:hint="default" w:ascii="Times New Roman" w:hAnsi="Times New Roman" w:eastAsia="仿宋_GB2312" w:cs="Times New Roman"/>
          <w:b w:val="0"/>
          <w:bCs/>
          <w:color w:val="000000"/>
          <w:sz w:val="32"/>
          <w:szCs w:val="32"/>
          <w:lang w:val="en-US" w:eastAsia="zh-CN"/>
        </w:rPr>
        <w:t>法律法规</w:t>
      </w:r>
      <w:r>
        <w:rPr>
          <w:rFonts w:hint="eastAsia" w:ascii="Times New Roman" w:hAnsi="Times New Roman" w:cs="Times New Roman"/>
          <w:b w:val="0"/>
          <w:bCs/>
          <w:color w:val="000000"/>
          <w:sz w:val="32"/>
          <w:szCs w:val="32"/>
          <w:lang w:val="en-US" w:eastAsia="zh-CN"/>
        </w:rPr>
        <w:t>对</w:t>
      </w:r>
      <w:r>
        <w:rPr>
          <w:rFonts w:hint="default" w:ascii="Times New Roman" w:hAnsi="Times New Roman" w:eastAsia="仿宋_GB2312" w:cs="Times New Roman"/>
          <w:b w:val="0"/>
          <w:bCs/>
          <w:color w:val="000000"/>
          <w:sz w:val="32"/>
          <w:szCs w:val="32"/>
          <w:lang w:val="en-US" w:eastAsia="zh-CN"/>
        </w:rPr>
        <w:t>影响国计民生的重要工业产品以及消费者、有关组织反映有质量问题的产品应进行抽查</w:t>
      </w:r>
      <w:r>
        <w:rPr>
          <w:rFonts w:hint="eastAsia" w:ascii="Times New Roman" w:hAnsi="Times New Roman" w:cs="Times New Roman"/>
          <w:b w:val="0"/>
          <w:bCs/>
          <w:color w:val="000000"/>
          <w:sz w:val="32"/>
          <w:szCs w:val="32"/>
          <w:lang w:val="en-US" w:eastAsia="zh-CN"/>
        </w:rPr>
        <w:t>的要求</w:t>
      </w:r>
      <w:r>
        <w:rPr>
          <w:rFonts w:hint="default" w:ascii="Times New Roman" w:hAnsi="Times New Roman" w:eastAsia="仿宋_GB2312" w:cs="Times New Roman"/>
          <w:b w:val="0"/>
          <w:bCs/>
          <w:color w:val="000000"/>
          <w:sz w:val="32"/>
          <w:szCs w:val="32"/>
          <w:lang w:val="en-US" w:eastAsia="zh-CN"/>
        </w:rPr>
        <w:t>，</w:t>
      </w:r>
      <w:r>
        <w:rPr>
          <w:rFonts w:hint="default" w:ascii="Times New Roman" w:hAnsi="Times New Roman" w:eastAsia="仿宋_GB2312" w:cs="Times New Roman"/>
          <w:b w:val="0"/>
          <w:bCs/>
          <w:sz w:val="32"/>
          <w:szCs w:val="32"/>
          <w:lang w:val="en-US" w:eastAsia="zh-CN"/>
        </w:rPr>
        <w:t>请求协调将产商品抽检</w:t>
      </w:r>
      <w:r>
        <w:rPr>
          <w:rFonts w:hint="eastAsia" w:ascii="Times New Roman" w:hAnsi="Times New Roman" w:eastAsia="仿宋_GB2312" w:cs="Times New Roman"/>
          <w:b w:val="0"/>
          <w:bCs/>
          <w:sz w:val="32"/>
          <w:szCs w:val="32"/>
          <w:lang w:val="en-US" w:eastAsia="zh-CN"/>
        </w:rPr>
        <w:t>经费（</w:t>
      </w:r>
      <w:r>
        <w:rPr>
          <w:rFonts w:hint="default" w:ascii="Times New Roman" w:hAnsi="Times New Roman" w:eastAsia="仿宋_GB2312" w:cs="Times New Roman"/>
          <w:b w:val="0"/>
          <w:bCs/>
          <w:sz w:val="32"/>
          <w:szCs w:val="32"/>
          <w:lang w:val="en-US" w:eastAsia="zh-CN"/>
        </w:rPr>
        <w:t>800批次</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1500元/批次</w:t>
      </w:r>
      <w:r>
        <w:rPr>
          <w:rFonts w:hint="eastAsia" w:cs="Times New Roman"/>
          <w:b w:val="0"/>
          <w:bCs/>
          <w:sz w:val="32"/>
          <w:szCs w:val="32"/>
          <w:lang w:val="en-US" w:eastAsia="zh-CN"/>
        </w:rPr>
        <w:t>）和</w:t>
      </w:r>
      <w:r>
        <w:rPr>
          <w:rFonts w:hint="default" w:ascii="Times New Roman" w:hAnsi="Times New Roman" w:eastAsia="仿宋_GB2312" w:cs="Times New Roman"/>
          <w:b w:val="0"/>
          <w:bCs/>
          <w:sz w:val="32"/>
          <w:szCs w:val="32"/>
          <w:lang w:val="en-US" w:eastAsia="zh-CN"/>
        </w:rPr>
        <w:t>药械化产品市级抽检</w:t>
      </w:r>
      <w:r>
        <w:rPr>
          <w:rFonts w:hint="eastAsia" w:ascii="Times New Roman" w:hAnsi="Times New Roman" w:cs="Times New Roman"/>
          <w:b w:val="0"/>
          <w:bCs/>
          <w:sz w:val="32"/>
          <w:szCs w:val="32"/>
          <w:lang w:val="en-US" w:eastAsia="zh-CN"/>
        </w:rPr>
        <w:t>经费（</w:t>
      </w:r>
      <w:r>
        <w:rPr>
          <w:rFonts w:hint="default" w:ascii="Times New Roman" w:hAnsi="Times New Roman" w:eastAsia="仿宋_GB2312" w:cs="Times New Roman"/>
          <w:b w:val="0"/>
          <w:bCs/>
          <w:sz w:val="32"/>
          <w:szCs w:val="32"/>
          <w:lang w:val="en-US" w:eastAsia="zh-CN"/>
        </w:rPr>
        <w:t>300批次</w:t>
      </w:r>
      <w:r>
        <w:rPr>
          <w:rFonts w:hint="eastAsia" w:ascii="Times New Roman" w:hAnsi="Times New Roman"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3000元/批次）</w:t>
      </w:r>
      <w:r>
        <w:rPr>
          <w:rFonts w:hint="eastAsia" w:ascii="Times New Roman" w:hAnsi="Times New Roman" w:cs="Times New Roman"/>
          <w:b w:val="0"/>
          <w:bCs/>
          <w:sz w:val="32"/>
          <w:szCs w:val="32"/>
          <w:lang w:val="en-US" w:eastAsia="zh-CN"/>
        </w:rPr>
        <w:t>21</w:t>
      </w:r>
      <w:r>
        <w:rPr>
          <w:rFonts w:hint="eastAsia" w:cs="Times New Roman"/>
          <w:b w:val="0"/>
          <w:bCs/>
          <w:sz w:val="32"/>
          <w:szCs w:val="32"/>
          <w:lang w:val="en-US" w:eastAsia="zh-CN"/>
        </w:rPr>
        <w:t>0万元纳入年度部门预算。</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color w:val="000000"/>
          <w:szCs w:val="32"/>
        </w:rPr>
        <w:t>（二）</w:t>
      </w:r>
      <w:r>
        <w:rPr>
          <w:rFonts w:hint="eastAsia" w:ascii="仿宋" w:hAnsi="仿宋" w:eastAsia="仿宋" w:cs="仿宋"/>
          <w:b/>
          <w:sz w:val="32"/>
          <w:szCs w:val="32"/>
        </w:rPr>
        <w:t>加强人才培养和引进</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强化</w:t>
      </w:r>
      <w:r>
        <w:rPr>
          <w:rFonts w:hint="eastAsia" w:ascii="仿宋" w:hAnsi="仿宋" w:eastAsia="仿宋" w:cs="仿宋"/>
          <w:b/>
          <w:sz w:val="32"/>
          <w:szCs w:val="32"/>
        </w:rPr>
        <w:t>专业化培训，持续学习机制。</w:t>
      </w:r>
      <w:r>
        <w:rPr>
          <w:rFonts w:hint="eastAsia" w:ascii="仿宋_GB2312" w:hAnsi="仿宋_GB2312" w:eastAsia="仿宋_GB2312" w:cs="仿宋_GB2312"/>
          <w:sz w:val="32"/>
          <w:szCs w:val="32"/>
        </w:rPr>
        <w:t>加大基础能力建设和人员培训，针对性的培养一批能适应新监管环境的执法专业人才和基层监管人员，培养能够熟练操作计算机，集监测、监管、取证、执法一体的年轻干部，提升监管效能。定期组织监管人员的专业培训，邀请行业专家进行授课，建立持续学习机制，鼓励监管人员自主学习和持续更新知识。建立激励机制，吸引和留住优秀人才，为</w:t>
      </w:r>
      <w:r>
        <w:rPr>
          <w:rFonts w:hint="eastAsia" w:ascii="仿宋_GB2312" w:hAnsi="仿宋_GB2312" w:eastAsia="仿宋_GB2312" w:cs="仿宋_GB2312"/>
          <w:sz w:val="32"/>
          <w:szCs w:val="32"/>
          <w:lang w:val="en-US" w:eastAsia="zh-CN"/>
        </w:rPr>
        <w:t>基础能力</w:t>
      </w:r>
      <w:r>
        <w:rPr>
          <w:rFonts w:hint="eastAsia" w:ascii="仿宋_GB2312" w:hAnsi="仿宋_GB2312" w:eastAsia="仿宋_GB2312" w:cs="仿宋_GB2312"/>
          <w:sz w:val="32"/>
          <w:szCs w:val="32"/>
        </w:rPr>
        <w:t>发展提供强有力的人才保障。</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color w:val="000000"/>
          <w:szCs w:val="32"/>
        </w:rPr>
        <w:t>（三）</w:t>
      </w:r>
      <w:r>
        <w:rPr>
          <w:rFonts w:hint="default" w:ascii="楷体_GB2312" w:hAnsi="楷体_GB2312" w:eastAsia="楷体_GB2312" w:cs="楷体_GB2312"/>
          <w:b/>
          <w:color w:val="000000"/>
          <w:szCs w:val="32"/>
        </w:rPr>
        <w:t>发挥监督检查、监督抽查和行政执法的综合作用</w:t>
      </w:r>
      <w:r>
        <w:rPr>
          <w:rFonts w:hint="eastAsia" w:ascii="楷体_GB2312" w:hAnsi="楷体_GB2312" w:eastAsia="楷体_GB2312" w:cs="楷体_GB2312"/>
          <w:b/>
          <w:color w:val="000000"/>
          <w:szCs w:val="32"/>
          <w:lang w:eastAsia="zh-CN"/>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坚持问题导向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对重点区域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重点行业和重点产品的质量安全问题从严、从重、从快治理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依法处置不合格产品，确保人民群众健康财产安全。加大对涉及安全产品和安全指标监管的深度和覆盖面，从预防和应对两个层面防范产品质量安全事故，制定和完善应急预案，将产品质量安全风险危害降到最低水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sz w:val="32"/>
          <w:szCs w:val="32"/>
          <w:lang w:val="en-US" w:eastAsia="zh-CN"/>
        </w:rPr>
        <w:t>建立事中绩效监控体系，制定明确的绩效监控指标和方法，对专项资金的使用情况进行实时跟踪和监控，通过定期报告、数据分析等方式，及时发现和解决资金使用中的问题，确保资金能够按照预定目标有效使用。</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黑体" w:hAnsi="黑体" w:eastAsia="黑体" w:cs="黑体"/>
          <w:bCs/>
          <w:szCs w:val="32"/>
        </w:rPr>
      </w:pPr>
      <w:r>
        <w:rPr>
          <w:rFonts w:hint="eastAsia" w:ascii="黑体" w:hAnsi="黑体" w:eastAsia="黑体" w:cs="黑体"/>
          <w:bCs/>
          <w:szCs w:val="32"/>
        </w:rPr>
        <w:t>九、部门整体支出绩效自评结果拟应用和公开情况</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color w:val="000000"/>
          <w:szCs w:val="32"/>
        </w:rPr>
      </w:pPr>
      <w:r>
        <w:rPr>
          <w:rFonts w:hint="default" w:ascii="Times New Roman" w:hAnsi="Times New Roman" w:eastAsia="仿宋_GB2312" w:cs="Times New Roman"/>
          <w:color w:val="000000"/>
          <w:szCs w:val="32"/>
          <w:lang w:eastAsia="zh-CN"/>
        </w:rPr>
        <w:t>202</w:t>
      </w:r>
      <w:r>
        <w:rPr>
          <w:rFonts w:hint="eastAsia" w:cs="Times New Roman"/>
          <w:color w:val="000000"/>
          <w:szCs w:val="32"/>
          <w:lang w:val="en-US" w:eastAsia="zh-CN"/>
        </w:rPr>
        <w:t>3</w:t>
      </w:r>
      <w:r>
        <w:rPr>
          <w:rFonts w:hint="default" w:ascii="Times New Roman" w:hAnsi="Times New Roman" w:eastAsia="仿宋_GB2312" w:cs="Times New Roman"/>
          <w:color w:val="000000"/>
          <w:szCs w:val="32"/>
          <w:lang w:eastAsia="zh-CN"/>
        </w:rPr>
        <w:t>年</w:t>
      </w:r>
      <w:r>
        <w:rPr>
          <w:rFonts w:hint="default" w:ascii="Times New Roman" w:hAnsi="Times New Roman" w:eastAsia="仿宋_GB2312" w:cs="Times New Roman"/>
          <w:color w:val="000000"/>
          <w:szCs w:val="32"/>
        </w:rPr>
        <w:t>度部门整体支出绩效评价指标评分</w:t>
      </w:r>
      <w:r>
        <w:rPr>
          <w:rFonts w:hint="eastAsia" w:cs="Times New Roman"/>
          <w:color w:val="000000"/>
          <w:szCs w:val="32"/>
          <w:lang w:val="en-US" w:eastAsia="zh-CN"/>
        </w:rPr>
        <w:t>99.3</w:t>
      </w:r>
      <w:r>
        <w:rPr>
          <w:rFonts w:hint="default" w:ascii="Times New Roman" w:hAnsi="Times New Roman" w:eastAsia="仿宋_GB2312" w:cs="Times New Roman"/>
          <w:color w:val="000000"/>
          <w:szCs w:val="32"/>
        </w:rPr>
        <w:t>分，资金使用和效果达到了预期的经济、环境和社会效益。完成自评后我</w:t>
      </w:r>
      <w:r>
        <w:rPr>
          <w:rFonts w:hint="eastAsia" w:cs="Times New Roman"/>
          <w:color w:val="000000"/>
          <w:szCs w:val="32"/>
          <w:lang w:val="en-US" w:eastAsia="zh-CN"/>
        </w:rPr>
        <w:t>局</w:t>
      </w:r>
      <w:r>
        <w:rPr>
          <w:rFonts w:hint="default" w:ascii="Times New Roman" w:hAnsi="Times New Roman" w:eastAsia="仿宋_GB2312" w:cs="Times New Roman"/>
          <w:color w:val="000000"/>
          <w:szCs w:val="32"/>
        </w:rPr>
        <w:t>将及时通报自评结果，认真分析评价结果所反映的问题，我</w:t>
      </w:r>
      <w:r>
        <w:rPr>
          <w:rFonts w:hint="eastAsia" w:cs="Times New Roman"/>
          <w:color w:val="000000"/>
          <w:szCs w:val="32"/>
          <w:lang w:val="en-US" w:eastAsia="zh-CN"/>
        </w:rPr>
        <w:t>局</w:t>
      </w:r>
      <w:r>
        <w:rPr>
          <w:rFonts w:hint="default" w:ascii="Times New Roman" w:hAnsi="Times New Roman" w:eastAsia="仿宋_GB2312" w:cs="Times New Roman"/>
          <w:color w:val="000000"/>
          <w:szCs w:val="32"/>
        </w:rPr>
        <w:t>将不断细化绩效评价指标，提高资金使用效益，制定改进和提高工作的措施，将绩效评价结果作为编制以后年度预算的重要依据。并根据市财政部门关于</w:t>
      </w:r>
      <w:r>
        <w:rPr>
          <w:rFonts w:hint="default" w:ascii="Times New Roman" w:hAnsi="Times New Roman" w:eastAsia="仿宋_GB2312" w:cs="Times New Roman"/>
          <w:color w:val="000000"/>
          <w:sz w:val="32"/>
          <w:szCs w:val="32"/>
        </w:rPr>
        <w:t>部门绩效自评工作通知的要求，于202</w:t>
      </w:r>
      <w:r>
        <w:rPr>
          <w:rFonts w:hint="eastAsia" w:cs="Times New Roman"/>
          <w:color w:val="000000"/>
          <w:sz w:val="32"/>
          <w:szCs w:val="32"/>
          <w:lang w:val="en-US" w:eastAsia="zh-CN"/>
        </w:rPr>
        <w:t>4</w:t>
      </w:r>
      <w:r>
        <w:rPr>
          <w:rFonts w:hint="default" w:ascii="Times New Roman" w:hAnsi="Times New Roman" w:eastAsia="仿宋_GB2312" w:cs="Times New Roman"/>
          <w:color w:val="000000"/>
          <w:sz w:val="32"/>
          <w:szCs w:val="32"/>
        </w:rPr>
        <w:t>年</w:t>
      </w:r>
      <w:r>
        <w:rPr>
          <w:rFonts w:hint="eastAsia" w:cs="Times New Roman"/>
          <w:color w:val="000000"/>
          <w:sz w:val="32"/>
          <w:szCs w:val="32"/>
          <w:lang w:val="en-US" w:eastAsia="zh-CN"/>
        </w:rPr>
        <w:t>5</w:t>
      </w:r>
      <w:r>
        <w:rPr>
          <w:rFonts w:hint="default" w:ascii="Times New Roman" w:hAnsi="Times New Roman" w:eastAsia="仿宋_GB2312" w:cs="Times New Roman"/>
          <w:color w:val="000000"/>
          <w:sz w:val="32"/>
          <w:szCs w:val="32"/>
        </w:rPr>
        <w:t>月</w:t>
      </w:r>
      <w:r>
        <w:rPr>
          <w:rFonts w:hint="eastAsia"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日在单位门户网站上公开，接受</w:t>
      </w:r>
      <w:r>
        <w:rPr>
          <w:rFonts w:hint="eastAsia" w:ascii="仿宋_GB2312" w:hAnsi="仿宋_GB2312" w:eastAsia="仿宋_GB2312" w:cs="仿宋_GB2312"/>
          <w:color w:val="000000"/>
          <w:szCs w:val="32"/>
        </w:rPr>
        <w:t>社会监督。</w:t>
      </w:r>
    </w:p>
    <w:p>
      <w:pPr>
        <w:keepNext w:val="0"/>
        <w:keepLines w:val="0"/>
        <w:pageBreakBefore w:val="0"/>
        <w:widowControl w:val="0"/>
        <w:pBdr>
          <w:top w:val="none" w:color="000000" w:sz="0" w:space="0"/>
          <w:left w:val="none" w:color="000000" w:sz="0" w:space="0"/>
          <w:bottom w:val="none" w:color="000000" w:sz="0" w:space="21"/>
          <w:right w:val="none" w:color="000000" w:sz="0" w:space="1"/>
        </w:pBdr>
        <w:kinsoku/>
        <w:wordWrap/>
        <w:overflowPunct/>
        <w:autoSpaceDE/>
        <w:autoSpaceDN w:val="0"/>
        <w:bidi w:val="0"/>
        <w:spacing w:line="600" w:lineRule="exact"/>
        <w:ind w:firstLine="640" w:firstLineChars="2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附件：1、部门整体支出绩效评价基础数据表</w:t>
      </w:r>
    </w:p>
    <w:p>
      <w:pPr>
        <w:keepNext w:val="0"/>
        <w:keepLines w:val="0"/>
        <w:pageBreakBefore w:val="0"/>
        <w:widowControl w:val="0"/>
        <w:pBdr>
          <w:top w:val="none" w:color="000000" w:sz="0" w:space="0"/>
          <w:left w:val="none" w:color="000000" w:sz="0" w:space="0"/>
          <w:bottom w:val="none" w:color="000000" w:sz="0" w:space="21"/>
          <w:right w:val="none" w:color="000000" w:sz="0" w:space="1"/>
        </w:pBdr>
        <w:kinsoku/>
        <w:wordWrap/>
        <w:overflowPunct/>
        <w:autoSpaceDE/>
        <w:autoSpaceDN w:val="0"/>
        <w:bidi w:val="0"/>
        <w:spacing w:line="600" w:lineRule="exact"/>
        <w:ind w:firstLine="1600" w:firstLineChars="5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2、部门整体支出绩效自评表</w:t>
      </w:r>
    </w:p>
    <w:p>
      <w:pPr>
        <w:keepNext w:val="0"/>
        <w:keepLines w:val="0"/>
        <w:pageBreakBefore w:val="0"/>
        <w:widowControl w:val="0"/>
        <w:pBdr>
          <w:top w:val="none" w:color="000000" w:sz="0" w:space="0"/>
          <w:left w:val="none" w:color="000000" w:sz="0" w:space="0"/>
          <w:bottom w:val="none" w:color="000000" w:sz="0" w:space="21"/>
          <w:right w:val="none" w:color="000000" w:sz="0" w:space="1"/>
        </w:pBdr>
        <w:kinsoku/>
        <w:wordWrap/>
        <w:overflowPunct/>
        <w:autoSpaceDE/>
        <w:autoSpaceDN w:val="0"/>
        <w:bidi w:val="0"/>
        <w:spacing w:line="600" w:lineRule="exact"/>
        <w:ind w:firstLine="1600" w:firstLineChars="500"/>
        <w:textAlignment w:val="auto"/>
        <w:rPr>
          <w:rFonts w:hint="default" w:ascii="Times New Roman" w:hAnsi="Times New Roman" w:eastAsia="仿宋_GB2312" w:cs="Times New Roman"/>
          <w:color w:val="000000"/>
          <w:szCs w:val="32"/>
        </w:rPr>
      </w:pP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autoSpaceDE/>
        <w:autoSpaceDN w:val="0"/>
        <w:bidi w:val="0"/>
        <w:spacing w:line="600" w:lineRule="exact"/>
        <w:ind w:firstLine="640" w:firstLineChars="200"/>
        <w:textAlignment w:val="auto"/>
        <w:rPr>
          <w:rFonts w:hint="default"/>
        </w:rPr>
      </w:pPr>
      <w:r>
        <w:rPr>
          <w:rFonts w:hint="default" w:ascii="Times New Roman" w:hAnsi="Times New Roman" w:eastAsia="仿宋_GB2312" w:cs="Times New Roman"/>
          <w:color w:val="000000"/>
          <w:szCs w:val="32"/>
        </w:rPr>
        <w:t xml:space="preserve">                         益阳市市场监督管理局</w:t>
      </w:r>
    </w:p>
    <w:p>
      <w:pPr>
        <w:keepNext w:val="0"/>
        <w:keepLines w:val="0"/>
        <w:pageBreakBefore w:val="0"/>
        <w:widowControl w:val="0"/>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spacing w:line="600" w:lineRule="exact"/>
        <w:ind w:firstLine="5120" w:firstLineChars="1600"/>
        <w:textAlignment w:val="auto"/>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202</w:t>
      </w:r>
      <w:r>
        <w:rPr>
          <w:rFonts w:hint="eastAsia" w:cs="Times New Roman"/>
          <w:color w:val="000000"/>
          <w:szCs w:val="32"/>
          <w:lang w:val="en-US" w:eastAsia="zh-CN"/>
        </w:rPr>
        <w:t>4</w:t>
      </w:r>
      <w:r>
        <w:rPr>
          <w:rFonts w:hint="default" w:ascii="Times New Roman" w:hAnsi="Times New Roman" w:eastAsia="仿宋_GB2312" w:cs="Times New Roman"/>
          <w:color w:val="000000"/>
          <w:szCs w:val="32"/>
        </w:rPr>
        <w:t>年</w:t>
      </w:r>
      <w:r>
        <w:rPr>
          <w:rFonts w:hint="eastAsia" w:cs="Times New Roman"/>
          <w:color w:val="000000"/>
          <w:szCs w:val="32"/>
          <w:lang w:val="en-US" w:eastAsia="zh-CN"/>
        </w:rPr>
        <w:t>5</w:t>
      </w:r>
      <w:r>
        <w:rPr>
          <w:rFonts w:hint="default" w:ascii="Times New Roman" w:hAnsi="Times New Roman" w:eastAsia="仿宋_GB2312" w:cs="Times New Roman"/>
          <w:color w:val="000000"/>
          <w:szCs w:val="32"/>
        </w:rPr>
        <w:t>月</w:t>
      </w:r>
      <w:r>
        <w:rPr>
          <w:rFonts w:hint="eastAsia" w:cs="Times New Roman"/>
          <w:color w:val="000000"/>
          <w:szCs w:val="32"/>
          <w:lang w:val="en-US" w:eastAsia="zh-CN"/>
        </w:rPr>
        <w:t>30</w:t>
      </w:r>
      <w:r>
        <w:rPr>
          <w:rFonts w:hint="default" w:ascii="Times New Roman" w:hAnsi="Times New Roman" w:eastAsia="仿宋_GB2312" w:cs="Times New Roman"/>
          <w:color w:val="000000"/>
          <w:szCs w:val="32"/>
        </w:rPr>
        <w:t>日</w:t>
      </w:r>
    </w:p>
    <w:p>
      <w:pPr>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br w:type="page"/>
      </w:r>
    </w:p>
    <w:p>
      <w:pPr>
        <w:spacing w:line="600" w:lineRule="exact"/>
        <w:jc w:val="left"/>
        <w:rPr>
          <w:rFonts w:hint="eastAsia" w:ascii="黑体" w:hAnsi="黑体" w:eastAsia="黑体"/>
          <w:bCs/>
          <w:color w:val="000000"/>
          <w:kern w:val="0"/>
          <w:szCs w:val="32"/>
        </w:rPr>
      </w:pPr>
      <w:r>
        <w:rPr>
          <w:rFonts w:hint="default" w:ascii="Times New Roman" w:hAnsi="Times New Roman" w:eastAsia="黑体" w:cs="Times New Roman"/>
          <w:bCs/>
          <w:color w:val="000000"/>
          <w:kern w:val="0"/>
          <w:szCs w:val="32"/>
        </w:rPr>
        <w:t>附件1</w:t>
      </w:r>
    </w:p>
    <w:p>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202</w:t>
      </w:r>
      <w:r>
        <w:rPr>
          <w:rFonts w:hint="eastAsia" w:ascii="方正小标宋简体" w:hAnsi="方正小标宋简体" w:eastAsia="方正小标宋简体" w:cs="方正小标宋简体"/>
          <w:kern w:val="0"/>
          <w:sz w:val="44"/>
          <w:szCs w:val="44"/>
          <w:lang w:val="en-US" w:eastAsia="zh-CN"/>
        </w:rPr>
        <w:t>3</w:t>
      </w:r>
      <w:r>
        <w:rPr>
          <w:rFonts w:hint="eastAsia" w:ascii="方正小标宋简体" w:hAnsi="方正小标宋简体" w:eastAsia="方正小标宋简体" w:cs="方正小标宋简体"/>
          <w:kern w:val="0"/>
          <w:sz w:val="44"/>
          <w:szCs w:val="44"/>
          <w:lang w:eastAsia="zh-CN"/>
        </w:rPr>
        <w:t>年</w:t>
      </w:r>
      <w:r>
        <w:rPr>
          <w:rFonts w:hint="eastAsia" w:ascii="方正小标宋简体" w:hAnsi="方正小标宋简体" w:eastAsia="方正小标宋简体" w:cs="方正小标宋简体"/>
          <w:kern w:val="0"/>
          <w:sz w:val="44"/>
          <w:szCs w:val="44"/>
        </w:rPr>
        <w:t>度部门整体支出绩效评价基础数据表</w:t>
      </w:r>
    </w:p>
    <w:p>
      <w:pPr>
        <w:pStyle w:val="5"/>
        <w:rPr>
          <w:rFonts w:hint="eastAsia"/>
        </w:rPr>
      </w:pPr>
    </w:p>
    <w:tbl>
      <w:tblPr>
        <w:tblStyle w:val="10"/>
        <w:tblW w:w="9283" w:type="dxa"/>
        <w:jc w:val="center"/>
        <w:tblLayout w:type="fixed"/>
        <w:tblCellMar>
          <w:top w:w="0" w:type="dxa"/>
          <w:left w:w="108" w:type="dxa"/>
          <w:bottom w:w="0" w:type="dxa"/>
          <w:right w:w="108" w:type="dxa"/>
        </w:tblCellMar>
      </w:tblPr>
      <w:tblGrid>
        <w:gridCol w:w="3214"/>
        <w:gridCol w:w="1079"/>
        <w:gridCol w:w="959"/>
        <w:gridCol w:w="955"/>
        <w:gridCol w:w="1140"/>
        <w:gridCol w:w="960"/>
        <w:gridCol w:w="976"/>
      </w:tblGrid>
      <w:tr>
        <w:tblPrEx>
          <w:tblCellMar>
            <w:top w:w="0" w:type="dxa"/>
            <w:left w:w="108" w:type="dxa"/>
            <w:bottom w:w="0" w:type="dxa"/>
            <w:right w:w="108" w:type="dxa"/>
          </w:tblCellMar>
        </w:tblPrEx>
        <w:trPr>
          <w:trHeight w:val="397" w:hRule="atLeast"/>
          <w:jc w:val="center"/>
        </w:trPr>
        <w:tc>
          <w:tcPr>
            <w:tcW w:w="321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kern w:val="0"/>
                <w:sz w:val="21"/>
                <w:szCs w:val="21"/>
              </w:rPr>
            </w:pPr>
            <w:r>
              <w:rPr>
                <w:kern w:val="0"/>
                <w:sz w:val="21"/>
                <w:szCs w:val="21"/>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kern w:val="0"/>
                <w:sz w:val="21"/>
                <w:szCs w:val="21"/>
              </w:rPr>
            </w:pPr>
            <w:r>
              <w:rPr>
                <w:b/>
                <w:kern w:val="0"/>
                <w:sz w:val="21"/>
                <w:szCs w:val="21"/>
              </w:rPr>
              <w:t>编制数</w:t>
            </w:r>
          </w:p>
        </w:tc>
        <w:tc>
          <w:tcPr>
            <w:tcW w:w="2095" w:type="dxa"/>
            <w:gridSpan w:val="2"/>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spacing w:val="-20"/>
                <w:kern w:val="0"/>
                <w:sz w:val="21"/>
                <w:szCs w:val="21"/>
              </w:rPr>
            </w:pPr>
            <w:r>
              <w:rPr>
                <w:rFonts w:hint="eastAsia"/>
                <w:b/>
                <w:spacing w:val="-20"/>
                <w:kern w:val="0"/>
                <w:sz w:val="21"/>
                <w:szCs w:val="21"/>
                <w:lang w:eastAsia="zh-CN"/>
              </w:rPr>
              <w:t>2022年</w:t>
            </w:r>
            <w:r>
              <w:rPr>
                <w:b/>
                <w:spacing w:val="-20"/>
                <w:kern w:val="0"/>
                <w:sz w:val="21"/>
                <w:szCs w:val="21"/>
              </w:rPr>
              <w:t>实际在职人数</w:t>
            </w:r>
          </w:p>
        </w:tc>
        <w:tc>
          <w:tcPr>
            <w:tcW w:w="1936" w:type="dxa"/>
            <w:gridSpan w:val="2"/>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kern w:val="0"/>
                <w:sz w:val="21"/>
                <w:szCs w:val="21"/>
              </w:rPr>
            </w:pPr>
            <w:r>
              <w:rPr>
                <w:b/>
                <w:kern w:val="0"/>
                <w:sz w:val="21"/>
                <w:szCs w:val="21"/>
              </w:rPr>
              <w:t>控制率</w:t>
            </w:r>
          </w:p>
        </w:tc>
      </w:tr>
      <w:tr>
        <w:tblPrEx>
          <w:tblCellMar>
            <w:top w:w="0" w:type="dxa"/>
            <w:left w:w="108" w:type="dxa"/>
            <w:bottom w:w="0" w:type="dxa"/>
            <w:right w:w="108" w:type="dxa"/>
          </w:tblCellMar>
        </w:tblPrEx>
        <w:trPr>
          <w:trHeight w:val="397" w:hRule="atLeast"/>
          <w:jc w:val="center"/>
        </w:trPr>
        <w:tc>
          <w:tcPr>
            <w:tcW w:w="32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kern w:val="0"/>
                <w:sz w:val="21"/>
                <w:szCs w:val="21"/>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1"/>
                <w:szCs w:val="21"/>
              </w:rPr>
            </w:pPr>
            <w:r>
              <w:rPr>
                <w:rFonts w:hint="eastAsia"/>
                <w:kern w:val="0"/>
                <w:sz w:val="21"/>
                <w:szCs w:val="21"/>
                <w:lang w:val="en-US" w:eastAsia="zh-CN"/>
              </w:rPr>
              <w:t>339</w:t>
            </w:r>
            <w:r>
              <w:rPr>
                <w:kern w:val="0"/>
                <w:sz w:val="21"/>
                <w:szCs w:val="21"/>
              </w:rPr>
              <w:t>　</w:t>
            </w:r>
          </w:p>
        </w:tc>
        <w:tc>
          <w:tcPr>
            <w:tcW w:w="209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314</w:t>
            </w:r>
          </w:p>
        </w:tc>
        <w:tc>
          <w:tcPr>
            <w:tcW w:w="193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92.63%</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center"/>
              <w:rPr>
                <w:b/>
                <w:kern w:val="0"/>
                <w:sz w:val="21"/>
                <w:szCs w:val="21"/>
              </w:rPr>
            </w:pPr>
            <w:r>
              <w:rPr>
                <w:b/>
                <w:kern w:val="0"/>
                <w:sz w:val="21"/>
                <w:szCs w:val="21"/>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b/>
                <w:kern w:val="0"/>
                <w:sz w:val="21"/>
                <w:szCs w:val="21"/>
              </w:rPr>
            </w:pPr>
            <w:r>
              <w:rPr>
                <w:b/>
                <w:kern w:val="0"/>
                <w:sz w:val="21"/>
                <w:szCs w:val="21"/>
              </w:rPr>
              <w:t>20</w:t>
            </w:r>
            <w:r>
              <w:rPr>
                <w:rFonts w:hint="eastAsia"/>
                <w:b/>
                <w:kern w:val="0"/>
                <w:sz w:val="21"/>
                <w:szCs w:val="21"/>
              </w:rPr>
              <w:t>2</w:t>
            </w:r>
            <w:r>
              <w:rPr>
                <w:rFonts w:hint="eastAsia"/>
                <w:b/>
                <w:kern w:val="0"/>
                <w:sz w:val="21"/>
                <w:szCs w:val="21"/>
                <w:lang w:val="en-US" w:eastAsia="zh-CN"/>
              </w:rPr>
              <w:t>2</w:t>
            </w:r>
            <w:r>
              <w:rPr>
                <w:b/>
                <w:kern w:val="0"/>
                <w:sz w:val="21"/>
                <w:szCs w:val="21"/>
              </w:rPr>
              <w:t>年决算数</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b/>
                <w:kern w:val="0"/>
                <w:sz w:val="21"/>
                <w:szCs w:val="21"/>
              </w:rPr>
            </w:pPr>
            <w:r>
              <w:rPr>
                <w:rFonts w:hint="eastAsia"/>
                <w:b/>
                <w:kern w:val="0"/>
                <w:sz w:val="21"/>
                <w:szCs w:val="21"/>
                <w:lang w:eastAsia="zh-CN"/>
              </w:rPr>
              <w:t>202</w:t>
            </w:r>
            <w:r>
              <w:rPr>
                <w:rFonts w:hint="eastAsia"/>
                <w:b/>
                <w:kern w:val="0"/>
                <w:sz w:val="21"/>
                <w:szCs w:val="21"/>
                <w:lang w:val="en-US" w:eastAsia="zh-CN"/>
              </w:rPr>
              <w:t>3</w:t>
            </w:r>
            <w:r>
              <w:rPr>
                <w:rFonts w:hint="eastAsia"/>
                <w:b/>
                <w:kern w:val="0"/>
                <w:sz w:val="21"/>
                <w:szCs w:val="21"/>
                <w:lang w:eastAsia="zh-CN"/>
              </w:rPr>
              <w:t>年</w:t>
            </w:r>
            <w:r>
              <w:rPr>
                <w:b/>
                <w:kern w:val="0"/>
                <w:sz w:val="21"/>
                <w:szCs w:val="21"/>
              </w:rPr>
              <w:t>预算数</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b/>
                <w:kern w:val="0"/>
                <w:sz w:val="21"/>
                <w:szCs w:val="21"/>
              </w:rPr>
            </w:pPr>
            <w:r>
              <w:rPr>
                <w:rFonts w:hint="eastAsia"/>
                <w:b/>
                <w:kern w:val="0"/>
                <w:sz w:val="21"/>
                <w:szCs w:val="21"/>
                <w:lang w:eastAsia="zh-CN"/>
              </w:rPr>
              <w:t>202</w:t>
            </w:r>
            <w:r>
              <w:rPr>
                <w:rFonts w:hint="eastAsia"/>
                <w:b/>
                <w:kern w:val="0"/>
                <w:sz w:val="21"/>
                <w:szCs w:val="21"/>
                <w:lang w:val="en-US" w:eastAsia="zh-CN"/>
              </w:rPr>
              <w:t>3</w:t>
            </w:r>
            <w:r>
              <w:rPr>
                <w:rFonts w:hint="eastAsia"/>
                <w:b/>
                <w:kern w:val="0"/>
                <w:sz w:val="21"/>
                <w:szCs w:val="21"/>
                <w:lang w:eastAsia="zh-CN"/>
              </w:rPr>
              <w:t>年</w:t>
            </w:r>
            <w:r>
              <w:rPr>
                <w:b/>
                <w:kern w:val="0"/>
                <w:sz w:val="21"/>
                <w:szCs w:val="21"/>
              </w:rPr>
              <w:t>决算数</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rFonts w:hint="eastAsia" w:ascii="Times New Roman" w:hAnsi="Times New Roman" w:eastAsia="仿宋_GB2312" w:cs="Times New Roman"/>
                <w:b/>
                <w:kern w:val="0"/>
                <w:sz w:val="21"/>
                <w:szCs w:val="21"/>
                <w:lang w:val="en-US" w:eastAsia="zh-CN" w:bidi="ar-SA"/>
              </w:rPr>
            </w:pPr>
            <w:r>
              <w:rPr>
                <w:b/>
                <w:kern w:val="0"/>
                <w:sz w:val="21"/>
                <w:szCs w:val="21"/>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b/>
                <w:bCs/>
                <w:kern w:val="0"/>
                <w:sz w:val="21"/>
                <w:szCs w:val="21"/>
                <w:lang w:val="en-US" w:eastAsia="zh-CN" w:bidi="ar-SA"/>
              </w:rPr>
            </w:pPr>
            <w:r>
              <w:rPr>
                <w:rFonts w:hint="eastAsia"/>
                <w:b/>
                <w:bCs/>
                <w:kern w:val="0"/>
                <w:sz w:val="21"/>
                <w:szCs w:val="21"/>
                <w:lang w:val="en-US" w:eastAsia="zh-CN"/>
              </w:rPr>
              <w:t>127.69</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bCs/>
                <w:kern w:val="0"/>
                <w:sz w:val="21"/>
                <w:szCs w:val="21"/>
                <w:lang w:val="en-US" w:eastAsia="zh-CN" w:bidi="ar-SA"/>
              </w:rPr>
            </w:pPr>
            <w:r>
              <w:rPr>
                <w:rFonts w:hint="eastAsia"/>
                <w:b/>
                <w:bCs/>
                <w:kern w:val="0"/>
                <w:sz w:val="21"/>
                <w:szCs w:val="21"/>
                <w:lang w:val="en-US" w:eastAsia="zh-CN"/>
              </w:rPr>
              <w:t>180.01</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bCs/>
                <w:kern w:val="0"/>
                <w:sz w:val="21"/>
                <w:szCs w:val="21"/>
                <w:lang w:val="en-US" w:eastAsia="zh-CN" w:bidi="ar-SA"/>
              </w:rPr>
            </w:pPr>
            <w:r>
              <w:rPr>
                <w:rFonts w:hint="eastAsia"/>
                <w:b/>
                <w:bCs/>
                <w:kern w:val="0"/>
                <w:sz w:val="21"/>
                <w:szCs w:val="21"/>
                <w:lang w:val="en-US" w:eastAsia="zh-CN"/>
              </w:rPr>
              <w:t>86.25</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rFonts w:hint="eastAsia" w:ascii="Times New Roman" w:hAnsi="Times New Roman" w:eastAsia="仿宋_GB2312" w:cs="Times New Roman"/>
                <w:kern w:val="0"/>
                <w:sz w:val="21"/>
                <w:szCs w:val="21"/>
                <w:lang w:val="en-US" w:eastAsia="zh-CN" w:bidi="ar-SA"/>
              </w:rPr>
            </w:pPr>
            <w:r>
              <w:rPr>
                <w:kern w:val="0"/>
                <w:sz w:val="21"/>
                <w:szCs w:val="21"/>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111.36</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133</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67.44</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rFonts w:hint="eastAsia" w:ascii="Times New Roman" w:hAnsi="Times New Roman" w:eastAsia="仿宋_GB2312" w:cs="Times New Roman"/>
                <w:kern w:val="0"/>
                <w:sz w:val="21"/>
                <w:szCs w:val="21"/>
                <w:lang w:val="en-US" w:eastAsia="zh-CN" w:bidi="ar-SA"/>
              </w:rPr>
            </w:pPr>
            <w:r>
              <w:rPr>
                <w:kern w:val="0"/>
                <w:sz w:val="21"/>
                <w:szCs w:val="21"/>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67.95</w:t>
            </w:r>
            <w:r>
              <w:rPr>
                <w:kern w:val="0"/>
                <w:sz w:val="21"/>
                <w:szCs w:val="21"/>
              </w:rPr>
              <w:t>　</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18</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17.14</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rFonts w:hint="eastAsia" w:ascii="Times New Roman" w:hAnsi="Times New Roman" w:eastAsia="仿宋_GB2312" w:cs="Times New Roman"/>
                <w:kern w:val="0"/>
                <w:sz w:val="21"/>
                <w:szCs w:val="21"/>
                <w:lang w:val="en-US" w:eastAsia="zh-CN" w:bidi="ar-SA"/>
              </w:rPr>
            </w:pPr>
            <w:r>
              <w:rPr>
                <w:kern w:val="0"/>
                <w:sz w:val="21"/>
                <w:szCs w:val="21"/>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43.41</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115</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50.3</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rFonts w:hint="eastAsia" w:ascii="Times New Roman" w:hAnsi="Times New Roman" w:eastAsia="仿宋_GB2312" w:cs="Times New Roman"/>
                <w:kern w:val="0"/>
                <w:sz w:val="21"/>
                <w:szCs w:val="21"/>
                <w:lang w:val="en-US" w:eastAsia="zh-CN" w:bidi="ar-SA"/>
              </w:rPr>
            </w:pPr>
            <w:r>
              <w:rPr>
                <w:kern w:val="0"/>
                <w:sz w:val="21"/>
                <w:szCs w:val="21"/>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rPr>
              <w:t>/</w:t>
            </w:r>
            <w:r>
              <w:rPr>
                <w:kern w:val="0"/>
                <w:sz w:val="21"/>
                <w:szCs w:val="21"/>
              </w:rPr>
              <w:t>　</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rPr>
              <w:t>/</w:t>
            </w:r>
            <w:r>
              <w:rPr>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rPr>
              <w:t>/</w:t>
            </w:r>
            <w:r>
              <w:rPr>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rFonts w:hint="eastAsia" w:ascii="Times New Roman" w:hAnsi="Times New Roman" w:eastAsia="仿宋_GB2312" w:cs="Times New Roman"/>
                <w:kern w:val="0"/>
                <w:sz w:val="21"/>
                <w:szCs w:val="21"/>
                <w:lang w:val="en-US" w:eastAsia="zh-CN" w:bidi="ar-SA"/>
              </w:rPr>
            </w:pPr>
            <w:r>
              <w:rPr>
                <w:kern w:val="0"/>
                <w:sz w:val="21"/>
                <w:szCs w:val="21"/>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16.33</w:t>
            </w:r>
            <w:r>
              <w:rPr>
                <w:kern w:val="0"/>
                <w:sz w:val="21"/>
                <w:szCs w:val="21"/>
              </w:rPr>
              <w:t>　</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47.01</w:t>
            </w:r>
            <w:r>
              <w:rPr>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18.81</w:t>
            </w:r>
            <w:r>
              <w:rPr>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rFonts w:hint="eastAsia" w:ascii="Times New Roman" w:hAnsi="Times New Roman" w:eastAsia="仿宋_GB2312" w:cs="Times New Roman"/>
                <w:b/>
                <w:kern w:val="0"/>
                <w:sz w:val="21"/>
                <w:szCs w:val="21"/>
                <w:lang w:val="en-US" w:eastAsia="zh-CN" w:bidi="ar-SA"/>
              </w:rPr>
            </w:pPr>
            <w:r>
              <w:rPr>
                <w:b/>
                <w:kern w:val="0"/>
                <w:sz w:val="21"/>
                <w:szCs w:val="21"/>
              </w:rPr>
              <w:t>项目支出</w:t>
            </w:r>
            <w:r>
              <w:rPr>
                <w:rFonts w:hint="eastAsia"/>
                <w:b/>
                <w:kern w:val="0"/>
                <w:sz w:val="21"/>
                <w:szCs w:val="21"/>
                <w:lang w:val="en-US" w:eastAsia="zh-CN"/>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bCs/>
                <w:kern w:val="0"/>
                <w:sz w:val="21"/>
                <w:szCs w:val="21"/>
                <w:lang w:val="en-US" w:eastAsia="zh-CN" w:bidi="ar-SA"/>
              </w:rPr>
            </w:pPr>
            <w:r>
              <w:rPr>
                <w:rFonts w:hint="eastAsia"/>
                <w:b/>
                <w:bCs/>
                <w:kern w:val="0"/>
                <w:sz w:val="21"/>
                <w:szCs w:val="21"/>
                <w:lang w:val="en-US" w:eastAsia="zh-CN"/>
              </w:rPr>
              <w:t>2374.66</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bCs/>
                <w:kern w:val="0"/>
                <w:sz w:val="21"/>
                <w:szCs w:val="21"/>
                <w:lang w:val="en-US" w:eastAsia="zh-CN" w:bidi="ar-SA"/>
              </w:rPr>
            </w:pPr>
            <w:r>
              <w:rPr>
                <w:rFonts w:hint="eastAsia"/>
                <w:b/>
                <w:bCs/>
                <w:kern w:val="0"/>
                <w:sz w:val="21"/>
                <w:szCs w:val="21"/>
                <w:lang w:val="en-US" w:eastAsia="zh-CN"/>
              </w:rPr>
              <w:t>1139.24</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b/>
                <w:bCs/>
                <w:kern w:val="0"/>
                <w:sz w:val="21"/>
                <w:szCs w:val="21"/>
                <w:lang w:val="en-US" w:eastAsia="zh-CN" w:bidi="ar-SA"/>
              </w:rPr>
            </w:pPr>
            <w:r>
              <w:rPr>
                <w:rFonts w:hint="eastAsia" w:cs="Times New Roman"/>
                <w:b/>
                <w:bCs/>
                <w:kern w:val="0"/>
                <w:sz w:val="21"/>
                <w:szCs w:val="21"/>
                <w:lang w:val="en-US" w:eastAsia="zh-CN" w:bidi="ar-SA"/>
              </w:rPr>
              <w:t>2679.56</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rFonts w:hint="eastAsia" w:ascii="Times New Roman" w:hAnsi="Times New Roman" w:eastAsia="仿宋_GB2312" w:cs="Times New Roman"/>
                <w:kern w:val="0"/>
                <w:sz w:val="21"/>
                <w:szCs w:val="21"/>
                <w:lang w:val="en-US" w:eastAsia="zh-CN" w:bidi="ar-SA"/>
              </w:rPr>
            </w:pPr>
            <w:r>
              <w:rPr>
                <w:kern w:val="0"/>
                <w:sz w:val="21"/>
                <w:szCs w:val="21"/>
              </w:rPr>
              <w:t>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228.52</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125.74</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146.86</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rFonts w:ascii="Times New Roman" w:hAnsi="Times New Roman" w:eastAsia="仿宋_GB2312" w:cs="Times New Roman"/>
                <w:kern w:val="0"/>
                <w:sz w:val="21"/>
                <w:szCs w:val="21"/>
                <w:lang w:val="en-US" w:eastAsia="zh-CN" w:bidi="ar-SA"/>
              </w:rPr>
            </w:pPr>
            <w:r>
              <w:rPr>
                <w:kern w:val="0"/>
                <w:sz w:val="21"/>
                <w:szCs w:val="21"/>
              </w:rPr>
              <w:t>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rPr>
              <w:t>/</w:t>
            </w:r>
            <w:r>
              <w:rPr>
                <w:kern w:val="0"/>
                <w:sz w:val="21"/>
                <w:szCs w:val="21"/>
              </w:rPr>
              <w:t>　</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ascii="Times New Roman" w:hAnsi="Times New Roman" w:eastAsia="仿宋_GB2312" w:cs="Times New Roman"/>
                <w:kern w:val="0"/>
                <w:sz w:val="21"/>
                <w:szCs w:val="21"/>
                <w:lang w:val="en-US" w:eastAsia="zh-CN" w:bidi="ar-SA"/>
              </w:rPr>
            </w:pPr>
            <w:r>
              <w:rPr>
                <w:rFonts w:hint="eastAsia"/>
                <w:kern w:val="0"/>
                <w:sz w:val="21"/>
                <w:szCs w:val="21"/>
              </w:rPr>
              <w:t>/</w:t>
            </w:r>
            <w:r>
              <w:rPr>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default"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rFonts w:hint="default" w:ascii="Times New Roman" w:hAnsi="Times New Roman" w:eastAsia="仿宋_GB2312" w:cs="Times New Roman"/>
                <w:kern w:val="0"/>
                <w:sz w:val="21"/>
                <w:szCs w:val="21"/>
                <w:lang w:val="en-US" w:eastAsia="zh-CN" w:bidi="ar-SA"/>
              </w:rPr>
            </w:pPr>
            <w:r>
              <w:rPr>
                <w:kern w:val="0"/>
                <w:sz w:val="21"/>
                <w:szCs w:val="21"/>
              </w:rPr>
              <w:t>3、</w:t>
            </w:r>
            <w:r>
              <w:rPr>
                <w:rFonts w:hint="eastAsia"/>
                <w:kern w:val="0"/>
                <w:sz w:val="21"/>
                <w:szCs w:val="21"/>
                <w:lang w:val="en-US" w:eastAsia="zh-CN"/>
              </w:rPr>
              <w:t>本级专项资金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2146.14</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1013.5</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2532.7</w:t>
            </w:r>
          </w:p>
        </w:tc>
      </w:tr>
      <w:tr>
        <w:tblPrEx>
          <w:tblCellMar>
            <w:top w:w="0" w:type="dxa"/>
            <w:left w:w="108" w:type="dxa"/>
            <w:bottom w:w="0" w:type="dxa"/>
            <w:right w:w="108" w:type="dxa"/>
          </w:tblCellMar>
        </w:tblPrEx>
        <w:trPr>
          <w:trHeight w:val="374"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ind w:firstLine="420" w:firstLineChars="200"/>
              <w:jc w:val="left"/>
              <w:rPr>
                <w:rFonts w:ascii="Times New Roman" w:hAnsi="Times New Roman" w:eastAsia="仿宋_GB2312" w:cs="Times New Roman"/>
                <w:kern w:val="0"/>
                <w:sz w:val="21"/>
                <w:szCs w:val="21"/>
                <w:lang w:val="en-US" w:eastAsia="zh-CN" w:bidi="ar-SA"/>
              </w:rPr>
            </w:pPr>
            <w:r>
              <w:rPr>
                <w:rFonts w:hint="eastAsia"/>
                <w:kern w:val="0"/>
                <w:sz w:val="21"/>
                <w:szCs w:val="21"/>
              </w:rPr>
              <w:t>市场监督专项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691</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563.5</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492.96</w:t>
            </w:r>
          </w:p>
        </w:tc>
      </w:tr>
      <w:tr>
        <w:tblPrEx>
          <w:tblCellMar>
            <w:top w:w="0" w:type="dxa"/>
            <w:left w:w="108" w:type="dxa"/>
            <w:bottom w:w="0" w:type="dxa"/>
            <w:right w:w="108" w:type="dxa"/>
          </w:tblCellMar>
        </w:tblPrEx>
        <w:trPr>
          <w:trHeight w:val="423"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ind w:firstLine="420" w:firstLineChars="200"/>
              <w:jc w:val="left"/>
              <w:rPr>
                <w:rFonts w:ascii="Times New Roman" w:hAnsi="Times New Roman" w:eastAsia="仿宋_GB2312" w:cs="Times New Roman"/>
                <w:kern w:val="0"/>
                <w:sz w:val="21"/>
                <w:szCs w:val="21"/>
                <w:lang w:val="en-US" w:eastAsia="zh-CN" w:bidi="ar-SA"/>
              </w:rPr>
            </w:pPr>
            <w:r>
              <w:rPr>
                <w:rFonts w:hint="eastAsia"/>
                <w:kern w:val="0"/>
                <w:sz w:val="21"/>
                <w:szCs w:val="21"/>
              </w:rPr>
              <w:t>药械化监管专项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246.19</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rPr>
              <w:t>48</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430.87</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ind w:firstLine="420" w:firstLineChars="200"/>
              <w:jc w:val="left"/>
              <w:rPr>
                <w:rFonts w:hint="eastAsia" w:ascii="Times New Roman" w:hAnsi="Times New Roman" w:eastAsia="仿宋_GB2312" w:cs="Times New Roman"/>
                <w:kern w:val="0"/>
                <w:sz w:val="21"/>
                <w:szCs w:val="21"/>
                <w:lang w:val="en-US" w:eastAsia="zh-CN" w:bidi="ar-SA"/>
              </w:rPr>
            </w:pPr>
            <w:r>
              <w:rPr>
                <w:rFonts w:hint="eastAsia"/>
                <w:kern w:val="0"/>
                <w:sz w:val="21"/>
                <w:szCs w:val="21"/>
              </w:rPr>
              <w:t>质量监督专项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168</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86</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493.1</w:t>
            </w:r>
          </w:p>
        </w:tc>
      </w:tr>
      <w:tr>
        <w:tblPrEx>
          <w:tblCellMar>
            <w:top w:w="0" w:type="dxa"/>
            <w:left w:w="108" w:type="dxa"/>
            <w:bottom w:w="0" w:type="dxa"/>
            <w:right w:w="108" w:type="dxa"/>
          </w:tblCellMar>
        </w:tblPrEx>
        <w:trPr>
          <w:trHeight w:val="397"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ind w:firstLine="420" w:firstLineChars="200"/>
              <w:jc w:val="left"/>
              <w:rPr>
                <w:rFonts w:hint="eastAsia" w:ascii="Times New Roman" w:hAnsi="Times New Roman" w:eastAsia="仿宋_GB2312" w:cs="Times New Roman"/>
                <w:kern w:val="0"/>
                <w:sz w:val="21"/>
                <w:szCs w:val="21"/>
                <w:lang w:val="en-US" w:eastAsia="zh-CN" w:bidi="ar-SA"/>
              </w:rPr>
            </w:pPr>
            <w:r>
              <w:rPr>
                <w:kern w:val="0"/>
                <w:sz w:val="21"/>
                <w:szCs w:val="21"/>
              </w:rPr>
              <w:t>食品安全监管</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341.53</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rPr>
              <w:t>48</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345.81</w:t>
            </w:r>
          </w:p>
        </w:tc>
      </w:tr>
      <w:tr>
        <w:tblPrEx>
          <w:tblCellMar>
            <w:top w:w="0" w:type="dxa"/>
            <w:left w:w="108" w:type="dxa"/>
            <w:bottom w:w="0" w:type="dxa"/>
            <w:right w:w="108" w:type="dxa"/>
          </w:tblCellMar>
        </w:tblPrEx>
        <w:trPr>
          <w:trHeight w:val="397"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ind w:firstLine="420" w:firstLineChars="200"/>
              <w:jc w:val="left"/>
              <w:rPr>
                <w:rFonts w:hint="eastAsia" w:ascii="Times New Roman" w:hAnsi="Times New Roman" w:eastAsia="仿宋_GB2312" w:cs="Times New Roman"/>
                <w:kern w:val="0"/>
                <w:sz w:val="21"/>
                <w:szCs w:val="21"/>
                <w:lang w:val="en-US" w:eastAsia="zh-CN" w:bidi="ar-SA"/>
              </w:rPr>
            </w:pPr>
            <w:r>
              <w:rPr>
                <w:kern w:val="0"/>
                <w:sz w:val="21"/>
                <w:szCs w:val="21"/>
              </w:rPr>
              <w:t>知识产权战略</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110.23</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rPr>
              <w:t>25</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237.08</w:t>
            </w:r>
          </w:p>
        </w:tc>
      </w:tr>
      <w:tr>
        <w:tblPrEx>
          <w:tblCellMar>
            <w:top w:w="0" w:type="dxa"/>
            <w:left w:w="108" w:type="dxa"/>
            <w:bottom w:w="0" w:type="dxa"/>
            <w:right w:w="108" w:type="dxa"/>
          </w:tblCellMar>
        </w:tblPrEx>
        <w:trPr>
          <w:trHeight w:val="397"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ind w:firstLine="420" w:firstLineChars="200"/>
              <w:jc w:val="left"/>
              <w:rPr>
                <w:rFonts w:hint="eastAsia" w:ascii="Times New Roman" w:hAnsi="Times New Roman" w:eastAsia="仿宋_GB2312" w:cs="Times New Roman"/>
                <w:kern w:val="0"/>
                <w:sz w:val="21"/>
                <w:szCs w:val="21"/>
                <w:lang w:val="en-US" w:eastAsia="zh-CN" w:bidi="ar-SA"/>
              </w:rPr>
            </w:pPr>
            <w:r>
              <w:rPr>
                <w:rFonts w:hint="eastAsia"/>
                <w:kern w:val="0"/>
                <w:sz w:val="21"/>
                <w:szCs w:val="21"/>
              </w:rPr>
              <w:t>其他项目</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Times New Roman" w:hAnsi="Times New Roman" w:eastAsia="仿宋_GB2312" w:cs="Times New Roman"/>
                <w:kern w:val="0"/>
                <w:sz w:val="21"/>
                <w:szCs w:val="21"/>
                <w:lang w:val="en-US" w:eastAsia="zh-CN" w:bidi="ar-SA"/>
              </w:rPr>
            </w:pPr>
            <w:r>
              <w:rPr>
                <w:rFonts w:hint="eastAsia"/>
                <w:kern w:val="0"/>
                <w:sz w:val="21"/>
                <w:szCs w:val="21"/>
                <w:lang w:val="en-US" w:eastAsia="zh-CN"/>
              </w:rPr>
              <w:t>589.19</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default" w:ascii="Times New Roman" w:hAnsi="Times New Roman" w:eastAsia="仿宋_GB2312" w:cs="Times New Roman"/>
                <w:kern w:val="0"/>
                <w:sz w:val="21"/>
                <w:szCs w:val="21"/>
                <w:lang w:val="en-US" w:eastAsia="zh-CN" w:bidi="ar-SA"/>
              </w:rPr>
            </w:pPr>
            <w:r>
              <w:rPr>
                <w:rFonts w:hint="eastAsia"/>
                <w:kern w:val="0"/>
                <w:sz w:val="21"/>
                <w:szCs w:val="21"/>
                <w:lang w:val="en-US" w:eastAsia="zh-CN"/>
              </w:rPr>
              <w:t>243</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532.88</w:t>
            </w:r>
          </w:p>
        </w:tc>
      </w:tr>
      <w:tr>
        <w:tblPrEx>
          <w:tblCellMar>
            <w:top w:w="0" w:type="dxa"/>
            <w:left w:w="108" w:type="dxa"/>
            <w:bottom w:w="0" w:type="dxa"/>
            <w:right w:w="108" w:type="dxa"/>
          </w:tblCellMar>
        </w:tblPrEx>
        <w:trPr>
          <w:trHeight w:val="397"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hint="default" w:eastAsia="仿宋_GB2312"/>
                <w:b/>
                <w:bCs/>
                <w:kern w:val="0"/>
                <w:sz w:val="21"/>
                <w:szCs w:val="21"/>
                <w:lang w:val="en-US" w:eastAsia="zh-CN"/>
              </w:rPr>
            </w:pPr>
            <w:r>
              <w:rPr>
                <w:rFonts w:hint="eastAsia"/>
                <w:b/>
                <w:bCs/>
                <w:kern w:val="0"/>
                <w:sz w:val="21"/>
                <w:szCs w:val="21"/>
                <w:lang w:val="en-US" w:eastAsia="zh-CN"/>
              </w:rPr>
              <w:t>公用经费: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b/>
                <w:bCs/>
                <w:kern w:val="0"/>
                <w:sz w:val="21"/>
                <w:szCs w:val="21"/>
                <w:lang w:val="en-US" w:eastAsia="zh-CN"/>
              </w:rPr>
            </w:pPr>
            <w:r>
              <w:rPr>
                <w:rFonts w:hint="eastAsia"/>
                <w:b/>
                <w:bCs/>
                <w:kern w:val="0"/>
                <w:sz w:val="21"/>
                <w:szCs w:val="21"/>
                <w:lang w:val="en-US" w:eastAsia="zh-CN"/>
              </w:rPr>
              <w:t>1286.52</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b/>
                <w:bCs/>
                <w:kern w:val="0"/>
                <w:sz w:val="21"/>
                <w:szCs w:val="21"/>
                <w:lang w:val="en-US" w:eastAsia="zh-CN"/>
              </w:rPr>
            </w:pPr>
            <w:r>
              <w:rPr>
                <w:rFonts w:hint="eastAsia"/>
                <w:b/>
                <w:bCs/>
                <w:kern w:val="0"/>
                <w:sz w:val="21"/>
                <w:szCs w:val="21"/>
                <w:lang w:val="en-US" w:eastAsia="zh-CN"/>
              </w:rPr>
              <w:t>1185.51</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仿宋_GB2312"/>
                <w:b/>
                <w:bCs/>
                <w:kern w:val="0"/>
                <w:sz w:val="21"/>
                <w:szCs w:val="21"/>
                <w:lang w:val="en-US" w:eastAsia="zh-CN"/>
              </w:rPr>
            </w:pPr>
            <w:r>
              <w:rPr>
                <w:rFonts w:hint="eastAsia"/>
                <w:b/>
                <w:bCs/>
                <w:kern w:val="0"/>
                <w:sz w:val="21"/>
                <w:szCs w:val="21"/>
                <w:lang w:val="en-US" w:eastAsia="zh-CN"/>
              </w:rPr>
              <w:t>1247.98</w:t>
            </w:r>
          </w:p>
        </w:tc>
      </w:tr>
      <w:tr>
        <w:tblPrEx>
          <w:tblCellMar>
            <w:top w:w="0" w:type="dxa"/>
            <w:left w:w="108" w:type="dxa"/>
            <w:bottom w:w="0" w:type="dxa"/>
            <w:right w:w="108" w:type="dxa"/>
          </w:tblCellMar>
        </w:tblPrEx>
        <w:trPr>
          <w:trHeight w:val="489"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hint="default" w:eastAsia="仿宋_GB2312"/>
                <w:kern w:val="0"/>
                <w:sz w:val="21"/>
                <w:szCs w:val="21"/>
                <w:lang w:val="en-US" w:eastAsia="zh-CN"/>
              </w:rPr>
            </w:pPr>
            <w:r>
              <w:rPr>
                <w:rFonts w:hint="eastAsia"/>
                <w:kern w:val="0"/>
                <w:sz w:val="21"/>
                <w:szCs w:val="21"/>
                <w:lang w:val="en-US" w:eastAsia="zh-CN"/>
              </w:rPr>
              <w:t xml:space="preserve">  其中:办公经费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default" w:eastAsia="仿宋_GB2312"/>
                <w:kern w:val="0"/>
                <w:sz w:val="21"/>
                <w:szCs w:val="21"/>
                <w:lang w:val="en-US" w:eastAsia="zh-CN"/>
              </w:rPr>
            </w:pPr>
            <w:r>
              <w:rPr>
                <w:rFonts w:hint="eastAsia"/>
                <w:kern w:val="0"/>
                <w:sz w:val="21"/>
                <w:szCs w:val="21"/>
                <w:lang w:val="en-US" w:eastAsia="zh-CN"/>
              </w:rPr>
              <w:t>580.77</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default" w:eastAsia="仿宋_GB2312"/>
                <w:kern w:val="0"/>
                <w:sz w:val="21"/>
                <w:szCs w:val="21"/>
                <w:lang w:val="en-US" w:eastAsia="zh-CN"/>
              </w:rPr>
            </w:pPr>
            <w:r>
              <w:rPr>
                <w:rFonts w:hint="eastAsia"/>
                <w:kern w:val="0"/>
                <w:sz w:val="21"/>
                <w:szCs w:val="21"/>
                <w:lang w:val="en-US" w:eastAsia="zh-CN"/>
              </w:rPr>
              <w:t>454.17</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default" w:eastAsia="仿宋_GB2312"/>
                <w:kern w:val="0"/>
                <w:sz w:val="21"/>
                <w:szCs w:val="21"/>
                <w:lang w:val="en-US" w:eastAsia="zh-CN"/>
              </w:rPr>
            </w:pPr>
            <w:r>
              <w:rPr>
                <w:rFonts w:hint="eastAsia"/>
                <w:kern w:val="0"/>
                <w:sz w:val="21"/>
                <w:szCs w:val="21"/>
                <w:lang w:val="en-US" w:eastAsia="zh-CN"/>
              </w:rPr>
              <w:t>703.24</w:t>
            </w:r>
          </w:p>
        </w:tc>
      </w:tr>
      <w:tr>
        <w:tblPrEx>
          <w:tblCellMar>
            <w:top w:w="0" w:type="dxa"/>
            <w:left w:w="108" w:type="dxa"/>
            <w:bottom w:w="0" w:type="dxa"/>
            <w:right w:w="108" w:type="dxa"/>
          </w:tblCellMar>
        </w:tblPrEx>
        <w:trPr>
          <w:trHeight w:val="397"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hint="default" w:ascii="Times New Roman" w:hAnsi="Times New Roman" w:eastAsia="仿宋_GB2312" w:cs="Times New Roman"/>
                <w:b/>
                <w:kern w:val="0"/>
                <w:sz w:val="21"/>
                <w:szCs w:val="21"/>
                <w:lang w:val="en-US" w:eastAsia="zh-CN" w:bidi="ar-SA"/>
              </w:rPr>
            </w:pPr>
            <w:r>
              <w:rPr>
                <w:rFonts w:hint="eastAsia" w:cs="Times New Roman"/>
                <w:b/>
                <w:kern w:val="0"/>
                <w:sz w:val="21"/>
                <w:szCs w:val="21"/>
                <w:lang w:val="en-US" w:eastAsia="zh-CN" w:bidi="ar-SA"/>
              </w:rPr>
              <w:t xml:space="preserve">  </w:t>
            </w:r>
            <w:r>
              <w:rPr>
                <w:rFonts w:hint="eastAsia"/>
                <w:kern w:val="0"/>
                <w:sz w:val="21"/>
                <w:szCs w:val="21"/>
                <w:lang w:val="en-US" w:eastAsia="zh-CN"/>
              </w:rPr>
              <w:t>水费、电费、差旅费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138.78</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122</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147.38</w:t>
            </w:r>
          </w:p>
        </w:tc>
      </w:tr>
      <w:tr>
        <w:tblPrEx>
          <w:tblCellMar>
            <w:top w:w="0" w:type="dxa"/>
            <w:left w:w="108" w:type="dxa"/>
            <w:bottom w:w="0" w:type="dxa"/>
            <w:right w:w="108" w:type="dxa"/>
          </w:tblCellMar>
        </w:tblPrEx>
        <w:trPr>
          <w:trHeight w:val="397"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left"/>
              <w:rPr>
                <w:rFonts w:hint="eastAsia" w:ascii="Times New Roman" w:hAnsi="Times New Roman" w:eastAsia="仿宋_GB2312" w:cs="Times New Roman"/>
                <w:kern w:val="0"/>
                <w:sz w:val="21"/>
                <w:szCs w:val="21"/>
                <w:lang w:val="en-US" w:eastAsia="zh-CN" w:bidi="ar-SA"/>
              </w:rPr>
            </w:pPr>
            <w:r>
              <w:rPr>
                <w:kern w:val="0"/>
                <w:sz w:val="21"/>
                <w:szCs w:val="21"/>
              </w:rPr>
              <w:t xml:space="preserve">  </w:t>
            </w:r>
            <w:r>
              <w:rPr>
                <w:rFonts w:hint="eastAsia"/>
                <w:kern w:val="0"/>
                <w:sz w:val="21"/>
                <w:szCs w:val="21"/>
                <w:lang w:eastAsia="zh-CN"/>
              </w:rPr>
              <w:t>会议费、培训费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17.2</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21</w:t>
            </w:r>
          </w:p>
        </w:tc>
        <w:tc>
          <w:tcPr>
            <w:tcW w:w="19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cs="Times New Roman"/>
                <w:kern w:val="0"/>
                <w:sz w:val="21"/>
                <w:szCs w:val="21"/>
                <w:lang w:val="en-US" w:eastAsia="zh-CN" w:bidi="ar-SA"/>
              </w:rPr>
              <w:t>24.52</w:t>
            </w:r>
          </w:p>
        </w:tc>
      </w:tr>
      <w:tr>
        <w:tblPrEx>
          <w:tblCellMar>
            <w:top w:w="0" w:type="dxa"/>
            <w:left w:w="108" w:type="dxa"/>
            <w:bottom w:w="0" w:type="dxa"/>
            <w:right w:w="108" w:type="dxa"/>
          </w:tblCellMar>
        </w:tblPrEx>
        <w:trPr>
          <w:trHeight w:val="397" w:hRule="atLeast"/>
          <w:jc w:val="center"/>
        </w:trPr>
        <w:tc>
          <w:tcPr>
            <w:tcW w:w="321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rPr>
                <w:kern w:val="0"/>
                <w:sz w:val="21"/>
                <w:szCs w:val="21"/>
              </w:rPr>
            </w:pPr>
            <w:r>
              <w:rPr>
                <w:b/>
                <w:kern w:val="0"/>
                <w:sz w:val="21"/>
                <w:szCs w:val="21"/>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456.72</w:t>
            </w: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eastAsia="仿宋_GB2312"/>
                <w:kern w:val="0"/>
                <w:sz w:val="21"/>
                <w:szCs w:val="21"/>
                <w:lang w:val="en-US" w:eastAsia="zh-CN"/>
              </w:rPr>
            </w:pPr>
            <w:r>
              <w:rPr>
                <w:rFonts w:hint="eastAsia"/>
                <w:kern w:val="0"/>
                <w:sz w:val="21"/>
                <w:szCs w:val="21"/>
                <w:lang w:val="en-US" w:eastAsia="zh-CN"/>
              </w:rPr>
              <w:t>450</w:t>
            </w: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default" w:eastAsia="仿宋_GB2312"/>
                <w:kern w:val="0"/>
                <w:sz w:val="21"/>
                <w:szCs w:val="21"/>
                <w:lang w:val="en-US" w:eastAsia="zh-CN"/>
              </w:rPr>
            </w:pPr>
            <w:r>
              <w:rPr>
                <w:rFonts w:hint="eastAsia"/>
                <w:kern w:val="0"/>
                <w:sz w:val="21"/>
                <w:szCs w:val="21"/>
                <w:lang w:val="en-US" w:eastAsia="zh-CN"/>
              </w:rPr>
              <w:t>458.84</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0" w:lineRule="atLeast"/>
              <w:rPr>
                <w:rFonts w:hint="eastAsia" w:eastAsia="仿宋_GB2312"/>
                <w:b/>
                <w:kern w:val="0"/>
                <w:sz w:val="21"/>
                <w:szCs w:val="21"/>
                <w:lang w:eastAsia="zh-CN"/>
              </w:rPr>
            </w:pPr>
            <w:r>
              <w:rPr>
                <w:rFonts w:hint="eastAsia"/>
                <w:b/>
                <w:kern w:val="0"/>
                <w:sz w:val="21"/>
                <w:szCs w:val="21"/>
                <w:lang w:eastAsia="zh-CN"/>
              </w:rPr>
              <w:t>部门基本预算调整</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kern w:val="0"/>
                <w:sz w:val="21"/>
                <w:szCs w:val="21"/>
                <w:lang w:val="en-US" w:eastAsia="zh-CN"/>
              </w:rPr>
            </w:pPr>
          </w:p>
        </w:tc>
        <w:tc>
          <w:tcPr>
            <w:tcW w:w="209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kern w:val="0"/>
                <w:sz w:val="21"/>
                <w:szCs w:val="21"/>
                <w:lang w:val="en-US" w:eastAsia="zh-CN"/>
              </w:rPr>
            </w:pPr>
          </w:p>
        </w:tc>
        <w:tc>
          <w:tcPr>
            <w:tcW w:w="1936" w:type="dxa"/>
            <w:gridSpan w:val="2"/>
            <w:tcBorders>
              <w:top w:val="single" w:color="auto" w:sz="4" w:space="0"/>
              <w:left w:val="nil"/>
              <w:bottom w:val="single" w:color="auto" w:sz="4" w:space="0"/>
              <w:right w:val="single" w:color="000000" w:sz="4" w:space="0"/>
            </w:tcBorders>
            <w:noWrap w:val="0"/>
            <w:vAlign w:val="center"/>
          </w:tcPr>
          <w:p>
            <w:pPr>
              <w:widowControl/>
              <w:spacing w:line="0" w:lineRule="atLeast"/>
              <w:jc w:val="center"/>
              <w:rPr>
                <w:rFonts w:hint="eastAsia"/>
                <w:kern w:val="0"/>
                <w:sz w:val="21"/>
                <w:szCs w:val="21"/>
                <w:lang w:val="en-US" w:eastAsia="zh-CN"/>
              </w:rPr>
            </w:pPr>
          </w:p>
        </w:tc>
      </w:tr>
      <w:tr>
        <w:tblPrEx>
          <w:tblCellMar>
            <w:top w:w="0" w:type="dxa"/>
            <w:left w:w="108" w:type="dxa"/>
            <w:bottom w:w="0" w:type="dxa"/>
            <w:right w:w="108" w:type="dxa"/>
          </w:tblCellMar>
        </w:tblPrEx>
        <w:trPr>
          <w:trHeight w:val="630" w:hRule="atLeast"/>
          <w:jc w:val="center"/>
        </w:trPr>
        <w:tc>
          <w:tcPr>
            <w:tcW w:w="3214" w:type="dxa"/>
            <w:vMerge w:val="restart"/>
            <w:tcBorders>
              <w:top w:val="nil"/>
              <w:left w:val="single" w:color="auto" w:sz="4" w:space="0"/>
              <w:bottom w:val="single" w:color="auto" w:sz="4" w:space="0"/>
              <w:right w:val="single" w:color="auto" w:sz="4" w:space="0"/>
            </w:tcBorders>
            <w:noWrap w:val="0"/>
            <w:vAlign w:val="center"/>
          </w:tcPr>
          <w:p>
            <w:pPr>
              <w:widowControl/>
              <w:spacing w:line="440" w:lineRule="exact"/>
              <w:jc w:val="center"/>
              <w:rPr>
                <w:kern w:val="0"/>
                <w:sz w:val="21"/>
                <w:szCs w:val="21"/>
              </w:rPr>
            </w:pPr>
            <w:r>
              <w:rPr>
                <w:kern w:val="0"/>
                <w:sz w:val="21"/>
                <w:szCs w:val="21"/>
              </w:rPr>
              <w:t>楼堂馆所控制情况</w:t>
            </w:r>
            <w:r>
              <w:rPr>
                <w:kern w:val="0"/>
                <w:sz w:val="21"/>
                <w:szCs w:val="21"/>
              </w:rPr>
              <w:br w:type="textWrapping"/>
            </w:r>
            <w:r>
              <w:rPr>
                <w:kern w:val="0"/>
                <w:sz w:val="21"/>
                <w:szCs w:val="21"/>
              </w:rPr>
              <w:t>（</w:t>
            </w:r>
            <w:r>
              <w:rPr>
                <w:rFonts w:hint="eastAsia"/>
                <w:kern w:val="0"/>
                <w:sz w:val="21"/>
                <w:szCs w:val="21"/>
                <w:lang w:eastAsia="zh-CN"/>
              </w:rPr>
              <w:t>202</w:t>
            </w:r>
            <w:r>
              <w:rPr>
                <w:rFonts w:hint="eastAsia"/>
                <w:kern w:val="0"/>
                <w:sz w:val="21"/>
                <w:szCs w:val="21"/>
                <w:lang w:val="en-US" w:eastAsia="zh-CN"/>
              </w:rPr>
              <w:t>3</w:t>
            </w:r>
            <w:r>
              <w:rPr>
                <w:rFonts w:hint="eastAsia"/>
                <w:kern w:val="0"/>
                <w:sz w:val="21"/>
                <w:szCs w:val="21"/>
                <w:lang w:eastAsia="zh-CN"/>
              </w:rPr>
              <w:t>年</w:t>
            </w:r>
            <w:r>
              <w:rPr>
                <w:kern w:val="0"/>
                <w:sz w:val="21"/>
                <w:szCs w:val="21"/>
              </w:rPr>
              <w:t>完工项目）</w:t>
            </w:r>
          </w:p>
        </w:tc>
        <w:tc>
          <w:tcPr>
            <w:tcW w:w="1079" w:type="dxa"/>
            <w:tcBorders>
              <w:top w:val="nil"/>
              <w:left w:val="nil"/>
              <w:bottom w:val="single" w:color="auto" w:sz="4" w:space="0"/>
              <w:right w:val="single" w:color="auto" w:sz="4" w:space="0"/>
            </w:tcBorders>
            <w:noWrap w:val="0"/>
            <w:vAlign w:val="center"/>
          </w:tcPr>
          <w:p>
            <w:pPr>
              <w:widowControl/>
              <w:spacing w:line="300" w:lineRule="exact"/>
              <w:jc w:val="center"/>
              <w:rPr>
                <w:kern w:val="0"/>
                <w:sz w:val="21"/>
                <w:szCs w:val="21"/>
              </w:rPr>
            </w:pPr>
            <w:r>
              <w:rPr>
                <w:kern w:val="0"/>
                <w:sz w:val="21"/>
                <w:szCs w:val="21"/>
              </w:rPr>
              <w:t>批复规模</w:t>
            </w:r>
            <w:r>
              <w:rPr>
                <w:kern w:val="0"/>
                <w:sz w:val="21"/>
                <w:szCs w:val="21"/>
              </w:rPr>
              <w:br w:type="textWrapping"/>
            </w:r>
            <w:r>
              <w:rPr>
                <w:kern w:val="0"/>
                <w:sz w:val="21"/>
                <w:szCs w:val="21"/>
              </w:rPr>
              <w:t>（㎡）</w:t>
            </w:r>
          </w:p>
        </w:tc>
        <w:tc>
          <w:tcPr>
            <w:tcW w:w="959" w:type="dxa"/>
            <w:tcBorders>
              <w:top w:val="nil"/>
              <w:left w:val="nil"/>
              <w:bottom w:val="single" w:color="auto" w:sz="4" w:space="0"/>
              <w:right w:val="single" w:color="auto" w:sz="4" w:space="0"/>
            </w:tcBorders>
            <w:noWrap w:val="0"/>
            <w:vAlign w:val="center"/>
          </w:tcPr>
          <w:p>
            <w:pPr>
              <w:widowControl/>
              <w:spacing w:line="300" w:lineRule="exact"/>
              <w:jc w:val="center"/>
              <w:rPr>
                <w:kern w:val="0"/>
                <w:sz w:val="21"/>
                <w:szCs w:val="21"/>
              </w:rPr>
            </w:pPr>
            <w:r>
              <w:rPr>
                <w:kern w:val="0"/>
                <w:sz w:val="21"/>
                <w:szCs w:val="21"/>
              </w:rPr>
              <w:t>实际规模（㎡）</w:t>
            </w:r>
          </w:p>
        </w:tc>
        <w:tc>
          <w:tcPr>
            <w:tcW w:w="955" w:type="dxa"/>
            <w:tcBorders>
              <w:top w:val="nil"/>
              <w:left w:val="nil"/>
              <w:bottom w:val="single" w:color="auto" w:sz="4" w:space="0"/>
              <w:right w:val="single" w:color="auto" w:sz="4" w:space="0"/>
            </w:tcBorders>
            <w:noWrap w:val="0"/>
            <w:vAlign w:val="center"/>
          </w:tcPr>
          <w:p>
            <w:pPr>
              <w:widowControl/>
              <w:spacing w:line="300" w:lineRule="exact"/>
              <w:jc w:val="center"/>
              <w:rPr>
                <w:kern w:val="0"/>
                <w:sz w:val="21"/>
                <w:szCs w:val="21"/>
              </w:rPr>
            </w:pPr>
            <w:r>
              <w:rPr>
                <w:kern w:val="0"/>
                <w:sz w:val="21"/>
                <w:szCs w:val="21"/>
              </w:rPr>
              <w:t>规模控制率</w:t>
            </w:r>
          </w:p>
        </w:tc>
        <w:tc>
          <w:tcPr>
            <w:tcW w:w="1140" w:type="dxa"/>
            <w:tcBorders>
              <w:top w:val="nil"/>
              <w:left w:val="nil"/>
              <w:bottom w:val="single" w:color="auto" w:sz="4" w:space="0"/>
              <w:right w:val="single" w:color="auto" w:sz="4" w:space="0"/>
            </w:tcBorders>
            <w:noWrap w:val="0"/>
            <w:vAlign w:val="center"/>
          </w:tcPr>
          <w:p>
            <w:pPr>
              <w:widowControl/>
              <w:spacing w:line="300" w:lineRule="exact"/>
              <w:jc w:val="center"/>
              <w:rPr>
                <w:kern w:val="0"/>
                <w:sz w:val="21"/>
                <w:szCs w:val="21"/>
              </w:rPr>
            </w:pPr>
            <w:r>
              <w:rPr>
                <w:kern w:val="0"/>
                <w:sz w:val="21"/>
                <w:szCs w:val="21"/>
              </w:rPr>
              <w:t>预算投资（万元）</w:t>
            </w:r>
          </w:p>
        </w:tc>
        <w:tc>
          <w:tcPr>
            <w:tcW w:w="960" w:type="dxa"/>
            <w:tcBorders>
              <w:top w:val="nil"/>
              <w:left w:val="nil"/>
              <w:bottom w:val="single" w:color="auto" w:sz="4" w:space="0"/>
              <w:right w:val="single" w:color="auto" w:sz="4" w:space="0"/>
            </w:tcBorders>
            <w:noWrap w:val="0"/>
            <w:vAlign w:val="center"/>
          </w:tcPr>
          <w:p>
            <w:pPr>
              <w:widowControl/>
              <w:spacing w:line="300" w:lineRule="exact"/>
              <w:jc w:val="center"/>
              <w:rPr>
                <w:kern w:val="0"/>
                <w:sz w:val="21"/>
                <w:szCs w:val="21"/>
              </w:rPr>
            </w:pPr>
            <w:r>
              <w:rPr>
                <w:kern w:val="0"/>
                <w:sz w:val="21"/>
                <w:szCs w:val="21"/>
              </w:rPr>
              <w:t>实际投资（万元）</w:t>
            </w:r>
          </w:p>
        </w:tc>
        <w:tc>
          <w:tcPr>
            <w:tcW w:w="976" w:type="dxa"/>
            <w:tcBorders>
              <w:top w:val="nil"/>
              <w:left w:val="nil"/>
              <w:bottom w:val="single" w:color="auto" w:sz="4" w:space="0"/>
              <w:right w:val="single" w:color="auto" w:sz="4" w:space="0"/>
            </w:tcBorders>
            <w:noWrap w:val="0"/>
            <w:vAlign w:val="center"/>
          </w:tcPr>
          <w:p>
            <w:pPr>
              <w:widowControl/>
              <w:spacing w:line="300" w:lineRule="exact"/>
              <w:jc w:val="center"/>
              <w:rPr>
                <w:kern w:val="0"/>
                <w:sz w:val="21"/>
                <w:szCs w:val="21"/>
              </w:rPr>
            </w:pPr>
            <w:r>
              <w:rPr>
                <w:kern w:val="0"/>
                <w:sz w:val="21"/>
                <w:szCs w:val="21"/>
              </w:rPr>
              <w:t>投资概算控制率</w:t>
            </w:r>
          </w:p>
        </w:tc>
      </w:tr>
      <w:tr>
        <w:tblPrEx>
          <w:tblCellMar>
            <w:top w:w="0" w:type="dxa"/>
            <w:left w:w="108" w:type="dxa"/>
            <w:bottom w:w="0" w:type="dxa"/>
            <w:right w:w="108" w:type="dxa"/>
          </w:tblCellMar>
        </w:tblPrEx>
        <w:trPr>
          <w:trHeight w:val="454" w:hRule="atLeast"/>
          <w:jc w:val="center"/>
        </w:trPr>
        <w:tc>
          <w:tcPr>
            <w:tcW w:w="3214" w:type="dxa"/>
            <w:vMerge w:val="continue"/>
            <w:tcBorders>
              <w:top w:val="nil"/>
              <w:left w:val="single" w:color="auto" w:sz="4" w:space="0"/>
              <w:bottom w:val="single" w:color="auto" w:sz="4" w:space="0"/>
              <w:right w:val="single" w:color="auto" w:sz="4" w:space="0"/>
            </w:tcBorders>
            <w:noWrap w:val="0"/>
            <w:vAlign w:val="center"/>
          </w:tcPr>
          <w:p>
            <w:pPr>
              <w:widowControl/>
              <w:spacing w:line="440" w:lineRule="exact"/>
              <w:jc w:val="left"/>
              <w:rPr>
                <w:kern w:val="0"/>
                <w:sz w:val="21"/>
                <w:szCs w:val="21"/>
              </w:rPr>
            </w:pPr>
          </w:p>
        </w:tc>
        <w:tc>
          <w:tcPr>
            <w:tcW w:w="1079" w:type="dxa"/>
            <w:tcBorders>
              <w:top w:val="nil"/>
              <w:left w:val="nil"/>
              <w:bottom w:val="single" w:color="auto" w:sz="4" w:space="0"/>
              <w:right w:val="single" w:color="auto" w:sz="4" w:space="0"/>
            </w:tcBorders>
            <w:noWrap w:val="0"/>
            <w:vAlign w:val="center"/>
          </w:tcPr>
          <w:p>
            <w:pPr>
              <w:widowControl/>
              <w:spacing w:line="440" w:lineRule="exact"/>
              <w:jc w:val="center"/>
              <w:rPr>
                <w:kern w:val="0"/>
                <w:sz w:val="21"/>
                <w:szCs w:val="21"/>
              </w:rPr>
            </w:pPr>
            <w:r>
              <w:rPr>
                <w:kern w:val="0"/>
                <w:sz w:val="21"/>
                <w:szCs w:val="21"/>
              </w:rPr>
              <w:t>　</w:t>
            </w:r>
          </w:p>
        </w:tc>
        <w:tc>
          <w:tcPr>
            <w:tcW w:w="959" w:type="dxa"/>
            <w:tcBorders>
              <w:top w:val="nil"/>
              <w:left w:val="nil"/>
              <w:bottom w:val="single" w:color="auto" w:sz="4" w:space="0"/>
              <w:right w:val="single" w:color="auto" w:sz="4" w:space="0"/>
            </w:tcBorders>
            <w:noWrap w:val="0"/>
            <w:vAlign w:val="center"/>
          </w:tcPr>
          <w:p>
            <w:pPr>
              <w:widowControl/>
              <w:spacing w:line="440" w:lineRule="exact"/>
              <w:jc w:val="left"/>
              <w:rPr>
                <w:kern w:val="0"/>
                <w:sz w:val="21"/>
                <w:szCs w:val="21"/>
              </w:rPr>
            </w:pPr>
            <w:r>
              <w:rPr>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440" w:lineRule="exact"/>
              <w:jc w:val="left"/>
              <w:rPr>
                <w:kern w:val="0"/>
                <w:sz w:val="21"/>
                <w:szCs w:val="21"/>
              </w:rPr>
            </w:pPr>
            <w:r>
              <w:rPr>
                <w:kern w:val="0"/>
                <w:sz w:val="21"/>
                <w:szCs w:val="21"/>
              </w:rPr>
              <w:t>　</w:t>
            </w:r>
          </w:p>
        </w:tc>
        <w:tc>
          <w:tcPr>
            <w:tcW w:w="1140" w:type="dxa"/>
            <w:tcBorders>
              <w:top w:val="nil"/>
              <w:left w:val="nil"/>
              <w:bottom w:val="single" w:color="auto" w:sz="4" w:space="0"/>
              <w:right w:val="single" w:color="auto" w:sz="4" w:space="0"/>
            </w:tcBorders>
            <w:noWrap w:val="0"/>
            <w:vAlign w:val="center"/>
          </w:tcPr>
          <w:p>
            <w:pPr>
              <w:widowControl/>
              <w:spacing w:line="440" w:lineRule="exact"/>
              <w:jc w:val="left"/>
              <w:rPr>
                <w:kern w:val="0"/>
                <w:sz w:val="21"/>
                <w:szCs w:val="21"/>
              </w:rPr>
            </w:pPr>
            <w:r>
              <w:rPr>
                <w:kern w:val="0"/>
                <w:sz w:val="21"/>
                <w:szCs w:val="21"/>
              </w:rPr>
              <w:t>　</w:t>
            </w:r>
          </w:p>
        </w:tc>
        <w:tc>
          <w:tcPr>
            <w:tcW w:w="960" w:type="dxa"/>
            <w:tcBorders>
              <w:top w:val="nil"/>
              <w:left w:val="nil"/>
              <w:bottom w:val="single" w:color="auto" w:sz="4" w:space="0"/>
              <w:right w:val="single" w:color="auto" w:sz="4" w:space="0"/>
            </w:tcBorders>
            <w:noWrap w:val="0"/>
            <w:vAlign w:val="center"/>
          </w:tcPr>
          <w:p>
            <w:pPr>
              <w:widowControl/>
              <w:spacing w:line="440" w:lineRule="exact"/>
              <w:jc w:val="left"/>
              <w:rPr>
                <w:kern w:val="0"/>
                <w:sz w:val="21"/>
                <w:szCs w:val="21"/>
              </w:rPr>
            </w:pPr>
            <w:r>
              <w:rPr>
                <w:kern w:val="0"/>
                <w:sz w:val="21"/>
                <w:szCs w:val="21"/>
              </w:rPr>
              <w:t>　</w:t>
            </w:r>
          </w:p>
        </w:tc>
        <w:tc>
          <w:tcPr>
            <w:tcW w:w="976" w:type="dxa"/>
            <w:tcBorders>
              <w:top w:val="nil"/>
              <w:left w:val="nil"/>
              <w:bottom w:val="single" w:color="auto" w:sz="4" w:space="0"/>
              <w:right w:val="single" w:color="auto" w:sz="4" w:space="0"/>
            </w:tcBorders>
            <w:noWrap w:val="0"/>
            <w:vAlign w:val="center"/>
          </w:tcPr>
          <w:p>
            <w:pPr>
              <w:widowControl/>
              <w:spacing w:line="440" w:lineRule="exact"/>
              <w:jc w:val="left"/>
              <w:rPr>
                <w:kern w:val="0"/>
                <w:sz w:val="21"/>
                <w:szCs w:val="21"/>
              </w:rPr>
            </w:pPr>
            <w:r>
              <w:rPr>
                <w:kern w:val="0"/>
                <w:sz w:val="21"/>
                <w:szCs w:val="21"/>
              </w:rPr>
              <w:t>　</w:t>
            </w:r>
          </w:p>
        </w:tc>
      </w:tr>
      <w:tr>
        <w:tblPrEx>
          <w:tblCellMar>
            <w:top w:w="0" w:type="dxa"/>
            <w:left w:w="108" w:type="dxa"/>
            <w:bottom w:w="0" w:type="dxa"/>
            <w:right w:w="108" w:type="dxa"/>
          </w:tblCellMar>
        </w:tblPrEx>
        <w:trPr>
          <w:trHeight w:val="600" w:hRule="atLeast"/>
          <w:jc w:val="center"/>
        </w:trPr>
        <w:tc>
          <w:tcPr>
            <w:tcW w:w="3214" w:type="dxa"/>
            <w:tcBorders>
              <w:top w:val="nil"/>
              <w:left w:val="single" w:color="auto" w:sz="4" w:space="0"/>
              <w:bottom w:val="single" w:color="auto" w:sz="4" w:space="0"/>
              <w:right w:val="single" w:color="auto" w:sz="4" w:space="0"/>
            </w:tcBorders>
            <w:noWrap w:val="0"/>
            <w:vAlign w:val="center"/>
          </w:tcPr>
          <w:p>
            <w:pPr>
              <w:widowControl/>
              <w:spacing w:line="440" w:lineRule="exact"/>
              <w:jc w:val="center"/>
              <w:rPr>
                <w:kern w:val="0"/>
                <w:sz w:val="21"/>
                <w:szCs w:val="21"/>
              </w:rPr>
            </w:pPr>
            <w:r>
              <w:rPr>
                <w:kern w:val="0"/>
                <w:sz w:val="21"/>
                <w:szCs w:val="21"/>
              </w:rPr>
              <w:t>厉行节约保障措施</w:t>
            </w:r>
          </w:p>
        </w:tc>
        <w:tc>
          <w:tcPr>
            <w:tcW w:w="6069" w:type="dxa"/>
            <w:gridSpan w:val="6"/>
            <w:tcBorders>
              <w:top w:val="single" w:color="auto" w:sz="4" w:space="0"/>
              <w:left w:val="nil"/>
              <w:bottom w:val="single" w:color="auto" w:sz="4" w:space="0"/>
              <w:right w:val="single" w:color="000000" w:sz="4" w:space="0"/>
            </w:tcBorders>
            <w:noWrap w:val="0"/>
            <w:vAlign w:val="center"/>
          </w:tcPr>
          <w:p>
            <w:pPr>
              <w:widowControl/>
              <w:spacing w:line="0" w:lineRule="atLeast"/>
              <w:jc w:val="center"/>
              <w:rPr>
                <w:kern w:val="0"/>
                <w:sz w:val="21"/>
                <w:szCs w:val="21"/>
              </w:rPr>
            </w:pPr>
            <w:r>
              <w:rPr>
                <w:kern w:val="0"/>
                <w:sz w:val="21"/>
                <w:szCs w:val="21"/>
              </w:rPr>
              <w:t>认真落实“过紧日子”思想，</w:t>
            </w:r>
            <w:r>
              <w:rPr>
                <w:rFonts w:hint="eastAsia"/>
                <w:kern w:val="0"/>
                <w:sz w:val="21"/>
                <w:szCs w:val="21"/>
              </w:rPr>
              <w:t>建立健全内控制度和各项</w:t>
            </w:r>
            <w:r>
              <w:rPr>
                <w:kern w:val="0"/>
                <w:sz w:val="21"/>
                <w:szCs w:val="21"/>
              </w:rPr>
              <w:t>财务管理制度，严控支出标准，严格财务审核，压减</w:t>
            </w:r>
            <w:r>
              <w:rPr>
                <w:rFonts w:hint="eastAsia"/>
                <w:kern w:val="0"/>
                <w:sz w:val="21"/>
                <w:szCs w:val="21"/>
              </w:rPr>
              <w:t>三公经费、</w:t>
            </w:r>
            <w:r>
              <w:rPr>
                <w:kern w:val="0"/>
                <w:sz w:val="21"/>
                <w:szCs w:val="21"/>
              </w:rPr>
              <w:t>一般性支出。　</w:t>
            </w:r>
          </w:p>
        </w:tc>
      </w:tr>
    </w:tbl>
    <w:p>
      <w:pPr>
        <w:rPr>
          <w:rFonts w:hint="eastAsia"/>
          <w:lang w:eastAsia="zh-CN"/>
        </w:rPr>
      </w:pPr>
      <w:r>
        <w:rPr>
          <w:rFonts w:hint="eastAsia"/>
          <w:lang w:eastAsia="zh-CN"/>
        </w:rPr>
        <w:br w:type="page"/>
      </w:r>
    </w:p>
    <w:p>
      <w:pPr>
        <w:pStyle w:val="7"/>
        <w:rPr>
          <w:rFonts w:ascii="黑体" w:hAnsi="黑体" w:eastAsia="黑体"/>
          <w:kern w:val="0"/>
        </w:rPr>
      </w:pPr>
      <w:r>
        <w:rPr>
          <w:rFonts w:eastAsia="黑体"/>
          <w:kern w:val="0"/>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eastAsia="zh-CN"/>
        </w:rPr>
        <w:t>202</w:t>
      </w:r>
      <w:r>
        <w:rPr>
          <w:rFonts w:hint="eastAsia" w:ascii="方正小标宋简体" w:hAnsi="方正小标宋简体" w:eastAsia="方正小标宋简体" w:cs="方正小标宋简体"/>
          <w:color w:val="000000"/>
          <w:kern w:val="0"/>
          <w:sz w:val="44"/>
          <w:szCs w:val="44"/>
          <w:lang w:val="en-US" w:eastAsia="zh-CN"/>
        </w:rPr>
        <w:t>3</w:t>
      </w:r>
      <w:r>
        <w:rPr>
          <w:rFonts w:hint="eastAsia" w:ascii="方正小标宋简体" w:hAnsi="方正小标宋简体" w:eastAsia="方正小标宋简体" w:cs="方正小标宋简体"/>
          <w:color w:val="000000"/>
          <w:kern w:val="0"/>
          <w:sz w:val="44"/>
          <w:szCs w:val="44"/>
          <w:lang w:eastAsia="zh-CN"/>
        </w:rPr>
        <w:t>年</w:t>
      </w:r>
      <w:r>
        <w:rPr>
          <w:rFonts w:hint="eastAsia" w:ascii="方正小标宋简体" w:hAnsi="方正小标宋简体" w:eastAsia="方正小标宋简体" w:cs="方正小标宋简体"/>
          <w:color w:val="000000"/>
          <w:kern w:val="0"/>
          <w:sz w:val="44"/>
          <w:szCs w:val="44"/>
        </w:rPr>
        <w:t>度部门整体支出绩效自评表</w:t>
      </w:r>
    </w:p>
    <w:p>
      <w:pPr>
        <w:pStyle w:val="5"/>
        <w:rPr>
          <w:rFonts w:hint="eastAsia"/>
        </w:rPr>
      </w:pPr>
    </w:p>
    <w:tbl>
      <w:tblPr>
        <w:tblStyle w:val="10"/>
        <w:tblW w:w="10264" w:type="dxa"/>
        <w:jc w:val="center"/>
        <w:tblLayout w:type="fixed"/>
        <w:tblCellMar>
          <w:top w:w="0" w:type="dxa"/>
          <w:left w:w="108" w:type="dxa"/>
          <w:bottom w:w="0" w:type="dxa"/>
          <w:right w:w="108" w:type="dxa"/>
        </w:tblCellMar>
      </w:tblPr>
      <w:tblGrid>
        <w:gridCol w:w="1080"/>
        <w:gridCol w:w="1080"/>
        <w:gridCol w:w="953"/>
        <w:gridCol w:w="1256"/>
        <w:gridCol w:w="95"/>
        <w:gridCol w:w="1200"/>
        <w:gridCol w:w="1276"/>
        <w:gridCol w:w="812"/>
        <w:gridCol w:w="889"/>
        <w:gridCol w:w="1623"/>
      </w:tblGrid>
      <w:tr>
        <w:tblPrEx>
          <w:tblCellMar>
            <w:top w:w="0" w:type="dxa"/>
            <w:left w:w="108" w:type="dxa"/>
            <w:bottom w:w="0" w:type="dxa"/>
            <w:right w:w="108" w:type="dxa"/>
          </w:tblCellMar>
        </w:tblPrEx>
        <w:trPr>
          <w:trHeight w:val="32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color w:val="000000"/>
                <w:kern w:val="0"/>
                <w:sz w:val="21"/>
                <w:szCs w:val="21"/>
              </w:rPr>
            </w:pPr>
            <w:r>
              <w:rPr>
                <w:color w:val="000000"/>
                <w:kern w:val="0"/>
                <w:sz w:val="21"/>
                <w:szCs w:val="21"/>
              </w:rPr>
              <w:t>预算部门</w:t>
            </w:r>
          </w:p>
        </w:tc>
        <w:tc>
          <w:tcPr>
            <w:tcW w:w="9184" w:type="dxa"/>
            <w:gridSpan w:val="9"/>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eastAsia="仿宋_GB2312"/>
                <w:color w:val="000000"/>
                <w:kern w:val="0"/>
                <w:sz w:val="21"/>
                <w:szCs w:val="21"/>
                <w:lang w:val="en-US" w:eastAsia="zh-CN"/>
              </w:rPr>
            </w:pPr>
            <w:r>
              <w:rPr>
                <w:rFonts w:hint="eastAsia"/>
                <w:color w:val="000000"/>
                <w:kern w:val="0"/>
                <w:sz w:val="21"/>
                <w:szCs w:val="21"/>
              </w:rPr>
              <w:t>益阳市市场监督管理局</w:t>
            </w:r>
            <w:r>
              <w:rPr>
                <w:rFonts w:hint="eastAsia"/>
                <w:color w:val="000000"/>
                <w:kern w:val="0"/>
                <w:sz w:val="21"/>
                <w:szCs w:val="21"/>
                <w:lang w:eastAsia="zh-CN"/>
              </w:rPr>
              <w:t>（</w:t>
            </w:r>
            <w:r>
              <w:rPr>
                <w:rFonts w:hint="eastAsia"/>
                <w:color w:val="000000"/>
                <w:kern w:val="0"/>
                <w:sz w:val="21"/>
                <w:szCs w:val="21"/>
                <w:lang w:val="en-US" w:eastAsia="zh-CN"/>
              </w:rPr>
              <w:t>汇总</w:t>
            </w:r>
            <w:r>
              <w:rPr>
                <w:rFonts w:hint="eastAsia"/>
                <w:color w:val="000000"/>
                <w:kern w:val="0"/>
                <w:sz w:val="21"/>
                <w:szCs w:val="21"/>
                <w:lang w:eastAsia="zh-CN"/>
              </w:rPr>
              <w:t>）</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年度预</w:t>
            </w:r>
          </w:p>
          <w:p>
            <w:pPr>
              <w:widowControl/>
              <w:spacing w:line="280" w:lineRule="exact"/>
              <w:jc w:val="center"/>
              <w:rPr>
                <w:color w:val="000000"/>
                <w:kern w:val="0"/>
                <w:sz w:val="21"/>
                <w:szCs w:val="21"/>
              </w:rPr>
            </w:pPr>
            <w:r>
              <w:rPr>
                <w:color w:val="000000"/>
                <w:kern w:val="0"/>
                <w:sz w:val="21"/>
                <w:szCs w:val="21"/>
              </w:rPr>
              <w:t>算申请</w:t>
            </w:r>
            <w:r>
              <w:rPr>
                <w:color w:val="000000"/>
                <w:kern w:val="0"/>
                <w:sz w:val="21"/>
                <w:szCs w:val="21"/>
              </w:rPr>
              <w:br w:type="textWrapping"/>
            </w:r>
            <w:r>
              <w:rPr>
                <w:color w:val="000000"/>
                <w:kern w:val="0"/>
                <w:sz w:val="21"/>
                <w:szCs w:val="21"/>
              </w:rPr>
              <w:t>（万元）</w:t>
            </w:r>
          </w:p>
        </w:tc>
        <w:tc>
          <w:tcPr>
            <w:tcW w:w="2033" w:type="dxa"/>
            <w:gridSpan w:val="2"/>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p>
        </w:tc>
        <w:tc>
          <w:tcPr>
            <w:tcW w:w="1256"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sz w:val="21"/>
                <w:szCs w:val="21"/>
              </w:rPr>
              <w:t>年初</w:t>
            </w:r>
          </w:p>
          <w:p>
            <w:pPr>
              <w:widowControl/>
              <w:spacing w:line="280" w:lineRule="exact"/>
              <w:jc w:val="center"/>
              <w:rPr>
                <w:sz w:val="21"/>
                <w:szCs w:val="21"/>
              </w:rPr>
            </w:pPr>
            <w:r>
              <w:rPr>
                <w:sz w:val="21"/>
                <w:szCs w:val="21"/>
              </w:rPr>
              <w:t>预算数</w:t>
            </w:r>
          </w:p>
        </w:tc>
        <w:tc>
          <w:tcPr>
            <w:tcW w:w="1295" w:type="dxa"/>
            <w:gridSpan w:val="2"/>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sz w:val="21"/>
                <w:szCs w:val="21"/>
              </w:rPr>
              <w:t>全年预算数</w:t>
            </w:r>
          </w:p>
        </w:tc>
        <w:tc>
          <w:tcPr>
            <w:tcW w:w="1276"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sz w:val="21"/>
                <w:szCs w:val="21"/>
              </w:rPr>
              <w:t>全年执行数</w:t>
            </w:r>
          </w:p>
        </w:tc>
        <w:tc>
          <w:tcPr>
            <w:tcW w:w="812"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sz w:val="21"/>
                <w:szCs w:val="21"/>
              </w:rPr>
              <w:t>分值</w:t>
            </w:r>
          </w:p>
        </w:tc>
        <w:tc>
          <w:tcPr>
            <w:tcW w:w="889"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sz w:val="21"/>
                <w:szCs w:val="21"/>
              </w:rPr>
              <w:t>执行率</w:t>
            </w:r>
          </w:p>
        </w:tc>
        <w:tc>
          <w:tcPr>
            <w:tcW w:w="1623"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80" w:lineRule="exact"/>
              <w:jc w:val="center"/>
              <w:rPr>
                <w:color w:val="000000"/>
                <w:kern w:val="0"/>
                <w:sz w:val="21"/>
                <w:szCs w:val="21"/>
              </w:rPr>
            </w:pPr>
          </w:p>
        </w:tc>
        <w:tc>
          <w:tcPr>
            <w:tcW w:w="2033" w:type="dxa"/>
            <w:gridSpan w:val="2"/>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color w:val="000000"/>
                <w:kern w:val="0"/>
                <w:sz w:val="21"/>
                <w:szCs w:val="21"/>
              </w:rPr>
              <w:t>年度资金总额</w:t>
            </w:r>
          </w:p>
        </w:tc>
        <w:tc>
          <w:tcPr>
            <w:tcW w:w="125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eastAsia="仿宋_GB2312"/>
                <w:sz w:val="21"/>
                <w:szCs w:val="21"/>
                <w:lang w:val="en-US" w:eastAsia="zh-CN"/>
              </w:rPr>
            </w:pPr>
            <w:r>
              <w:rPr>
                <w:rFonts w:hint="eastAsia"/>
                <w:sz w:val="21"/>
                <w:szCs w:val="21"/>
                <w:lang w:val="en-US" w:eastAsia="zh-CN"/>
              </w:rPr>
              <w:t>7255.33</w:t>
            </w:r>
          </w:p>
        </w:tc>
        <w:tc>
          <w:tcPr>
            <w:tcW w:w="1295" w:type="dxa"/>
            <w:gridSpan w:val="2"/>
            <w:tcBorders>
              <w:top w:val="nil"/>
              <w:left w:val="nil"/>
              <w:bottom w:val="single" w:color="auto" w:sz="4" w:space="0"/>
              <w:right w:val="single" w:color="auto" w:sz="4" w:space="0"/>
            </w:tcBorders>
            <w:noWrap w:val="0"/>
            <w:vAlign w:val="center"/>
          </w:tcPr>
          <w:p>
            <w:pPr>
              <w:widowControl/>
              <w:spacing w:line="280" w:lineRule="exact"/>
              <w:jc w:val="center"/>
              <w:rPr>
                <w:rFonts w:hint="default" w:eastAsia="仿宋_GB2312"/>
                <w:sz w:val="21"/>
                <w:szCs w:val="21"/>
                <w:lang w:val="en-US" w:eastAsia="zh-CN"/>
              </w:rPr>
            </w:pPr>
            <w:r>
              <w:rPr>
                <w:rFonts w:hint="eastAsia"/>
                <w:sz w:val="21"/>
                <w:szCs w:val="21"/>
                <w:lang w:val="en-US" w:eastAsia="zh-CN"/>
              </w:rPr>
              <w:t>10221.25</w:t>
            </w:r>
          </w:p>
        </w:tc>
        <w:tc>
          <w:tcPr>
            <w:tcW w:w="1276"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eastAsia="仿宋_GB2312"/>
                <w:sz w:val="21"/>
                <w:szCs w:val="21"/>
                <w:lang w:val="en-US" w:eastAsia="zh-CN"/>
              </w:rPr>
            </w:pPr>
            <w:r>
              <w:rPr>
                <w:rFonts w:hint="eastAsia"/>
                <w:sz w:val="21"/>
                <w:szCs w:val="21"/>
                <w:lang w:val="en-US" w:eastAsia="zh-CN"/>
              </w:rPr>
              <w:t>10221.25</w:t>
            </w:r>
          </w:p>
        </w:tc>
        <w:tc>
          <w:tcPr>
            <w:tcW w:w="812"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sz w:val="21"/>
                <w:szCs w:val="21"/>
              </w:rPr>
            </w:pPr>
            <w:r>
              <w:rPr>
                <w:sz w:val="21"/>
                <w:szCs w:val="21"/>
              </w:rPr>
              <w:t>10</w:t>
            </w:r>
            <w:r>
              <w:rPr>
                <w:rFonts w:hint="eastAsia"/>
                <w:sz w:val="21"/>
                <w:szCs w:val="21"/>
              </w:rPr>
              <w:t>分</w:t>
            </w:r>
          </w:p>
        </w:tc>
        <w:tc>
          <w:tcPr>
            <w:tcW w:w="889"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rFonts w:hint="eastAsia"/>
                <w:sz w:val="21"/>
                <w:szCs w:val="21"/>
              </w:rPr>
              <w:t>100%</w:t>
            </w:r>
          </w:p>
        </w:tc>
        <w:tc>
          <w:tcPr>
            <w:tcW w:w="1623" w:type="dxa"/>
            <w:tcBorders>
              <w:top w:val="nil"/>
              <w:left w:val="nil"/>
              <w:bottom w:val="single" w:color="auto" w:sz="4" w:space="0"/>
              <w:right w:val="single" w:color="auto" w:sz="4" w:space="0"/>
            </w:tcBorders>
            <w:noWrap w:val="0"/>
            <w:vAlign w:val="center"/>
          </w:tcPr>
          <w:p>
            <w:pPr>
              <w:widowControl/>
              <w:spacing w:line="280" w:lineRule="exact"/>
              <w:jc w:val="center"/>
              <w:rPr>
                <w:sz w:val="21"/>
                <w:szCs w:val="21"/>
              </w:rPr>
            </w:pPr>
            <w:r>
              <w:rPr>
                <w:rFonts w:hint="eastAsia"/>
                <w:sz w:val="21"/>
                <w:szCs w:val="21"/>
              </w:rPr>
              <w:t>10分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r>
              <w:rPr>
                <w:color w:val="000000"/>
                <w:kern w:val="0"/>
                <w:sz w:val="21"/>
                <w:szCs w:val="21"/>
              </w:rPr>
              <w:t>按收入性质分：</w:t>
            </w:r>
          </w:p>
        </w:tc>
        <w:tc>
          <w:tcPr>
            <w:tcW w:w="4600" w:type="dxa"/>
            <w:gridSpan w:val="4"/>
            <w:tcBorders>
              <w:top w:val="nil"/>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r>
              <w:rPr>
                <w:color w:val="000000"/>
                <w:kern w:val="0"/>
                <w:sz w:val="21"/>
                <w:szCs w:val="21"/>
              </w:rPr>
              <w:t>按支出性质分：</w:t>
            </w:r>
          </w:p>
        </w:tc>
      </w:tr>
      <w:tr>
        <w:tblPrEx>
          <w:tblCellMar>
            <w:top w:w="0" w:type="dxa"/>
            <w:left w:w="108" w:type="dxa"/>
            <w:bottom w:w="0" w:type="dxa"/>
            <w:right w:w="108" w:type="dxa"/>
          </w:tblCellMar>
        </w:tblPrEx>
        <w:trPr>
          <w:trHeight w:val="275" w:hRule="atLeast"/>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80" w:lineRule="exact"/>
              <w:jc w:val="left"/>
              <w:rPr>
                <w:rFonts w:hint="default" w:eastAsia="仿宋_GB2312"/>
                <w:color w:val="000000"/>
                <w:kern w:val="0"/>
                <w:sz w:val="21"/>
                <w:szCs w:val="21"/>
                <w:lang w:val="en-US" w:eastAsia="zh-CN"/>
              </w:rPr>
            </w:pPr>
            <w:r>
              <w:rPr>
                <w:color w:val="000000"/>
                <w:kern w:val="0"/>
                <w:sz w:val="21"/>
                <w:szCs w:val="21"/>
              </w:rPr>
              <w:t xml:space="preserve">  其中：  一般公共预算：</w:t>
            </w:r>
            <w:r>
              <w:rPr>
                <w:rFonts w:hint="eastAsia"/>
                <w:color w:val="000000"/>
                <w:kern w:val="0"/>
                <w:sz w:val="21"/>
                <w:szCs w:val="21"/>
                <w:lang w:val="en-US" w:eastAsia="zh-CN"/>
              </w:rPr>
              <w:t>9846.08</w:t>
            </w:r>
          </w:p>
        </w:tc>
        <w:tc>
          <w:tcPr>
            <w:tcW w:w="4600" w:type="dxa"/>
            <w:gridSpan w:val="4"/>
            <w:tcBorders>
              <w:top w:val="nil"/>
              <w:left w:val="nil"/>
              <w:bottom w:val="single" w:color="auto" w:sz="4" w:space="0"/>
              <w:right w:val="single" w:color="auto" w:sz="4" w:space="0"/>
            </w:tcBorders>
            <w:noWrap w:val="0"/>
            <w:vAlign w:val="center"/>
          </w:tcPr>
          <w:p>
            <w:pPr>
              <w:widowControl/>
              <w:spacing w:line="280" w:lineRule="exact"/>
              <w:jc w:val="left"/>
              <w:rPr>
                <w:rFonts w:hint="default" w:eastAsia="仿宋_GB2312"/>
                <w:color w:val="000000"/>
                <w:kern w:val="0"/>
                <w:sz w:val="21"/>
                <w:szCs w:val="21"/>
                <w:lang w:val="en-US" w:eastAsia="zh-CN"/>
              </w:rPr>
            </w:pPr>
            <w:r>
              <w:rPr>
                <w:color w:val="000000"/>
                <w:kern w:val="0"/>
                <w:sz w:val="21"/>
                <w:szCs w:val="21"/>
              </w:rPr>
              <w:t>其中：基本支出：</w:t>
            </w:r>
            <w:r>
              <w:rPr>
                <w:rFonts w:hint="eastAsia"/>
                <w:color w:val="000000"/>
                <w:kern w:val="0"/>
                <w:sz w:val="21"/>
                <w:szCs w:val="21"/>
                <w:lang w:val="en-US" w:eastAsia="zh-CN"/>
              </w:rPr>
              <w:t>7520.29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80" w:lineRule="exact"/>
              <w:ind w:firstLine="840" w:firstLineChars="400"/>
              <w:jc w:val="left"/>
              <w:rPr>
                <w:rFonts w:hint="default" w:eastAsia="仿宋_GB2312"/>
                <w:color w:val="000000"/>
                <w:kern w:val="0"/>
                <w:sz w:val="21"/>
                <w:szCs w:val="21"/>
                <w:lang w:val="en-US" w:eastAsia="zh-CN"/>
              </w:rPr>
            </w:pPr>
            <w:r>
              <w:rPr>
                <w:color w:val="000000"/>
                <w:kern w:val="0"/>
                <w:sz w:val="21"/>
                <w:szCs w:val="21"/>
              </w:rPr>
              <w:t>政府性基金拨款：</w:t>
            </w:r>
            <w:r>
              <w:rPr>
                <w:rFonts w:hint="eastAsia"/>
                <w:color w:val="000000"/>
                <w:kern w:val="0"/>
                <w:sz w:val="21"/>
                <w:szCs w:val="21"/>
                <w:lang w:val="en-US" w:eastAsia="zh-CN"/>
              </w:rPr>
              <w:t>15</w:t>
            </w:r>
          </w:p>
        </w:tc>
        <w:tc>
          <w:tcPr>
            <w:tcW w:w="4600" w:type="dxa"/>
            <w:gridSpan w:val="4"/>
            <w:tcBorders>
              <w:top w:val="nil"/>
              <w:left w:val="nil"/>
              <w:bottom w:val="single" w:color="auto" w:sz="4" w:space="0"/>
              <w:right w:val="single" w:color="auto" w:sz="4" w:space="0"/>
            </w:tcBorders>
            <w:noWrap w:val="0"/>
            <w:vAlign w:val="center"/>
          </w:tcPr>
          <w:p>
            <w:pPr>
              <w:widowControl/>
              <w:spacing w:line="280" w:lineRule="exact"/>
              <w:ind w:firstLine="630" w:firstLineChars="300"/>
              <w:jc w:val="left"/>
              <w:rPr>
                <w:rFonts w:hint="default" w:eastAsia="仿宋_GB2312"/>
                <w:color w:val="000000"/>
                <w:kern w:val="0"/>
                <w:sz w:val="21"/>
                <w:szCs w:val="21"/>
                <w:lang w:val="en-US" w:eastAsia="zh-CN"/>
              </w:rPr>
            </w:pPr>
            <w:r>
              <w:rPr>
                <w:color w:val="000000"/>
                <w:kern w:val="0"/>
                <w:sz w:val="21"/>
                <w:szCs w:val="21"/>
              </w:rPr>
              <w:t>项目支出：</w:t>
            </w:r>
            <w:r>
              <w:rPr>
                <w:rFonts w:hint="eastAsia"/>
                <w:color w:val="000000"/>
                <w:kern w:val="0"/>
                <w:sz w:val="21"/>
                <w:szCs w:val="21"/>
                <w:lang w:val="en-US" w:eastAsia="zh-CN"/>
              </w:rPr>
              <w:t>2700.96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80" w:lineRule="exact"/>
              <w:jc w:val="left"/>
              <w:rPr>
                <w:rFonts w:hint="default" w:eastAsia="仿宋_GB2312"/>
                <w:color w:val="000000"/>
                <w:kern w:val="0"/>
                <w:sz w:val="21"/>
                <w:szCs w:val="21"/>
                <w:lang w:val="en-US" w:eastAsia="zh-CN"/>
              </w:rPr>
            </w:pPr>
            <w:r>
              <w:rPr>
                <w:color w:val="000000"/>
                <w:kern w:val="0"/>
                <w:sz w:val="21"/>
                <w:szCs w:val="21"/>
              </w:rPr>
              <w:t>纳入专户管理的非税收入拨款：</w:t>
            </w:r>
          </w:p>
        </w:tc>
        <w:tc>
          <w:tcPr>
            <w:tcW w:w="4600" w:type="dxa"/>
            <w:gridSpan w:val="4"/>
            <w:tcBorders>
              <w:top w:val="nil"/>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80" w:lineRule="exact"/>
              <w:ind w:firstLine="1470" w:firstLineChars="700"/>
              <w:jc w:val="left"/>
              <w:rPr>
                <w:rFonts w:hint="default" w:eastAsia="仿宋_GB2312"/>
                <w:color w:val="000000"/>
                <w:kern w:val="0"/>
                <w:sz w:val="21"/>
                <w:szCs w:val="21"/>
                <w:lang w:val="en-US" w:eastAsia="zh-CN"/>
              </w:rPr>
            </w:pPr>
            <w:r>
              <w:rPr>
                <w:color w:val="000000"/>
                <w:kern w:val="0"/>
                <w:sz w:val="21"/>
                <w:szCs w:val="21"/>
              </w:rPr>
              <w:t>其他资金：</w:t>
            </w:r>
            <w:r>
              <w:rPr>
                <w:rFonts w:hint="eastAsia"/>
                <w:color w:val="000000"/>
                <w:kern w:val="0"/>
                <w:sz w:val="21"/>
                <w:szCs w:val="21"/>
                <w:lang w:val="en-US" w:eastAsia="zh-CN"/>
              </w:rPr>
              <w:t>360.17</w:t>
            </w:r>
          </w:p>
        </w:tc>
        <w:tc>
          <w:tcPr>
            <w:tcW w:w="4600" w:type="dxa"/>
            <w:gridSpan w:val="4"/>
            <w:tcBorders>
              <w:top w:val="nil"/>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年度总体目标</w:t>
            </w:r>
          </w:p>
        </w:tc>
        <w:tc>
          <w:tcPr>
            <w:tcW w:w="4584"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预期目标</w:t>
            </w:r>
          </w:p>
        </w:tc>
        <w:tc>
          <w:tcPr>
            <w:tcW w:w="460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458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cs="Times New Roman"/>
                <w:color w:val="000000"/>
                <w:kern w:val="0"/>
                <w:sz w:val="18"/>
                <w:szCs w:val="18"/>
              </w:rPr>
            </w:pPr>
            <w:r>
              <w:rPr>
                <w:rFonts w:hint="default" w:ascii="Times New Roman" w:hAnsi="Times New Roman" w:eastAsia="仿宋" w:cs="Times New Roman"/>
                <w:sz w:val="18"/>
                <w:szCs w:val="18"/>
              </w:rPr>
              <w:t>扶持市场主体发展，加大简政放权力度，提高服务便利化水平，完善企业退出机制。强化公平竞争检查执法、网络市场监管、打击传销、广告监管、消费者权益保护。着力加强安全监管，有效化解风险隐患。着力加强质量基础，推动高质量发展。着力完善市场监管机制，提升监管效能。</w:t>
            </w:r>
          </w:p>
        </w:tc>
        <w:tc>
          <w:tcPr>
            <w:tcW w:w="46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0"/>
                <w:sz w:val="18"/>
                <w:szCs w:val="18"/>
              </w:rPr>
            </w:pPr>
            <w:r>
              <w:rPr>
                <w:rFonts w:hint="default" w:ascii="Times New Roman" w:hAnsi="Times New Roman" w:eastAsia="仿宋" w:cs="Times New Roman"/>
                <w:sz w:val="18"/>
                <w:szCs w:val="18"/>
              </w:rPr>
              <w:t>1、针对学校食品安全等重点监管、重点问题开展专项督查；强化网络食品风险监测。2、持续提升特殊食品及食盐安全监管水平，开展食品安全“护老”专项整治。3、综合运用随机、飞行抽查等手续，加大对产品风险高、影响区域广的食品生产、食品经营企业的监督检查。4、切实减轻企业负担，提高监管效能，强化信用支撑。5、强化全市网络交易市场监管，对全省网络交易市场状况进行持续监测。6、通过全市认证机构及认证活动开展监督检查。7、加强广告监测。8、严厉打击侵害消费者权益违法行为。9、企业开办时间压缩至2个工作日以内。10、开展315国际消费者权益日宣传纪念活动。11、加强特种设备生产和充装单位、检验检测机构证后监督查，强化隐患排查治理。12、贯彻落实法治政府建设要求，组织开展案卷评查，评选优秀案例。13、完成上级质量工作考核，相关量化指标的调查与测评。14、加强全市综合执法能力建设。15、查办垄断案件、核查涉嫌垄断行为、涉嫌违反公平竞争审查标准的问题，推进公平竞争审查工作，聚集式传销得到有效遏制。16、聚力优化环境减负降费，开展检查执法；紧盯社会热点关键节点，疏解价费矛盾。17、完成食品安全抽检任务，向社会发布食品抽检结果信息。18、开展产商品质量抽查，及时发现企业存在的产品质量问题。19、继续完善我市标准体系，推动标准化试点示范。20、围绕信息化建设和运行维护核心业务，逐步建立和完善市监信息管理体系和数据应用系统。21、完善和加强“两品一械”安全抽样检验工作； 加强“两品一械”日常监管，加大飞行检查力度。22、支持全市知识产权创造和运用，加强知识产权保护、管理，提升知识产权公共服务能力，促进高质量发展。23、完成机关党建、离退休等工作。24、持续推进全省非公经济组织规范化建设。</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nil"/>
              <w:bottom w:val="single" w:color="auto" w:sz="4" w:space="0"/>
              <w:right w:val="single" w:color="auto" w:sz="4" w:space="0"/>
            </w:tcBorders>
            <w:noWrap w:val="0"/>
            <w:vAlign w:val="center"/>
          </w:tcPr>
          <w:p>
            <w:pPr>
              <w:widowControl/>
              <w:spacing w:line="280" w:lineRule="exact"/>
              <w:jc w:val="center"/>
              <w:rPr>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一级指标</w:t>
            </w:r>
          </w:p>
        </w:tc>
        <w:tc>
          <w:tcPr>
            <w:tcW w:w="95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二级指标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三级指标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年度</w:t>
            </w:r>
          </w:p>
          <w:p>
            <w:pPr>
              <w:widowControl/>
              <w:spacing w:line="280" w:lineRule="exact"/>
              <w:jc w:val="center"/>
              <w:rPr>
                <w:color w:val="000000"/>
                <w:kern w:val="0"/>
                <w:sz w:val="21"/>
                <w:szCs w:val="21"/>
              </w:rPr>
            </w:pPr>
            <w:r>
              <w:rPr>
                <w:color w:val="000000"/>
                <w:kern w:val="0"/>
                <w:sz w:val="21"/>
                <w:szCs w:val="21"/>
              </w:rPr>
              <w:t>指标值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color w:val="000000"/>
                <w:kern w:val="0"/>
                <w:sz w:val="21"/>
                <w:szCs w:val="21"/>
              </w:rPr>
            </w:pPr>
            <w:r>
              <w:rPr>
                <w:color w:val="000000"/>
                <w:kern w:val="0"/>
                <w:sz w:val="21"/>
                <w:szCs w:val="21"/>
              </w:rPr>
              <w:t>实际完成值</w:t>
            </w:r>
          </w:p>
        </w:tc>
        <w:tc>
          <w:tcPr>
            <w:tcW w:w="812"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分值</w:t>
            </w:r>
          </w:p>
        </w:tc>
        <w:tc>
          <w:tcPr>
            <w:tcW w:w="88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得分</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color w:val="000000"/>
                <w:kern w:val="0"/>
                <w:sz w:val="21"/>
                <w:szCs w:val="21"/>
              </w:rPr>
            </w:pPr>
            <w:r>
              <w:rPr>
                <w:color w:val="000000"/>
                <w:kern w:val="0"/>
                <w:sz w:val="21"/>
                <w:szCs w:val="21"/>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(50分)</w:t>
            </w: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数量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全市每万人专利拥有量</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rPr>
              <w:t>≧</w:t>
            </w:r>
            <w:r>
              <w:rPr>
                <w:rFonts w:hint="eastAsia"/>
                <w:color w:val="000000"/>
                <w:kern w:val="0"/>
                <w:sz w:val="21"/>
                <w:szCs w:val="21"/>
                <w:lang w:val="en-US" w:eastAsia="zh-CN"/>
              </w:rPr>
              <w:t>5.2个</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6.07个</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4</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4</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 w:cs="仿宋"/>
                <w:sz w:val="21"/>
                <w:szCs w:val="21"/>
                <w:lang w:val="en-US" w:eastAsia="zh-CN"/>
              </w:rPr>
            </w:pPr>
            <w:r>
              <w:rPr>
                <w:rFonts w:hint="eastAsia" w:eastAsia="仿宋" w:cs="仿宋"/>
                <w:sz w:val="21"/>
                <w:szCs w:val="21"/>
                <w:lang w:val="en-US" w:eastAsia="zh-CN"/>
              </w:rPr>
              <w:t>全媒体广告监测次数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rPr>
              <w:t>≧</w:t>
            </w:r>
            <w:r>
              <w:rPr>
                <w:rFonts w:hint="eastAsia"/>
                <w:color w:val="000000"/>
                <w:kern w:val="0"/>
                <w:sz w:val="21"/>
                <w:szCs w:val="21"/>
                <w:lang w:val="en-US" w:eastAsia="zh-CN"/>
              </w:rPr>
              <w:t>6000条次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6000条次</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3</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eastAsia="仿宋" w:cs="仿宋"/>
                <w:sz w:val="21"/>
                <w:szCs w:val="21"/>
                <w:lang w:val="en-US" w:eastAsia="zh-CN"/>
              </w:rPr>
              <w:t>市本级</w:t>
            </w:r>
            <w:r>
              <w:rPr>
                <w:rFonts w:hint="eastAsia" w:eastAsia="仿宋" w:cs="仿宋"/>
                <w:sz w:val="21"/>
                <w:szCs w:val="21"/>
              </w:rPr>
              <w:t>食品抽检批次</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rPr>
              <w:t>≧</w:t>
            </w:r>
            <w:r>
              <w:rPr>
                <w:rFonts w:hint="eastAsia"/>
                <w:color w:val="000000"/>
                <w:kern w:val="0"/>
                <w:sz w:val="21"/>
                <w:szCs w:val="21"/>
                <w:lang w:val="en-US" w:eastAsia="zh-CN"/>
              </w:rPr>
              <w:t>3800批次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3800批次</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4</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4</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开展全市市场主体登记质量监测与分析</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1次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1次</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3</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聘请律师、法律顾问人数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2人</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2人</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3</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开展全市消费品质量合格率测评工作</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1次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1次</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3</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重点工业</w:t>
            </w:r>
            <w:r>
              <w:rPr>
                <w:rFonts w:hint="eastAsia"/>
                <w:color w:val="000000"/>
                <w:kern w:val="0"/>
                <w:sz w:val="21"/>
                <w:szCs w:val="21"/>
              </w:rPr>
              <w:t>产商品抽检批次</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rPr>
              <w:t>≥</w:t>
            </w:r>
            <w:r>
              <w:rPr>
                <w:rFonts w:hint="eastAsia"/>
                <w:color w:val="000000"/>
                <w:kern w:val="0"/>
                <w:sz w:val="21"/>
                <w:szCs w:val="21"/>
                <w:lang w:val="en-US" w:eastAsia="zh-CN"/>
              </w:rPr>
              <w:t>600批</w:t>
            </w:r>
            <w:r>
              <w:rPr>
                <w:rFonts w:hint="eastAsia"/>
                <w:color w:val="000000"/>
                <w:kern w:val="0"/>
                <w:sz w:val="21"/>
                <w:szCs w:val="21"/>
              </w:rPr>
              <w:t>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612批次</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3</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cs="Times New Roman"/>
                <w:color w:val="000000"/>
                <w:kern w:val="0"/>
                <w:sz w:val="21"/>
                <w:szCs w:val="21"/>
                <w:lang w:val="en-US" w:eastAsia="zh-CN" w:bidi="ar-SA"/>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质量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市场主体年增长率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w:t>
            </w:r>
            <w:r>
              <w:rPr>
                <w:rFonts w:hint="eastAsia"/>
                <w:color w:val="000000"/>
                <w:kern w:val="0"/>
                <w:sz w:val="21"/>
                <w:szCs w:val="21"/>
                <w:lang w:val="en-US" w:eastAsia="zh-CN"/>
              </w:rPr>
              <w:t>4</w:t>
            </w:r>
            <w:r>
              <w:rPr>
                <w:rFonts w:hint="eastAsia"/>
                <w:color w:val="000000"/>
                <w:kern w:val="0"/>
                <w:sz w:val="21"/>
                <w:szCs w:val="21"/>
              </w:rPr>
              <w:t>.5%</w:t>
            </w:r>
            <w:r>
              <w:rPr>
                <w:color w:val="000000"/>
                <w:kern w:val="0"/>
                <w:sz w:val="21"/>
                <w:szCs w:val="21"/>
              </w:rPr>
              <w:t xml:space="preserve">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7.37%</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3</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eastAsia="仿宋_GB2312"/>
                <w:color w:val="000000"/>
                <w:kern w:val="0"/>
                <w:sz w:val="21"/>
                <w:szCs w:val="21"/>
                <w:lang w:eastAsia="zh-CN"/>
              </w:rPr>
            </w:pPr>
          </w:p>
        </w:tc>
      </w:tr>
      <w:tr>
        <w:tblPrEx>
          <w:tblCellMar>
            <w:top w:w="0" w:type="dxa"/>
            <w:left w:w="108" w:type="dxa"/>
            <w:bottom w:w="0" w:type="dxa"/>
            <w:right w:w="108" w:type="dxa"/>
          </w:tblCellMar>
        </w:tblPrEx>
        <w:trPr>
          <w:trHeight w:val="772" w:hRule="atLeast"/>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抽查不合格产商品批次处理处置率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100%</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100%</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3</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trHeight w:val="772" w:hRule="atLeast"/>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重点特种设备使用单位抽查完成率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lang w:val="en-US" w:eastAsia="zh-CN"/>
              </w:rPr>
              <w:t>100</w:t>
            </w:r>
            <w:r>
              <w:rPr>
                <w:rFonts w:hint="eastAsia"/>
                <w:color w:val="000000"/>
                <w:kern w:val="0"/>
                <w:sz w:val="21"/>
                <w:szCs w:val="21"/>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rFonts w:hint="eastAsia"/>
                <w:color w:val="000000"/>
                <w:kern w:val="0"/>
                <w:sz w:val="21"/>
                <w:szCs w:val="21"/>
                <w:lang w:val="en-US" w:eastAsia="zh-CN"/>
              </w:rPr>
              <w:t>100</w:t>
            </w:r>
            <w:r>
              <w:rPr>
                <w:rFonts w:hint="eastAsia"/>
                <w:color w:val="000000"/>
                <w:kern w:val="0"/>
                <w:sz w:val="21"/>
                <w:szCs w:val="21"/>
              </w:rPr>
              <w:t>%</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3</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560" w:hRule="atLeast"/>
          <w:jc w:val="center"/>
        </w:trPr>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企业信用信息系统年报公示率</w:t>
            </w:r>
          </w:p>
        </w:tc>
        <w:tc>
          <w:tcPr>
            <w:tcW w:w="120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100%</w:t>
            </w:r>
          </w:p>
        </w:tc>
        <w:tc>
          <w:tcPr>
            <w:tcW w:w="127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rFonts w:hint="eastAsia"/>
                <w:color w:val="000000"/>
                <w:kern w:val="0"/>
                <w:sz w:val="21"/>
                <w:szCs w:val="21"/>
              </w:rPr>
              <w:t>100%</w:t>
            </w:r>
          </w:p>
        </w:tc>
        <w:tc>
          <w:tcPr>
            <w:tcW w:w="812"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3</w:t>
            </w:r>
          </w:p>
        </w:tc>
        <w:tc>
          <w:tcPr>
            <w:tcW w:w="889"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nil"/>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时效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指标</w:t>
            </w:r>
          </w:p>
        </w:tc>
        <w:tc>
          <w:tcPr>
            <w:tcW w:w="13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企业开办时间</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2个工作日内</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2个工作日内</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5</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5</w:t>
            </w:r>
          </w:p>
        </w:tc>
        <w:tc>
          <w:tcPr>
            <w:tcW w:w="16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312" w:hRule="atLeast"/>
          <w:jc w:val="center"/>
        </w:trPr>
        <w:tc>
          <w:tcPr>
            <w:tcW w:w="1080" w:type="dxa"/>
            <w:vMerge w:val="continue"/>
            <w:tcBorders>
              <w:left w:val="nil"/>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vMerge w:val="restart"/>
            <w:tcBorders>
              <w:top w:val="nil"/>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spacing w:val="-11"/>
                <w:kern w:val="0"/>
                <w:sz w:val="21"/>
                <w:szCs w:val="21"/>
              </w:rPr>
              <w:t>消费者投诉举报受理时间</w:t>
            </w:r>
          </w:p>
        </w:tc>
        <w:tc>
          <w:tcPr>
            <w:tcW w:w="1200" w:type="dxa"/>
            <w:vMerge w:val="restart"/>
            <w:tcBorders>
              <w:top w:val="nil"/>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rPr>
              <w:t>7个工作日到1.5个工作日内</w:t>
            </w:r>
          </w:p>
        </w:tc>
        <w:tc>
          <w:tcPr>
            <w:tcW w:w="127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lang w:val="en-US" w:eastAsia="zh-CN" w:bidi="ar-SA"/>
              </w:rPr>
            </w:pPr>
            <w:r>
              <w:rPr>
                <w:rFonts w:hint="eastAsia"/>
                <w:color w:val="000000"/>
                <w:kern w:val="0"/>
                <w:sz w:val="21"/>
                <w:szCs w:val="21"/>
              </w:rPr>
              <w:t>1.5个工作日</w:t>
            </w:r>
          </w:p>
        </w:tc>
        <w:tc>
          <w:tcPr>
            <w:tcW w:w="812"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5</w:t>
            </w:r>
          </w:p>
        </w:tc>
        <w:tc>
          <w:tcPr>
            <w:tcW w:w="889"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5</w:t>
            </w:r>
          </w:p>
        </w:tc>
        <w:tc>
          <w:tcPr>
            <w:tcW w:w="162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nil"/>
              <w:right w:val="single" w:color="auto" w:sz="4" w:space="0"/>
            </w:tcBorders>
            <w:noWrap w:val="0"/>
            <w:vAlign w:val="center"/>
          </w:tcPr>
          <w:p>
            <w:pPr>
              <w:widowControl/>
              <w:spacing w:line="280" w:lineRule="exact"/>
              <w:jc w:val="left"/>
              <w:rPr>
                <w:color w:val="000000"/>
                <w:kern w:val="0"/>
                <w:sz w:val="21"/>
                <w:szCs w:val="21"/>
              </w:rPr>
            </w:pPr>
          </w:p>
        </w:tc>
        <w:tc>
          <w:tcPr>
            <w:tcW w:w="1080" w:type="dxa"/>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p>
        </w:tc>
        <w:tc>
          <w:tcPr>
            <w:tcW w:w="120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p>
        </w:tc>
        <w:tc>
          <w:tcPr>
            <w:tcW w:w="127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p>
        </w:tc>
        <w:tc>
          <w:tcPr>
            <w:tcW w:w="812"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p>
        </w:tc>
        <w:tc>
          <w:tcPr>
            <w:tcW w:w="889"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p>
        </w:tc>
        <w:tc>
          <w:tcPr>
            <w:tcW w:w="1623"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trHeight w:val="430" w:hRule="atLeast"/>
          <w:jc w:val="center"/>
        </w:trPr>
        <w:tc>
          <w:tcPr>
            <w:tcW w:w="1080" w:type="dxa"/>
            <w:vMerge w:val="continue"/>
            <w:tcBorders>
              <w:left w:val="nil"/>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w:t>
            </w:r>
            <w:r>
              <w:rPr>
                <w:rFonts w:hint="eastAsia"/>
                <w:color w:val="000000"/>
                <w:kern w:val="0"/>
                <w:sz w:val="21"/>
                <w:szCs w:val="21"/>
              </w:rPr>
              <w:t>4</w:t>
            </w:r>
            <w:r>
              <w:rPr>
                <w:color w:val="000000"/>
                <w:kern w:val="0"/>
                <w:sz w:val="21"/>
                <w:szCs w:val="21"/>
              </w:rPr>
              <w:t>0分）</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9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益指标</w:t>
            </w:r>
          </w:p>
        </w:tc>
        <w:tc>
          <w:tcPr>
            <w:tcW w:w="13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企业开办 首套印章赠送套数</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rPr>
              <w:t>≧</w:t>
            </w:r>
            <w:r>
              <w:rPr>
                <w:rFonts w:hint="eastAsia"/>
                <w:color w:val="000000"/>
                <w:kern w:val="0"/>
                <w:sz w:val="21"/>
                <w:szCs w:val="21"/>
                <w:lang w:val="en-US" w:eastAsia="zh-CN"/>
              </w:rPr>
              <w:t>180套</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186套</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5</w:t>
            </w:r>
          </w:p>
        </w:tc>
        <w:tc>
          <w:tcPr>
            <w:tcW w:w="16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nil"/>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益指标</w:t>
            </w:r>
          </w:p>
        </w:tc>
        <w:tc>
          <w:tcPr>
            <w:tcW w:w="13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bidi="ar-SA"/>
              </w:rPr>
            </w:pPr>
            <w:r>
              <w:rPr>
                <w:rFonts w:hint="eastAsia"/>
                <w:color w:val="000000"/>
                <w:kern w:val="0"/>
                <w:sz w:val="21"/>
                <w:szCs w:val="21"/>
              </w:rPr>
              <w:t>省级媒体正面报道次数</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bidi="ar-SA"/>
              </w:rPr>
            </w:pPr>
            <w:r>
              <w:rPr>
                <w:rFonts w:hint="eastAsia"/>
                <w:color w:val="000000"/>
                <w:kern w:val="0"/>
                <w:sz w:val="21"/>
                <w:szCs w:val="21"/>
              </w:rPr>
              <w:t>≧</w:t>
            </w:r>
            <w:r>
              <w:rPr>
                <w:rFonts w:hint="eastAsia"/>
                <w:color w:val="000000"/>
                <w:kern w:val="0"/>
                <w:sz w:val="21"/>
                <w:szCs w:val="21"/>
                <w:lang w:val="en-US" w:eastAsia="zh-CN"/>
              </w:rPr>
              <w:t>500次</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621次</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5</w:t>
            </w:r>
          </w:p>
        </w:tc>
        <w:tc>
          <w:tcPr>
            <w:tcW w:w="16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821" w:hRule="atLeast"/>
          <w:jc w:val="center"/>
        </w:trPr>
        <w:tc>
          <w:tcPr>
            <w:tcW w:w="1080" w:type="dxa"/>
            <w:vMerge w:val="continue"/>
            <w:tcBorders>
              <w:left w:val="nil"/>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加强特种设备安全监管水平和应急救援能力建设</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不断提升</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不断提升</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5</w:t>
            </w:r>
          </w:p>
        </w:tc>
        <w:tc>
          <w:tcPr>
            <w:tcW w:w="16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370" w:hRule="atLeast"/>
          <w:jc w:val="center"/>
        </w:trPr>
        <w:tc>
          <w:tcPr>
            <w:tcW w:w="1080" w:type="dxa"/>
            <w:vMerge w:val="continue"/>
            <w:tcBorders>
              <w:left w:val="nil"/>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益指标</w:t>
            </w:r>
          </w:p>
        </w:tc>
        <w:tc>
          <w:tcPr>
            <w:tcW w:w="1351" w:type="dxa"/>
            <w:gridSpan w:val="2"/>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无</w:t>
            </w:r>
          </w:p>
        </w:tc>
        <w:tc>
          <w:tcPr>
            <w:tcW w:w="1200"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p>
        </w:tc>
        <w:tc>
          <w:tcPr>
            <w:tcW w:w="1276" w:type="dxa"/>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p>
        </w:tc>
        <w:tc>
          <w:tcPr>
            <w:tcW w:w="812"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889"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62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r>
        <w:tblPrEx>
          <w:tblCellMar>
            <w:top w:w="0" w:type="dxa"/>
            <w:left w:w="108" w:type="dxa"/>
            <w:bottom w:w="0" w:type="dxa"/>
            <w:right w:w="108" w:type="dxa"/>
          </w:tblCellMar>
        </w:tblPrEx>
        <w:trPr>
          <w:trHeight w:val="1026" w:hRule="atLeast"/>
          <w:jc w:val="center"/>
        </w:trPr>
        <w:tc>
          <w:tcPr>
            <w:tcW w:w="1080" w:type="dxa"/>
            <w:vMerge w:val="continue"/>
            <w:tcBorders>
              <w:left w:val="nil"/>
              <w:right w:val="single" w:color="auto" w:sz="4" w:space="0"/>
            </w:tcBorders>
            <w:noWrap w:val="0"/>
            <w:vAlign w:val="center"/>
          </w:tcPr>
          <w:p>
            <w:pPr>
              <w:widowControl/>
              <w:spacing w:line="280" w:lineRule="exact"/>
              <w:jc w:val="center"/>
              <w:rPr>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可持续影响指标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color w:val="000000"/>
                <w:kern w:val="0"/>
                <w:sz w:val="21"/>
                <w:szCs w:val="21"/>
              </w:rPr>
            </w:pPr>
            <w:r>
              <w:rPr>
                <w:rFonts w:hint="eastAsia"/>
                <w:color w:val="000000"/>
                <w:kern w:val="0"/>
                <w:sz w:val="21"/>
                <w:szCs w:val="21"/>
                <w:lang w:val="en-US" w:eastAsia="zh-CN"/>
              </w:rPr>
              <w:t>营</w:t>
            </w:r>
            <w:r>
              <w:rPr>
                <w:rFonts w:hint="eastAsia"/>
                <w:color w:val="000000"/>
                <w:kern w:val="0"/>
                <w:sz w:val="21"/>
                <w:szCs w:val="21"/>
              </w:rPr>
              <w:t>造公平、守信、安全、放心的市场竞争秩序</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长期</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长期</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4.6</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trHeight w:val="1026" w:hRule="atLeast"/>
          <w:jc w:val="center"/>
        </w:trPr>
        <w:tc>
          <w:tcPr>
            <w:tcW w:w="1080" w:type="dxa"/>
            <w:vMerge w:val="continue"/>
            <w:tcBorders>
              <w:left w:val="nil"/>
              <w:bottom w:val="single" w:color="auto" w:sz="4" w:space="0"/>
              <w:right w:val="single" w:color="auto" w:sz="4" w:space="0"/>
            </w:tcBorders>
            <w:noWrap w:val="0"/>
            <w:vAlign w:val="center"/>
          </w:tcPr>
          <w:p>
            <w:pPr>
              <w:widowControl/>
              <w:spacing w:line="280" w:lineRule="exact"/>
              <w:jc w:val="center"/>
              <w:rPr>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c>
          <w:tcPr>
            <w:tcW w:w="95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color w:val="000000"/>
                <w:kern w:val="0"/>
                <w:sz w:val="21"/>
                <w:szCs w:val="21"/>
              </w:rPr>
            </w:pPr>
            <w:r>
              <w:rPr>
                <w:rFonts w:hint="eastAsia"/>
                <w:color w:val="000000"/>
                <w:kern w:val="0"/>
                <w:sz w:val="21"/>
                <w:szCs w:val="21"/>
              </w:rPr>
              <w:t>优化市场经济环境，推动经济高质量发展</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长期</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eastAsia="仿宋_GB2312"/>
                <w:color w:val="000000"/>
                <w:kern w:val="0"/>
                <w:sz w:val="21"/>
                <w:szCs w:val="21"/>
                <w:lang w:val="en-US" w:eastAsia="zh-CN"/>
              </w:rPr>
            </w:pPr>
            <w:r>
              <w:rPr>
                <w:rFonts w:hint="eastAsia"/>
                <w:color w:val="000000"/>
                <w:kern w:val="0"/>
                <w:sz w:val="21"/>
                <w:szCs w:val="21"/>
                <w:lang w:val="en-US" w:eastAsia="zh-CN"/>
              </w:rPr>
              <w:t>长期</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4.7</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trHeight w:val="458" w:hRule="atLeast"/>
          <w:jc w:val="center"/>
        </w:trPr>
        <w:tc>
          <w:tcPr>
            <w:tcW w:w="1080" w:type="dxa"/>
            <w:tcBorders>
              <w:top w:val="single" w:color="auto" w:sz="4" w:space="0"/>
              <w:left w:val="nil"/>
              <w:bottom w:val="nil"/>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满意度指标</w:t>
            </w: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服务对象满意度指标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社会公众对食品安全满意度</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≧75%</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86.87%</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5</w:t>
            </w:r>
          </w:p>
        </w:tc>
        <w:tc>
          <w:tcPr>
            <w:tcW w:w="16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trHeight w:val="743" w:hRule="atLeast"/>
          <w:jc w:val="center"/>
        </w:trPr>
        <w:tc>
          <w:tcPr>
            <w:tcW w:w="1080" w:type="dxa"/>
            <w:vMerge w:val="restart"/>
            <w:tcBorders>
              <w:top w:val="nil"/>
              <w:left w:val="nil"/>
              <w:right w:val="single" w:color="auto" w:sz="4" w:space="0"/>
            </w:tcBorders>
            <w:noWrap w:val="0"/>
            <w:vAlign w:val="center"/>
          </w:tcPr>
          <w:p>
            <w:pPr>
              <w:widowControl/>
              <w:spacing w:line="280" w:lineRule="exact"/>
              <w:jc w:val="left"/>
              <w:rPr>
                <w:color w:val="000000"/>
                <w:kern w:val="0"/>
                <w:sz w:val="21"/>
                <w:szCs w:val="21"/>
              </w:rPr>
            </w:pPr>
          </w:p>
        </w:tc>
        <w:tc>
          <w:tcPr>
            <w:tcW w:w="1080" w:type="dxa"/>
            <w:vMerge w:val="continue"/>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95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社会公众对窗口工作满意度</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olor w:val="000000"/>
                <w:kern w:val="0"/>
                <w:sz w:val="21"/>
                <w:szCs w:val="21"/>
              </w:rPr>
            </w:pPr>
            <w:r>
              <w:rPr>
                <w:rFonts w:hint="eastAsia"/>
                <w:color w:val="000000"/>
                <w:kern w:val="0"/>
                <w:sz w:val="21"/>
                <w:szCs w:val="21"/>
              </w:rPr>
              <w:t>≧</w:t>
            </w:r>
            <w:r>
              <w:rPr>
                <w:rFonts w:hint="eastAsia"/>
                <w:color w:val="000000"/>
                <w:kern w:val="0"/>
                <w:sz w:val="21"/>
                <w:szCs w:val="21"/>
                <w:lang w:val="en-US" w:eastAsia="zh-CN"/>
              </w:rPr>
              <w:t>90</w:t>
            </w:r>
            <w:r>
              <w:rPr>
                <w:rFonts w:hint="eastAsia"/>
                <w:color w:val="000000"/>
                <w:kern w:val="0"/>
                <w:sz w:val="21"/>
                <w:szCs w:val="21"/>
              </w:rPr>
              <w:t>%</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92%</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5</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color w:val="000000"/>
                <w:kern w:val="0"/>
                <w:sz w:val="21"/>
                <w:szCs w:val="21"/>
                <w:lang w:val="en-US" w:eastAsia="zh-CN"/>
              </w:rPr>
            </w:pPr>
            <w:r>
              <w:rPr>
                <w:rFonts w:hint="eastAsia"/>
                <w:color w:val="000000"/>
                <w:kern w:val="0"/>
                <w:sz w:val="21"/>
                <w:szCs w:val="21"/>
                <w:lang w:val="en-US" w:eastAsia="zh-CN"/>
              </w:rPr>
              <w:t>5</w:t>
            </w:r>
          </w:p>
        </w:tc>
        <w:tc>
          <w:tcPr>
            <w:tcW w:w="162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trHeight w:val="427" w:hRule="atLeast"/>
          <w:jc w:val="center"/>
        </w:trPr>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rFonts w:hint="eastAsia"/>
                <w:color w:val="000000"/>
                <w:kern w:val="0"/>
                <w:sz w:val="21"/>
                <w:szCs w:val="21"/>
              </w:rPr>
              <w:t>成本指标</w:t>
            </w: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000000"/>
                <w:kern w:val="0"/>
                <w:sz w:val="21"/>
                <w:szCs w:val="21"/>
                <w:lang w:val="en-US" w:eastAsia="zh-CN" w:bidi="ar-SA"/>
              </w:rPr>
            </w:pPr>
            <w:r>
              <w:rPr>
                <w:rFonts w:hint="eastAsia"/>
                <w:color w:val="000000"/>
                <w:kern w:val="0"/>
                <w:sz w:val="21"/>
                <w:szCs w:val="21"/>
              </w:rPr>
              <w:t>经济成本指标</w:t>
            </w: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食品抽检</w:t>
            </w:r>
            <w:r>
              <w:rPr>
                <w:rFonts w:hint="eastAsia"/>
                <w:color w:val="000000"/>
                <w:kern w:val="0"/>
                <w:sz w:val="21"/>
                <w:szCs w:val="21"/>
              </w:rPr>
              <w:t>成本</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default" w:ascii="Arial" w:hAnsi="Arial" w:cs="Arial"/>
                <w:color w:val="000000"/>
                <w:kern w:val="0"/>
                <w:sz w:val="21"/>
                <w:szCs w:val="21"/>
                <w:lang w:val="en-US" w:eastAsia="zh-CN"/>
              </w:rPr>
              <w:t>≤</w:t>
            </w:r>
            <w:r>
              <w:rPr>
                <w:rFonts w:hint="eastAsia"/>
                <w:color w:val="000000"/>
                <w:kern w:val="0"/>
                <w:sz w:val="21"/>
                <w:szCs w:val="21"/>
                <w:lang w:val="en-US" w:eastAsia="zh-CN"/>
              </w:rPr>
              <w:t>7</w:t>
            </w:r>
            <w:r>
              <w:rPr>
                <w:rFonts w:hint="eastAsia"/>
                <w:color w:val="000000"/>
                <w:kern w:val="0"/>
                <w:sz w:val="21"/>
                <w:szCs w:val="21"/>
              </w:rPr>
              <w:t>00元/批次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700元/批次</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5</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5</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trHeight w:val="427" w:hRule="atLeast"/>
          <w:jc w:val="center"/>
        </w:trPr>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eastAsia="zh-CN"/>
              </w:rPr>
              <w:t>“</w:t>
            </w:r>
            <w:r>
              <w:rPr>
                <w:rFonts w:hint="eastAsia"/>
                <w:color w:val="000000"/>
                <w:kern w:val="0"/>
                <w:sz w:val="21"/>
                <w:szCs w:val="21"/>
                <w:lang w:val="en-US" w:eastAsia="zh-CN"/>
              </w:rPr>
              <w:t>两品一械</w:t>
            </w:r>
            <w:r>
              <w:rPr>
                <w:rFonts w:hint="eastAsia"/>
                <w:color w:val="000000"/>
                <w:kern w:val="0"/>
                <w:sz w:val="21"/>
                <w:szCs w:val="21"/>
                <w:lang w:eastAsia="zh-CN"/>
              </w:rPr>
              <w:t>”</w:t>
            </w:r>
            <w:r>
              <w:rPr>
                <w:rFonts w:hint="eastAsia"/>
                <w:color w:val="000000"/>
                <w:kern w:val="0"/>
                <w:sz w:val="21"/>
                <w:szCs w:val="21"/>
              </w:rPr>
              <w:t>抽检成本</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default" w:ascii="Arial" w:hAnsi="Arial" w:cs="Arial"/>
                <w:color w:val="000000"/>
                <w:kern w:val="0"/>
                <w:sz w:val="21"/>
                <w:szCs w:val="21"/>
                <w:lang w:val="en-US" w:eastAsia="zh-CN"/>
              </w:rPr>
              <w:t>≤</w:t>
            </w:r>
            <w:r>
              <w:rPr>
                <w:rFonts w:hint="eastAsia"/>
                <w:color w:val="000000"/>
                <w:kern w:val="0"/>
                <w:sz w:val="21"/>
                <w:szCs w:val="21"/>
                <w:lang w:val="en-US" w:eastAsia="zh-CN"/>
              </w:rPr>
              <w:t>35</w:t>
            </w:r>
            <w:r>
              <w:rPr>
                <w:rFonts w:hint="eastAsia"/>
                <w:color w:val="000000"/>
                <w:kern w:val="0"/>
                <w:sz w:val="21"/>
                <w:szCs w:val="21"/>
              </w:rPr>
              <w:t>00元/批次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3500元/批次</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5</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0"/>
                <w:sz w:val="21"/>
                <w:szCs w:val="21"/>
                <w:lang w:val="en-US" w:eastAsia="zh-CN" w:bidi="ar-SA"/>
              </w:rPr>
            </w:pPr>
            <w:r>
              <w:rPr>
                <w:rFonts w:hint="eastAsia"/>
                <w:color w:val="000000"/>
                <w:kern w:val="0"/>
                <w:sz w:val="21"/>
                <w:szCs w:val="21"/>
                <w:lang w:val="en-US" w:eastAsia="zh-CN"/>
              </w:rPr>
              <w:t>5</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p>
        </w:tc>
      </w:tr>
      <w:tr>
        <w:tblPrEx>
          <w:tblCellMar>
            <w:top w:w="0" w:type="dxa"/>
            <w:left w:w="108" w:type="dxa"/>
            <w:bottom w:w="0" w:type="dxa"/>
            <w:right w:w="108" w:type="dxa"/>
          </w:tblCellMar>
        </w:tblPrEx>
        <w:trPr>
          <w:trHeight w:val="427" w:hRule="atLeast"/>
          <w:jc w:val="center"/>
        </w:trPr>
        <w:tc>
          <w:tcPr>
            <w:tcW w:w="694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1"/>
                <w:szCs w:val="21"/>
              </w:rPr>
            </w:pPr>
            <w:r>
              <w:rPr>
                <w:color w:val="000000"/>
                <w:kern w:val="0"/>
                <w:sz w:val="21"/>
                <w:szCs w:val="21"/>
              </w:rPr>
              <w:t>总分</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color w:val="000000"/>
                <w:kern w:val="0"/>
                <w:sz w:val="21"/>
                <w:szCs w:val="21"/>
              </w:rPr>
            </w:pPr>
            <w:r>
              <w:rPr>
                <w:color w:val="000000"/>
                <w:kern w:val="0"/>
                <w:sz w:val="21"/>
                <w:szCs w:val="21"/>
              </w:rPr>
              <w:t>100</w:t>
            </w:r>
            <w:r>
              <w:rPr>
                <w:rFonts w:hint="eastAsia"/>
                <w:color w:val="000000"/>
                <w:kern w:val="0"/>
                <w:sz w:val="21"/>
                <w:szCs w:val="21"/>
              </w:rPr>
              <w:t>分</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仿宋_GB2312"/>
                <w:color w:val="000000"/>
                <w:kern w:val="0"/>
                <w:sz w:val="21"/>
                <w:szCs w:val="21"/>
                <w:lang w:val="en-US" w:eastAsia="zh-CN"/>
              </w:rPr>
            </w:pPr>
            <w:r>
              <w:rPr>
                <w:rFonts w:hint="eastAsia"/>
                <w:color w:val="000000"/>
                <w:kern w:val="0"/>
                <w:sz w:val="21"/>
                <w:szCs w:val="21"/>
                <w:lang w:val="en-US" w:eastAsia="zh-CN"/>
              </w:rPr>
              <w:t>99.3分</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kern w:val="0"/>
                <w:sz w:val="21"/>
                <w:szCs w:val="21"/>
              </w:rPr>
            </w:pPr>
            <w:r>
              <w:rPr>
                <w:color w:val="000000"/>
                <w:kern w:val="0"/>
                <w:sz w:val="21"/>
                <w:szCs w:val="21"/>
              </w:rPr>
              <w:t>　</w:t>
            </w:r>
          </w:p>
        </w:tc>
      </w:tr>
    </w:tbl>
    <w:p>
      <w:pPr>
        <w:keepNext w:val="0"/>
        <w:keepLines w:val="0"/>
        <w:pageBreakBefore w:val="0"/>
        <w:widowControl w:val="0"/>
        <w:pBdr>
          <w:top w:val="none" w:color="000000" w:sz="0" w:space="0"/>
          <w:left w:val="none" w:color="000000" w:sz="0" w:space="0"/>
          <w:bottom w:val="none" w:color="000000" w:sz="0" w:space="21"/>
          <w:right w:val="none" w:color="000000" w:sz="0" w:space="1"/>
        </w:pBdr>
        <w:kinsoku/>
        <w:wordWrap/>
        <w:overflowPunct/>
        <w:topLinePunct w:val="0"/>
        <w:autoSpaceDE/>
        <w:autoSpaceDN w:val="0"/>
        <w:bidi w:val="0"/>
        <w:adjustRightInd/>
        <w:snapToGrid w:val="0"/>
        <w:spacing w:line="400" w:lineRule="exact"/>
        <w:ind w:left="204" w:leftChars="0" w:hanging="204" w:hangingChars="64"/>
        <w:jc w:val="left"/>
        <w:textAlignment w:val="auto"/>
        <w:rPr>
          <w:rFonts w:hint="eastAsia"/>
          <w:lang w:eastAsia="zh-CN"/>
        </w:rPr>
      </w:pPr>
    </w:p>
    <w:sectPr>
      <w:footerReference r:id="rId3" w:type="default"/>
      <w:pgSz w:w="11906" w:h="16838"/>
      <w:pgMar w:top="1928" w:right="1474" w:bottom="1701" w:left="1587" w:header="851" w:footer="992" w:gutter="0"/>
      <w:pgNumType w:fmt="numberInDash" w:start="2"/>
      <w:cols w:space="720" w:num="1"/>
      <w:docGrid w:type="linesAndChar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FB8A98E-2112-404F-A8F2-329380C6C8E8}"/>
  </w:font>
  <w:font w:name="黑体">
    <w:panose1 w:val="02010609060101010101"/>
    <w:charset w:val="86"/>
    <w:family w:val="auto"/>
    <w:pitch w:val="default"/>
    <w:sig w:usb0="800002BF" w:usb1="38CF7CFA" w:usb2="00000016" w:usb3="00000000" w:csb0="00040001" w:csb1="00000000"/>
    <w:embedRegular r:id="rId2" w:fontKey="{622FBCDC-D18B-4235-9196-1149124809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D3F34163-2EA1-44DC-A176-8DB29B402A7A}"/>
  </w:font>
  <w:font w:name="仿宋_GB2312">
    <w:panose1 w:val="02010609030101010101"/>
    <w:charset w:val="86"/>
    <w:family w:val="modern"/>
    <w:pitch w:val="default"/>
    <w:sig w:usb0="00000001" w:usb1="080E0000" w:usb2="00000000" w:usb3="00000000" w:csb0="00040000" w:csb1="00000000"/>
    <w:embedRegular r:id="rId4" w:fontKey="{A522821D-BCF6-40E9-8D38-00DC6704352B}"/>
  </w:font>
  <w:font w:name="等线">
    <w:altName w:val="微软雅黑"/>
    <w:panose1 w:val="02010600030101010101"/>
    <w:charset w:val="86"/>
    <w:family w:val="roman"/>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embedRegular r:id="rId5" w:fontKey="{4931DA2E-D8F5-448A-9856-CBD8B1CEF143}"/>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6" w:fontKey="{589BB429-B1F4-468D-B213-D8DFE4C4D89F}"/>
  </w:font>
  <w:font w:name="Times New Roman Regular">
    <w:altName w:val="Times New Roman"/>
    <w:panose1 w:val="02020603050405020304"/>
    <w:charset w:val="00"/>
    <w:family w:val="auto"/>
    <w:pitch w:val="default"/>
    <w:sig w:usb0="00000000" w:usb1="00000000" w:usb2="00000009" w:usb3="00000000" w:csb0="400001FF" w:csb1="FFFF0000"/>
    <w:embedRegular r:id="rId7" w:fontKey="{484B419E-E3C3-4361-B3B2-122646B78F16}"/>
  </w:font>
  <w:font w:name="方正仿宋_GBK">
    <w:panose1 w:val="02000000000000000000"/>
    <w:charset w:val="86"/>
    <w:family w:val="auto"/>
    <w:pitch w:val="default"/>
    <w:sig w:usb0="A00002BF" w:usb1="38CF7CFA" w:usb2="00082016" w:usb3="00000000" w:csb0="00040001" w:csb1="00000000"/>
    <w:embedRegular r:id="rId8" w:fontKey="{F2C505CD-9D84-4A81-882E-785530A200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- 2 -</w:t>
                          </w:r>
                          <w:r>
                            <w:rPr>
                              <w:rFonts w:hint="eastAsia" w:ascii="仿宋_GB2312" w:hAnsi="仿宋_GB2312" w:cs="仿宋_GB2312"/>
                              <w:sz w:val="28"/>
                              <w:szCs w:val="28"/>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- 2 -</w:t>
                    </w:r>
                    <w:r>
                      <w:rPr>
                        <w:rFonts w:hint="eastAsia" w:ascii="仿宋_GB2312" w:hAnsi="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HorizontalSpacing w:val="320"/>
  <w:drawingGridVerticalSpacing w:val="300"/>
  <w:displayHorizontalDrawingGridEvery w:val="1"/>
  <w:displayVerticalDrawingGridEvery w:val="1"/>
  <w:noPunctuationKerning w:val="1"/>
  <w:characterSpacingControl w:val="compressPunctuation"/>
  <w:hdrShapeDefaults>
    <o:shapelayout v:ext="edit">
      <o:idmap v:ext="edit" data="15,16"/>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0M2NhMTdlYWIxODkyZjkwMGI5MTdmMDY2ODcyYjMifQ=="/>
    <w:docVar w:name="KSO_WPS_MARK_KEY" w:val="2d2e988c-7a41-403e-a2b3-48a2b4776afa"/>
  </w:docVars>
  <w:rsids>
    <w:rsidRoot w:val="007609F1"/>
    <w:rsid w:val="0000021B"/>
    <w:rsid w:val="000006E3"/>
    <w:rsid w:val="00001B01"/>
    <w:rsid w:val="0000778A"/>
    <w:rsid w:val="00014945"/>
    <w:rsid w:val="00017AEE"/>
    <w:rsid w:val="00021E7E"/>
    <w:rsid w:val="00022928"/>
    <w:rsid w:val="00023027"/>
    <w:rsid w:val="0002375A"/>
    <w:rsid w:val="0002502E"/>
    <w:rsid w:val="00027C15"/>
    <w:rsid w:val="00031F01"/>
    <w:rsid w:val="0003293C"/>
    <w:rsid w:val="00033971"/>
    <w:rsid w:val="00035AC5"/>
    <w:rsid w:val="00036613"/>
    <w:rsid w:val="00037528"/>
    <w:rsid w:val="00040507"/>
    <w:rsid w:val="000409BF"/>
    <w:rsid w:val="0004123E"/>
    <w:rsid w:val="00055B94"/>
    <w:rsid w:val="00057B2E"/>
    <w:rsid w:val="00057CE8"/>
    <w:rsid w:val="00062E7C"/>
    <w:rsid w:val="00063554"/>
    <w:rsid w:val="00065923"/>
    <w:rsid w:val="00066020"/>
    <w:rsid w:val="00067FFB"/>
    <w:rsid w:val="00072310"/>
    <w:rsid w:val="00077165"/>
    <w:rsid w:val="00077915"/>
    <w:rsid w:val="000809B6"/>
    <w:rsid w:val="00082331"/>
    <w:rsid w:val="00082F73"/>
    <w:rsid w:val="00086B29"/>
    <w:rsid w:val="00087697"/>
    <w:rsid w:val="000879C3"/>
    <w:rsid w:val="00093C43"/>
    <w:rsid w:val="000A2307"/>
    <w:rsid w:val="000A3ED8"/>
    <w:rsid w:val="000A5937"/>
    <w:rsid w:val="000A6205"/>
    <w:rsid w:val="000A7969"/>
    <w:rsid w:val="000A7F67"/>
    <w:rsid w:val="000B3483"/>
    <w:rsid w:val="000B501E"/>
    <w:rsid w:val="000B6141"/>
    <w:rsid w:val="000C2ECB"/>
    <w:rsid w:val="000C4C61"/>
    <w:rsid w:val="000C627F"/>
    <w:rsid w:val="000C657E"/>
    <w:rsid w:val="000D0561"/>
    <w:rsid w:val="000D1091"/>
    <w:rsid w:val="000D2E93"/>
    <w:rsid w:val="000D719B"/>
    <w:rsid w:val="000E013B"/>
    <w:rsid w:val="000E4548"/>
    <w:rsid w:val="000E7892"/>
    <w:rsid w:val="000F4FAC"/>
    <w:rsid w:val="000F5984"/>
    <w:rsid w:val="00101892"/>
    <w:rsid w:val="00111687"/>
    <w:rsid w:val="0011344B"/>
    <w:rsid w:val="00114DED"/>
    <w:rsid w:val="00116E57"/>
    <w:rsid w:val="00120953"/>
    <w:rsid w:val="0012243C"/>
    <w:rsid w:val="001237EA"/>
    <w:rsid w:val="00124260"/>
    <w:rsid w:val="001245FE"/>
    <w:rsid w:val="00124B38"/>
    <w:rsid w:val="0012569E"/>
    <w:rsid w:val="0012599A"/>
    <w:rsid w:val="00126034"/>
    <w:rsid w:val="00127413"/>
    <w:rsid w:val="001306AB"/>
    <w:rsid w:val="00132CCA"/>
    <w:rsid w:val="00134393"/>
    <w:rsid w:val="00136EEA"/>
    <w:rsid w:val="0014090D"/>
    <w:rsid w:val="001423B3"/>
    <w:rsid w:val="00142DD2"/>
    <w:rsid w:val="00143910"/>
    <w:rsid w:val="00144A45"/>
    <w:rsid w:val="0014500F"/>
    <w:rsid w:val="00150FC9"/>
    <w:rsid w:val="001604FA"/>
    <w:rsid w:val="00165936"/>
    <w:rsid w:val="001707CA"/>
    <w:rsid w:val="0017105A"/>
    <w:rsid w:val="00171B88"/>
    <w:rsid w:val="00175108"/>
    <w:rsid w:val="0017785D"/>
    <w:rsid w:val="00183A2D"/>
    <w:rsid w:val="00184397"/>
    <w:rsid w:val="00184C9A"/>
    <w:rsid w:val="00184EE1"/>
    <w:rsid w:val="00197EC1"/>
    <w:rsid w:val="001A2168"/>
    <w:rsid w:val="001A2A12"/>
    <w:rsid w:val="001A5896"/>
    <w:rsid w:val="001A737E"/>
    <w:rsid w:val="001B4BD3"/>
    <w:rsid w:val="001B5AF7"/>
    <w:rsid w:val="001C274F"/>
    <w:rsid w:val="001C4D2F"/>
    <w:rsid w:val="001C5668"/>
    <w:rsid w:val="001C6876"/>
    <w:rsid w:val="001D0D51"/>
    <w:rsid w:val="001D43A6"/>
    <w:rsid w:val="001D59DE"/>
    <w:rsid w:val="001D6ADC"/>
    <w:rsid w:val="001D703E"/>
    <w:rsid w:val="001D7805"/>
    <w:rsid w:val="001D7F4E"/>
    <w:rsid w:val="001E092B"/>
    <w:rsid w:val="001E33CA"/>
    <w:rsid w:val="001E59AF"/>
    <w:rsid w:val="001E5EAD"/>
    <w:rsid w:val="001E73A9"/>
    <w:rsid w:val="001E7682"/>
    <w:rsid w:val="001F3BD4"/>
    <w:rsid w:val="001F3F5B"/>
    <w:rsid w:val="001F52F4"/>
    <w:rsid w:val="001F5F7F"/>
    <w:rsid w:val="001F79A4"/>
    <w:rsid w:val="00204E6C"/>
    <w:rsid w:val="00205ED0"/>
    <w:rsid w:val="00210104"/>
    <w:rsid w:val="00211922"/>
    <w:rsid w:val="00211F86"/>
    <w:rsid w:val="002133F6"/>
    <w:rsid w:val="00214553"/>
    <w:rsid w:val="00215188"/>
    <w:rsid w:val="00215E33"/>
    <w:rsid w:val="00223838"/>
    <w:rsid w:val="0023010F"/>
    <w:rsid w:val="00233182"/>
    <w:rsid w:val="002405B5"/>
    <w:rsid w:val="00245DC6"/>
    <w:rsid w:val="00247CEE"/>
    <w:rsid w:val="002525B9"/>
    <w:rsid w:val="002560EC"/>
    <w:rsid w:val="00257241"/>
    <w:rsid w:val="00257C5F"/>
    <w:rsid w:val="00260F2E"/>
    <w:rsid w:val="00267362"/>
    <w:rsid w:val="002769BB"/>
    <w:rsid w:val="002775CC"/>
    <w:rsid w:val="002817F7"/>
    <w:rsid w:val="002821F8"/>
    <w:rsid w:val="00284060"/>
    <w:rsid w:val="002921A0"/>
    <w:rsid w:val="00292851"/>
    <w:rsid w:val="00292908"/>
    <w:rsid w:val="00295AA1"/>
    <w:rsid w:val="002964AD"/>
    <w:rsid w:val="002A0EB1"/>
    <w:rsid w:val="002A12AB"/>
    <w:rsid w:val="002A2DC4"/>
    <w:rsid w:val="002A5C0A"/>
    <w:rsid w:val="002A73E4"/>
    <w:rsid w:val="002A7F1E"/>
    <w:rsid w:val="002B0783"/>
    <w:rsid w:val="002B1332"/>
    <w:rsid w:val="002B20CC"/>
    <w:rsid w:val="002B3E8D"/>
    <w:rsid w:val="002B52CD"/>
    <w:rsid w:val="002B56A8"/>
    <w:rsid w:val="002B681A"/>
    <w:rsid w:val="002B6B53"/>
    <w:rsid w:val="002B6F93"/>
    <w:rsid w:val="002B7A18"/>
    <w:rsid w:val="002C0160"/>
    <w:rsid w:val="002C4FF4"/>
    <w:rsid w:val="002C68A0"/>
    <w:rsid w:val="002D1FFF"/>
    <w:rsid w:val="002D534D"/>
    <w:rsid w:val="002D64EB"/>
    <w:rsid w:val="002D7E45"/>
    <w:rsid w:val="002E4E9B"/>
    <w:rsid w:val="002F558C"/>
    <w:rsid w:val="002F72C3"/>
    <w:rsid w:val="002F7A0C"/>
    <w:rsid w:val="0030511F"/>
    <w:rsid w:val="00311354"/>
    <w:rsid w:val="0031219D"/>
    <w:rsid w:val="003159BB"/>
    <w:rsid w:val="00317421"/>
    <w:rsid w:val="00317570"/>
    <w:rsid w:val="00320F5C"/>
    <w:rsid w:val="00325466"/>
    <w:rsid w:val="003322F0"/>
    <w:rsid w:val="00332723"/>
    <w:rsid w:val="00337C3F"/>
    <w:rsid w:val="00342310"/>
    <w:rsid w:val="00343ABF"/>
    <w:rsid w:val="003454AB"/>
    <w:rsid w:val="00345BB2"/>
    <w:rsid w:val="003462D8"/>
    <w:rsid w:val="00350B8E"/>
    <w:rsid w:val="0035107C"/>
    <w:rsid w:val="00352117"/>
    <w:rsid w:val="00352384"/>
    <w:rsid w:val="00356ACF"/>
    <w:rsid w:val="00357A94"/>
    <w:rsid w:val="00360831"/>
    <w:rsid w:val="00361887"/>
    <w:rsid w:val="003633CE"/>
    <w:rsid w:val="00370BBD"/>
    <w:rsid w:val="00372D13"/>
    <w:rsid w:val="003739AD"/>
    <w:rsid w:val="003752BF"/>
    <w:rsid w:val="0037776F"/>
    <w:rsid w:val="00380718"/>
    <w:rsid w:val="00382AD1"/>
    <w:rsid w:val="00385C38"/>
    <w:rsid w:val="00386AD7"/>
    <w:rsid w:val="00392105"/>
    <w:rsid w:val="0039386D"/>
    <w:rsid w:val="00396D75"/>
    <w:rsid w:val="003970AF"/>
    <w:rsid w:val="00397CF6"/>
    <w:rsid w:val="003A2200"/>
    <w:rsid w:val="003B2A38"/>
    <w:rsid w:val="003B3018"/>
    <w:rsid w:val="003B3BB3"/>
    <w:rsid w:val="003B7211"/>
    <w:rsid w:val="003C10DC"/>
    <w:rsid w:val="003C1836"/>
    <w:rsid w:val="003C23EE"/>
    <w:rsid w:val="003C517E"/>
    <w:rsid w:val="003C6167"/>
    <w:rsid w:val="003C7ED2"/>
    <w:rsid w:val="003D064A"/>
    <w:rsid w:val="003D19C3"/>
    <w:rsid w:val="003D5407"/>
    <w:rsid w:val="003D54E3"/>
    <w:rsid w:val="003D61A5"/>
    <w:rsid w:val="003E1AB7"/>
    <w:rsid w:val="003F3067"/>
    <w:rsid w:val="003F352F"/>
    <w:rsid w:val="003F3743"/>
    <w:rsid w:val="0040211E"/>
    <w:rsid w:val="00404BE0"/>
    <w:rsid w:val="004051B0"/>
    <w:rsid w:val="0040792A"/>
    <w:rsid w:val="00407930"/>
    <w:rsid w:val="004119B6"/>
    <w:rsid w:val="004129DD"/>
    <w:rsid w:val="004178B2"/>
    <w:rsid w:val="004217EF"/>
    <w:rsid w:val="00423037"/>
    <w:rsid w:val="00423804"/>
    <w:rsid w:val="00424CD8"/>
    <w:rsid w:val="00425379"/>
    <w:rsid w:val="00427A2F"/>
    <w:rsid w:val="00430347"/>
    <w:rsid w:val="00433D72"/>
    <w:rsid w:val="0043767F"/>
    <w:rsid w:val="00446278"/>
    <w:rsid w:val="0044799F"/>
    <w:rsid w:val="00450A10"/>
    <w:rsid w:val="0045354C"/>
    <w:rsid w:val="0045401C"/>
    <w:rsid w:val="004556D4"/>
    <w:rsid w:val="00457A8E"/>
    <w:rsid w:val="00460ABC"/>
    <w:rsid w:val="004631B4"/>
    <w:rsid w:val="004648CD"/>
    <w:rsid w:val="00464BDF"/>
    <w:rsid w:val="00464C3D"/>
    <w:rsid w:val="00465A5D"/>
    <w:rsid w:val="004670F3"/>
    <w:rsid w:val="0047638D"/>
    <w:rsid w:val="00485585"/>
    <w:rsid w:val="00487450"/>
    <w:rsid w:val="00497FDB"/>
    <w:rsid w:val="004A422D"/>
    <w:rsid w:val="004B07FF"/>
    <w:rsid w:val="004B15D5"/>
    <w:rsid w:val="004B5756"/>
    <w:rsid w:val="004B5FAC"/>
    <w:rsid w:val="004B70FE"/>
    <w:rsid w:val="004B79C2"/>
    <w:rsid w:val="004C3420"/>
    <w:rsid w:val="004C490D"/>
    <w:rsid w:val="004C64FC"/>
    <w:rsid w:val="004C6750"/>
    <w:rsid w:val="004C6F56"/>
    <w:rsid w:val="004C7283"/>
    <w:rsid w:val="004C744A"/>
    <w:rsid w:val="004D4371"/>
    <w:rsid w:val="004D610F"/>
    <w:rsid w:val="004D697A"/>
    <w:rsid w:val="004D72DA"/>
    <w:rsid w:val="004E1B91"/>
    <w:rsid w:val="004E2496"/>
    <w:rsid w:val="004E5B33"/>
    <w:rsid w:val="004E6572"/>
    <w:rsid w:val="004F2265"/>
    <w:rsid w:val="004F5E61"/>
    <w:rsid w:val="005003CC"/>
    <w:rsid w:val="0050098D"/>
    <w:rsid w:val="0050143C"/>
    <w:rsid w:val="00501722"/>
    <w:rsid w:val="00504E16"/>
    <w:rsid w:val="005060A6"/>
    <w:rsid w:val="005061DA"/>
    <w:rsid w:val="0051067A"/>
    <w:rsid w:val="005108D4"/>
    <w:rsid w:val="00511EFA"/>
    <w:rsid w:val="005126B2"/>
    <w:rsid w:val="00513EF2"/>
    <w:rsid w:val="005162CF"/>
    <w:rsid w:val="00516C9D"/>
    <w:rsid w:val="00516D33"/>
    <w:rsid w:val="00520BCC"/>
    <w:rsid w:val="00522CC3"/>
    <w:rsid w:val="00526F84"/>
    <w:rsid w:val="00532C98"/>
    <w:rsid w:val="00534B59"/>
    <w:rsid w:val="00534EF9"/>
    <w:rsid w:val="00541624"/>
    <w:rsid w:val="00545D41"/>
    <w:rsid w:val="005470E6"/>
    <w:rsid w:val="0055051F"/>
    <w:rsid w:val="005562FC"/>
    <w:rsid w:val="00564547"/>
    <w:rsid w:val="00564A01"/>
    <w:rsid w:val="00567892"/>
    <w:rsid w:val="00567FFB"/>
    <w:rsid w:val="005706FB"/>
    <w:rsid w:val="00571113"/>
    <w:rsid w:val="00575261"/>
    <w:rsid w:val="00576385"/>
    <w:rsid w:val="00581999"/>
    <w:rsid w:val="00592B79"/>
    <w:rsid w:val="005A031C"/>
    <w:rsid w:val="005A4577"/>
    <w:rsid w:val="005A4C81"/>
    <w:rsid w:val="005A709D"/>
    <w:rsid w:val="005B3708"/>
    <w:rsid w:val="005B4148"/>
    <w:rsid w:val="005B5B4C"/>
    <w:rsid w:val="005B60E2"/>
    <w:rsid w:val="005B7F94"/>
    <w:rsid w:val="005C3584"/>
    <w:rsid w:val="005C7F97"/>
    <w:rsid w:val="005D0D3C"/>
    <w:rsid w:val="005D209C"/>
    <w:rsid w:val="005D2A51"/>
    <w:rsid w:val="005D5DAA"/>
    <w:rsid w:val="005E250B"/>
    <w:rsid w:val="005E52F2"/>
    <w:rsid w:val="005E7D9B"/>
    <w:rsid w:val="005F2915"/>
    <w:rsid w:val="005F32DD"/>
    <w:rsid w:val="005F387E"/>
    <w:rsid w:val="005F562E"/>
    <w:rsid w:val="005F5B21"/>
    <w:rsid w:val="005F5D2F"/>
    <w:rsid w:val="00600318"/>
    <w:rsid w:val="006013CC"/>
    <w:rsid w:val="00602688"/>
    <w:rsid w:val="00605160"/>
    <w:rsid w:val="00605A37"/>
    <w:rsid w:val="00606E27"/>
    <w:rsid w:val="006133A1"/>
    <w:rsid w:val="00617039"/>
    <w:rsid w:val="0061772E"/>
    <w:rsid w:val="00624F33"/>
    <w:rsid w:val="00626D5D"/>
    <w:rsid w:val="00627A35"/>
    <w:rsid w:val="00634E06"/>
    <w:rsid w:val="006353E2"/>
    <w:rsid w:val="006354F0"/>
    <w:rsid w:val="0063718D"/>
    <w:rsid w:val="00642FF9"/>
    <w:rsid w:val="006467C9"/>
    <w:rsid w:val="006566B2"/>
    <w:rsid w:val="00657395"/>
    <w:rsid w:val="00660C12"/>
    <w:rsid w:val="00661679"/>
    <w:rsid w:val="00662EE7"/>
    <w:rsid w:val="00663A57"/>
    <w:rsid w:val="00673697"/>
    <w:rsid w:val="00675205"/>
    <w:rsid w:val="00683EB8"/>
    <w:rsid w:val="0068497C"/>
    <w:rsid w:val="006868F1"/>
    <w:rsid w:val="006870FD"/>
    <w:rsid w:val="00690ECE"/>
    <w:rsid w:val="006937BB"/>
    <w:rsid w:val="006A2C18"/>
    <w:rsid w:val="006A3FFE"/>
    <w:rsid w:val="006A4302"/>
    <w:rsid w:val="006A7121"/>
    <w:rsid w:val="006C386B"/>
    <w:rsid w:val="006C66AF"/>
    <w:rsid w:val="006D3E1D"/>
    <w:rsid w:val="006D483C"/>
    <w:rsid w:val="006D5696"/>
    <w:rsid w:val="006D6539"/>
    <w:rsid w:val="006E2116"/>
    <w:rsid w:val="006E37A3"/>
    <w:rsid w:val="006F01F4"/>
    <w:rsid w:val="006F33D6"/>
    <w:rsid w:val="006F6003"/>
    <w:rsid w:val="00700360"/>
    <w:rsid w:val="00701C32"/>
    <w:rsid w:val="00704790"/>
    <w:rsid w:val="00706621"/>
    <w:rsid w:val="00706E6F"/>
    <w:rsid w:val="00707DC2"/>
    <w:rsid w:val="00712F17"/>
    <w:rsid w:val="00713024"/>
    <w:rsid w:val="00717E32"/>
    <w:rsid w:val="00720349"/>
    <w:rsid w:val="007213A1"/>
    <w:rsid w:val="00723D7A"/>
    <w:rsid w:val="0072627E"/>
    <w:rsid w:val="007308E2"/>
    <w:rsid w:val="0073173B"/>
    <w:rsid w:val="00732842"/>
    <w:rsid w:val="0073366A"/>
    <w:rsid w:val="0073532E"/>
    <w:rsid w:val="00735DEE"/>
    <w:rsid w:val="0073694B"/>
    <w:rsid w:val="00740846"/>
    <w:rsid w:val="00740E72"/>
    <w:rsid w:val="00742BF5"/>
    <w:rsid w:val="00744EF0"/>
    <w:rsid w:val="007464EE"/>
    <w:rsid w:val="00750CA3"/>
    <w:rsid w:val="007604B8"/>
    <w:rsid w:val="007609F1"/>
    <w:rsid w:val="007625A1"/>
    <w:rsid w:val="007758AA"/>
    <w:rsid w:val="00775B7C"/>
    <w:rsid w:val="00784B85"/>
    <w:rsid w:val="00785C58"/>
    <w:rsid w:val="00785E14"/>
    <w:rsid w:val="00787F6D"/>
    <w:rsid w:val="00790508"/>
    <w:rsid w:val="007908E1"/>
    <w:rsid w:val="00794DEE"/>
    <w:rsid w:val="007A1639"/>
    <w:rsid w:val="007A319A"/>
    <w:rsid w:val="007A37B3"/>
    <w:rsid w:val="007A487E"/>
    <w:rsid w:val="007A5D58"/>
    <w:rsid w:val="007B0B2B"/>
    <w:rsid w:val="007B6FFE"/>
    <w:rsid w:val="007C3316"/>
    <w:rsid w:val="007C44BF"/>
    <w:rsid w:val="007C69D6"/>
    <w:rsid w:val="007D011D"/>
    <w:rsid w:val="007D08CB"/>
    <w:rsid w:val="007D3375"/>
    <w:rsid w:val="007D78A4"/>
    <w:rsid w:val="007E067F"/>
    <w:rsid w:val="007E55DE"/>
    <w:rsid w:val="007E7AAC"/>
    <w:rsid w:val="007F06A9"/>
    <w:rsid w:val="007F0BA6"/>
    <w:rsid w:val="007F308D"/>
    <w:rsid w:val="007F3F35"/>
    <w:rsid w:val="007F49BE"/>
    <w:rsid w:val="007F57BE"/>
    <w:rsid w:val="007F7A36"/>
    <w:rsid w:val="00802D9A"/>
    <w:rsid w:val="0080357E"/>
    <w:rsid w:val="00803808"/>
    <w:rsid w:val="0080395A"/>
    <w:rsid w:val="00806426"/>
    <w:rsid w:val="00815329"/>
    <w:rsid w:val="00817025"/>
    <w:rsid w:val="00817C13"/>
    <w:rsid w:val="0082062F"/>
    <w:rsid w:val="00821266"/>
    <w:rsid w:val="00821F00"/>
    <w:rsid w:val="00822AE8"/>
    <w:rsid w:val="008230F0"/>
    <w:rsid w:val="00826C3C"/>
    <w:rsid w:val="00826C50"/>
    <w:rsid w:val="0082706F"/>
    <w:rsid w:val="00830FD7"/>
    <w:rsid w:val="00832DA3"/>
    <w:rsid w:val="00841699"/>
    <w:rsid w:val="00841943"/>
    <w:rsid w:val="00847AA4"/>
    <w:rsid w:val="00850F53"/>
    <w:rsid w:val="0085113D"/>
    <w:rsid w:val="00854785"/>
    <w:rsid w:val="00854C11"/>
    <w:rsid w:val="00861CED"/>
    <w:rsid w:val="00863083"/>
    <w:rsid w:val="00863CA6"/>
    <w:rsid w:val="008659B8"/>
    <w:rsid w:val="00866480"/>
    <w:rsid w:val="00866AF9"/>
    <w:rsid w:val="008713F9"/>
    <w:rsid w:val="00874A1D"/>
    <w:rsid w:val="00883E0A"/>
    <w:rsid w:val="00884EF3"/>
    <w:rsid w:val="00885EDC"/>
    <w:rsid w:val="0088714F"/>
    <w:rsid w:val="008920CB"/>
    <w:rsid w:val="0089268A"/>
    <w:rsid w:val="00892BCE"/>
    <w:rsid w:val="008937EF"/>
    <w:rsid w:val="00893BF5"/>
    <w:rsid w:val="00894211"/>
    <w:rsid w:val="00894E1F"/>
    <w:rsid w:val="00894F04"/>
    <w:rsid w:val="008A4DF9"/>
    <w:rsid w:val="008B0C4E"/>
    <w:rsid w:val="008B3E6C"/>
    <w:rsid w:val="008B5932"/>
    <w:rsid w:val="008C0400"/>
    <w:rsid w:val="008C3180"/>
    <w:rsid w:val="008C36DE"/>
    <w:rsid w:val="008C4AA4"/>
    <w:rsid w:val="008D03DD"/>
    <w:rsid w:val="008D1CA7"/>
    <w:rsid w:val="008D1DF1"/>
    <w:rsid w:val="008D3B95"/>
    <w:rsid w:val="008D41EB"/>
    <w:rsid w:val="008D5594"/>
    <w:rsid w:val="008E4ACE"/>
    <w:rsid w:val="008E4DE4"/>
    <w:rsid w:val="008E64AD"/>
    <w:rsid w:val="008F2529"/>
    <w:rsid w:val="008F4715"/>
    <w:rsid w:val="008F4FC5"/>
    <w:rsid w:val="008F6307"/>
    <w:rsid w:val="008F7CB8"/>
    <w:rsid w:val="0090005A"/>
    <w:rsid w:val="00900D11"/>
    <w:rsid w:val="00902AA5"/>
    <w:rsid w:val="00906FD7"/>
    <w:rsid w:val="009103A3"/>
    <w:rsid w:val="00914A0B"/>
    <w:rsid w:val="009169DA"/>
    <w:rsid w:val="00921000"/>
    <w:rsid w:val="00921B28"/>
    <w:rsid w:val="0092279A"/>
    <w:rsid w:val="00923A2F"/>
    <w:rsid w:val="0092437A"/>
    <w:rsid w:val="009259D9"/>
    <w:rsid w:val="0092639F"/>
    <w:rsid w:val="009306BE"/>
    <w:rsid w:val="00930771"/>
    <w:rsid w:val="0093182B"/>
    <w:rsid w:val="00933285"/>
    <w:rsid w:val="0093588B"/>
    <w:rsid w:val="009363AF"/>
    <w:rsid w:val="009410B8"/>
    <w:rsid w:val="00941FDF"/>
    <w:rsid w:val="00946E00"/>
    <w:rsid w:val="00950842"/>
    <w:rsid w:val="0095100A"/>
    <w:rsid w:val="00952D79"/>
    <w:rsid w:val="00954CD3"/>
    <w:rsid w:val="009555B1"/>
    <w:rsid w:val="00955E0D"/>
    <w:rsid w:val="0096367C"/>
    <w:rsid w:val="009646EA"/>
    <w:rsid w:val="00964D08"/>
    <w:rsid w:val="009655D9"/>
    <w:rsid w:val="0097093A"/>
    <w:rsid w:val="00974A31"/>
    <w:rsid w:val="00974CD5"/>
    <w:rsid w:val="00975BC5"/>
    <w:rsid w:val="00981624"/>
    <w:rsid w:val="00984318"/>
    <w:rsid w:val="00985BCD"/>
    <w:rsid w:val="0099209D"/>
    <w:rsid w:val="009924FF"/>
    <w:rsid w:val="0099260D"/>
    <w:rsid w:val="00993545"/>
    <w:rsid w:val="009A0549"/>
    <w:rsid w:val="009A0596"/>
    <w:rsid w:val="009A20FF"/>
    <w:rsid w:val="009A2D03"/>
    <w:rsid w:val="009A52B0"/>
    <w:rsid w:val="009A638D"/>
    <w:rsid w:val="009A6E87"/>
    <w:rsid w:val="009A75AE"/>
    <w:rsid w:val="009A7839"/>
    <w:rsid w:val="009B51B1"/>
    <w:rsid w:val="009B7FE6"/>
    <w:rsid w:val="009C0085"/>
    <w:rsid w:val="009C14FE"/>
    <w:rsid w:val="009C181B"/>
    <w:rsid w:val="009C1FF0"/>
    <w:rsid w:val="009C21FF"/>
    <w:rsid w:val="009C3FD5"/>
    <w:rsid w:val="009C4A82"/>
    <w:rsid w:val="009C640A"/>
    <w:rsid w:val="009C6F4D"/>
    <w:rsid w:val="009C711A"/>
    <w:rsid w:val="009C74E5"/>
    <w:rsid w:val="009D24CD"/>
    <w:rsid w:val="009D7D6F"/>
    <w:rsid w:val="009E0D41"/>
    <w:rsid w:val="009E193E"/>
    <w:rsid w:val="009E1B18"/>
    <w:rsid w:val="009E5DEF"/>
    <w:rsid w:val="009F11A3"/>
    <w:rsid w:val="009F5D16"/>
    <w:rsid w:val="00A016F8"/>
    <w:rsid w:val="00A02C0E"/>
    <w:rsid w:val="00A05C76"/>
    <w:rsid w:val="00A064AC"/>
    <w:rsid w:val="00A068C3"/>
    <w:rsid w:val="00A06C5D"/>
    <w:rsid w:val="00A11C3C"/>
    <w:rsid w:val="00A14098"/>
    <w:rsid w:val="00A16063"/>
    <w:rsid w:val="00A21B46"/>
    <w:rsid w:val="00A23A12"/>
    <w:rsid w:val="00A305D4"/>
    <w:rsid w:val="00A34BB9"/>
    <w:rsid w:val="00A350EB"/>
    <w:rsid w:val="00A36DC8"/>
    <w:rsid w:val="00A405CD"/>
    <w:rsid w:val="00A4105C"/>
    <w:rsid w:val="00A42120"/>
    <w:rsid w:val="00A44739"/>
    <w:rsid w:val="00A4538B"/>
    <w:rsid w:val="00A4667D"/>
    <w:rsid w:val="00A47099"/>
    <w:rsid w:val="00A47C1D"/>
    <w:rsid w:val="00A47CCB"/>
    <w:rsid w:val="00A47E37"/>
    <w:rsid w:val="00A50F2D"/>
    <w:rsid w:val="00A52F21"/>
    <w:rsid w:val="00A5509E"/>
    <w:rsid w:val="00A558BC"/>
    <w:rsid w:val="00A55A1C"/>
    <w:rsid w:val="00A60720"/>
    <w:rsid w:val="00A60CD9"/>
    <w:rsid w:val="00A61B96"/>
    <w:rsid w:val="00A62D18"/>
    <w:rsid w:val="00A65E47"/>
    <w:rsid w:val="00A66658"/>
    <w:rsid w:val="00A672C2"/>
    <w:rsid w:val="00A731C8"/>
    <w:rsid w:val="00A73917"/>
    <w:rsid w:val="00A80B84"/>
    <w:rsid w:val="00A81344"/>
    <w:rsid w:val="00A83A90"/>
    <w:rsid w:val="00A9155F"/>
    <w:rsid w:val="00A91864"/>
    <w:rsid w:val="00A92E11"/>
    <w:rsid w:val="00A96176"/>
    <w:rsid w:val="00A969C0"/>
    <w:rsid w:val="00A9728F"/>
    <w:rsid w:val="00AB0320"/>
    <w:rsid w:val="00AB5A1C"/>
    <w:rsid w:val="00AB6830"/>
    <w:rsid w:val="00AC04AE"/>
    <w:rsid w:val="00AC4C90"/>
    <w:rsid w:val="00AC553F"/>
    <w:rsid w:val="00AC7F1A"/>
    <w:rsid w:val="00AD2DEA"/>
    <w:rsid w:val="00AD3ABF"/>
    <w:rsid w:val="00AE1F16"/>
    <w:rsid w:val="00AE343F"/>
    <w:rsid w:val="00AE6A4E"/>
    <w:rsid w:val="00AE7037"/>
    <w:rsid w:val="00AF39C9"/>
    <w:rsid w:val="00B04C96"/>
    <w:rsid w:val="00B04F2A"/>
    <w:rsid w:val="00B057A8"/>
    <w:rsid w:val="00B05FF9"/>
    <w:rsid w:val="00B104FE"/>
    <w:rsid w:val="00B109D9"/>
    <w:rsid w:val="00B10DBE"/>
    <w:rsid w:val="00B116F0"/>
    <w:rsid w:val="00B11F6A"/>
    <w:rsid w:val="00B1603D"/>
    <w:rsid w:val="00B1623E"/>
    <w:rsid w:val="00B17DBB"/>
    <w:rsid w:val="00B23082"/>
    <w:rsid w:val="00B23D1A"/>
    <w:rsid w:val="00B27DD1"/>
    <w:rsid w:val="00B33245"/>
    <w:rsid w:val="00B4300D"/>
    <w:rsid w:val="00B4493A"/>
    <w:rsid w:val="00B45140"/>
    <w:rsid w:val="00B46291"/>
    <w:rsid w:val="00B5610F"/>
    <w:rsid w:val="00B565AC"/>
    <w:rsid w:val="00B57EB7"/>
    <w:rsid w:val="00B60B37"/>
    <w:rsid w:val="00B64CB5"/>
    <w:rsid w:val="00B65F06"/>
    <w:rsid w:val="00B671A6"/>
    <w:rsid w:val="00B724A9"/>
    <w:rsid w:val="00B742A4"/>
    <w:rsid w:val="00B757C4"/>
    <w:rsid w:val="00B77AA9"/>
    <w:rsid w:val="00B83AFD"/>
    <w:rsid w:val="00B84724"/>
    <w:rsid w:val="00B85056"/>
    <w:rsid w:val="00B86E00"/>
    <w:rsid w:val="00B90AAB"/>
    <w:rsid w:val="00B96094"/>
    <w:rsid w:val="00BA3AEB"/>
    <w:rsid w:val="00BA3B51"/>
    <w:rsid w:val="00BA6851"/>
    <w:rsid w:val="00BA73B5"/>
    <w:rsid w:val="00BB21FD"/>
    <w:rsid w:val="00BB27D1"/>
    <w:rsid w:val="00BB2FCC"/>
    <w:rsid w:val="00BB3876"/>
    <w:rsid w:val="00BC0CD6"/>
    <w:rsid w:val="00BC1E0D"/>
    <w:rsid w:val="00BC28BD"/>
    <w:rsid w:val="00BC5EFD"/>
    <w:rsid w:val="00BC65AF"/>
    <w:rsid w:val="00BC6EDE"/>
    <w:rsid w:val="00BD43EE"/>
    <w:rsid w:val="00BD694C"/>
    <w:rsid w:val="00BE1E9E"/>
    <w:rsid w:val="00BE416F"/>
    <w:rsid w:val="00BE583A"/>
    <w:rsid w:val="00BE76C5"/>
    <w:rsid w:val="00BF42DB"/>
    <w:rsid w:val="00BF617F"/>
    <w:rsid w:val="00BF6FC0"/>
    <w:rsid w:val="00C0096B"/>
    <w:rsid w:val="00C00AA3"/>
    <w:rsid w:val="00C04399"/>
    <w:rsid w:val="00C075D7"/>
    <w:rsid w:val="00C07C95"/>
    <w:rsid w:val="00C11FE9"/>
    <w:rsid w:val="00C13317"/>
    <w:rsid w:val="00C147DE"/>
    <w:rsid w:val="00C16525"/>
    <w:rsid w:val="00C16785"/>
    <w:rsid w:val="00C16949"/>
    <w:rsid w:val="00C21B02"/>
    <w:rsid w:val="00C22DAC"/>
    <w:rsid w:val="00C2341B"/>
    <w:rsid w:val="00C2358E"/>
    <w:rsid w:val="00C26C16"/>
    <w:rsid w:val="00C271B8"/>
    <w:rsid w:val="00C27DD5"/>
    <w:rsid w:val="00C34438"/>
    <w:rsid w:val="00C35BF8"/>
    <w:rsid w:val="00C4342A"/>
    <w:rsid w:val="00C475DD"/>
    <w:rsid w:val="00C5047C"/>
    <w:rsid w:val="00C52C61"/>
    <w:rsid w:val="00C550D9"/>
    <w:rsid w:val="00C56C7C"/>
    <w:rsid w:val="00C5741A"/>
    <w:rsid w:val="00C667BE"/>
    <w:rsid w:val="00C675EC"/>
    <w:rsid w:val="00C712EC"/>
    <w:rsid w:val="00C761B1"/>
    <w:rsid w:val="00C83328"/>
    <w:rsid w:val="00C84425"/>
    <w:rsid w:val="00C85166"/>
    <w:rsid w:val="00C851DD"/>
    <w:rsid w:val="00C912C8"/>
    <w:rsid w:val="00C924D9"/>
    <w:rsid w:val="00C92745"/>
    <w:rsid w:val="00C93193"/>
    <w:rsid w:val="00C97257"/>
    <w:rsid w:val="00CA27EF"/>
    <w:rsid w:val="00CA34FE"/>
    <w:rsid w:val="00CA42BC"/>
    <w:rsid w:val="00CA7202"/>
    <w:rsid w:val="00CA7DA8"/>
    <w:rsid w:val="00CB4B99"/>
    <w:rsid w:val="00CB58A6"/>
    <w:rsid w:val="00CB6326"/>
    <w:rsid w:val="00CB6ECB"/>
    <w:rsid w:val="00CC15F9"/>
    <w:rsid w:val="00CC50F1"/>
    <w:rsid w:val="00CC640E"/>
    <w:rsid w:val="00CD19BD"/>
    <w:rsid w:val="00CD2FBF"/>
    <w:rsid w:val="00CD3313"/>
    <w:rsid w:val="00CD352C"/>
    <w:rsid w:val="00CD5C58"/>
    <w:rsid w:val="00CE0973"/>
    <w:rsid w:val="00CE2B61"/>
    <w:rsid w:val="00CE3C05"/>
    <w:rsid w:val="00CF029E"/>
    <w:rsid w:val="00CF0F75"/>
    <w:rsid w:val="00CF21B6"/>
    <w:rsid w:val="00CF4C44"/>
    <w:rsid w:val="00CF6184"/>
    <w:rsid w:val="00CF79B7"/>
    <w:rsid w:val="00D00227"/>
    <w:rsid w:val="00D04027"/>
    <w:rsid w:val="00D044F4"/>
    <w:rsid w:val="00D059D5"/>
    <w:rsid w:val="00D0610C"/>
    <w:rsid w:val="00D11773"/>
    <w:rsid w:val="00D11B5B"/>
    <w:rsid w:val="00D168D6"/>
    <w:rsid w:val="00D16B37"/>
    <w:rsid w:val="00D1745C"/>
    <w:rsid w:val="00D17600"/>
    <w:rsid w:val="00D20868"/>
    <w:rsid w:val="00D20DF3"/>
    <w:rsid w:val="00D30C98"/>
    <w:rsid w:val="00D3179F"/>
    <w:rsid w:val="00D31F6F"/>
    <w:rsid w:val="00D354BD"/>
    <w:rsid w:val="00D374F6"/>
    <w:rsid w:val="00D37BF2"/>
    <w:rsid w:val="00D432A9"/>
    <w:rsid w:val="00D43911"/>
    <w:rsid w:val="00D439A2"/>
    <w:rsid w:val="00D50A38"/>
    <w:rsid w:val="00D50F01"/>
    <w:rsid w:val="00D52ED1"/>
    <w:rsid w:val="00D635FB"/>
    <w:rsid w:val="00D64AE1"/>
    <w:rsid w:val="00D705B0"/>
    <w:rsid w:val="00D70A04"/>
    <w:rsid w:val="00D71E16"/>
    <w:rsid w:val="00D7273B"/>
    <w:rsid w:val="00D7323B"/>
    <w:rsid w:val="00D74D00"/>
    <w:rsid w:val="00D82641"/>
    <w:rsid w:val="00D82DE7"/>
    <w:rsid w:val="00D83C0C"/>
    <w:rsid w:val="00D8461E"/>
    <w:rsid w:val="00D855C2"/>
    <w:rsid w:val="00D90C23"/>
    <w:rsid w:val="00D9720E"/>
    <w:rsid w:val="00D973DE"/>
    <w:rsid w:val="00DA375C"/>
    <w:rsid w:val="00DA4AA5"/>
    <w:rsid w:val="00DA6155"/>
    <w:rsid w:val="00DA6DB8"/>
    <w:rsid w:val="00DB05C3"/>
    <w:rsid w:val="00DB06AF"/>
    <w:rsid w:val="00DB0EAE"/>
    <w:rsid w:val="00DB2340"/>
    <w:rsid w:val="00DB25AD"/>
    <w:rsid w:val="00DB4002"/>
    <w:rsid w:val="00DC5FCD"/>
    <w:rsid w:val="00DC7069"/>
    <w:rsid w:val="00DC70FA"/>
    <w:rsid w:val="00DC7C97"/>
    <w:rsid w:val="00DD3FD9"/>
    <w:rsid w:val="00DD4D82"/>
    <w:rsid w:val="00DD4F08"/>
    <w:rsid w:val="00DD65CF"/>
    <w:rsid w:val="00DE321B"/>
    <w:rsid w:val="00DE32CB"/>
    <w:rsid w:val="00DE3599"/>
    <w:rsid w:val="00DE361E"/>
    <w:rsid w:val="00DE45CE"/>
    <w:rsid w:val="00DE48C8"/>
    <w:rsid w:val="00DE4FD3"/>
    <w:rsid w:val="00DE7763"/>
    <w:rsid w:val="00DF0194"/>
    <w:rsid w:val="00DF0938"/>
    <w:rsid w:val="00DF11FA"/>
    <w:rsid w:val="00DF1EA1"/>
    <w:rsid w:val="00DF6567"/>
    <w:rsid w:val="00DF7116"/>
    <w:rsid w:val="00DF7AFB"/>
    <w:rsid w:val="00E00D69"/>
    <w:rsid w:val="00E02460"/>
    <w:rsid w:val="00E02D9C"/>
    <w:rsid w:val="00E048A8"/>
    <w:rsid w:val="00E05468"/>
    <w:rsid w:val="00E07BAF"/>
    <w:rsid w:val="00E12F49"/>
    <w:rsid w:val="00E132FB"/>
    <w:rsid w:val="00E1735C"/>
    <w:rsid w:val="00E17FF2"/>
    <w:rsid w:val="00E27D86"/>
    <w:rsid w:val="00E33BCE"/>
    <w:rsid w:val="00E34603"/>
    <w:rsid w:val="00E35A4C"/>
    <w:rsid w:val="00E37D43"/>
    <w:rsid w:val="00E40090"/>
    <w:rsid w:val="00E4088E"/>
    <w:rsid w:val="00E42750"/>
    <w:rsid w:val="00E45AC7"/>
    <w:rsid w:val="00E5350C"/>
    <w:rsid w:val="00E54548"/>
    <w:rsid w:val="00E57937"/>
    <w:rsid w:val="00E57E08"/>
    <w:rsid w:val="00E63840"/>
    <w:rsid w:val="00E63BEC"/>
    <w:rsid w:val="00E642D9"/>
    <w:rsid w:val="00E64AD3"/>
    <w:rsid w:val="00E65A13"/>
    <w:rsid w:val="00E6722F"/>
    <w:rsid w:val="00E676E5"/>
    <w:rsid w:val="00E75486"/>
    <w:rsid w:val="00E808BF"/>
    <w:rsid w:val="00E83755"/>
    <w:rsid w:val="00E85CC7"/>
    <w:rsid w:val="00E8714A"/>
    <w:rsid w:val="00E873A5"/>
    <w:rsid w:val="00E9317F"/>
    <w:rsid w:val="00E945ED"/>
    <w:rsid w:val="00E952AA"/>
    <w:rsid w:val="00E96F33"/>
    <w:rsid w:val="00EB397D"/>
    <w:rsid w:val="00EB52E6"/>
    <w:rsid w:val="00EB76DB"/>
    <w:rsid w:val="00EC0DC8"/>
    <w:rsid w:val="00EC16B9"/>
    <w:rsid w:val="00EC402F"/>
    <w:rsid w:val="00EC6A3C"/>
    <w:rsid w:val="00ED3480"/>
    <w:rsid w:val="00ED3876"/>
    <w:rsid w:val="00ED6206"/>
    <w:rsid w:val="00ED7756"/>
    <w:rsid w:val="00EE1C49"/>
    <w:rsid w:val="00EE2ED8"/>
    <w:rsid w:val="00EE54F3"/>
    <w:rsid w:val="00EE638D"/>
    <w:rsid w:val="00EF34AA"/>
    <w:rsid w:val="00EF4A04"/>
    <w:rsid w:val="00EF58A2"/>
    <w:rsid w:val="00F00E49"/>
    <w:rsid w:val="00F051E0"/>
    <w:rsid w:val="00F10420"/>
    <w:rsid w:val="00F1165F"/>
    <w:rsid w:val="00F11E8D"/>
    <w:rsid w:val="00F1233C"/>
    <w:rsid w:val="00F13891"/>
    <w:rsid w:val="00F15080"/>
    <w:rsid w:val="00F17A5F"/>
    <w:rsid w:val="00F17F41"/>
    <w:rsid w:val="00F21F34"/>
    <w:rsid w:val="00F24A82"/>
    <w:rsid w:val="00F256A9"/>
    <w:rsid w:val="00F26BF8"/>
    <w:rsid w:val="00F27DB0"/>
    <w:rsid w:val="00F27DB7"/>
    <w:rsid w:val="00F332A4"/>
    <w:rsid w:val="00F33CAC"/>
    <w:rsid w:val="00F3622F"/>
    <w:rsid w:val="00F40682"/>
    <w:rsid w:val="00F41A74"/>
    <w:rsid w:val="00F41D9A"/>
    <w:rsid w:val="00F4519A"/>
    <w:rsid w:val="00F47E2F"/>
    <w:rsid w:val="00F5273D"/>
    <w:rsid w:val="00F5355F"/>
    <w:rsid w:val="00F548E3"/>
    <w:rsid w:val="00F567FC"/>
    <w:rsid w:val="00F61230"/>
    <w:rsid w:val="00F630C5"/>
    <w:rsid w:val="00F65A38"/>
    <w:rsid w:val="00F66BE5"/>
    <w:rsid w:val="00F72413"/>
    <w:rsid w:val="00F766E8"/>
    <w:rsid w:val="00F77837"/>
    <w:rsid w:val="00F83BB5"/>
    <w:rsid w:val="00F8436A"/>
    <w:rsid w:val="00F8531A"/>
    <w:rsid w:val="00F900D6"/>
    <w:rsid w:val="00F91577"/>
    <w:rsid w:val="00F94E54"/>
    <w:rsid w:val="00F97712"/>
    <w:rsid w:val="00FA6109"/>
    <w:rsid w:val="00FB0C03"/>
    <w:rsid w:val="00FB3BC5"/>
    <w:rsid w:val="00FB5AFB"/>
    <w:rsid w:val="00FC2361"/>
    <w:rsid w:val="00FC52A1"/>
    <w:rsid w:val="00FC7739"/>
    <w:rsid w:val="00FD0449"/>
    <w:rsid w:val="00FD2197"/>
    <w:rsid w:val="00FD6A59"/>
    <w:rsid w:val="00FD7905"/>
    <w:rsid w:val="00FE3A41"/>
    <w:rsid w:val="00FE3C3B"/>
    <w:rsid w:val="00FE49CA"/>
    <w:rsid w:val="00FE4B92"/>
    <w:rsid w:val="00FF067B"/>
    <w:rsid w:val="00FF5288"/>
    <w:rsid w:val="00FF7C34"/>
    <w:rsid w:val="013B4C55"/>
    <w:rsid w:val="01705BB4"/>
    <w:rsid w:val="029F53A6"/>
    <w:rsid w:val="02F4335E"/>
    <w:rsid w:val="030264C3"/>
    <w:rsid w:val="031346F5"/>
    <w:rsid w:val="03336FBB"/>
    <w:rsid w:val="0374168B"/>
    <w:rsid w:val="03AA7B5F"/>
    <w:rsid w:val="0402442B"/>
    <w:rsid w:val="048A2903"/>
    <w:rsid w:val="04C954B6"/>
    <w:rsid w:val="04F5495E"/>
    <w:rsid w:val="04F5654D"/>
    <w:rsid w:val="052C6D8B"/>
    <w:rsid w:val="05510DEB"/>
    <w:rsid w:val="05756571"/>
    <w:rsid w:val="05A2261D"/>
    <w:rsid w:val="05DD679E"/>
    <w:rsid w:val="05FE35A2"/>
    <w:rsid w:val="0643553A"/>
    <w:rsid w:val="066F4D54"/>
    <w:rsid w:val="06CC1195"/>
    <w:rsid w:val="06D32584"/>
    <w:rsid w:val="07273B0E"/>
    <w:rsid w:val="074F0D7B"/>
    <w:rsid w:val="075C3866"/>
    <w:rsid w:val="07A37044"/>
    <w:rsid w:val="08461151"/>
    <w:rsid w:val="08A35045"/>
    <w:rsid w:val="08E925B7"/>
    <w:rsid w:val="08F518A5"/>
    <w:rsid w:val="0922492A"/>
    <w:rsid w:val="093013D9"/>
    <w:rsid w:val="094D1EDB"/>
    <w:rsid w:val="0993268D"/>
    <w:rsid w:val="09A137B2"/>
    <w:rsid w:val="0A420FE1"/>
    <w:rsid w:val="0AB94B2B"/>
    <w:rsid w:val="0B2367D5"/>
    <w:rsid w:val="0B445062"/>
    <w:rsid w:val="0B6E242A"/>
    <w:rsid w:val="0B813EEC"/>
    <w:rsid w:val="0BA624B7"/>
    <w:rsid w:val="0BF27D6C"/>
    <w:rsid w:val="0C1A4BCD"/>
    <w:rsid w:val="0C6242B8"/>
    <w:rsid w:val="0CB21EC3"/>
    <w:rsid w:val="0CE23B0F"/>
    <w:rsid w:val="0CF83635"/>
    <w:rsid w:val="0D554FDF"/>
    <w:rsid w:val="0DB36468"/>
    <w:rsid w:val="0DE14385"/>
    <w:rsid w:val="0DED7598"/>
    <w:rsid w:val="0E7757E5"/>
    <w:rsid w:val="0E7A37D6"/>
    <w:rsid w:val="0E915AE1"/>
    <w:rsid w:val="0EA855E3"/>
    <w:rsid w:val="0EC23BCE"/>
    <w:rsid w:val="0EEE3C20"/>
    <w:rsid w:val="0F035DA3"/>
    <w:rsid w:val="0F0C4EDE"/>
    <w:rsid w:val="0FE50357"/>
    <w:rsid w:val="10283879"/>
    <w:rsid w:val="109C09B2"/>
    <w:rsid w:val="10B00CDE"/>
    <w:rsid w:val="111237D7"/>
    <w:rsid w:val="11206DF3"/>
    <w:rsid w:val="12082BC0"/>
    <w:rsid w:val="125F4483"/>
    <w:rsid w:val="12C6490E"/>
    <w:rsid w:val="12F02E1F"/>
    <w:rsid w:val="137F4F2A"/>
    <w:rsid w:val="13BF35EB"/>
    <w:rsid w:val="140B3C92"/>
    <w:rsid w:val="14794287"/>
    <w:rsid w:val="14C478CD"/>
    <w:rsid w:val="14FA2039"/>
    <w:rsid w:val="150C68CB"/>
    <w:rsid w:val="15123D9E"/>
    <w:rsid w:val="15295400"/>
    <w:rsid w:val="153A55AD"/>
    <w:rsid w:val="157E709D"/>
    <w:rsid w:val="15EC71B2"/>
    <w:rsid w:val="15F21121"/>
    <w:rsid w:val="164B2CC4"/>
    <w:rsid w:val="16A94232"/>
    <w:rsid w:val="16CA141B"/>
    <w:rsid w:val="16D76A65"/>
    <w:rsid w:val="16E2350D"/>
    <w:rsid w:val="170E3FFA"/>
    <w:rsid w:val="173F6DC5"/>
    <w:rsid w:val="17E4768B"/>
    <w:rsid w:val="183D2B26"/>
    <w:rsid w:val="1872365F"/>
    <w:rsid w:val="191C0440"/>
    <w:rsid w:val="193B7AB8"/>
    <w:rsid w:val="195868CF"/>
    <w:rsid w:val="19682FDA"/>
    <w:rsid w:val="1993357B"/>
    <w:rsid w:val="19A3496B"/>
    <w:rsid w:val="19A370D2"/>
    <w:rsid w:val="19D142FC"/>
    <w:rsid w:val="19ED7494"/>
    <w:rsid w:val="19F124BC"/>
    <w:rsid w:val="1A5378DC"/>
    <w:rsid w:val="1A5D1F0B"/>
    <w:rsid w:val="1A864A2A"/>
    <w:rsid w:val="1A9C129C"/>
    <w:rsid w:val="1AE5444B"/>
    <w:rsid w:val="1AE67D2F"/>
    <w:rsid w:val="1B035C38"/>
    <w:rsid w:val="1B9C6B09"/>
    <w:rsid w:val="1BBB5DD7"/>
    <w:rsid w:val="1BE86120"/>
    <w:rsid w:val="1C60776B"/>
    <w:rsid w:val="1C947D3D"/>
    <w:rsid w:val="1CCC4063"/>
    <w:rsid w:val="1CE809EB"/>
    <w:rsid w:val="1D9E642C"/>
    <w:rsid w:val="1D9F5E03"/>
    <w:rsid w:val="1E4914E1"/>
    <w:rsid w:val="1E7C6661"/>
    <w:rsid w:val="1ECE699F"/>
    <w:rsid w:val="1EFA7B8B"/>
    <w:rsid w:val="1F3A7505"/>
    <w:rsid w:val="1F7312F5"/>
    <w:rsid w:val="1F882FF2"/>
    <w:rsid w:val="1F9D516C"/>
    <w:rsid w:val="1FD44489"/>
    <w:rsid w:val="200B4005"/>
    <w:rsid w:val="200C59D1"/>
    <w:rsid w:val="201511E6"/>
    <w:rsid w:val="203A143B"/>
    <w:rsid w:val="204B1C9C"/>
    <w:rsid w:val="20691163"/>
    <w:rsid w:val="207C3BF6"/>
    <w:rsid w:val="20830574"/>
    <w:rsid w:val="20D967A3"/>
    <w:rsid w:val="210E1753"/>
    <w:rsid w:val="211A20DA"/>
    <w:rsid w:val="21251C36"/>
    <w:rsid w:val="212A7F74"/>
    <w:rsid w:val="21474EF5"/>
    <w:rsid w:val="21AD0AEE"/>
    <w:rsid w:val="21D13784"/>
    <w:rsid w:val="22BD102D"/>
    <w:rsid w:val="22BD3097"/>
    <w:rsid w:val="233F05A2"/>
    <w:rsid w:val="235422BD"/>
    <w:rsid w:val="23791FD4"/>
    <w:rsid w:val="23856B18"/>
    <w:rsid w:val="239F6B5C"/>
    <w:rsid w:val="23AF3398"/>
    <w:rsid w:val="23E73EA1"/>
    <w:rsid w:val="23EB6880"/>
    <w:rsid w:val="240103AF"/>
    <w:rsid w:val="24071BC3"/>
    <w:rsid w:val="24302354"/>
    <w:rsid w:val="247509BC"/>
    <w:rsid w:val="24F51456"/>
    <w:rsid w:val="25704CA6"/>
    <w:rsid w:val="258B1862"/>
    <w:rsid w:val="259D7142"/>
    <w:rsid w:val="25D95CAF"/>
    <w:rsid w:val="25FF5075"/>
    <w:rsid w:val="25FF73E4"/>
    <w:rsid w:val="26040EF9"/>
    <w:rsid w:val="265341BF"/>
    <w:rsid w:val="2677280B"/>
    <w:rsid w:val="26A44A59"/>
    <w:rsid w:val="26E949C7"/>
    <w:rsid w:val="270F5DA7"/>
    <w:rsid w:val="272500C1"/>
    <w:rsid w:val="273121C1"/>
    <w:rsid w:val="27514B9D"/>
    <w:rsid w:val="28874201"/>
    <w:rsid w:val="289076CF"/>
    <w:rsid w:val="28AB1AFF"/>
    <w:rsid w:val="28CA1130"/>
    <w:rsid w:val="298356DD"/>
    <w:rsid w:val="29C6778B"/>
    <w:rsid w:val="29FA0F90"/>
    <w:rsid w:val="29FB1640"/>
    <w:rsid w:val="2A8354A3"/>
    <w:rsid w:val="2A8B37C2"/>
    <w:rsid w:val="2AF84251"/>
    <w:rsid w:val="2B054B0E"/>
    <w:rsid w:val="2B7319D4"/>
    <w:rsid w:val="2BD02796"/>
    <w:rsid w:val="2C2C2194"/>
    <w:rsid w:val="2C4955AF"/>
    <w:rsid w:val="2CFC6DCE"/>
    <w:rsid w:val="2D063AA5"/>
    <w:rsid w:val="2D6A408E"/>
    <w:rsid w:val="2D8A262B"/>
    <w:rsid w:val="2DC13959"/>
    <w:rsid w:val="2DC51834"/>
    <w:rsid w:val="2ED73503"/>
    <w:rsid w:val="2F0B37D3"/>
    <w:rsid w:val="2F2257D4"/>
    <w:rsid w:val="2F287B3B"/>
    <w:rsid w:val="2F3C0EE8"/>
    <w:rsid w:val="2F4965E1"/>
    <w:rsid w:val="2F8006F5"/>
    <w:rsid w:val="2FC71DFD"/>
    <w:rsid w:val="300E7AF6"/>
    <w:rsid w:val="30437F2E"/>
    <w:rsid w:val="30760C13"/>
    <w:rsid w:val="30803872"/>
    <w:rsid w:val="30C35406"/>
    <w:rsid w:val="31051F5D"/>
    <w:rsid w:val="31160101"/>
    <w:rsid w:val="311C4836"/>
    <w:rsid w:val="313337F2"/>
    <w:rsid w:val="31B2297E"/>
    <w:rsid w:val="31B269F5"/>
    <w:rsid w:val="31C93AD8"/>
    <w:rsid w:val="322F42CE"/>
    <w:rsid w:val="32537490"/>
    <w:rsid w:val="325C2C2C"/>
    <w:rsid w:val="32CC7242"/>
    <w:rsid w:val="32DE7A2F"/>
    <w:rsid w:val="32FA5FAE"/>
    <w:rsid w:val="333525F6"/>
    <w:rsid w:val="335B0BA5"/>
    <w:rsid w:val="335E6C54"/>
    <w:rsid w:val="33860CF3"/>
    <w:rsid w:val="33880521"/>
    <w:rsid w:val="33D81489"/>
    <w:rsid w:val="342C3A57"/>
    <w:rsid w:val="34386650"/>
    <w:rsid w:val="34702AD1"/>
    <w:rsid w:val="35370D37"/>
    <w:rsid w:val="353A1D60"/>
    <w:rsid w:val="354832E0"/>
    <w:rsid w:val="35854745"/>
    <w:rsid w:val="35D2236E"/>
    <w:rsid w:val="35F86D56"/>
    <w:rsid w:val="361839AE"/>
    <w:rsid w:val="36333885"/>
    <w:rsid w:val="36442481"/>
    <w:rsid w:val="368C5B8F"/>
    <w:rsid w:val="36987B67"/>
    <w:rsid w:val="36DB578B"/>
    <w:rsid w:val="3705313D"/>
    <w:rsid w:val="37806712"/>
    <w:rsid w:val="38320BCE"/>
    <w:rsid w:val="3895413E"/>
    <w:rsid w:val="38B97841"/>
    <w:rsid w:val="38E17431"/>
    <w:rsid w:val="394E1DC0"/>
    <w:rsid w:val="397A64A7"/>
    <w:rsid w:val="398271FC"/>
    <w:rsid w:val="39C541E9"/>
    <w:rsid w:val="39EF65FF"/>
    <w:rsid w:val="39F94DC1"/>
    <w:rsid w:val="3A0503E5"/>
    <w:rsid w:val="3A6570BB"/>
    <w:rsid w:val="3A72247D"/>
    <w:rsid w:val="3A8A3C6B"/>
    <w:rsid w:val="3A963016"/>
    <w:rsid w:val="3AB111F7"/>
    <w:rsid w:val="3AB463AC"/>
    <w:rsid w:val="3AF64AA1"/>
    <w:rsid w:val="3B183024"/>
    <w:rsid w:val="3B270694"/>
    <w:rsid w:val="3B2731DE"/>
    <w:rsid w:val="3BBF7BA2"/>
    <w:rsid w:val="3C6E7471"/>
    <w:rsid w:val="3C982B3B"/>
    <w:rsid w:val="3CAD1DCC"/>
    <w:rsid w:val="3CCD541E"/>
    <w:rsid w:val="3CD411CD"/>
    <w:rsid w:val="3D314871"/>
    <w:rsid w:val="3D6E550B"/>
    <w:rsid w:val="3D881014"/>
    <w:rsid w:val="3D900841"/>
    <w:rsid w:val="3DDE252E"/>
    <w:rsid w:val="3E0E070F"/>
    <w:rsid w:val="3ED249FE"/>
    <w:rsid w:val="3F3C4CD2"/>
    <w:rsid w:val="40513703"/>
    <w:rsid w:val="409A2B0E"/>
    <w:rsid w:val="40C14727"/>
    <w:rsid w:val="410E1867"/>
    <w:rsid w:val="41593046"/>
    <w:rsid w:val="4176358E"/>
    <w:rsid w:val="417A0166"/>
    <w:rsid w:val="41C94EB3"/>
    <w:rsid w:val="4290724E"/>
    <w:rsid w:val="42BF5ED3"/>
    <w:rsid w:val="42CB4DE2"/>
    <w:rsid w:val="43A46482"/>
    <w:rsid w:val="43D46C6D"/>
    <w:rsid w:val="43EA2ABB"/>
    <w:rsid w:val="444C54A3"/>
    <w:rsid w:val="44A35E10"/>
    <w:rsid w:val="44D6558C"/>
    <w:rsid w:val="45154B2E"/>
    <w:rsid w:val="45886DAF"/>
    <w:rsid w:val="45DA6ECB"/>
    <w:rsid w:val="45EF14FF"/>
    <w:rsid w:val="460A3EB2"/>
    <w:rsid w:val="46203A3C"/>
    <w:rsid w:val="465774CF"/>
    <w:rsid w:val="46580047"/>
    <w:rsid w:val="46A95479"/>
    <w:rsid w:val="46E87953"/>
    <w:rsid w:val="47207657"/>
    <w:rsid w:val="47213A23"/>
    <w:rsid w:val="47CC34D9"/>
    <w:rsid w:val="47FA7AD0"/>
    <w:rsid w:val="488B5981"/>
    <w:rsid w:val="489D5EFD"/>
    <w:rsid w:val="48CA7928"/>
    <w:rsid w:val="48D01EB5"/>
    <w:rsid w:val="48DA41C2"/>
    <w:rsid w:val="48E43AF2"/>
    <w:rsid w:val="49002223"/>
    <w:rsid w:val="497B3126"/>
    <w:rsid w:val="49D57616"/>
    <w:rsid w:val="49EC3B90"/>
    <w:rsid w:val="4A2F63BA"/>
    <w:rsid w:val="4A3B0ADD"/>
    <w:rsid w:val="4AD97775"/>
    <w:rsid w:val="4ADD0F23"/>
    <w:rsid w:val="4B452C20"/>
    <w:rsid w:val="4B637C05"/>
    <w:rsid w:val="4C156E18"/>
    <w:rsid w:val="4CAF213F"/>
    <w:rsid w:val="4D09042E"/>
    <w:rsid w:val="4D4B7289"/>
    <w:rsid w:val="4D64784A"/>
    <w:rsid w:val="4D8B5C5B"/>
    <w:rsid w:val="4DA96A6F"/>
    <w:rsid w:val="4DBB7F53"/>
    <w:rsid w:val="4E3D2A54"/>
    <w:rsid w:val="4E727546"/>
    <w:rsid w:val="4EDE3D91"/>
    <w:rsid w:val="4F35220E"/>
    <w:rsid w:val="4FD22A06"/>
    <w:rsid w:val="505D3787"/>
    <w:rsid w:val="508F40AF"/>
    <w:rsid w:val="50E34B1C"/>
    <w:rsid w:val="50F01CAE"/>
    <w:rsid w:val="51921C42"/>
    <w:rsid w:val="51B25183"/>
    <w:rsid w:val="52212DA4"/>
    <w:rsid w:val="5264494A"/>
    <w:rsid w:val="526A24FC"/>
    <w:rsid w:val="52733298"/>
    <w:rsid w:val="52C16DE0"/>
    <w:rsid w:val="53433B89"/>
    <w:rsid w:val="534E5CC0"/>
    <w:rsid w:val="53A85B73"/>
    <w:rsid w:val="53C27B7A"/>
    <w:rsid w:val="540C500F"/>
    <w:rsid w:val="55002762"/>
    <w:rsid w:val="55524F2D"/>
    <w:rsid w:val="555668ED"/>
    <w:rsid w:val="55DD3CBD"/>
    <w:rsid w:val="55E6794C"/>
    <w:rsid w:val="56603544"/>
    <w:rsid w:val="56670EB9"/>
    <w:rsid w:val="567F625A"/>
    <w:rsid w:val="56AA4999"/>
    <w:rsid w:val="57482194"/>
    <w:rsid w:val="579C387F"/>
    <w:rsid w:val="57D460CD"/>
    <w:rsid w:val="57EE537F"/>
    <w:rsid w:val="582E406D"/>
    <w:rsid w:val="589531F5"/>
    <w:rsid w:val="58FF201C"/>
    <w:rsid w:val="591E7840"/>
    <w:rsid w:val="59CA6C6A"/>
    <w:rsid w:val="59E16582"/>
    <w:rsid w:val="5A570D57"/>
    <w:rsid w:val="5A8E156E"/>
    <w:rsid w:val="5AFE48BF"/>
    <w:rsid w:val="5B402012"/>
    <w:rsid w:val="5BE01271"/>
    <w:rsid w:val="5BF178BC"/>
    <w:rsid w:val="5C1B42CB"/>
    <w:rsid w:val="5C2A49E7"/>
    <w:rsid w:val="5C6B141E"/>
    <w:rsid w:val="5C9B1DAD"/>
    <w:rsid w:val="5CB175BF"/>
    <w:rsid w:val="5CC340BC"/>
    <w:rsid w:val="5CDA07CD"/>
    <w:rsid w:val="5D106397"/>
    <w:rsid w:val="5E0C5358"/>
    <w:rsid w:val="5E512CA5"/>
    <w:rsid w:val="5E9C6226"/>
    <w:rsid w:val="5EAD6EFF"/>
    <w:rsid w:val="5F3308B2"/>
    <w:rsid w:val="5F98434D"/>
    <w:rsid w:val="5FA26BF4"/>
    <w:rsid w:val="5FAC5784"/>
    <w:rsid w:val="5FFC178A"/>
    <w:rsid w:val="602E43E0"/>
    <w:rsid w:val="60983D92"/>
    <w:rsid w:val="60F74AB8"/>
    <w:rsid w:val="61575831"/>
    <w:rsid w:val="6181576A"/>
    <w:rsid w:val="61E821B0"/>
    <w:rsid w:val="62094CC8"/>
    <w:rsid w:val="621140D0"/>
    <w:rsid w:val="621B5A58"/>
    <w:rsid w:val="629F0A72"/>
    <w:rsid w:val="62A03B5D"/>
    <w:rsid w:val="62DF7D15"/>
    <w:rsid w:val="62E967ED"/>
    <w:rsid w:val="62F1150C"/>
    <w:rsid w:val="62FD6B01"/>
    <w:rsid w:val="6303172F"/>
    <w:rsid w:val="632A231C"/>
    <w:rsid w:val="639C5E67"/>
    <w:rsid w:val="63D37A8B"/>
    <w:rsid w:val="63EF6786"/>
    <w:rsid w:val="63FE58EC"/>
    <w:rsid w:val="640A4283"/>
    <w:rsid w:val="642871A7"/>
    <w:rsid w:val="643A5ACF"/>
    <w:rsid w:val="64B44288"/>
    <w:rsid w:val="650D1E8B"/>
    <w:rsid w:val="652229BC"/>
    <w:rsid w:val="652C7549"/>
    <w:rsid w:val="657F217B"/>
    <w:rsid w:val="65FD1764"/>
    <w:rsid w:val="6695111E"/>
    <w:rsid w:val="66AA03AC"/>
    <w:rsid w:val="66C72B60"/>
    <w:rsid w:val="66C8504F"/>
    <w:rsid w:val="670C4141"/>
    <w:rsid w:val="67141965"/>
    <w:rsid w:val="67596F6A"/>
    <w:rsid w:val="679B09B6"/>
    <w:rsid w:val="67B05E4B"/>
    <w:rsid w:val="68856190"/>
    <w:rsid w:val="69575F6F"/>
    <w:rsid w:val="695E7639"/>
    <w:rsid w:val="69B361A2"/>
    <w:rsid w:val="69C50CED"/>
    <w:rsid w:val="69F125AC"/>
    <w:rsid w:val="6A220F1A"/>
    <w:rsid w:val="6A3549D9"/>
    <w:rsid w:val="6A622D30"/>
    <w:rsid w:val="6A6E20CC"/>
    <w:rsid w:val="6AC06849"/>
    <w:rsid w:val="6ADE6D9B"/>
    <w:rsid w:val="6AE75FB2"/>
    <w:rsid w:val="6B0C31FC"/>
    <w:rsid w:val="6B930322"/>
    <w:rsid w:val="6BBC28A5"/>
    <w:rsid w:val="6BF47EB9"/>
    <w:rsid w:val="6BF9671D"/>
    <w:rsid w:val="6C9E6846"/>
    <w:rsid w:val="6CE81741"/>
    <w:rsid w:val="6D3E42BD"/>
    <w:rsid w:val="6D430713"/>
    <w:rsid w:val="6D620248"/>
    <w:rsid w:val="6DD10C8D"/>
    <w:rsid w:val="6DE9247B"/>
    <w:rsid w:val="6DF83EB4"/>
    <w:rsid w:val="6E076DA5"/>
    <w:rsid w:val="6E9018BD"/>
    <w:rsid w:val="6EB9277C"/>
    <w:rsid w:val="6EC20E2D"/>
    <w:rsid w:val="6F150AF0"/>
    <w:rsid w:val="6F2F2A00"/>
    <w:rsid w:val="6F7D4FAA"/>
    <w:rsid w:val="6F833207"/>
    <w:rsid w:val="6FC34184"/>
    <w:rsid w:val="6FF10003"/>
    <w:rsid w:val="700E2739"/>
    <w:rsid w:val="70487C94"/>
    <w:rsid w:val="70B937B0"/>
    <w:rsid w:val="70F84783"/>
    <w:rsid w:val="71033854"/>
    <w:rsid w:val="712823B2"/>
    <w:rsid w:val="71486219"/>
    <w:rsid w:val="71796584"/>
    <w:rsid w:val="719941B8"/>
    <w:rsid w:val="71AC2C9D"/>
    <w:rsid w:val="728C5899"/>
    <w:rsid w:val="739B6349"/>
    <w:rsid w:val="73D557A4"/>
    <w:rsid w:val="741378EA"/>
    <w:rsid w:val="749F06E5"/>
    <w:rsid w:val="74A65448"/>
    <w:rsid w:val="751723E4"/>
    <w:rsid w:val="751C6422"/>
    <w:rsid w:val="752F60AE"/>
    <w:rsid w:val="75AD4CEE"/>
    <w:rsid w:val="76632F68"/>
    <w:rsid w:val="76AC3961"/>
    <w:rsid w:val="76D02779"/>
    <w:rsid w:val="76F24EA0"/>
    <w:rsid w:val="774069BC"/>
    <w:rsid w:val="77D96DB7"/>
    <w:rsid w:val="785800A6"/>
    <w:rsid w:val="789D458E"/>
    <w:rsid w:val="78A31F32"/>
    <w:rsid w:val="78E417CF"/>
    <w:rsid w:val="79734A9E"/>
    <w:rsid w:val="79C844A3"/>
    <w:rsid w:val="79F20DC9"/>
    <w:rsid w:val="7A2502B7"/>
    <w:rsid w:val="7A904DD0"/>
    <w:rsid w:val="7AB5650E"/>
    <w:rsid w:val="7B1E35C5"/>
    <w:rsid w:val="7B204C45"/>
    <w:rsid w:val="7BE72747"/>
    <w:rsid w:val="7CB47F52"/>
    <w:rsid w:val="7CFF629E"/>
    <w:rsid w:val="7D24527D"/>
    <w:rsid w:val="7D2C3777"/>
    <w:rsid w:val="7D2D1C58"/>
    <w:rsid w:val="7D860923"/>
    <w:rsid w:val="7DDB186C"/>
    <w:rsid w:val="7DE60148"/>
    <w:rsid w:val="7DEB5D9B"/>
    <w:rsid w:val="7E163755"/>
    <w:rsid w:val="7E4154A4"/>
    <w:rsid w:val="7E6B2EB3"/>
    <w:rsid w:val="7E863124"/>
    <w:rsid w:val="7EF97C90"/>
    <w:rsid w:val="7EFB59BE"/>
    <w:rsid w:val="7F133B99"/>
    <w:rsid w:val="7F504F35"/>
    <w:rsid w:val="7F910A0A"/>
    <w:rsid w:val="7FB91E8B"/>
    <w:rsid w:val="7FC02D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No Spacing"/>
    <w:qFormat/>
    <w:uiPriority w:val="1"/>
    <w:pPr>
      <w:widowControl w:val="0"/>
      <w:jc w:val="both"/>
    </w:pPr>
    <w:rPr>
      <w:rFonts w:ascii="Calibri" w:hAnsi="Calibri" w:eastAsia="宋体" w:cs="Times New Roman"/>
      <w:kern w:val="2"/>
      <w:sz w:val="21"/>
      <w:szCs w:val="21"/>
      <w:lang w:val="en-US" w:eastAsia="zh-CN" w:bidi="ar-SA"/>
    </w:rPr>
  </w:style>
  <w:style w:type="paragraph" w:styleId="3">
    <w:name w:val="Body Text"/>
    <w:basedOn w:val="1"/>
    <w:next w:val="1"/>
    <w:unhideWhenUsed/>
    <w:qFormat/>
    <w:uiPriority w:val="0"/>
    <w:pPr>
      <w:spacing w:beforeLines="0" w:after="120" w:afterLines="0"/>
    </w:pPr>
    <w:rPr>
      <w:rFonts w:hint="default"/>
      <w:sz w:val="21"/>
      <w:szCs w:val="24"/>
    </w:rPr>
  </w:style>
  <w:style w:type="paragraph" w:styleId="4">
    <w:name w:val="Block Text"/>
    <w:basedOn w:val="1"/>
    <w:unhideWhenUsed/>
    <w:qFormat/>
    <w:uiPriority w:val="99"/>
    <w:pPr>
      <w:spacing w:beforeLines="0" w:afterLines="0"/>
    </w:pPr>
    <w:rPr>
      <w:rFonts w:hint="default"/>
      <w:sz w:val="21"/>
      <w:szCs w:val="24"/>
    </w:rPr>
  </w:style>
  <w:style w:type="paragraph" w:styleId="5">
    <w:name w:val="footer"/>
    <w:basedOn w:val="1"/>
    <w:next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Normal (Web)"/>
    <w:basedOn w:val="1"/>
    <w:qFormat/>
    <w:uiPriority w:val="99"/>
    <w:pPr>
      <w:spacing w:beforeAutospacing="1" w:afterAutospacing="1"/>
      <w:jc w:val="left"/>
    </w:pPr>
    <w:rPr>
      <w:rFonts w:ascii="Calibri" w:hAnsi="Calibri" w:eastAsia="宋体"/>
      <w:kern w:val="1"/>
      <w:sz w:val="24"/>
      <w:szCs w:val="24"/>
    </w:rPr>
  </w:style>
  <w:style w:type="paragraph" w:styleId="9">
    <w:name w:val="Body Text First Indent"/>
    <w:basedOn w:val="3"/>
    <w:next w:val="3"/>
    <w:unhideWhenUsed/>
    <w:qFormat/>
    <w:uiPriority w:val="0"/>
    <w:pPr>
      <w:spacing w:beforeLines="0" w:after="0" w:afterLines="0" w:line="560" w:lineRule="exact"/>
      <w:ind w:firstLine="664"/>
    </w:pPr>
    <w:rPr>
      <w:rFonts w:hint="eastAsia" w:ascii="仿宋_GB2312" w:eastAsia="仿宋_GB2312"/>
      <w:sz w:val="30"/>
      <w:szCs w:val="30"/>
    </w:rPr>
  </w:style>
  <w:style w:type="character" w:styleId="12">
    <w:name w:val="page number"/>
    <w:basedOn w:val="11"/>
    <w:qFormat/>
    <w:uiPriority w:val="0"/>
  </w:style>
  <w:style w:type="character" w:styleId="13">
    <w:name w:val="Hyperlink"/>
    <w:basedOn w:val="11"/>
    <w:unhideWhenUsed/>
    <w:qFormat/>
    <w:uiPriority w:val="99"/>
    <w:rPr>
      <w:color w:val="0000FF"/>
      <w:u w:val="single"/>
    </w:rPr>
  </w:style>
  <w:style w:type="paragraph" w:customStyle="1" w:styleId="14">
    <w:name w:val="_Style 5"/>
    <w:basedOn w:val="1"/>
    <w:qFormat/>
    <w:uiPriority w:val="0"/>
    <w:pPr>
      <w:ind w:firstLine="200" w:firstLineChars="200"/>
    </w:pPr>
    <w:rPr>
      <w:rFonts w:eastAsia="宋体"/>
      <w:sz w:val="24"/>
    </w:rPr>
  </w:style>
  <w:style w:type="character" w:customStyle="1" w:styleId="15">
    <w:name w:val="页脚 Char"/>
    <w:basedOn w:val="11"/>
    <w:link w:val="5"/>
    <w:qFormat/>
    <w:uiPriority w:val="99"/>
    <w:rPr>
      <w:rFonts w:ascii="Times New Roman" w:hAnsi="Times New Roman" w:eastAsia="仿宋_GB2312" w:cs="Times New Roman"/>
      <w:sz w:val="18"/>
      <w:szCs w:val="18"/>
    </w:rPr>
  </w:style>
  <w:style w:type="character" w:customStyle="1" w:styleId="16">
    <w:name w:val="页眉 Char"/>
    <w:basedOn w:val="11"/>
    <w:link w:val="6"/>
    <w:qFormat/>
    <w:uiPriority w:val="99"/>
    <w:rPr>
      <w:rFonts w:ascii="Times New Roman" w:hAnsi="Times New Roman" w:eastAsia="仿宋_GB2312" w:cs="Times New Roman"/>
      <w:sz w:val="18"/>
      <w:szCs w:val="18"/>
    </w:rPr>
  </w:style>
  <w:style w:type="character" w:customStyle="1" w:styleId="17">
    <w:name w:val="NormalCharacter"/>
    <w:link w:val="18"/>
    <w:qFormat/>
    <w:uiPriority w:val="0"/>
  </w:style>
  <w:style w:type="paragraph" w:customStyle="1" w:styleId="18">
    <w:name w:val="UserStyle_11"/>
    <w:basedOn w:val="1"/>
    <w:link w:val="17"/>
    <w:qFormat/>
    <w:uiPriority w:val="0"/>
    <w:rPr>
      <w:rFonts w:ascii="Calibri" w:hAnsi="Calibri" w:eastAsia="宋体" w:cs="Times New Roman"/>
      <w:kern w:val="0"/>
      <w:sz w:val="20"/>
      <w:szCs w:val="24"/>
    </w:rPr>
  </w:style>
  <w:style w:type="character" w:customStyle="1" w:styleId="19">
    <w:name w:val="UserStyle_2"/>
    <w:basedOn w:val="17"/>
    <w:qFormat/>
    <w:uiPriority w:val="0"/>
    <w:rPr>
      <w:rFonts w:ascii="Calibri" w:hAnsi="Calibri" w:eastAsia="宋体" w:cs="Times New Roman"/>
      <w:kern w:val="2"/>
      <w:sz w:val="21"/>
      <w:szCs w:val="24"/>
      <w:lang w:val="en-US" w:eastAsia="zh-CN" w:bidi="ar-SA"/>
    </w:rPr>
  </w:style>
  <w:style w:type="paragraph" w:styleId="20">
    <w:name w:val="List Paragraph"/>
    <w:basedOn w:val="1"/>
    <w:qFormat/>
    <w:uiPriority w:val="99"/>
    <w:pPr>
      <w:ind w:firstLine="420" w:firstLineChars="200"/>
    </w:pPr>
  </w:style>
  <w:style w:type="paragraph" w:customStyle="1" w:styleId="21">
    <w:name w:val=" Char Char1"/>
    <w:basedOn w:val="1"/>
    <w:qFormat/>
    <w:uiPriority w:val="0"/>
    <w:pPr>
      <w:widowControl/>
      <w:spacing w:after="160" w:line="240" w:lineRule="exact"/>
      <w:jc w:val="left"/>
    </w:pPr>
    <w:rPr>
      <w:rFonts w:ascii="仿宋_GB2312" w:hAnsi="仿宋_GB2312"/>
    </w:rPr>
  </w:style>
  <w:style w:type="paragraph" w:customStyle="1" w:styleId="22">
    <w:name w:val="Char1 Char Char Char Char Char Char"/>
    <w:basedOn w:val="1"/>
    <w:qFormat/>
    <w:uiPriority w:val="0"/>
    <w:rPr>
      <w:rFonts w:ascii="等线" w:hAnsi="等线" w:eastAsia="等线"/>
      <w:sz w:val="21"/>
      <w:szCs w:val="22"/>
    </w:rPr>
  </w:style>
  <w:style w:type="paragraph" w:customStyle="1" w:styleId="23">
    <w:name w:val="Char Char Char Char"/>
    <w:basedOn w:val="1"/>
    <w:qFormat/>
    <w:uiPriority w:val="0"/>
    <w:rPr>
      <w:rFonts w:ascii="Calibri" w:hAnsi="Calibri" w:eastAsia="宋体"/>
      <w:sz w:val="21"/>
      <w:szCs w:val="24"/>
    </w:rPr>
  </w:style>
  <w:style w:type="character" w:customStyle="1" w:styleId="24">
    <w:name w:val="fontstyle01"/>
    <w:basedOn w:val="11"/>
    <w:qFormat/>
    <w:uiPriority w:val="0"/>
    <w:rPr>
      <w:rFonts w:hint="default" w:ascii="TimesNewRomanPSMT" w:hAnsi="TimesNewRomanPSMT" w:eastAsia="TimesNewRomanPSMT" w:cs="TimesNewRomanPSMT"/>
      <w:color w:val="000000"/>
      <w:sz w:val="32"/>
      <w:szCs w:val="32"/>
    </w:rPr>
  </w:style>
  <w:style w:type="character" w:customStyle="1" w:styleId="25">
    <w:name w:val="15"/>
    <w:basedOn w:val="11"/>
    <w:qFormat/>
    <w:uiPriority w:val="0"/>
    <w:rPr>
      <w:rFonts w:hint="default" w:ascii="TimesNewRomanPSMT" w:hAnsi="TimesNewRomanPSMT" w:eastAsia="Times New Roman"/>
      <w:color w:val="000000"/>
      <w:sz w:val="32"/>
      <w:szCs w:val="32"/>
    </w:rPr>
  </w:style>
  <w:style w:type="paragraph" w:customStyle="1" w:styleId="26">
    <w:name w:val="新正文"/>
    <w:basedOn w:val="1"/>
    <w:qFormat/>
    <w:uiPriority w:val="99"/>
    <w:pPr>
      <w:spacing w:line="600" w:lineRule="exact"/>
      <w:ind w:firstLine="880"/>
      <w:contextualSpacing/>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9"/>
    <customShpInfo spid="_x0000_s1030"/>
    <customShpInfo spid="_x0000_s103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15482</Words>
  <Characters>16658</Characters>
  <Lines>112</Lines>
  <Paragraphs>31</Paragraphs>
  <TotalTime>12</TotalTime>
  <ScaleCrop>false</ScaleCrop>
  <LinksUpToDate>false</LinksUpToDate>
  <CharactersWithSpaces>16775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2022-03-28T02:26:00Z</dcterms:created>
  <dc:creator>Windows 用户</dc:creator>
  <cp:lastModifiedBy>Administrator</cp:lastModifiedBy>
  <cp:lastPrinted>2023-03-25T02:14:00Z</cp:lastPrinted>
  <dcterms:modified xsi:type="dcterms:W3CDTF">2026-03-10T02:51:36Z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1C11D54B49AE4EDAB128D8185F75187B</vt:lpwstr>
  </property>
</Properties>
</file>