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E35638">
      <w:pPr>
        <w:rPr>
          <w:rFonts w:hint="eastAsia"/>
          <w:sz w:val="40"/>
          <w:szCs w:val="44"/>
        </w:rPr>
      </w:pPr>
    </w:p>
    <w:p w14:paraId="666F5D16">
      <w:pPr>
        <w:rPr>
          <w:rFonts w:hint="eastAsia"/>
          <w:sz w:val="44"/>
          <w:szCs w:val="48"/>
        </w:rPr>
      </w:pPr>
    </w:p>
    <w:p w14:paraId="5952FE6B">
      <w:pPr>
        <w:rPr>
          <w:rFonts w:hint="eastAsia"/>
          <w:sz w:val="44"/>
          <w:szCs w:val="48"/>
        </w:rPr>
      </w:pPr>
    </w:p>
    <w:p w14:paraId="5FF72F27">
      <w:pPr>
        <w:rPr>
          <w:rFonts w:hint="eastAsia"/>
          <w:sz w:val="44"/>
          <w:szCs w:val="48"/>
        </w:rPr>
      </w:pPr>
    </w:p>
    <w:p w14:paraId="28D8D4AB">
      <w:pPr>
        <w:spacing w:line="360" w:lineRule="auto"/>
        <w:jc w:val="center"/>
        <w:rPr>
          <w:rFonts w:hint="eastAsia" w:ascii="宋体" w:hAnsi="宋体" w:eastAsia="宋体"/>
          <w:b/>
          <w:bCs/>
          <w:sz w:val="72"/>
          <w:szCs w:val="96"/>
        </w:rPr>
      </w:pPr>
      <w:r>
        <w:rPr>
          <w:rFonts w:hint="eastAsia" w:ascii="宋体" w:hAnsi="宋体" w:eastAsia="宋体"/>
          <w:b/>
          <w:bCs/>
          <w:sz w:val="72"/>
          <w:szCs w:val="96"/>
        </w:rPr>
        <w:t>建设项目环境影响报告表</w:t>
      </w:r>
    </w:p>
    <w:p w14:paraId="2163745F">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eastAsia" w:ascii="楷体" w:hAnsi="楷体" w:eastAsia="楷体" w:cs="楷体"/>
          <w:sz w:val="44"/>
          <w:szCs w:val="48"/>
        </w:rPr>
      </w:pPr>
      <w:r>
        <w:rPr>
          <w:rFonts w:hint="eastAsia" w:ascii="楷体" w:hAnsi="楷体" w:eastAsia="楷体" w:cs="楷体"/>
          <w:sz w:val="44"/>
          <w:szCs w:val="48"/>
        </w:rPr>
        <w:t>（污染影响类）</w:t>
      </w:r>
    </w:p>
    <w:p w14:paraId="7F742897">
      <w:pPr>
        <w:jc w:val="center"/>
        <w:rPr>
          <w:rFonts w:hint="eastAsia" w:ascii="宋体" w:hAnsi="宋体" w:eastAsia="宋体"/>
          <w:sz w:val="32"/>
          <w:szCs w:val="36"/>
        </w:rPr>
      </w:pPr>
    </w:p>
    <w:p w14:paraId="26461F05">
      <w:pPr>
        <w:jc w:val="center"/>
        <w:rPr>
          <w:rFonts w:hint="eastAsia" w:ascii="宋体" w:hAnsi="宋体" w:eastAsia="宋体"/>
          <w:sz w:val="32"/>
          <w:szCs w:val="36"/>
        </w:rPr>
      </w:pPr>
    </w:p>
    <w:p w14:paraId="6B20C786">
      <w:pPr>
        <w:jc w:val="center"/>
        <w:rPr>
          <w:rFonts w:hint="eastAsia" w:ascii="宋体" w:hAnsi="宋体" w:eastAsia="宋体"/>
          <w:sz w:val="32"/>
          <w:szCs w:val="36"/>
        </w:rPr>
      </w:pPr>
    </w:p>
    <w:p w14:paraId="63934F2C">
      <w:pPr>
        <w:jc w:val="center"/>
        <w:rPr>
          <w:rFonts w:hint="eastAsia" w:ascii="宋体" w:hAnsi="宋体" w:eastAsia="宋体"/>
          <w:sz w:val="32"/>
          <w:szCs w:val="36"/>
        </w:rPr>
      </w:pPr>
    </w:p>
    <w:p w14:paraId="25512F9D">
      <w:pPr>
        <w:jc w:val="center"/>
        <w:rPr>
          <w:rFonts w:hint="eastAsia" w:ascii="宋体" w:hAnsi="宋体" w:eastAsia="宋体"/>
          <w:sz w:val="32"/>
          <w:szCs w:val="36"/>
        </w:rPr>
      </w:pPr>
    </w:p>
    <w:p w14:paraId="369C71B4">
      <w:pPr>
        <w:jc w:val="left"/>
        <w:rPr>
          <w:rFonts w:hint="eastAsia" w:ascii="宋体" w:hAnsi="宋体" w:eastAsia="宋体"/>
          <w:sz w:val="32"/>
          <w:szCs w:val="36"/>
        </w:rPr>
      </w:pPr>
    </w:p>
    <w:p w14:paraId="2AC2CDCD">
      <w:pPr>
        <w:ind w:left="1600" w:hanging="1600" w:hangingChars="500"/>
        <w:jc w:val="left"/>
        <w:rPr>
          <w:rFonts w:hint="default" w:ascii="宋体" w:hAnsi="宋体" w:eastAsia="宋体"/>
          <w:sz w:val="32"/>
          <w:szCs w:val="36"/>
          <w:u w:val="single"/>
          <w:lang w:val="en-US"/>
        </w:rPr>
      </w:pPr>
      <w:r>
        <w:rPr>
          <w:rFonts w:hint="eastAsia" w:ascii="宋体" w:hAnsi="宋体" w:eastAsia="宋体"/>
          <w:sz w:val="32"/>
          <w:szCs w:val="36"/>
        </w:rPr>
        <w:t>项目名称：</w:t>
      </w:r>
      <w:r>
        <w:rPr>
          <w:rFonts w:hint="eastAsia" w:ascii="宋体" w:hAnsi="宋体" w:eastAsia="宋体"/>
          <w:sz w:val="32"/>
          <w:szCs w:val="36"/>
          <w:u w:val="single"/>
          <w:lang w:val="en-US" w:eastAsia="zh-CN"/>
        </w:rPr>
        <w:t>益</w:t>
      </w:r>
      <w:r>
        <w:rPr>
          <w:rFonts w:hint="default" w:ascii="Times New Roman" w:hAnsi="Times New Roman" w:eastAsia="宋体" w:cs="Times New Roman"/>
          <w:sz w:val="32"/>
          <w:szCs w:val="36"/>
          <w:u w:val="single"/>
          <w:lang w:val="en-US" w:eastAsia="zh-CN"/>
        </w:rPr>
        <w:t>阳市赫山区湘泰竹木制品有限公司年产2000吨竹筷建设项目</w:t>
      </w:r>
    </w:p>
    <w:p w14:paraId="0E5DE8EC">
      <w:pPr>
        <w:ind w:left="1600" w:hanging="1600" w:hangingChars="500"/>
        <w:jc w:val="left"/>
        <w:rPr>
          <w:rFonts w:hint="eastAsia" w:ascii="宋体" w:hAnsi="宋体" w:eastAsia="宋体"/>
          <w:sz w:val="32"/>
          <w:szCs w:val="36"/>
          <w:u w:val="single"/>
        </w:rPr>
      </w:pPr>
      <w:r>
        <w:rPr>
          <w:rFonts w:hint="eastAsia" w:ascii="宋体" w:hAnsi="宋体" w:eastAsia="宋体"/>
          <w:sz w:val="32"/>
          <w:szCs w:val="36"/>
        </w:rPr>
        <w:t>建设单位：</w:t>
      </w:r>
      <w:r>
        <w:rPr>
          <w:rFonts w:hint="eastAsia" w:ascii="宋体" w:hAnsi="宋体" w:eastAsia="宋体"/>
          <w:sz w:val="32"/>
          <w:szCs w:val="36"/>
          <w:u w:val="single"/>
        </w:rPr>
        <w:t xml:space="preserve"> </w:t>
      </w:r>
      <w:r>
        <w:rPr>
          <w:rFonts w:ascii="宋体" w:hAnsi="宋体" w:eastAsia="宋体"/>
          <w:sz w:val="32"/>
          <w:szCs w:val="36"/>
          <w:u w:val="single"/>
        </w:rPr>
        <w:t xml:space="preserve"> </w:t>
      </w:r>
      <w:r>
        <w:rPr>
          <w:rFonts w:hint="eastAsia" w:ascii="宋体" w:hAnsi="宋体" w:eastAsia="宋体"/>
          <w:sz w:val="32"/>
          <w:szCs w:val="36"/>
          <w:u w:val="single"/>
          <w:lang w:val="en-US" w:eastAsia="zh-CN"/>
        </w:rPr>
        <w:t>益</w:t>
      </w:r>
      <w:r>
        <w:rPr>
          <w:rFonts w:hint="default" w:ascii="Times New Roman" w:hAnsi="Times New Roman" w:eastAsia="宋体" w:cs="Times New Roman"/>
          <w:sz w:val="32"/>
          <w:szCs w:val="36"/>
          <w:u w:val="single"/>
          <w:lang w:val="en-US" w:eastAsia="zh-CN"/>
        </w:rPr>
        <w:t>阳市赫山区湘泰竹木制品</w:t>
      </w:r>
      <w:r>
        <w:rPr>
          <w:rFonts w:hint="default" w:ascii="宋体" w:hAnsi="宋体" w:eastAsia="宋体"/>
          <w:sz w:val="32"/>
          <w:szCs w:val="36"/>
          <w:u w:val="single"/>
          <w:lang w:val="en-US" w:eastAsia="zh-CN"/>
        </w:rPr>
        <w:t>有限公司</w:t>
      </w:r>
      <w:r>
        <w:rPr>
          <w:rFonts w:hint="eastAsia" w:ascii="宋体" w:hAnsi="宋体" w:eastAsia="宋体"/>
          <w:sz w:val="32"/>
          <w:szCs w:val="36"/>
          <w:u w:val="single"/>
          <w:lang w:val="en-US" w:eastAsia="zh-CN"/>
        </w:rPr>
        <w:t xml:space="preserve">      </w:t>
      </w:r>
      <w:r>
        <w:rPr>
          <w:rFonts w:ascii="宋体" w:hAnsi="宋体" w:eastAsia="宋体"/>
          <w:sz w:val="32"/>
          <w:szCs w:val="36"/>
          <w:u w:val="single"/>
        </w:rPr>
        <w:t xml:space="preserve"> </w:t>
      </w:r>
      <w:r>
        <w:rPr>
          <w:rFonts w:hint="eastAsia" w:ascii="宋体" w:hAnsi="宋体" w:eastAsia="宋体"/>
          <w:sz w:val="32"/>
          <w:szCs w:val="36"/>
          <w:u w:val="single"/>
          <w:lang w:val="en-US" w:eastAsia="zh-CN"/>
        </w:rPr>
        <w:t xml:space="preserve"> </w:t>
      </w:r>
    </w:p>
    <w:p w14:paraId="43BD6918">
      <w:pPr>
        <w:ind w:left="1600" w:hanging="1600" w:hangingChars="500"/>
        <w:jc w:val="left"/>
        <w:rPr>
          <w:rFonts w:hint="eastAsia" w:ascii="宋体" w:hAnsi="宋体" w:eastAsia="宋体"/>
          <w:sz w:val="2"/>
          <w:szCs w:val="2"/>
          <w:u w:val="single"/>
        </w:rPr>
      </w:pPr>
      <w:r>
        <w:rPr>
          <w:rFonts w:hint="eastAsia" w:ascii="宋体" w:hAnsi="宋体" w:eastAsia="宋体"/>
          <w:sz w:val="32"/>
          <w:szCs w:val="36"/>
        </w:rPr>
        <w:t>编制日期：</w:t>
      </w:r>
      <w:r>
        <w:rPr>
          <w:rFonts w:hint="eastAsia" w:ascii="宋体" w:hAnsi="宋体" w:eastAsia="宋体"/>
          <w:sz w:val="32"/>
          <w:szCs w:val="36"/>
          <w:u w:val="single"/>
        </w:rPr>
        <w:t xml:space="preserve"> </w:t>
      </w:r>
      <w:r>
        <w:rPr>
          <w:rFonts w:ascii="宋体" w:hAnsi="宋体" w:eastAsia="宋体"/>
          <w:sz w:val="32"/>
          <w:szCs w:val="36"/>
          <w:u w:val="single"/>
        </w:rPr>
        <w:t xml:space="preserve">    </w:t>
      </w:r>
      <w:r>
        <w:rPr>
          <w:rFonts w:hint="eastAsia" w:ascii="宋体" w:hAnsi="宋体" w:eastAsia="宋体"/>
          <w:sz w:val="32"/>
          <w:szCs w:val="36"/>
          <w:u w:val="single"/>
        </w:rPr>
        <w:t xml:space="preserve"> </w:t>
      </w:r>
      <w:r>
        <w:rPr>
          <w:rFonts w:ascii="宋体" w:hAnsi="宋体" w:eastAsia="宋体"/>
          <w:sz w:val="32"/>
          <w:szCs w:val="36"/>
          <w:u w:val="single"/>
        </w:rPr>
        <w:t xml:space="preserve">   </w:t>
      </w:r>
      <w:r>
        <w:rPr>
          <w:rFonts w:hint="eastAsia" w:ascii="宋体" w:hAnsi="宋体" w:eastAsia="宋体"/>
          <w:sz w:val="32"/>
          <w:szCs w:val="36"/>
          <w:u w:val="single"/>
          <w:lang w:val="en-US" w:eastAsia="zh-CN"/>
        </w:rPr>
        <w:t xml:space="preserve">      </w:t>
      </w:r>
      <w:r>
        <w:rPr>
          <w:rFonts w:hint="default" w:ascii="Times New Roman" w:hAnsi="Times New Roman" w:eastAsia="宋体" w:cs="Times New Roman"/>
          <w:sz w:val="32"/>
          <w:szCs w:val="36"/>
          <w:u w:val="single"/>
          <w:lang w:val="en-US" w:eastAsia="zh-CN"/>
        </w:rPr>
        <w:t xml:space="preserve"> </w:t>
      </w:r>
      <w:r>
        <w:rPr>
          <w:rFonts w:hint="default" w:ascii="Times New Roman" w:hAnsi="Times New Roman" w:eastAsia="宋体" w:cs="Times New Roman"/>
          <w:sz w:val="32"/>
          <w:szCs w:val="36"/>
          <w:u w:val="single"/>
        </w:rPr>
        <w:t>202</w:t>
      </w:r>
      <w:r>
        <w:rPr>
          <w:rFonts w:hint="eastAsia" w:ascii="Times New Roman" w:hAnsi="Times New Roman" w:eastAsia="宋体" w:cs="Times New Roman"/>
          <w:sz w:val="32"/>
          <w:szCs w:val="36"/>
          <w:u w:val="single"/>
          <w:lang w:val="en-US" w:eastAsia="zh-CN"/>
        </w:rPr>
        <w:t>6</w:t>
      </w:r>
      <w:r>
        <w:rPr>
          <w:rFonts w:hint="default" w:ascii="Times New Roman" w:hAnsi="Times New Roman" w:eastAsia="宋体" w:cs="Times New Roman"/>
          <w:sz w:val="32"/>
          <w:szCs w:val="36"/>
          <w:u w:val="single"/>
        </w:rPr>
        <w:t>年</w:t>
      </w:r>
      <w:r>
        <w:rPr>
          <w:rFonts w:hint="eastAsia" w:ascii="Times New Roman" w:hAnsi="Times New Roman" w:eastAsia="宋体" w:cs="Times New Roman"/>
          <w:sz w:val="32"/>
          <w:szCs w:val="36"/>
          <w:u w:val="single"/>
          <w:lang w:val="en-US" w:eastAsia="zh-CN"/>
        </w:rPr>
        <w:t>7</w:t>
      </w:r>
      <w:r>
        <w:rPr>
          <w:rFonts w:hint="default" w:ascii="Times New Roman" w:hAnsi="Times New Roman" w:eastAsia="宋体" w:cs="Times New Roman"/>
          <w:sz w:val="32"/>
          <w:szCs w:val="36"/>
          <w:u w:val="single"/>
        </w:rPr>
        <w:t>月</w:t>
      </w:r>
      <w:r>
        <w:rPr>
          <w:rFonts w:ascii="宋体" w:hAnsi="宋体" w:eastAsia="宋体"/>
          <w:sz w:val="32"/>
          <w:szCs w:val="36"/>
          <w:u w:val="single"/>
        </w:rPr>
        <w:t xml:space="preserve">             </w:t>
      </w:r>
      <w:r>
        <w:rPr>
          <w:rFonts w:hint="eastAsia" w:ascii="宋体" w:hAnsi="宋体" w:eastAsia="宋体"/>
          <w:sz w:val="2"/>
          <w:szCs w:val="2"/>
          <w:u w:val="single"/>
        </w:rPr>
        <w:t>.</w:t>
      </w:r>
    </w:p>
    <w:p w14:paraId="5475A2DF">
      <w:pPr>
        <w:ind w:left="100" w:hanging="100" w:hangingChars="500"/>
        <w:jc w:val="left"/>
        <w:rPr>
          <w:rFonts w:hint="eastAsia" w:ascii="宋体" w:hAnsi="宋体" w:eastAsia="宋体"/>
          <w:sz w:val="2"/>
          <w:szCs w:val="2"/>
          <w:u w:val="single"/>
        </w:rPr>
      </w:pPr>
    </w:p>
    <w:p w14:paraId="3FF62718">
      <w:pPr>
        <w:ind w:left="100" w:hanging="100" w:hangingChars="500"/>
        <w:jc w:val="left"/>
        <w:rPr>
          <w:rFonts w:hint="eastAsia" w:ascii="宋体" w:hAnsi="宋体" w:eastAsia="宋体"/>
          <w:sz w:val="2"/>
          <w:szCs w:val="2"/>
          <w:u w:val="single"/>
        </w:rPr>
      </w:pPr>
    </w:p>
    <w:p w14:paraId="614694A4">
      <w:pPr>
        <w:ind w:left="100" w:hanging="100" w:hangingChars="500"/>
        <w:jc w:val="left"/>
        <w:rPr>
          <w:rFonts w:hint="eastAsia" w:ascii="宋体" w:hAnsi="宋体" w:eastAsia="宋体"/>
          <w:sz w:val="2"/>
          <w:szCs w:val="2"/>
          <w:u w:val="single"/>
        </w:rPr>
      </w:pPr>
    </w:p>
    <w:p w14:paraId="6BC13802">
      <w:pPr>
        <w:ind w:left="1600" w:hanging="1600" w:hangingChars="500"/>
        <w:jc w:val="left"/>
        <w:rPr>
          <w:rFonts w:hint="eastAsia" w:ascii="宋体" w:hAnsi="宋体" w:eastAsia="宋体"/>
          <w:sz w:val="32"/>
          <w:szCs w:val="36"/>
        </w:rPr>
      </w:pPr>
    </w:p>
    <w:p w14:paraId="6E8E9C29">
      <w:pPr>
        <w:ind w:left="1600" w:hanging="1600" w:hangingChars="500"/>
        <w:jc w:val="left"/>
        <w:rPr>
          <w:rFonts w:hint="eastAsia" w:ascii="宋体" w:hAnsi="宋体" w:eastAsia="宋体"/>
          <w:sz w:val="32"/>
          <w:szCs w:val="36"/>
        </w:rPr>
      </w:pPr>
    </w:p>
    <w:p w14:paraId="7009BF69">
      <w:pPr>
        <w:ind w:left="1600" w:hanging="1600" w:hangingChars="500"/>
        <w:jc w:val="left"/>
        <w:rPr>
          <w:rFonts w:hint="eastAsia" w:ascii="宋体" w:hAnsi="宋体" w:eastAsia="宋体"/>
          <w:sz w:val="32"/>
          <w:szCs w:val="36"/>
        </w:rPr>
      </w:pPr>
    </w:p>
    <w:p w14:paraId="495DD106">
      <w:pPr>
        <w:ind w:left="1600" w:hanging="1600" w:hangingChars="500"/>
        <w:jc w:val="center"/>
        <w:rPr>
          <w:rFonts w:hint="eastAsia" w:ascii="宋体" w:hAnsi="宋体" w:eastAsia="宋体"/>
          <w:sz w:val="32"/>
          <w:szCs w:val="36"/>
        </w:rPr>
      </w:pPr>
      <w:r>
        <w:rPr>
          <w:rFonts w:hint="eastAsia" w:ascii="宋体" w:hAnsi="宋体" w:eastAsia="宋体"/>
          <w:sz w:val="32"/>
          <w:szCs w:val="36"/>
        </w:rPr>
        <w:t>中华人民共和国生态环境部制</w:t>
      </w:r>
    </w:p>
    <w:p w14:paraId="486ED08A">
      <w:pPr>
        <w:rPr>
          <w:rFonts w:hint="eastAsia" w:ascii="宋体" w:hAnsi="宋体" w:eastAsia="宋体"/>
          <w:sz w:val="32"/>
          <w:szCs w:val="36"/>
        </w:rPr>
      </w:pPr>
      <w:r>
        <w:rPr>
          <w:rFonts w:hint="eastAsia" w:ascii="宋体" w:hAnsi="宋体" w:eastAsia="宋体"/>
          <w:sz w:val="32"/>
          <w:szCs w:val="36"/>
        </w:rPr>
        <w:drawing>
          <wp:anchor distT="0" distB="0" distL="114300" distR="114300" simplePos="0" relativeHeight="251660288" behindDoc="1" locked="0" layoutInCell="1" allowOverlap="1">
            <wp:simplePos x="0" y="0"/>
            <wp:positionH relativeFrom="column">
              <wp:posOffset>-190500</wp:posOffset>
            </wp:positionH>
            <wp:positionV relativeFrom="paragraph">
              <wp:posOffset>215900</wp:posOffset>
            </wp:positionV>
            <wp:extent cx="5636895" cy="8013700"/>
            <wp:effectExtent l="0" t="0" r="1905" b="0"/>
            <wp:wrapTight wrapText="bothSides">
              <wp:wrapPolygon>
                <wp:start x="0" y="0"/>
                <wp:lineTo x="0" y="21566"/>
                <wp:lineTo x="21534" y="21566"/>
                <wp:lineTo x="21534" y="0"/>
                <wp:lineTo x="0" y="0"/>
              </wp:wrapPolygon>
            </wp:wrapTight>
            <wp:docPr id="8" name="图片 8" descr="6c00f3f0d0ced0736a56d8bd8c5a92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6c00f3f0d0ced0736a56d8bd8c5a92ad"/>
                    <pic:cNvPicPr>
                      <a:picLocks noChangeAspect="1"/>
                    </pic:cNvPicPr>
                  </pic:nvPicPr>
                  <pic:blipFill>
                    <a:blip r:embed="rId6"/>
                    <a:stretch>
                      <a:fillRect/>
                    </a:stretch>
                  </pic:blipFill>
                  <pic:spPr>
                    <a:xfrm>
                      <a:off x="0" y="0"/>
                      <a:ext cx="5636895" cy="8013700"/>
                    </a:xfrm>
                    <a:prstGeom prst="rect">
                      <a:avLst/>
                    </a:prstGeom>
                  </pic:spPr>
                </pic:pic>
              </a:graphicData>
            </a:graphic>
          </wp:anchor>
        </w:drawing>
      </w:r>
      <w:r>
        <w:rPr>
          <w:rFonts w:hint="eastAsia" w:ascii="宋体" w:hAnsi="宋体" w:eastAsia="宋体"/>
          <w:sz w:val="32"/>
          <w:szCs w:val="36"/>
        </w:rPr>
        <w:br w:type="page"/>
      </w:r>
    </w:p>
    <w:p w14:paraId="593E9191">
      <w:pPr>
        <w:rPr>
          <w:rFonts w:hint="eastAsia" w:ascii="宋体" w:hAnsi="宋体" w:eastAsia="宋体"/>
          <w:sz w:val="32"/>
          <w:szCs w:val="36"/>
        </w:rPr>
      </w:pPr>
      <w:r>
        <w:drawing>
          <wp:anchor distT="0" distB="0" distL="114300" distR="114300" simplePos="0" relativeHeight="251661312" behindDoc="1" locked="0" layoutInCell="1" allowOverlap="1">
            <wp:simplePos x="0" y="0"/>
            <wp:positionH relativeFrom="column">
              <wp:posOffset>-276860</wp:posOffset>
            </wp:positionH>
            <wp:positionV relativeFrom="paragraph">
              <wp:posOffset>133350</wp:posOffset>
            </wp:positionV>
            <wp:extent cx="5748020" cy="8155940"/>
            <wp:effectExtent l="0" t="0" r="0" b="0"/>
            <wp:wrapTight wrapText="bothSides">
              <wp:wrapPolygon>
                <wp:start x="0" y="0"/>
                <wp:lineTo x="0" y="21543"/>
                <wp:lineTo x="21548" y="21543"/>
                <wp:lineTo x="21548" y="0"/>
                <wp:lineTo x="0" y="0"/>
              </wp:wrapPolygon>
            </wp:wrapTight>
            <wp:docPr id="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icPr>
                  <pic:blipFill>
                    <a:blip r:embed="rId7"/>
                    <a:stretch>
                      <a:fillRect/>
                    </a:stretch>
                  </pic:blipFill>
                  <pic:spPr>
                    <a:xfrm>
                      <a:off x="0" y="0"/>
                      <a:ext cx="5748020" cy="8155940"/>
                    </a:xfrm>
                    <a:prstGeom prst="rect">
                      <a:avLst/>
                    </a:prstGeom>
                    <a:noFill/>
                    <a:ln>
                      <a:noFill/>
                    </a:ln>
                  </pic:spPr>
                </pic:pic>
              </a:graphicData>
            </a:graphic>
          </wp:anchor>
        </w:drawing>
      </w:r>
      <w:r>
        <w:rPr>
          <w:rFonts w:hint="eastAsia" w:ascii="宋体" w:hAnsi="宋体" w:eastAsia="宋体"/>
          <w:sz w:val="32"/>
          <w:szCs w:val="36"/>
        </w:rPr>
        <w:br w:type="page"/>
      </w:r>
    </w:p>
    <w:p w14:paraId="3ADC5030">
      <w:pPr>
        <w:rPr>
          <w:rFonts w:hint="eastAsia" w:ascii="宋体" w:hAnsi="宋体" w:eastAsia="宋体"/>
          <w:sz w:val="32"/>
          <w:szCs w:val="36"/>
        </w:rPr>
      </w:pPr>
      <w:r>
        <w:rPr>
          <w:rFonts w:hint="eastAsia" w:ascii="宋体" w:hAnsi="宋体" w:eastAsia="宋体"/>
          <w:sz w:val="32"/>
          <w:szCs w:val="36"/>
        </w:rPr>
        <w:drawing>
          <wp:anchor distT="0" distB="0" distL="114300" distR="114300" simplePos="0" relativeHeight="251662336" behindDoc="1" locked="0" layoutInCell="1" allowOverlap="1">
            <wp:simplePos x="0" y="0"/>
            <wp:positionH relativeFrom="column">
              <wp:posOffset>-1429385</wp:posOffset>
            </wp:positionH>
            <wp:positionV relativeFrom="paragraph">
              <wp:posOffset>1531620</wp:posOffset>
            </wp:positionV>
            <wp:extent cx="8064500" cy="5351145"/>
            <wp:effectExtent l="0" t="0" r="1905" b="12700"/>
            <wp:wrapTight wrapText="bothSides">
              <wp:wrapPolygon>
                <wp:start x="21600" y="3"/>
                <wp:lineTo x="68" y="3"/>
                <wp:lineTo x="68" y="21533"/>
                <wp:lineTo x="21600" y="21533"/>
                <wp:lineTo x="21600" y="3"/>
              </wp:wrapPolygon>
            </wp:wrapTight>
            <wp:docPr id="26" name="图片 26" descr="aa9fc24b543eb476f6ecac9357676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aa9fc24b543eb476f6ecac9357676622"/>
                    <pic:cNvPicPr>
                      <a:picLocks noChangeAspect="1"/>
                    </pic:cNvPicPr>
                  </pic:nvPicPr>
                  <pic:blipFill>
                    <a:blip r:embed="rId8"/>
                    <a:stretch>
                      <a:fillRect/>
                    </a:stretch>
                  </pic:blipFill>
                  <pic:spPr>
                    <a:xfrm rot="16200000">
                      <a:off x="0" y="0"/>
                      <a:ext cx="8064500" cy="5351145"/>
                    </a:xfrm>
                    <a:prstGeom prst="rect">
                      <a:avLst/>
                    </a:prstGeom>
                  </pic:spPr>
                </pic:pic>
              </a:graphicData>
            </a:graphic>
          </wp:anchor>
        </w:drawing>
      </w:r>
      <w:r>
        <w:rPr>
          <w:rFonts w:hint="eastAsia" w:ascii="宋体" w:hAnsi="宋体" w:eastAsia="宋体"/>
          <w:sz w:val="32"/>
          <w:szCs w:val="36"/>
        </w:rPr>
        <w:br w:type="page"/>
      </w:r>
    </w:p>
    <w:p w14:paraId="5B4D19EA">
      <w:pPr>
        <w:rPr>
          <w:rFonts w:hint="eastAsia" w:ascii="宋体" w:hAnsi="宋体" w:eastAsia="宋体"/>
          <w:sz w:val="32"/>
          <w:szCs w:val="36"/>
        </w:rPr>
      </w:pPr>
      <w:r>
        <w:drawing>
          <wp:inline distT="0" distB="0" distL="114300" distR="114300">
            <wp:extent cx="5274310" cy="7787005"/>
            <wp:effectExtent l="0" t="0" r="2540" b="4445"/>
            <wp:docPr id="5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
                    <pic:cNvPicPr>
                      <a:picLocks noChangeAspect="1"/>
                    </pic:cNvPicPr>
                  </pic:nvPicPr>
                  <pic:blipFill>
                    <a:blip r:embed="rId9"/>
                    <a:stretch>
                      <a:fillRect/>
                    </a:stretch>
                  </pic:blipFill>
                  <pic:spPr>
                    <a:xfrm>
                      <a:off x="0" y="0"/>
                      <a:ext cx="5274310" cy="7787005"/>
                    </a:xfrm>
                    <a:prstGeom prst="rect">
                      <a:avLst/>
                    </a:prstGeom>
                    <a:noFill/>
                    <a:ln>
                      <a:noFill/>
                    </a:ln>
                  </pic:spPr>
                </pic:pic>
              </a:graphicData>
            </a:graphic>
          </wp:inline>
        </w:drawing>
      </w:r>
      <w:r>
        <w:rPr>
          <w:rFonts w:hint="eastAsia" w:ascii="宋体" w:hAnsi="宋体" w:eastAsia="宋体"/>
          <w:sz w:val="32"/>
          <w:szCs w:val="36"/>
        </w:rPr>
        <w:br w:type="page"/>
      </w:r>
    </w:p>
    <w:p w14:paraId="1B6F393B">
      <w:pPr>
        <w:rPr>
          <w:rFonts w:hint="eastAsia" w:ascii="宋体" w:hAnsi="宋体" w:eastAsia="宋体"/>
          <w:sz w:val="32"/>
          <w:szCs w:val="36"/>
        </w:rPr>
      </w:pPr>
      <w:r>
        <w:drawing>
          <wp:anchor distT="0" distB="0" distL="114300" distR="114300" simplePos="0" relativeHeight="251663360" behindDoc="1" locked="0" layoutInCell="1" allowOverlap="1">
            <wp:simplePos x="0" y="0"/>
            <wp:positionH relativeFrom="column">
              <wp:posOffset>-1353820</wp:posOffset>
            </wp:positionH>
            <wp:positionV relativeFrom="paragraph">
              <wp:posOffset>2225040</wp:posOffset>
            </wp:positionV>
            <wp:extent cx="8225155" cy="4263390"/>
            <wp:effectExtent l="0" t="0" r="3810" b="4445"/>
            <wp:wrapTight wrapText="bothSides">
              <wp:wrapPolygon>
                <wp:start x="21600" y="3"/>
                <wp:lineTo x="38" y="3"/>
                <wp:lineTo x="38" y="21526"/>
                <wp:lineTo x="21600" y="21526"/>
                <wp:lineTo x="21600" y="3"/>
              </wp:wrapPolygon>
            </wp:wrapTight>
            <wp:docPr id="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pic:cNvPicPr>
                      <a:picLocks noChangeAspect="1"/>
                    </pic:cNvPicPr>
                  </pic:nvPicPr>
                  <pic:blipFill>
                    <a:blip r:embed="rId10"/>
                    <a:stretch>
                      <a:fillRect/>
                    </a:stretch>
                  </pic:blipFill>
                  <pic:spPr>
                    <a:xfrm rot="-5400000">
                      <a:off x="0" y="0"/>
                      <a:ext cx="8225155" cy="4263390"/>
                    </a:xfrm>
                    <a:prstGeom prst="rect">
                      <a:avLst/>
                    </a:prstGeom>
                    <a:noFill/>
                    <a:ln>
                      <a:noFill/>
                    </a:ln>
                  </pic:spPr>
                </pic:pic>
              </a:graphicData>
            </a:graphic>
          </wp:anchor>
        </w:drawing>
      </w:r>
      <w:r>
        <w:rPr>
          <w:rFonts w:hint="eastAsia" w:ascii="宋体" w:hAnsi="宋体" w:eastAsia="宋体"/>
          <w:sz w:val="32"/>
          <w:szCs w:val="36"/>
        </w:rPr>
        <w:br w:type="page"/>
      </w:r>
    </w:p>
    <w:p w14:paraId="6A204790">
      <w:pPr>
        <w:rPr>
          <w:rFonts w:hint="eastAsia" w:ascii="宋体" w:hAnsi="宋体" w:eastAsia="宋体"/>
          <w:sz w:val="32"/>
          <w:szCs w:val="36"/>
        </w:rPr>
      </w:pPr>
      <w:r>
        <w:drawing>
          <wp:anchor distT="0" distB="0" distL="114300" distR="114300" simplePos="0" relativeHeight="251664384" behindDoc="1" locked="0" layoutInCell="1" allowOverlap="1">
            <wp:simplePos x="0" y="0"/>
            <wp:positionH relativeFrom="column">
              <wp:posOffset>-1355090</wp:posOffset>
            </wp:positionH>
            <wp:positionV relativeFrom="paragraph">
              <wp:posOffset>2200910</wp:posOffset>
            </wp:positionV>
            <wp:extent cx="8259445" cy="4392295"/>
            <wp:effectExtent l="0" t="0" r="8255" b="8255"/>
            <wp:wrapTight wrapText="bothSides">
              <wp:wrapPolygon>
                <wp:start x="21600" y="0"/>
                <wp:lineTo x="28" y="0"/>
                <wp:lineTo x="28" y="21547"/>
                <wp:lineTo x="21600" y="21547"/>
                <wp:lineTo x="21600" y="0"/>
              </wp:wrapPolygon>
            </wp:wrapTight>
            <wp:docPr id="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pic:cNvPicPr>
                      <a:picLocks noChangeAspect="1"/>
                    </pic:cNvPicPr>
                  </pic:nvPicPr>
                  <pic:blipFill>
                    <a:blip r:embed="rId11"/>
                    <a:stretch>
                      <a:fillRect/>
                    </a:stretch>
                  </pic:blipFill>
                  <pic:spPr>
                    <a:xfrm rot="-5400000">
                      <a:off x="0" y="0"/>
                      <a:ext cx="8259445" cy="4392295"/>
                    </a:xfrm>
                    <a:prstGeom prst="rect">
                      <a:avLst/>
                    </a:prstGeom>
                    <a:noFill/>
                    <a:ln>
                      <a:noFill/>
                    </a:ln>
                  </pic:spPr>
                </pic:pic>
              </a:graphicData>
            </a:graphic>
          </wp:anchor>
        </w:drawing>
      </w:r>
      <w:r>
        <w:rPr>
          <w:rFonts w:hint="eastAsia" w:ascii="宋体" w:hAnsi="宋体" w:eastAsia="宋体"/>
          <w:sz w:val="32"/>
          <w:szCs w:val="36"/>
        </w:rPr>
        <w:br w:type="page"/>
      </w:r>
    </w:p>
    <w:p w14:paraId="14EA09AE">
      <w:pPr>
        <w:rPr>
          <w:rFonts w:hint="eastAsia" w:ascii="宋体" w:hAnsi="宋体" w:eastAsia="宋体"/>
          <w:sz w:val="32"/>
          <w:szCs w:val="36"/>
        </w:rPr>
      </w:pPr>
      <w:r>
        <w:drawing>
          <wp:anchor distT="0" distB="0" distL="114300" distR="114300" simplePos="0" relativeHeight="251665408" behindDoc="1" locked="0" layoutInCell="1" allowOverlap="1">
            <wp:simplePos x="0" y="0"/>
            <wp:positionH relativeFrom="column">
              <wp:posOffset>-189865</wp:posOffset>
            </wp:positionH>
            <wp:positionV relativeFrom="paragraph">
              <wp:posOffset>121920</wp:posOffset>
            </wp:positionV>
            <wp:extent cx="5795010" cy="8230235"/>
            <wp:effectExtent l="0" t="0" r="15240" b="18415"/>
            <wp:wrapTight wrapText="bothSides">
              <wp:wrapPolygon>
                <wp:start x="0" y="0"/>
                <wp:lineTo x="0" y="21548"/>
                <wp:lineTo x="21515" y="21548"/>
                <wp:lineTo x="21515" y="0"/>
                <wp:lineTo x="0" y="0"/>
              </wp:wrapPolygon>
            </wp:wrapTight>
            <wp:docPr id="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
                    <pic:cNvPicPr>
                      <a:picLocks noChangeAspect="1"/>
                    </pic:cNvPicPr>
                  </pic:nvPicPr>
                  <pic:blipFill>
                    <a:blip r:embed="rId12"/>
                    <a:stretch>
                      <a:fillRect/>
                    </a:stretch>
                  </pic:blipFill>
                  <pic:spPr>
                    <a:xfrm>
                      <a:off x="0" y="0"/>
                      <a:ext cx="5795010" cy="8230235"/>
                    </a:xfrm>
                    <a:prstGeom prst="rect">
                      <a:avLst/>
                    </a:prstGeom>
                    <a:noFill/>
                    <a:ln>
                      <a:noFill/>
                    </a:ln>
                  </pic:spPr>
                </pic:pic>
              </a:graphicData>
            </a:graphic>
          </wp:anchor>
        </w:drawing>
      </w:r>
      <w:r>
        <w:rPr>
          <w:rFonts w:hint="eastAsia" w:ascii="宋体" w:hAnsi="宋体" w:eastAsia="宋体"/>
          <w:sz w:val="32"/>
          <w:szCs w:val="36"/>
        </w:rPr>
        <w:br w:type="page"/>
      </w:r>
    </w:p>
    <w:p w14:paraId="4FA18333">
      <w:pPr>
        <w:rPr>
          <w:rFonts w:hint="eastAsia" w:ascii="宋体" w:hAnsi="宋体" w:eastAsia="宋体"/>
          <w:sz w:val="32"/>
          <w:szCs w:val="36"/>
        </w:rPr>
      </w:pPr>
      <w:r>
        <w:drawing>
          <wp:anchor distT="0" distB="0" distL="114300" distR="114300" simplePos="0" relativeHeight="251666432" behindDoc="1" locked="0" layoutInCell="1" allowOverlap="1">
            <wp:simplePos x="0" y="0"/>
            <wp:positionH relativeFrom="column">
              <wp:posOffset>-167005</wp:posOffset>
            </wp:positionH>
            <wp:positionV relativeFrom="paragraph">
              <wp:posOffset>172085</wp:posOffset>
            </wp:positionV>
            <wp:extent cx="5645150" cy="8265795"/>
            <wp:effectExtent l="0" t="0" r="12700" b="1905"/>
            <wp:wrapTight wrapText="bothSides">
              <wp:wrapPolygon>
                <wp:start x="0" y="0"/>
                <wp:lineTo x="0" y="21555"/>
                <wp:lineTo x="21503" y="21555"/>
                <wp:lineTo x="21503" y="0"/>
                <wp:lineTo x="0" y="0"/>
              </wp:wrapPolygon>
            </wp:wrapTight>
            <wp:docPr id="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pic:cNvPicPr>
                      <a:picLocks noChangeAspect="1"/>
                    </pic:cNvPicPr>
                  </pic:nvPicPr>
                  <pic:blipFill>
                    <a:blip r:embed="rId13"/>
                    <a:stretch>
                      <a:fillRect/>
                    </a:stretch>
                  </pic:blipFill>
                  <pic:spPr>
                    <a:xfrm>
                      <a:off x="0" y="0"/>
                      <a:ext cx="5645150" cy="8265795"/>
                    </a:xfrm>
                    <a:prstGeom prst="rect">
                      <a:avLst/>
                    </a:prstGeom>
                    <a:noFill/>
                    <a:ln>
                      <a:noFill/>
                    </a:ln>
                  </pic:spPr>
                </pic:pic>
              </a:graphicData>
            </a:graphic>
          </wp:anchor>
        </w:drawing>
      </w:r>
      <w:r>
        <w:rPr>
          <w:rFonts w:hint="eastAsia" w:ascii="宋体" w:hAnsi="宋体" w:eastAsia="宋体"/>
          <w:sz w:val="32"/>
          <w:szCs w:val="36"/>
        </w:rPr>
        <w:br w:type="page"/>
      </w:r>
    </w:p>
    <w:p w14:paraId="1504941C">
      <w:pPr>
        <w:rPr>
          <w:rFonts w:hint="eastAsia" w:ascii="宋体" w:hAnsi="宋体" w:eastAsia="宋体"/>
          <w:sz w:val="32"/>
          <w:szCs w:val="36"/>
        </w:rPr>
      </w:pPr>
      <w:r>
        <w:rPr>
          <w:rFonts w:hint="eastAsia" w:ascii="宋体" w:hAnsi="宋体" w:eastAsia="宋体"/>
          <w:sz w:val="32"/>
          <w:szCs w:val="36"/>
        </w:rPr>
        <w:drawing>
          <wp:anchor distT="0" distB="0" distL="114300" distR="114300" simplePos="0" relativeHeight="251667456" behindDoc="1" locked="0" layoutInCell="1" allowOverlap="1">
            <wp:simplePos x="0" y="0"/>
            <wp:positionH relativeFrom="column">
              <wp:posOffset>-208280</wp:posOffset>
            </wp:positionH>
            <wp:positionV relativeFrom="paragraph">
              <wp:posOffset>251460</wp:posOffset>
            </wp:positionV>
            <wp:extent cx="5511165" cy="7639685"/>
            <wp:effectExtent l="0" t="0" r="13335" b="37465"/>
            <wp:wrapTight wrapText="bothSides">
              <wp:wrapPolygon>
                <wp:start x="0" y="0"/>
                <wp:lineTo x="0" y="21544"/>
                <wp:lineTo x="21503" y="21544"/>
                <wp:lineTo x="21503" y="0"/>
                <wp:lineTo x="0" y="0"/>
              </wp:wrapPolygon>
            </wp:wrapTight>
            <wp:docPr id="37" name="图片 37" descr="170acd33d969b5c4ec9835b9a2f9c3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170acd33d969b5c4ec9835b9a2f9c3d0"/>
                    <pic:cNvPicPr>
                      <a:picLocks noChangeAspect="1"/>
                    </pic:cNvPicPr>
                  </pic:nvPicPr>
                  <pic:blipFill>
                    <a:blip r:embed="rId14"/>
                    <a:stretch>
                      <a:fillRect/>
                    </a:stretch>
                  </pic:blipFill>
                  <pic:spPr>
                    <a:xfrm>
                      <a:off x="0" y="0"/>
                      <a:ext cx="5511165" cy="7639685"/>
                    </a:xfrm>
                    <a:prstGeom prst="rect">
                      <a:avLst/>
                    </a:prstGeom>
                  </pic:spPr>
                </pic:pic>
              </a:graphicData>
            </a:graphic>
          </wp:anchor>
        </w:drawing>
      </w:r>
      <w:r>
        <w:rPr>
          <w:rFonts w:hint="eastAsia" w:ascii="宋体" w:hAnsi="宋体" w:eastAsia="宋体"/>
          <w:sz w:val="32"/>
          <w:szCs w:val="36"/>
        </w:rPr>
        <w:br w:type="page"/>
      </w:r>
    </w:p>
    <w:p w14:paraId="14EE4D9B">
      <w:pPr>
        <w:pStyle w:val="13"/>
        <w:rPr>
          <w:rFonts w:hint="eastAsia"/>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sdt>
      <w:sdtPr>
        <w:rPr>
          <w:rFonts w:asciiTheme="minorHAnsi" w:hAnsiTheme="minorHAnsi" w:eastAsiaTheme="minorEastAsia" w:cstheme="minorBidi"/>
          <w:b/>
          <w:bCs/>
          <w:color w:val="auto"/>
          <w:kern w:val="2"/>
          <w:sz w:val="21"/>
          <w:szCs w:val="22"/>
          <w:lang w:val="zh-CN"/>
        </w:rPr>
        <w:id w:val="1719003227"/>
        <w:docPartObj>
          <w:docPartGallery w:val="Table of Contents"/>
          <w:docPartUnique/>
        </w:docPartObj>
      </w:sdtPr>
      <w:sdtEndPr>
        <w:rPr>
          <w:rFonts w:asciiTheme="minorHAnsi" w:hAnsiTheme="minorHAnsi" w:eastAsiaTheme="minorEastAsia" w:cstheme="minorBidi"/>
          <w:b/>
          <w:bCs/>
          <w:color w:val="auto"/>
          <w:kern w:val="2"/>
          <w:sz w:val="21"/>
          <w:szCs w:val="22"/>
          <w:lang w:val="zh-CN"/>
        </w:rPr>
      </w:sdtEndPr>
      <w:sdtContent>
        <w:p w14:paraId="19443300">
          <w:pPr>
            <w:pStyle w:val="66"/>
            <w:spacing w:line="360" w:lineRule="auto"/>
            <w:jc w:val="center"/>
            <w:rPr>
              <w:rFonts w:ascii="Times New Roman" w:hAnsi="Times New Roman" w:eastAsia="宋体" w:cs="Times New Roman"/>
              <w:b/>
              <w:bCs/>
              <w:color w:val="auto"/>
            </w:rPr>
          </w:pPr>
          <w:r>
            <w:rPr>
              <w:rFonts w:ascii="Times New Roman" w:hAnsi="Times New Roman" w:eastAsia="宋体" w:cs="Times New Roman"/>
              <w:b/>
              <w:bCs/>
              <w:color w:val="auto"/>
              <w:lang w:val="zh-CN"/>
            </w:rPr>
            <w:t>目录</w:t>
          </w:r>
        </w:p>
        <w:p w14:paraId="6AAB501A">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TOC \o "1-3" \h \z \u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\l _Toc16205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一、建设项目基本情况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_Toc16205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14:paraId="220A62FB">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_Toc4554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二、建设项目工程分析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_Toc4554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6C1D97FB">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_Toc872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三、区域环境质量现状、环境保护目标及评价标准</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_Toc872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4E9B49CC">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_Toc31294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四、主要环境影响和保护措施</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_Toc31294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3F9F182F">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_Toc24024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五、环境保护措施监督检查清单</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_Toc24024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60231DA6">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_Toc6436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六、结论</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_Toc6436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58CE1235">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_Toc14757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附表：建设项目污染物排放量汇总表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_Toc14757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15020C16">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_Toc4838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附件1：委托书</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_Toc4838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78A666D9">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_Toc262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附件2：</w:t>
          </w:r>
          <w:r>
            <w:rPr>
              <w:rFonts w:hint="default" w:ascii="Times New Roman" w:hAnsi="Times New Roman" w:eastAsia="宋体" w:cs="Times New Roman"/>
              <w:sz w:val="24"/>
              <w:szCs w:val="24"/>
              <w:lang w:val="en-US" w:eastAsia="zh-CN"/>
            </w:rPr>
            <w:t>营业执照</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_Toc262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0655C00E">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_Toc2672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lang w:val="en-US" w:eastAsia="zh-CN"/>
            </w:rPr>
            <w:t>附件3：村集体土地租赁合同</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_Toc2672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4AE8DBDE">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_Toc28288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附件</w:t>
          </w: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用地证明</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_Toc28288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0051AFE9">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_Toc3670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lang w:val="en-US" w:eastAsia="zh-CN"/>
            </w:rPr>
            <w:t>附件5：镇政府出具的用地证明</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_Toc3670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3FF47311">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_Toc9204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附件</w:t>
          </w: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工业用地查询证明</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_Toc9204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75817278">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_Toc14371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附件</w:t>
          </w:r>
          <w:r>
            <w:rPr>
              <w:rFonts w:hint="default" w:ascii="Times New Roman" w:hAnsi="Times New Roman" w:eastAsia="宋体" w:cs="Times New Roman"/>
              <w:sz w:val="24"/>
              <w:szCs w:val="24"/>
              <w:lang w:val="en-US" w:eastAsia="zh-CN"/>
            </w:rPr>
            <w:t>7</w:t>
          </w:r>
          <w:r>
            <w:rPr>
              <w:rFonts w:hint="default" w:ascii="Times New Roman" w:hAnsi="Times New Roman" w:eastAsia="宋体" w:cs="Times New Roman"/>
              <w:sz w:val="24"/>
              <w:szCs w:val="24"/>
            </w:rPr>
            <w:t>：生物质颗粒燃料检测报告</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_Toc14371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46E3889F">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_Toc7980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附件</w:t>
          </w:r>
          <w:r>
            <w:rPr>
              <w:rFonts w:hint="default" w:ascii="Times New Roman" w:hAnsi="Times New Roman" w:eastAsia="宋体" w:cs="Times New Roman"/>
              <w:sz w:val="24"/>
              <w:szCs w:val="24"/>
              <w:lang w:val="en-US" w:eastAsia="zh-CN"/>
            </w:rPr>
            <w:t>8</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环境质量</w:t>
          </w:r>
          <w:r>
            <w:rPr>
              <w:rFonts w:hint="default" w:ascii="Times New Roman" w:hAnsi="Times New Roman" w:eastAsia="宋体" w:cs="Times New Roman"/>
              <w:sz w:val="24"/>
              <w:szCs w:val="24"/>
            </w:rPr>
            <w:t>监测报告</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_Toc7980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80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7D94FEA1">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_Toc22340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lang w:val="en-US" w:eastAsia="zh-CN"/>
            </w:rPr>
            <w:t>附件9：锅炉参数文件</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_Toc22340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87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703B51D2">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_Toc8091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lang w:val="en-US" w:eastAsia="zh-CN"/>
            </w:rPr>
            <w:t>附件10：会商意见表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_Toc8091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89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30AA85A3">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_Toc3112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lang w:val="en-US" w:eastAsia="zh-CN"/>
            </w:rPr>
            <w:t>附件11：专家评审意见及签到表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_Toc3112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92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64A51F40">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_Toc28536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附图1：地理位置图</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_Toc28536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95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110209A6">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_Toc7569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附图2：项目总平面布置图</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_Toc7569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96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30D6067E">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_Toc21084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附图</w:t>
          </w: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环境保护目标图</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_Toc21084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97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1B3B2896">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_Toc24869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lang w:val="en-US" w:eastAsia="zh-CN"/>
            </w:rPr>
            <w:t>附图4：监测点位图</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_Toc24869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98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2E5D62DA">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_Toc11776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lang w:val="en-US" w:eastAsia="zh-CN"/>
            </w:rPr>
            <w:t>附图5：引用监测点位图</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_Toc11776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99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09449CF6">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_Toc6585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附图</w:t>
          </w: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rPr>
            <w:t>：现状照片</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_Toc6585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100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36C6540B">
          <w:pPr>
            <w:spacing w:line="360" w:lineRule="auto"/>
            <w:rPr>
              <w:rFonts w:hint="eastAsia"/>
            </w:rPr>
          </w:pPr>
          <w:r>
            <w:rPr>
              <w:rFonts w:hint="default" w:ascii="Times New Roman" w:hAnsi="Times New Roman" w:eastAsia="宋体" w:cs="Times New Roman"/>
              <w:bCs/>
              <w:sz w:val="24"/>
              <w:szCs w:val="24"/>
              <w:lang w:val="zh-CN"/>
            </w:rPr>
            <w:fldChar w:fldCharType="end"/>
          </w:r>
        </w:p>
      </w:sdtContent>
    </w:sdt>
    <w:p w14:paraId="1F789F3C">
      <w:pPr>
        <w:ind w:left="1600" w:hanging="1600" w:hangingChars="500"/>
        <w:jc w:val="center"/>
        <w:rPr>
          <w:rFonts w:hint="eastAsia" w:ascii="宋体" w:hAnsi="宋体" w:eastAsia="宋体"/>
          <w:sz w:val="32"/>
          <w:szCs w:val="36"/>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2DE4D2FD">
      <w:pPr>
        <w:pStyle w:val="39"/>
        <w:ind w:left="0" w:leftChars="0" w:right="0" w:rightChars="0" w:firstLine="0" w:firstLineChars="0"/>
        <w:jc w:val="center"/>
      </w:pPr>
      <w:bookmarkStart w:id="0" w:name="_Toc16205"/>
      <w:bookmarkStart w:id="1" w:name="_Toc22982"/>
      <w:bookmarkStart w:id="2" w:name="_Toc29059"/>
      <w:bookmarkStart w:id="3" w:name="_Toc7714"/>
      <w:bookmarkStart w:id="4" w:name="_Toc16982"/>
      <w:bookmarkStart w:id="5" w:name="_Toc8443"/>
      <w:bookmarkStart w:id="6" w:name="_Toc31214"/>
      <w:r>
        <w:rPr>
          <w:rFonts w:hint="eastAsia"/>
        </w:rPr>
        <w:t>一、建设项目基本情况</w:t>
      </w:r>
      <w:bookmarkEnd w:id="0"/>
      <w:bookmarkEnd w:id="1"/>
      <w:bookmarkEnd w:id="2"/>
      <w:bookmarkEnd w:id="3"/>
      <w:bookmarkEnd w:id="4"/>
      <w:bookmarkEnd w:id="5"/>
      <w:bookmarkEnd w:id="6"/>
    </w:p>
    <w:tbl>
      <w:tblPr>
        <w:tblStyle w:val="28"/>
        <w:tblW w:w="9000" w:type="dxa"/>
        <w:tblInd w:w="-3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545"/>
        <w:gridCol w:w="2250"/>
        <w:gridCol w:w="1692"/>
        <w:gridCol w:w="3513"/>
      </w:tblGrid>
      <w:tr w14:paraId="0A45B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545" w:type="dxa"/>
            <w:vAlign w:val="center"/>
          </w:tcPr>
          <w:p w14:paraId="3E7EF6AC">
            <w:pPr>
              <w:pStyle w:val="36"/>
              <w:rPr>
                <w:rFonts w:hint="eastAsia"/>
                <w:sz w:val="24"/>
                <w:szCs w:val="24"/>
                <w:u w:val="none" w:color="auto"/>
              </w:rPr>
            </w:pPr>
            <w:r>
              <w:rPr>
                <w:rFonts w:hint="eastAsia"/>
                <w:sz w:val="24"/>
                <w:szCs w:val="24"/>
                <w:u w:val="none" w:color="auto"/>
              </w:rPr>
              <w:t>建设项目名称</w:t>
            </w:r>
          </w:p>
        </w:tc>
        <w:tc>
          <w:tcPr>
            <w:tcW w:w="7455" w:type="dxa"/>
            <w:gridSpan w:val="3"/>
            <w:vAlign w:val="center"/>
          </w:tcPr>
          <w:p w14:paraId="27C9F842">
            <w:pPr>
              <w:pStyle w:val="36"/>
              <w:rPr>
                <w:rFonts w:hint="default"/>
                <w:sz w:val="24"/>
                <w:szCs w:val="24"/>
                <w:u w:val="none" w:color="auto"/>
                <w:lang w:val="en-US"/>
              </w:rPr>
            </w:pPr>
            <w:r>
              <w:rPr>
                <w:rFonts w:hint="eastAsia" w:ascii="Times New Roman" w:hAnsi="Times New Roman" w:eastAsia="宋体" w:cs="Times New Roman"/>
                <w:sz w:val="24"/>
                <w:szCs w:val="24"/>
                <w:u w:val="none" w:color="auto"/>
                <w:lang w:val="en-US" w:eastAsia="zh-CN"/>
              </w:rPr>
              <w:t>益阳市赫山区湘泰竹木制品有限公司</w:t>
            </w:r>
            <w:r>
              <w:rPr>
                <w:rFonts w:hint="eastAsia" w:cs="Times New Roman"/>
                <w:sz w:val="24"/>
                <w:szCs w:val="24"/>
                <w:u w:val="none" w:color="auto"/>
                <w:lang w:val="en-US" w:eastAsia="zh-CN"/>
              </w:rPr>
              <w:t>年产2000吨竹筷建设项目</w:t>
            </w:r>
          </w:p>
        </w:tc>
      </w:tr>
      <w:tr w14:paraId="048C3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545" w:type="dxa"/>
            <w:vAlign w:val="center"/>
          </w:tcPr>
          <w:p w14:paraId="2ED601E6">
            <w:pPr>
              <w:pStyle w:val="36"/>
              <w:rPr>
                <w:sz w:val="24"/>
                <w:szCs w:val="24"/>
                <w:u w:val="none" w:color="auto"/>
              </w:rPr>
            </w:pPr>
            <w:r>
              <w:rPr>
                <w:rFonts w:hint="eastAsia"/>
                <w:sz w:val="24"/>
                <w:szCs w:val="24"/>
                <w:u w:val="none" w:color="auto"/>
              </w:rPr>
              <w:t>项目代码</w:t>
            </w:r>
          </w:p>
        </w:tc>
        <w:tc>
          <w:tcPr>
            <w:tcW w:w="7455" w:type="dxa"/>
            <w:gridSpan w:val="3"/>
            <w:vAlign w:val="center"/>
          </w:tcPr>
          <w:p w14:paraId="6313AACC">
            <w:pPr>
              <w:pStyle w:val="36"/>
              <w:ind w:left="0" w:leftChars="0" w:right="0" w:rightChars="0" w:firstLine="0" w:firstLineChars="0"/>
              <w:jc w:val="center"/>
              <w:rPr>
                <w:sz w:val="24"/>
                <w:szCs w:val="24"/>
                <w:u w:val="none" w:color="auto"/>
              </w:rPr>
            </w:pPr>
            <w:r>
              <w:rPr>
                <w:rFonts w:hint="eastAsia"/>
                <w:sz w:val="24"/>
                <w:szCs w:val="24"/>
                <w:u w:val="none" w:color="auto"/>
              </w:rPr>
              <w:t>/</w:t>
            </w:r>
          </w:p>
        </w:tc>
      </w:tr>
      <w:tr w14:paraId="59062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545" w:type="dxa"/>
            <w:vAlign w:val="center"/>
          </w:tcPr>
          <w:p w14:paraId="1130306D">
            <w:pPr>
              <w:pStyle w:val="36"/>
              <w:rPr>
                <w:sz w:val="24"/>
                <w:szCs w:val="24"/>
                <w:u w:val="none" w:color="auto"/>
              </w:rPr>
            </w:pPr>
            <w:r>
              <w:rPr>
                <w:rFonts w:hint="eastAsia"/>
                <w:sz w:val="24"/>
                <w:szCs w:val="24"/>
                <w:u w:val="none" w:color="auto"/>
              </w:rPr>
              <w:t>建设单位联系人</w:t>
            </w:r>
          </w:p>
        </w:tc>
        <w:tc>
          <w:tcPr>
            <w:tcW w:w="2250" w:type="dxa"/>
            <w:vAlign w:val="center"/>
          </w:tcPr>
          <w:p w14:paraId="00BE81D8">
            <w:pPr>
              <w:pStyle w:val="36"/>
              <w:ind w:left="0" w:leftChars="0" w:right="0" w:rightChars="0" w:firstLine="0" w:firstLineChars="0"/>
              <w:jc w:val="center"/>
              <w:rPr>
                <w:rFonts w:hint="default" w:eastAsia="宋体"/>
                <w:sz w:val="24"/>
                <w:szCs w:val="24"/>
                <w:u w:val="none" w:color="auto"/>
                <w:lang w:val="en-US" w:eastAsia="zh-CN"/>
              </w:rPr>
            </w:pPr>
            <w:r>
              <w:rPr>
                <w:rFonts w:hint="eastAsia" w:ascii="Times New Roman" w:hAnsi="Times New Roman"/>
                <w:sz w:val="24"/>
                <w:szCs w:val="24"/>
              </w:rPr>
              <w:t>邹世华</w:t>
            </w:r>
          </w:p>
        </w:tc>
        <w:tc>
          <w:tcPr>
            <w:tcW w:w="1692" w:type="dxa"/>
            <w:vAlign w:val="center"/>
          </w:tcPr>
          <w:p w14:paraId="2787F072">
            <w:pPr>
              <w:pStyle w:val="36"/>
              <w:rPr>
                <w:rFonts w:hint="eastAsia" w:ascii="Times New Roman" w:hAnsi="Times New Roman" w:eastAsia="宋体" w:cs="Times New Roman"/>
                <w:sz w:val="24"/>
                <w:szCs w:val="24"/>
                <w:u w:val="none" w:color="auto"/>
                <w:lang w:val="en-US" w:eastAsia="zh-CN"/>
              </w:rPr>
            </w:pPr>
            <w:r>
              <w:rPr>
                <w:rFonts w:hint="eastAsia" w:ascii="Times New Roman" w:hAnsi="Times New Roman" w:eastAsia="宋体" w:cs="Times New Roman"/>
                <w:sz w:val="24"/>
                <w:szCs w:val="24"/>
                <w:u w:val="none" w:color="auto"/>
                <w:lang w:val="en-US" w:eastAsia="zh-CN"/>
              </w:rPr>
              <w:t>联系方式</w:t>
            </w:r>
          </w:p>
        </w:tc>
        <w:tc>
          <w:tcPr>
            <w:tcW w:w="3513" w:type="dxa"/>
            <w:vAlign w:val="center"/>
          </w:tcPr>
          <w:p w14:paraId="58770894">
            <w:pPr>
              <w:pStyle w:val="36"/>
              <w:rPr>
                <w:rFonts w:hint="eastAsia" w:ascii="Times New Roman" w:hAnsi="Times New Roman" w:eastAsia="宋体" w:cs="Times New Roman"/>
                <w:sz w:val="24"/>
                <w:szCs w:val="24"/>
                <w:u w:val="none" w:color="auto"/>
                <w:lang w:val="en-US" w:eastAsia="zh-CN"/>
              </w:rPr>
            </w:pPr>
            <w:r>
              <w:rPr>
                <w:rFonts w:hint="eastAsia" w:ascii="Times New Roman" w:hAnsi="Times New Roman"/>
                <w:sz w:val="24"/>
                <w:szCs w:val="24"/>
              </w:rPr>
              <w:t>18166280088</w:t>
            </w:r>
          </w:p>
        </w:tc>
      </w:tr>
      <w:tr w14:paraId="0667C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545" w:type="dxa"/>
            <w:vAlign w:val="center"/>
          </w:tcPr>
          <w:p w14:paraId="5BA77687">
            <w:pPr>
              <w:pStyle w:val="36"/>
              <w:rPr>
                <w:sz w:val="24"/>
                <w:szCs w:val="24"/>
                <w:u w:val="none" w:color="auto"/>
              </w:rPr>
            </w:pPr>
            <w:r>
              <w:rPr>
                <w:rFonts w:hint="eastAsia"/>
                <w:sz w:val="24"/>
                <w:szCs w:val="24"/>
                <w:u w:val="none" w:color="auto"/>
              </w:rPr>
              <w:t>建设地点</w:t>
            </w:r>
          </w:p>
        </w:tc>
        <w:tc>
          <w:tcPr>
            <w:tcW w:w="7455" w:type="dxa"/>
            <w:gridSpan w:val="3"/>
            <w:vAlign w:val="center"/>
          </w:tcPr>
          <w:p w14:paraId="427B11D4">
            <w:pPr>
              <w:pStyle w:val="36"/>
              <w:ind w:left="0" w:leftChars="0" w:right="0" w:rightChars="0" w:firstLine="0" w:firstLineChars="0"/>
              <w:jc w:val="center"/>
              <w:rPr>
                <w:sz w:val="24"/>
                <w:szCs w:val="24"/>
                <w:u w:val="none" w:color="auto"/>
              </w:rPr>
            </w:pPr>
            <w:r>
              <w:rPr>
                <w:rFonts w:hint="eastAsia" w:ascii="Times New Roman" w:hAnsi="Times New Roman"/>
                <w:sz w:val="24"/>
                <w:szCs w:val="24"/>
              </w:rPr>
              <w:t>湖南省益阳市赫山区泥江口镇水满村</w:t>
            </w:r>
          </w:p>
        </w:tc>
      </w:tr>
      <w:tr w14:paraId="0D28F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545" w:type="dxa"/>
            <w:vAlign w:val="center"/>
          </w:tcPr>
          <w:p w14:paraId="55E4EF29">
            <w:pPr>
              <w:pStyle w:val="36"/>
              <w:rPr>
                <w:sz w:val="24"/>
                <w:szCs w:val="24"/>
                <w:u w:val="none" w:color="auto"/>
              </w:rPr>
            </w:pPr>
            <w:r>
              <w:rPr>
                <w:rFonts w:hint="eastAsia"/>
                <w:sz w:val="24"/>
                <w:szCs w:val="24"/>
                <w:u w:val="none" w:color="auto"/>
              </w:rPr>
              <w:t>地理坐标</w:t>
            </w:r>
          </w:p>
        </w:tc>
        <w:tc>
          <w:tcPr>
            <w:tcW w:w="7455" w:type="dxa"/>
            <w:gridSpan w:val="3"/>
            <w:vAlign w:val="center"/>
          </w:tcPr>
          <w:p w14:paraId="4AB7EDC2">
            <w:pPr>
              <w:pStyle w:val="36"/>
              <w:ind w:left="0" w:leftChars="0" w:right="0" w:rightChars="0" w:firstLine="0" w:firstLineChars="0"/>
              <w:jc w:val="center"/>
              <w:rPr>
                <w:sz w:val="24"/>
                <w:szCs w:val="24"/>
                <w:u w:val="none" w:color="auto"/>
              </w:rPr>
            </w:pPr>
            <w:r>
              <w:rPr>
                <w:rFonts w:hint="default" w:ascii="Times New Roman" w:hAnsi="Times New Roman" w:eastAsia="宋体" w:cs="Times New Roman"/>
                <w:sz w:val="24"/>
                <w:szCs w:val="24"/>
              </w:rPr>
              <w:t>112°20′27.757″</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28°23′23.772″</w:t>
            </w:r>
          </w:p>
        </w:tc>
      </w:tr>
      <w:tr w14:paraId="347E8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545" w:type="dxa"/>
            <w:vAlign w:val="center"/>
          </w:tcPr>
          <w:p w14:paraId="7822B897">
            <w:pPr>
              <w:pStyle w:val="36"/>
              <w:rPr>
                <w:sz w:val="24"/>
                <w:szCs w:val="24"/>
                <w:u w:val="none" w:color="auto"/>
              </w:rPr>
            </w:pPr>
            <w:r>
              <w:rPr>
                <w:rFonts w:hint="eastAsia"/>
                <w:sz w:val="24"/>
                <w:szCs w:val="24"/>
                <w:u w:val="none" w:color="auto"/>
              </w:rPr>
              <w:t>国民经济</w:t>
            </w:r>
          </w:p>
          <w:p w14:paraId="6710601B">
            <w:pPr>
              <w:pStyle w:val="36"/>
              <w:rPr>
                <w:sz w:val="24"/>
                <w:szCs w:val="24"/>
                <w:u w:val="none" w:color="auto"/>
              </w:rPr>
            </w:pPr>
            <w:r>
              <w:rPr>
                <w:rFonts w:hint="eastAsia"/>
                <w:sz w:val="24"/>
                <w:szCs w:val="24"/>
                <w:u w:val="none" w:color="auto"/>
              </w:rPr>
              <w:t>行业类别</w:t>
            </w:r>
          </w:p>
        </w:tc>
        <w:tc>
          <w:tcPr>
            <w:tcW w:w="2250" w:type="dxa"/>
            <w:vAlign w:val="center"/>
          </w:tcPr>
          <w:p w14:paraId="3F970531">
            <w:pPr>
              <w:pStyle w:val="36"/>
              <w:rPr>
                <w:rFonts w:hint="eastAsia"/>
                <w:sz w:val="24"/>
                <w:szCs w:val="24"/>
                <w:u w:val="none" w:color="auto"/>
                <w:lang w:eastAsia="zh-CN"/>
              </w:rPr>
            </w:pPr>
            <w:r>
              <w:rPr>
                <w:rFonts w:hint="eastAsia"/>
                <w:sz w:val="24"/>
                <w:szCs w:val="24"/>
                <w:u w:val="none" w:color="auto"/>
                <w:lang w:eastAsia="zh-CN"/>
              </w:rPr>
              <w:t>C2041竹制品制造</w:t>
            </w:r>
          </w:p>
          <w:p w14:paraId="7A43D155">
            <w:pPr>
              <w:pStyle w:val="36"/>
              <w:rPr>
                <w:rFonts w:hint="eastAsia" w:eastAsia="宋体"/>
                <w:sz w:val="24"/>
                <w:szCs w:val="24"/>
                <w:u w:val="none" w:color="auto"/>
                <w:lang w:eastAsia="zh-CN"/>
              </w:rPr>
            </w:pPr>
            <w:r>
              <w:rPr>
                <w:sz w:val="24"/>
                <w:szCs w:val="24"/>
                <w:u w:val="none" w:color="auto"/>
              </w:rPr>
              <w:t>D4430热力生产和供应</w:t>
            </w:r>
          </w:p>
        </w:tc>
        <w:tc>
          <w:tcPr>
            <w:tcW w:w="1692" w:type="dxa"/>
            <w:vAlign w:val="center"/>
          </w:tcPr>
          <w:p w14:paraId="16C2AECE">
            <w:pPr>
              <w:pStyle w:val="36"/>
              <w:rPr>
                <w:rFonts w:hint="eastAsia" w:ascii="Times New Roman" w:hAnsi="Times New Roman" w:eastAsia="宋体" w:cs="Times New Roman"/>
                <w:sz w:val="24"/>
                <w:szCs w:val="24"/>
                <w:u w:val="none" w:color="auto"/>
              </w:rPr>
            </w:pPr>
            <w:r>
              <w:rPr>
                <w:rFonts w:hint="eastAsia" w:ascii="Times New Roman" w:hAnsi="Times New Roman" w:eastAsia="宋体" w:cs="Times New Roman"/>
                <w:sz w:val="24"/>
                <w:szCs w:val="24"/>
                <w:u w:val="none" w:color="auto"/>
              </w:rPr>
              <w:t>建设项目</w:t>
            </w:r>
          </w:p>
          <w:p w14:paraId="45B8D14E">
            <w:pPr>
              <w:pStyle w:val="36"/>
              <w:rPr>
                <w:rFonts w:hint="eastAsia" w:ascii="Times New Roman" w:hAnsi="Times New Roman" w:eastAsia="宋体" w:cs="Times New Roman"/>
                <w:sz w:val="24"/>
                <w:szCs w:val="24"/>
                <w:u w:val="none" w:color="auto"/>
              </w:rPr>
            </w:pPr>
            <w:r>
              <w:rPr>
                <w:rFonts w:hint="eastAsia" w:ascii="Times New Roman" w:hAnsi="Times New Roman" w:eastAsia="宋体" w:cs="Times New Roman"/>
                <w:sz w:val="24"/>
                <w:szCs w:val="24"/>
                <w:u w:val="none" w:color="auto"/>
              </w:rPr>
              <w:t>行业类别</w:t>
            </w:r>
          </w:p>
        </w:tc>
        <w:tc>
          <w:tcPr>
            <w:tcW w:w="3513" w:type="dxa"/>
            <w:vAlign w:val="center"/>
          </w:tcPr>
          <w:p w14:paraId="5414474C">
            <w:pPr>
              <w:pStyle w:val="36"/>
              <w:numPr>
                <w:ilvl w:val="0"/>
                <w:numId w:val="0"/>
              </w:numPr>
              <w:ind w:leftChars="0" w:right="0" w:rightChars="0"/>
              <w:jc w:val="both"/>
              <w:rPr>
                <w:rFonts w:hint="eastAsia" w:ascii="Times New Roman" w:hAnsi="Times New Roman" w:eastAsia="宋体" w:cs="Times New Roman"/>
                <w:sz w:val="24"/>
                <w:szCs w:val="24"/>
                <w:u w:val="none" w:color="auto"/>
              </w:rPr>
            </w:pPr>
            <w:r>
              <w:rPr>
                <w:rFonts w:hint="eastAsia" w:ascii="Times New Roman" w:hAnsi="Times New Roman" w:eastAsia="宋体" w:cs="Times New Roman"/>
                <w:sz w:val="24"/>
                <w:szCs w:val="24"/>
                <w:u w:val="none" w:color="auto"/>
                <w:lang w:val="en-US" w:eastAsia="zh-CN"/>
              </w:rPr>
              <w:t>十七、</w:t>
            </w:r>
            <w:r>
              <w:rPr>
                <w:rFonts w:hint="eastAsia" w:ascii="Times New Roman" w:hAnsi="Times New Roman" w:eastAsia="宋体" w:cs="Times New Roman"/>
                <w:sz w:val="24"/>
                <w:szCs w:val="24"/>
                <w:u w:val="none" w:color="auto"/>
              </w:rPr>
              <w:t>木材加工和木、竹、藤、棕、草制品业20竹、藤、棕、草等制品制造204*</w:t>
            </w:r>
          </w:p>
          <w:p w14:paraId="5E426737">
            <w:pPr>
              <w:pStyle w:val="36"/>
              <w:numPr>
                <w:ilvl w:val="0"/>
                <w:numId w:val="0"/>
              </w:numPr>
              <w:ind w:leftChars="0" w:right="0" w:rightChars="0"/>
              <w:jc w:val="both"/>
              <w:rPr>
                <w:rFonts w:hint="eastAsia" w:ascii="Times New Roman" w:hAnsi="Times New Roman" w:eastAsia="宋体" w:cs="Times New Roman"/>
                <w:sz w:val="24"/>
                <w:szCs w:val="24"/>
                <w:u w:val="none" w:color="auto"/>
                <w:lang w:eastAsia="zh-CN"/>
              </w:rPr>
            </w:pPr>
            <w:r>
              <w:rPr>
                <w:rFonts w:hint="eastAsia" w:ascii="Times New Roman" w:hAnsi="Times New Roman" w:eastAsia="宋体" w:cs="Times New Roman"/>
                <w:sz w:val="24"/>
                <w:szCs w:val="24"/>
                <w:u w:val="none" w:color="auto"/>
              </w:rPr>
              <w:t>四十一、电力、热力生产和供应业，91、热力生产和供应工程</w:t>
            </w:r>
            <w:r>
              <w:rPr>
                <w:rFonts w:hint="eastAsia" w:ascii="Times New Roman" w:hAnsi="Times New Roman" w:eastAsia="宋体" w:cs="Times New Roman"/>
                <w:sz w:val="24"/>
                <w:szCs w:val="24"/>
                <w:u w:val="none" w:color="auto"/>
                <w:lang w:eastAsia="zh-CN"/>
              </w:rPr>
              <w:t>；</w:t>
            </w:r>
          </w:p>
        </w:tc>
      </w:tr>
      <w:tr w14:paraId="37F42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545" w:type="dxa"/>
            <w:vAlign w:val="center"/>
          </w:tcPr>
          <w:p w14:paraId="74FD3D7E">
            <w:pPr>
              <w:pStyle w:val="36"/>
              <w:rPr>
                <w:sz w:val="24"/>
                <w:szCs w:val="24"/>
                <w:u w:val="none" w:color="auto"/>
              </w:rPr>
            </w:pPr>
            <w:r>
              <w:rPr>
                <w:rFonts w:hint="eastAsia"/>
                <w:sz w:val="24"/>
                <w:szCs w:val="24"/>
                <w:u w:val="none" w:color="auto"/>
              </w:rPr>
              <w:t>建设性质</w:t>
            </w:r>
          </w:p>
        </w:tc>
        <w:tc>
          <w:tcPr>
            <w:tcW w:w="2250" w:type="dxa"/>
            <w:vAlign w:val="center"/>
          </w:tcPr>
          <w:p w14:paraId="322CFC4A">
            <w:pPr>
              <w:pStyle w:val="36"/>
              <w:jc w:val="both"/>
              <w:rPr>
                <w:rFonts w:ascii="Segoe UI Symbol" w:hAnsi="Segoe UI Symbol" w:cs="Segoe UI Symbol"/>
                <w:sz w:val="24"/>
                <w:szCs w:val="24"/>
                <w:u w:val="none" w:color="auto"/>
              </w:rPr>
            </w:pPr>
            <w:r>
              <w:rPr>
                <w:rFonts w:hint="eastAsia" w:ascii="Segoe UI Symbol" w:hAnsi="Segoe UI Symbol" w:cs="Segoe UI Symbol"/>
                <w:sz w:val="24"/>
                <w:szCs w:val="24"/>
                <w:u w:val="none" w:color="auto"/>
              </w:rPr>
              <w:sym w:font="Wingdings 2" w:char="0052"/>
            </w:r>
            <w:r>
              <w:rPr>
                <w:rFonts w:hint="eastAsia" w:ascii="Segoe UI Symbol" w:hAnsi="Segoe UI Symbol" w:cs="Segoe UI Symbol"/>
                <w:sz w:val="24"/>
                <w:szCs w:val="24"/>
                <w:u w:val="none" w:color="auto"/>
              </w:rPr>
              <w:t>新建（迁建）</w:t>
            </w:r>
          </w:p>
          <w:p w14:paraId="02D783EB">
            <w:pPr>
              <w:pStyle w:val="36"/>
              <w:jc w:val="both"/>
              <w:rPr>
                <w:rFonts w:ascii="Segoe UI Symbol" w:hAnsi="Segoe UI Symbol" w:cs="Segoe UI Symbol"/>
                <w:sz w:val="24"/>
                <w:szCs w:val="24"/>
                <w:u w:val="none" w:color="auto"/>
              </w:rPr>
            </w:pPr>
            <w:r>
              <w:rPr>
                <w:rFonts w:hint="eastAsia" w:ascii="Segoe UI Symbol" w:hAnsi="Segoe UI Symbol" w:cs="Segoe UI Symbol"/>
                <w:sz w:val="24"/>
                <w:szCs w:val="24"/>
                <w:u w:val="none" w:color="auto"/>
                <w:lang w:eastAsia="zh-CN"/>
              </w:rPr>
              <w:t>□</w:t>
            </w:r>
            <w:r>
              <w:rPr>
                <w:rFonts w:hint="eastAsia" w:ascii="Segoe UI Symbol" w:hAnsi="Segoe UI Symbol" w:cs="Segoe UI Symbol"/>
                <w:sz w:val="24"/>
                <w:szCs w:val="24"/>
                <w:u w:val="none" w:color="auto"/>
              </w:rPr>
              <w:t>改建</w:t>
            </w:r>
          </w:p>
          <w:p w14:paraId="20EC8A77">
            <w:pPr>
              <w:pStyle w:val="36"/>
              <w:jc w:val="both"/>
              <w:rPr>
                <w:rFonts w:ascii="Segoe UI Symbol" w:hAnsi="Segoe UI Symbol" w:cs="Segoe UI Symbol"/>
                <w:sz w:val="24"/>
                <w:szCs w:val="24"/>
                <w:u w:val="none" w:color="auto"/>
              </w:rPr>
            </w:pPr>
            <w:r>
              <w:rPr>
                <w:rFonts w:hint="eastAsia" w:ascii="Segoe UI Symbol" w:hAnsi="Segoe UI Symbol" w:cs="Segoe UI Symbol"/>
                <w:sz w:val="24"/>
                <w:szCs w:val="24"/>
                <w:u w:val="none" w:color="auto"/>
                <w:lang w:eastAsia="zh-CN"/>
              </w:rPr>
              <w:t>□</w:t>
            </w:r>
            <w:r>
              <w:rPr>
                <w:rFonts w:hint="eastAsia" w:ascii="Segoe UI Symbol" w:hAnsi="Segoe UI Symbol" w:cs="Segoe UI Symbol"/>
                <w:sz w:val="24"/>
                <w:szCs w:val="24"/>
                <w:u w:val="none" w:color="auto"/>
              </w:rPr>
              <w:t>扩建</w:t>
            </w:r>
          </w:p>
          <w:p w14:paraId="2D88C4A3">
            <w:pPr>
              <w:pStyle w:val="36"/>
              <w:jc w:val="both"/>
              <w:rPr>
                <w:sz w:val="24"/>
                <w:szCs w:val="24"/>
                <w:u w:val="none" w:color="auto"/>
              </w:rPr>
            </w:pPr>
            <w:r>
              <w:rPr>
                <w:rFonts w:hint="eastAsia" w:ascii="Segoe UI Symbol" w:hAnsi="Segoe UI Symbol" w:cs="Segoe UI Symbol"/>
                <w:sz w:val="24"/>
                <w:szCs w:val="24"/>
                <w:u w:val="none" w:color="auto"/>
                <w:lang w:eastAsia="zh-CN"/>
              </w:rPr>
              <w:t>□</w:t>
            </w:r>
            <w:r>
              <w:rPr>
                <w:rFonts w:hint="eastAsia" w:ascii="Segoe UI Symbol" w:hAnsi="Segoe UI Symbol" w:cs="Segoe UI Symbol"/>
                <w:sz w:val="24"/>
                <w:szCs w:val="24"/>
                <w:u w:val="none" w:color="auto"/>
              </w:rPr>
              <w:t>技术改造</w:t>
            </w:r>
          </w:p>
        </w:tc>
        <w:tc>
          <w:tcPr>
            <w:tcW w:w="1692" w:type="dxa"/>
            <w:vAlign w:val="center"/>
          </w:tcPr>
          <w:p w14:paraId="72EC5DAE">
            <w:pPr>
              <w:pStyle w:val="36"/>
              <w:rPr>
                <w:sz w:val="24"/>
                <w:szCs w:val="24"/>
                <w:u w:val="none" w:color="auto"/>
              </w:rPr>
            </w:pPr>
            <w:r>
              <w:rPr>
                <w:rFonts w:hint="eastAsia"/>
                <w:sz w:val="24"/>
                <w:szCs w:val="24"/>
                <w:u w:val="none" w:color="auto"/>
              </w:rPr>
              <w:t>建设项目</w:t>
            </w:r>
          </w:p>
          <w:p w14:paraId="70D2CC73">
            <w:pPr>
              <w:pStyle w:val="36"/>
              <w:rPr>
                <w:sz w:val="24"/>
                <w:szCs w:val="24"/>
                <w:u w:val="none" w:color="auto"/>
              </w:rPr>
            </w:pPr>
            <w:r>
              <w:rPr>
                <w:rFonts w:hint="eastAsia"/>
                <w:sz w:val="24"/>
                <w:szCs w:val="24"/>
                <w:u w:val="none" w:color="auto"/>
              </w:rPr>
              <w:t>申报情形</w:t>
            </w:r>
          </w:p>
        </w:tc>
        <w:tc>
          <w:tcPr>
            <w:tcW w:w="3513" w:type="dxa"/>
          </w:tcPr>
          <w:p w14:paraId="61FA5BE0">
            <w:pPr>
              <w:pStyle w:val="36"/>
              <w:jc w:val="both"/>
              <w:rPr>
                <w:rFonts w:ascii="Segoe UI Symbol" w:hAnsi="Segoe UI Symbol" w:cs="Segoe UI Symbol"/>
                <w:sz w:val="24"/>
                <w:szCs w:val="24"/>
                <w:u w:val="none" w:color="auto"/>
              </w:rPr>
            </w:pPr>
            <w:r>
              <w:rPr>
                <w:rFonts w:ascii="Segoe UI Symbol" w:hAnsi="Segoe UI Symbol" w:cs="Segoe UI Symbol"/>
                <w:sz w:val="24"/>
                <w:szCs w:val="24"/>
                <w:u w:val="none" w:color="auto"/>
              </w:rPr>
              <w:t>☑</w:t>
            </w:r>
            <w:r>
              <w:rPr>
                <w:rFonts w:hint="eastAsia" w:ascii="Segoe UI Symbol" w:hAnsi="Segoe UI Symbol" w:cs="Segoe UI Symbol"/>
                <w:sz w:val="24"/>
                <w:szCs w:val="24"/>
                <w:u w:val="none" w:color="auto"/>
              </w:rPr>
              <w:t>首次申报项目</w:t>
            </w:r>
          </w:p>
          <w:p w14:paraId="5CA38334">
            <w:pPr>
              <w:pStyle w:val="36"/>
              <w:jc w:val="both"/>
              <w:rPr>
                <w:rFonts w:ascii="Segoe UI Symbol" w:hAnsi="Segoe UI Symbol" w:cs="Segoe UI Symbol"/>
                <w:sz w:val="24"/>
                <w:szCs w:val="24"/>
                <w:u w:val="none" w:color="auto"/>
              </w:rPr>
            </w:pPr>
            <w:r>
              <w:rPr>
                <w:rFonts w:ascii="Segoe UI Symbol" w:hAnsi="Segoe UI Symbol" w:cs="Segoe UI Symbol"/>
                <w:sz w:val="24"/>
                <w:szCs w:val="24"/>
                <w:u w:val="none" w:color="auto"/>
              </w:rPr>
              <w:t>☐</w:t>
            </w:r>
            <w:r>
              <w:rPr>
                <w:rFonts w:hint="eastAsia" w:ascii="Segoe UI Symbol" w:hAnsi="Segoe UI Symbol" w:cs="Segoe UI Symbol"/>
                <w:sz w:val="24"/>
                <w:szCs w:val="24"/>
                <w:u w:val="none" w:color="auto"/>
              </w:rPr>
              <w:t>不予批准后再次申报项目</w:t>
            </w:r>
          </w:p>
          <w:p w14:paraId="07ED5223">
            <w:pPr>
              <w:pStyle w:val="36"/>
              <w:jc w:val="both"/>
              <w:rPr>
                <w:rFonts w:ascii="Segoe UI Symbol" w:hAnsi="Segoe UI Symbol" w:cs="Segoe UI Symbol"/>
                <w:sz w:val="24"/>
                <w:szCs w:val="24"/>
                <w:u w:val="none" w:color="auto"/>
              </w:rPr>
            </w:pPr>
            <w:r>
              <w:rPr>
                <w:rFonts w:ascii="Segoe UI Symbol" w:hAnsi="Segoe UI Symbol" w:cs="Segoe UI Symbol"/>
                <w:sz w:val="24"/>
                <w:szCs w:val="24"/>
                <w:u w:val="none" w:color="auto"/>
              </w:rPr>
              <w:t>☐</w:t>
            </w:r>
            <w:r>
              <w:rPr>
                <w:rFonts w:hint="eastAsia" w:ascii="Segoe UI Symbol" w:hAnsi="Segoe UI Symbol" w:cs="Segoe UI Symbol"/>
                <w:sz w:val="24"/>
                <w:szCs w:val="24"/>
                <w:u w:val="none" w:color="auto"/>
              </w:rPr>
              <w:t>超五年重新审核项目</w:t>
            </w:r>
          </w:p>
          <w:p w14:paraId="3674BFF0">
            <w:pPr>
              <w:pStyle w:val="36"/>
              <w:jc w:val="both"/>
              <w:rPr>
                <w:sz w:val="24"/>
                <w:szCs w:val="24"/>
                <w:u w:val="none" w:color="auto"/>
              </w:rPr>
            </w:pPr>
            <w:r>
              <w:rPr>
                <w:rFonts w:ascii="Segoe UI Symbol" w:hAnsi="Segoe UI Symbol" w:cs="Segoe UI Symbol"/>
                <w:sz w:val="24"/>
                <w:szCs w:val="24"/>
                <w:u w:val="none" w:color="auto"/>
              </w:rPr>
              <w:t>☐</w:t>
            </w:r>
            <w:r>
              <w:rPr>
                <w:rFonts w:hint="eastAsia" w:ascii="Segoe UI Symbol" w:hAnsi="Segoe UI Symbol" w:cs="Segoe UI Symbol"/>
                <w:sz w:val="24"/>
                <w:szCs w:val="24"/>
                <w:u w:val="none" w:color="auto"/>
              </w:rPr>
              <w:t>重大变动重新报批项目</w:t>
            </w:r>
          </w:p>
        </w:tc>
      </w:tr>
      <w:tr w14:paraId="31A3C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545" w:type="dxa"/>
            <w:vAlign w:val="center"/>
          </w:tcPr>
          <w:p w14:paraId="2DBC2AE2">
            <w:pPr>
              <w:pStyle w:val="36"/>
              <w:rPr>
                <w:sz w:val="24"/>
                <w:szCs w:val="24"/>
                <w:u w:val="none" w:color="auto"/>
              </w:rPr>
            </w:pPr>
            <w:r>
              <w:rPr>
                <w:rFonts w:hint="eastAsia"/>
                <w:sz w:val="24"/>
                <w:szCs w:val="24"/>
                <w:u w:val="none" w:color="auto"/>
              </w:rPr>
              <w:t>项目审批（核准/备案）部门（选填）</w:t>
            </w:r>
          </w:p>
        </w:tc>
        <w:tc>
          <w:tcPr>
            <w:tcW w:w="2250" w:type="dxa"/>
            <w:vAlign w:val="center"/>
          </w:tcPr>
          <w:p w14:paraId="26C5DAB3">
            <w:pPr>
              <w:pStyle w:val="36"/>
              <w:rPr>
                <w:rFonts w:hint="eastAsia" w:ascii="Times New Roman" w:hAnsi="Times New Roman" w:eastAsia="宋体" w:cs="Times New Roman"/>
                <w:sz w:val="24"/>
                <w:szCs w:val="24"/>
                <w:u w:val="none" w:color="auto"/>
                <w:lang w:val="en-US" w:eastAsia="zh-CN"/>
              </w:rPr>
            </w:pPr>
            <w:r>
              <w:rPr>
                <w:rFonts w:hint="eastAsia" w:ascii="Times New Roman" w:hAnsi="Times New Roman" w:eastAsia="宋体" w:cs="Times New Roman"/>
                <w:sz w:val="24"/>
                <w:szCs w:val="24"/>
                <w:u w:val="none" w:color="auto"/>
                <w:lang w:val="en-US" w:eastAsia="zh-CN"/>
              </w:rPr>
              <w:t>/</w:t>
            </w:r>
          </w:p>
        </w:tc>
        <w:tc>
          <w:tcPr>
            <w:tcW w:w="1692" w:type="dxa"/>
            <w:vAlign w:val="center"/>
          </w:tcPr>
          <w:p w14:paraId="0F63BA28">
            <w:pPr>
              <w:pStyle w:val="36"/>
              <w:rPr>
                <w:rFonts w:hint="eastAsia" w:ascii="Times New Roman" w:hAnsi="Times New Roman" w:eastAsia="宋体" w:cs="Times New Roman"/>
                <w:sz w:val="24"/>
                <w:szCs w:val="24"/>
                <w:u w:val="none" w:color="auto"/>
                <w:lang w:val="en-US" w:eastAsia="zh-CN"/>
              </w:rPr>
            </w:pPr>
            <w:r>
              <w:rPr>
                <w:rFonts w:hint="eastAsia" w:ascii="Times New Roman" w:hAnsi="Times New Roman" w:eastAsia="宋体" w:cs="Times New Roman"/>
                <w:sz w:val="24"/>
                <w:szCs w:val="24"/>
                <w:u w:val="none" w:color="auto"/>
                <w:lang w:val="en-US" w:eastAsia="zh-CN"/>
              </w:rPr>
              <w:t>项目审批（核准/备案）文号（选填）</w:t>
            </w:r>
          </w:p>
        </w:tc>
        <w:tc>
          <w:tcPr>
            <w:tcW w:w="3513" w:type="dxa"/>
            <w:vAlign w:val="center"/>
          </w:tcPr>
          <w:p w14:paraId="7FE93BB0">
            <w:pPr>
              <w:pStyle w:val="36"/>
              <w:rPr>
                <w:rFonts w:hint="eastAsia" w:ascii="Times New Roman" w:hAnsi="Times New Roman" w:eastAsia="宋体" w:cs="Times New Roman"/>
                <w:sz w:val="24"/>
                <w:szCs w:val="24"/>
                <w:u w:val="none" w:color="auto"/>
                <w:lang w:val="en-US" w:eastAsia="zh-CN"/>
              </w:rPr>
            </w:pPr>
            <w:r>
              <w:rPr>
                <w:rFonts w:hint="eastAsia" w:ascii="Times New Roman" w:hAnsi="Times New Roman" w:eastAsia="宋体" w:cs="Times New Roman"/>
                <w:sz w:val="24"/>
                <w:szCs w:val="24"/>
                <w:u w:val="none" w:color="auto"/>
                <w:lang w:val="en-US" w:eastAsia="zh-CN"/>
              </w:rPr>
              <w:t>/</w:t>
            </w:r>
          </w:p>
        </w:tc>
      </w:tr>
      <w:tr w14:paraId="2314A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545" w:type="dxa"/>
            <w:vAlign w:val="center"/>
          </w:tcPr>
          <w:p w14:paraId="722682A7">
            <w:pPr>
              <w:pStyle w:val="36"/>
              <w:rPr>
                <w:sz w:val="24"/>
                <w:szCs w:val="24"/>
                <w:u w:val="none" w:color="auto"/>
              </w:rPr>
            </w:pPr>
            <w:r>
              <w:rPr>
                <w:rFonts w:hint="eastAsia"/>
                <w:sz w:val="24"/>
                <w:szCs w:val="24"/>
                <w:u w:val="none" w:color="auto"/>
              </w:rPr>
              <w:t>总投资（万元）</w:t>
            </w:r>
          </w:p>
        </w:tc>
        <w:tc>
          <w:tcPr>
            <w:tcW w:w="2250" w:type="dxa"/>
            <w:vAlign w:val="center"/>
          </w:tcPr>
          <w:p w14:paraId="4A6F3901">
            <w:pPr>
              <w:pStyle w:val="36"/>
              <w:rPr>
                <w:rFonts w:hint="default" w:eastAsia="宋体"/>
                <w:sz w:val="24"/>
                <w:szCs w:val="24"/>
                <w:u w:val="none" w:color="auto"/>
                <w:lang w:val="en-US" w:eastAsia="zh-CN"/>
              </w:rPr>
            </w:pPr>
            <w:r>
              <w:rPr>
                <w:rFonts w:hint="eastAsia"/>
                <w:sz w:val="24"/>
                <w:szCs w:val="24"/>
                <w:u w:val="none" w:color="auto"/>
                <w:lang w:val="en-US" w:eastAsia="zh-CN"/>
              </w:rPr>
              <w:t>200</w:t>
            </w:r>
          </w:p>
        </w:tc>
        <w:tc>
          <w:tcPr>
            <w:tcW w:w="1692" w:type="dxa"/>
            <w:vAlign w:val="center"/>
          </w:tcPr>
          <w:p w14:paraId="27EAAA6A">
            <w:pPr>
              <w:pStyle w:val="36"/>
              <w:rPr>
                <w:sz w:val="24"/>
                <w:szCs w:val="24"/>
                <w:u w:val="none" w:color="auto"/>
              </w:rPr>
            </w:pPr>
            <w:r>
              <w:rPr>
                <w:rFonts w:hint="eastAsia"/>
                <w:sz w:val="24"/>
                <w:szCs w:val="24"/>
                <w:u w:val="none" w:color="auto"/>
              </w:rPr>
              <w:t>环保投资（万元）</w:t>
            </w:r>
          </w:p>
        </w:tc>
        <w:tc>
          <w:tcPr>
            <w:tcW w:w="3513" w:type="dxa"/>
            <w:vAlign w:val="center"/>
          </w:tcPr>
          <w:p w14:paraId="7098702F">
            <w:pPr>
              <w:pStyle w:val="36"/>
              <w:rPr>
                <w:rFonts w:hint="default" w:eastAsia="宋体"/>
                <w:sz w:val="24"/>
                <w:szCs w:val="24"/>
                <w:u w:val="none" w:color="auto"/>
                <w:lang w:val="en-US" w:eastAsia="zh-CN"/>
              </w:rPr>
            </w:pPr>
            <w:r>
              <w:rPr>
                <w:rFonts w:hint="eastAsia"/>
                <w:sz w:val="24"/>
                <w:szCs w:val="24"/>
                <w:u w:val="none" w:color="auto"/>
                <w:lang w:val="en-US" w:eastAsia="zh-CN"/>
              </w:rPr>
              <w:t>41.5</w:t>
            </w:r>
          </w:p>
        </w:tc>
      </w:tr>
      <w:tr w14:paraId="49EBA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545" w:type="dxa"/>
            <w:vAlign w:val="center"/>
          </w:tcPr>
          <w:p w14:paraId="6A42487D">
            <w:pPr>
              <w:pStyle w:val="36"/>
              <w:rPr>
                <w:sz w:val="24"/>
                <w:szCs w:val="24"/>
                <w:u w:val="none" w:color="auto"/>
              </w:rPr>
            </w:pPr>
            <w:r>
              <w:rPr>
                <w:rFonts w:hint="eastAsia"/>
                <w:sz w:val="24"/>
                <w:szCs w:val="24"/>
                <w:u w:val="none" w:color="auto"/>
              </w:rPr>
              <w:t>环保投资占比（%）</w:t>
            </w:r>
          </w:p>
        </w:tc>
        <w:tc>
          <w:tcPr>
            <w:tcW w:w="2250" w:type="dxa"/>
            <w:vAlign w:val="center"/>
          </w:tcPr>
          <w:p w14:paraId="0BE3E4E4">
            <w:pPr>
              <w:pStyle w:val="36"/>
              <w:rPr>
                <w:rFonts w:hint="default" w:eastAsia="宋体"/>
                <w:sz w:val="24"/>
                <w:szCs w:val="24"/>
                <w:u w:val="none" w:color="auto"/>
                <w:lang w:val="en-US" w:eastAsia="zh-CN"/>
              </w:rPr>
            </w:pPr>
            <w:r>
              <w:rPr>
                <w:rFonts w:hint="eastAsia"/>
                <w:sz w:val="24"/>
                <w:szCs w:val="24"/>
                <w:u w:val="none" w:color="auto"/>
                <w:lang w:val="en-US" w:eastAsia="zh-CN"/>
              </w:rPr>
              <w:t>20.75</w:t>
            </w:r>
          </w:p>
        </w:tc>
        <w:tc>
          <w:tcPr>
            <w:tcW w:w="1692" w:type="dxa"/>
            <w:vAlign w:val="center"/>
          </w:tcPr>
          <w:p w14:paraId="40D0AD82">
            <w:pPr>
              <w:pStyle w:val="36"/>
              <w:rPr>
                <w:sz w:val="24"/>
                <w:szCs w:val="24"/>
                <w:u w:val="none" w:color="auto"/>
              </w:rPr>
            </w:pPr>
            <w:r>
              <w:rPr>
                <w:rFonts w:hint="eastAsia"/>
                <w:sz w:val="24"/>
                <w:szCs w:val="24"/>
                <w:u w:val="none" w:color="auto"/>
              </w:rPr>
              <w:t>施工工期</w:t>
            </w:r>
          </w:p>
        </w:tc>
        <w:tc>
          <w:tcPr>
            <w:tcW w:w="3513" w:type="dxa"/>
            <w:vAlign w:val="center"/>
          </w:tcPr>
          <w:p w14:paraId="209D3449">
            <w:pPr>
              <w:pStyle w:val="36"/>
              <w:rPr>
                <w:rFonts w:hint="default" w:eastAsia="宋体"/>
                <w:sz w:val="24"/>
                <w:szCs w:val="24"/>
                <w:u w:val="none" w:color="auto"/>
                <w:lang w:val="en-US" w:eastAsia="zh-CN"/>
              </w:rPr>
            </w:pPr>
            <w:r>
              <w:rPr>
                <w:rFonts w:hint="eastAsia"/>
                <w:sz w:val="24"/>
                <w:szCs w:val="24"/>
                <w:u w:val="none" w:color="auto"/>
                <w:lang w:val="en-US" w:eastAsia="zh-CN"/>
              </w:rPr>
              <w:t>1月</w:t>
            </w:r>
          </w:p>
        </w:tc>
      </w:tr>
      <w:tr w14:paraId="22ED9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545" w:type="dxa"/>
            <w:vAlign w:val="center"/>
          </w:tcPr>
          <w:p w14:paraId="70C39A25">
            <w:pPr>
              <w:pStyle w:val="36"/>
              <w:rPr>
                <w:sz w:val="24"/>
                <w:szCs w:val="24"/>
                <w:u w:val="none" w:color="auto"/>
              </w:rPr>
            </w:pPr>
            <w:r>
              <w:rPr>
                <w:rFonts w:hint="eastAsia"/>
                <w:sz w:val="24"/>
                <w:szCs w:val="24"/>
                <w:u w:val="none" w:color="auto"/>
              </w:rPr>
              <w:t>是否开工建设</w:t>
            </w:r>
          </w:p>
        </w:tc>
        <w:tc>
          <w:tcPr>
            <w:tcW w:w="2250" w:type="dxa"/>
            <w:vAlign w:val="center"/>
          </w:tcPr>
          <w:p w14:paraId="1AFD6AC4">
            <w:pPr>
              <w:pStyle w:val="36"/>
              <w:jc w:val="both"/>
              <w:rPr>
                <w:rFonts w:ascii="Segoe UI Symbol" w:hAnsi="Segoe UI Symbol" w:cs="Segoe UI Symbol"/>
                <w:sz w:val="24"/>
                <w:szCs w:val="24"/>
                <w:u w:val="none" w:color="auto"/>
              </w:rPr>
            </w:pPr>
            <w:r>
              <w:rPr>
                <w:rFonts w:ascii="Segoe UI Symbol" w:hAnsi="Segoe UI Symbol" w:cs="Segoe UI Symbol"/>
                <w:sz w:val="24"/>
                <w:szCs w:val="24"/>
                <w:u w:val="none" w:color="auto"/>
              </w:rPr>
              <w:t>☑</w:t>
            </w:r>
            <w:r>
              <w:rPr>
                <w:rFonts w:hint="eastAsia" w:ascii="Segoe UI Symbol" w:hAnsi="Segoe UI Symbol" w:cs="Segoe UI Symbol"/>
                <w:sz w:val="24"/>
                <w:szCs w:val="24"/>
                <w:u w:val="none" w:color="auto"/>
              </w:rPr>
              <w:t>否</w:t>
            </w:r>
          </w:p>
          <w:p w14:paraId="06F59548">
            <w:pPr>
              <w:pStyle w:val="36"/>
              <w:jc w:val="both"/>
              <w:rPr>
                <w:rFonts w:ascii="Segoe UI Symbol" w:hAnsi="Segoe UI Symbol" w:cs="Segoe UI Symbol"/>
                <w:sz w:val="24"/>
                <w:szCs w:val="24"/>
                <w:u w:val="none" w:color="auto"/>
              </w:rPr>
            </w:pPr>
            <w:r>
              <w:rPr>
                <w:rFonts w:ascii="Segoe UI Symbol" w:hAnsi="Segoe UI Symbol" w:cs="Segoe UI Symbol"/>
                <w:sz w:val="24"/>
                <w:szCs w:val="24"/>
                <w:u w:val="none" w:color="auto"/>
              </w:rPr>
              <w:t>☐</w:t>
            </w:r>
            <w:r>
              <w:rPr>
                <w:rFonts w:hint="eastAsia" w:ascii="Segoe UI Symbol" w:hAnsi="Segoe UI Symbol" w:cs="Segoe UI Symbol"/>
                <w:sz w:val="24"/>
                <w:szCs w:val="24"/>
                <w:u w:val="none" w:color="auto"/>
              </w:rPr>
              <w:t>是：</w:t>
            </w:r>
          </w:p>
        </w:tc>
        <w:tc>
          <w:tcPr>
            <w:tcW w:w="1692" w:type="dxa"/>
            <w:vAlign w:val="center"/>
          </w:tcPr>
          <w:p w14:paraId="166CA7DA">
            <w:pPr>
              <w:pStyle w:val="36"/>
              <w:rPr>
                <w:sz w:val="24"/>
                <w:szCs w:val="24"/>
                <w:u w:val="none" w:color="auto"/>
              </w:rPr>
            </w:pPr>
            <w:r>
              <w:rPr>
                <w:rFonts w:hint="eastAsia"/>
                <w:sz w:val="24"/>
                <w:szCs w:val="24"/>
                <w:u w:val="none" w:color="auto"/>
              </w:rPr>
              <w:t>用地（用海）面积（m</w:t>
            </w:r>
            <w:r>
              <w:rPr>
                <w:sz w:val="24"/>
                <w:szCs w:val="24"/>
                <w:u w:val="none" w:color="auto"/>
                <w:vertAlign w:val="superscript"/>
              </w:rPr>
              <w:t>2</w:t>
            </w:r>
            <w:r>
              <w:rPr>
                <w:rFonts w:hint="eastAsia"/>
                <w:sz w:val="24"/>
                <w:szCs w:val="24"/>
                <w:u w:val="none" w:color="auto"/>
              </w:rPr>
              <w:t>）</w:t>
            </w:r>
          </w:p>
        </w:tc>
        <w:tc>
          <w:tcPr>
            <w:tcW w:w="3513" w:type="dxa"/>
            <w:vAlign w:val="center"/>
          </w:tcPr>
          <w:p w14:paraId="61700E9D">
            <w:pPr>
              <w:pStyle w:val="36"/>
              <w:rPr>
                <w:rFonts w:hint="default" w:eastAsia="宋体"/>
                <w:sz w:val="24"/>
                <w:szCs w:val="24"/>
                <w:u w:val="none" w:color="auto"/>
                <w:lang w:val="en-US" w:eastAsia="zh-CN"/>
              </w:rPr>
            </w:pPr>
            <w:r>
              <w:rPr>
                <w:rFonts w:hint="eastAsia"/>
                <w:sz w:val="24"/>
                <w:szCs w:val="24"/>
                <w:u w:val="none" w:color="auto"/>
                <w:lang w:val="en-US" w:eastAsia="zh-CN"/>
              </w:rPr>
              <w:t>9.13亩（约6086.7</w:t>
            </w:r>
            <w:r>
              <w:rPr>
                <w:rFonts w:hint="eastAsia"/>
                <w:sz w:val="24"/>
                <w:szCs w:val="24"/>
                <w:u w:val="none" w:color="auto"/>
              </w:rPr>
              <w:t>m</w:t>
            </w:r>
            <w:r>
              <w:rPr>
                <w:sz w:val="24"/>
                <w:szCs w:val="24"/>
                <w:u w:val="none" w:color="auto"/>
                <w:vertAlign w:val="superscript"/>
              </w:rPr>
              <w:t>2</w:t>
            </w:r>
            <w:r>
              <w:rPr>
                <w:rFonts w:hint="eastAsia"/>
                <w:sz w:val="24"/>
                <w:szCs w:val="24"/>
                <w:u w:val="none" w:color="auto"/>
                <w:lang w:val="en-US" w:eastAsia="zh-CN"/>
              </w:rPr>
              <w:t>）</w:t>
            </w:r>
          </w:p>
        </w:tc>
      </w:tr>
      <w:tr w14:paraId="13545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545" w:type="dxa"/>
            <w:vAlign w:val="center"/>
          </w:tcPr>
          <w:p w14:paraId="0F6B6DB5">
            <w:pPr>
              <w:pStyle w:val="36"/>
              <w:rPr>
                <w:sz w:val="24"/>
                <w:u w:val="none" w:color="auto"/>
              </w:rPr>
            </w:pPr>
            <w:r>
              <w:rPr>
                <w:rFonts w:hint="eastAsia"/>
                <w:sz w:val="24"/>
                <w:u w:val="none" w:color="auto"/>
              </w:rPr>
              <w:t>专项评价</w:t>
            </w:r>
          </w:p>
          <w:p w14:paraId="275C7958">
            <w:pPr>
              <w:pStyle w:val="36"/>
              <w:rPr>
                <w:sz w:val="24"/>
                <w:u w:val="none" w:color="auto"/>
              </w:rPr>
            </w:pPr>
            <w:r>
              <w:rPr>
                <w:rFonts w:hint="eastAsia"/>
                <w:sz w:val="24"/>
                <w:u w:val="none" w:color="auto"/>
              </w:rPr>
              <w:t>设置情况</w:t>
            </w:r>
          </w:p>
        </w:tc>
        <w:tc>
          <w:tcPr>
            <w:tcW w:w="7455" w:type="dxa"/>
            <w:gridSpan w:val="3"/>
            <w:vAlign w:val="center"/>
          </w:tcPr>
          <w:p w14:paraId="21A7EE7A">
            <w:pPr>
              <w:pStyle w:val="35"/>
              <w:ind w:firstLine="480"/>
              <w:rPr>
                <w:u w:val="none" w:color="auto"/>
              </w:rPr>
            </w:pPr>
            <w:r>
              <w:rPr>
                <w:rFonts w:hint="eastAsia"/>
                <w:u w:val="none" w:color="auto"/>
              </w:rPr>
              <w:t>根据《建设项目环境影响报告表编制技术指南（污染影响类）（试行）》专项评价设置原则及本项目情况对照如下：</w:t>
            </w:r>
          </w:p>
          <w:p w14:paraId="42747910">
            <w:pPr>
              <w:pStyle w:val="34"/>
              <w:keepNext w:val="0"/>
              <w:keepLines w:val="0"/>
              <w:pageBreakBefore w:val="0"/>
              <w:widowControl w:val="0"/>
              <w:kinsoku/>
              <w:wordWrap/>
              <w:overflowPunct/>
              <w:topLinePunct w:val="0"/>
              <w:autoSpaceDE/>
              <w:autoSpaceDN/>
              <w:bidi w:val="0"/>
              <w:adjustRightInd/>
              <w:snapToGrid/>
              <w:spacing w:before="0" w:beforeLines="0"/>
              <w:textAlignment w:val="auto"/>
              <w:rPr>
                <w:sz w:val="21"/>
                <w:szCs w:val="21"/>
                <w:u w:val="none" w:color="auto"/>
              </w:rPr>
            </w:pPr>
            <w:r>
              <w:rPr>
                <w:rFonts w:hint="eastAsia"/>
                <w:sz w:val="21"/>
                <w:szCs w:val="21"/>
                <w:u w:val="none" w:color="auto"/>
              </w:rPr>
              <w:t>表1-1  专项评价设置原则表</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3218"/>
              <w:gridCol w:w="1909"/>
              <w:gridCol w:w="1097"/>
            </w:tblGrid>
            <w:tr w14:paraId="3F8ED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Align w:val="center"/>
                </w:tcPr>
                <w:p w14:paraId="2727A171">
                  <w:pPr>
                    <w:pStyle w:val="57"/>
                    <w:rPr>
                      <w:u w:val="none" w:color="auto"/>
                    </w:rPr>
                  </w:pPr>
                  <w:r>
                    <w:rPr>
                      <w:rFonts w:hint="eastAsia"/>
                      <w:u w:val="none" w:color="auto"/>
                    </w:rPr>
                    <w:t>专项评价的类别</w:t>
                  </w:r>
                </w:p>
              </w:tc>
              <w:tc>
                <w:tcPr>
                  <w:tcW w:w="3218" w:type="dxa"/>
                  <w:vAlign w:val="center"/>
                </w:tcPr>
                <w:p w14:paraId="36693841">
                  <w:pPr>
                    <w:pStyle w:val="57"/>
                    <w:rPr>
                      <w:u w:val="none" w:color="auto"/>
                    </w:rPr>
                  </w:pPr>
                  <w:r>
                    <w:rPr>
                      <w:rFonts w:hint="eastAsia"/>
                      <w:u w:val="none" w:color="auto"/>
                    </w:rPr>
                    <w:t>设置原则</w:t>
                  </w:r>
                </w:p>
              </w:tc>
              <w:tc>
                <w:tcPr>
                  <w:tcW w:w="1909" w:type="dxa"/>
                  <w:vAlign w:val="center"/>
                </w:tcPr>
                <w:p w14:paraId="7D9FE509">
                  <w:pPr>
                    <w:pStyle w:val="57"/>
                    <w:rPr>
                      <w:u w:val="none" w:color="auto"/>
                    </w:rPr>
                  </w:pPr>
                  <w:r>
                    <w:rPr>
                      <w:rFonts w:hint="eastAsia"/>
                      <w:u w:val="none" w:color="auto"/>
                    </w:rPr>
                    <w:t>本项目情况</w:t>
                  </w:r>
                </w:p>
              </w:tc>
              <w:tc>
                <w:tcPr>
                  <w:tcW w:w="1097" w:type="dxa"/>
                  <w:vAlign w:val="center"/>
                </w:tcPr>
                <w:p w14:paraId="1780B43A">
                  <w:pPr>
                    <w:pStyle w:val="57"/>
                    <w:rPr>
                      <w:u w:val="none" w:color="auto"/>
                    </w:rPr>
                  </w:pPr>
                  <w:r>
                    <w:rPr>
                      <w:rFonts w:hint="eastAsia"/>
                      <w:u w:val="none" w:color="auto"/>
                    </w:rPr>
                    <w:t>是否设置专项评价</w:t>
                  </w:r>
                </w:p>
              </w:tc>
            </w:tr>
            <w:tr w14:paraId="36087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Align w:val="center"/>
                </w:tcPr>
                <w:p w14:paraId="66B2D1DF">
                  <w:pPr>
                    <w:pStyle w:val="57"/>
                    <w:rPr>
                      <w:u w:val="none" w:color="auto"/>
                    </w:rPr>
                  </w:pPr>
                  <w:r>
                    <w:rPr>
                      <w:rFonts w:hint="eastAsia"/>
                      <w:u w:val="none" w:color="auto"/>
                    </w:rPr>
                    <w:t>大气</w:t>
                  </w:r>
                </w:p>
              </w:tc>
              <w:tc>
                <w:tcPr>
                  <w:tcW w:w="3218" w:type="dxa"/>
                  <w:vAlign w:val="center"/>
                </w:tcPr>
                <w:p w14:paraId="752A397E">
                  <w:pPr>
                    <w:pStyle w:val="57"/>
                    <w:rPr>
                      <w:u w:val="none" w:color="auto"/>
                    </w:rPr>
                  </w:pPr>
                  <w:r>
                    <w:rPr>
                      <w:rFonts w:hint="eastAsia"/>
                      <w:u w:val="none" w:color="auto"/>
                    </w:rPr>
                    <w:t>排放废气含有毒有害污染物1</w:t>
                  </w:r>
                  <w:r>
                    <w:rPr>
                      <w:u w:val="none" w:color="auto"/>
                    </w:rPr>
                    <w:t>、二噁英、苯并[a]芘、氰化物、氯气且厂界外500 米范围内有环境空气保护目标2的建设项目</w:t>
                  </w:r>
                </w:p>
              </w:tc>
              <w:tc>
                <w:tcPr>
                  <w:tcW w:w="1909" w:type="dxa"/>
                  <w:vAlign w:val="center"/>
                </w:tcPr>
                <w:p w14:paraId="6FEC7CAC">
                  <w:pPr>
                    <w:pStyle w:val="57"/>
                    <w:rPr>
                      <w:u w:val="none" w:color="auto"/>
                    </w:rPr>
                  </w:pPr>
                  <w:r>
                    <w:rPr>
                      <w:rFonts w:hint="eastAsia"/>
                      <w:u w:val="single" w:color="auto"/>
                    </w:rPr>
                    <w:t>本项目</w:t>
                  </w:r>
                  <w:r>
                    <w:rPr>
                      <w:rFonts w:hint="eastAsia"/>
                      <w:u w:val="single" w:color="auto"/>
                      <w:lang w:val="en-US" w:eastAsia="zh-CN"/>
                    </w:rPr>
                    <w:t>使用的生物质颗粒燃料不含汞，不产生汞及其化合物，也</w:t>
                  </w:r>
                  <w:r>
                    <w:rPr>
                      <w:rFonts w:hint="eastAsia"/>
                      <w:u w:val="single" w:color="auto"/>
                    </w:rPr>
                    <w:t>不排放</w:t>
                  </w:r>
                  <w:r>
                    <w:rPr>
                      <w:rFonts w:hint="eastAsia"/>
                      <w:u w:val="single" w:color="auto"/>
                      <w:lang w:val="en-US" w:eastAsia="zh-CN"/>
                    </w:rPr>
                    <w:t>其他</w:t>
                  </w:r>
                  <w:r>
                    <w:rPr>
                      <w:rFonts w:hint="eastAsia"/>
                      <w:u w:val="single" w:color="auto"/>
                    </w:rPr>
                    <w:t>有毒有害污染物、二噁英、</w:t>
                  </w:r>
                  <w:r>
                    <w:rPr>
                      <w:u w:val="single" w:color="auto"/>
                    </w:rPr>
                    <w:t>苯并[a]芘、氰化物、氯气</w:t>
                  </w:r>
                  <w:r>
                    <w:rPr>
                      <w:rFonts w:hint="eastAsia"/>
                      <w:u w:val="single" w:color="auto"/>
                    </w:rPr>
                    <w:t>等污染物</w:t>
                  </w:r>
                </w:p>
              </w:tc>
              <w:tc>
                <w:tcPr>
                  <w:tcW w:w="1097" w:type="dxa"/>
                  <w:vAlign w:val="center"/>
                </w:tcPr>
                <w:p w14:paraId="5E77D3E2">
                  <w:pPr>
                    <w:pStyle w:val="57"/>
                    <w:rPr>
                      <w:u w:val="none" w:color="auto"/>
                    </w:rPr>
                  </w:pPr>
                  <w:r>
                    <w:rPr>
                      <w:rFonts w:hint="eastAsia"/>
                      <w:u w:val="none" w:color="auto"/>
                    </w:rPr>
                    <w:t>否</w:t>
                  </w:r>
                </w:p>
              </w:tc>
            </w:tr>
            <w:tr w14:paraId="5E1E4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Align w:val="center"/>
                </w:tcPr>
                <w:p w14:paraId="7E2E672E">
                  <w:pPr>
                    <w:pStyle w:val="57"/>
                    <w:rPr>
                      <w:u w:val="none" w:color="auto"/>
                    </w:rPr>
                  </w:pPr>
                  <w:r>
                    <w:rPr>
                      <w:rFonts w:hint="eastAsia"/>
                      <w:u w:val="none" w:color="auto"/>
                    </w:rPr>
                    <w:t>地表水</w:t>
                  </w:r>
                </w:p>
              </w:tc>
              <w:tc>
                <w:tcPr>
                  <w:tcW w:w="3218" w:type="dxa"/>
                  <w:vAlign w:val="center"/>
                </w:tcPr>
                <w:p w14:paraId="5539462C">
                  <w:pPr>
                    <w:pStyle w:val="57"/>
                    <w:rPr>
                      <w:u w:val="none" w:color="auto"/>
                    </w:rPr>
                  </w:pPr>
                  <w:r>
                    <w:rPr>
                      <w:rFonts w:hint="eastAsia"/>
                      <w:u w:val="none" w:color="auto"/>
                    </w:rPr>
                    <w:t>新增工业废水直排建设项目（槽罐车外送污水处理厂的除外）；新增废水直排的污水集中处理厂</w:t>
                  </w:r>
                </w:p>
              </w:tc>
              <w:tc>
                <w:tcPr>
                  <w:tcW w:w="1909" w:type="dxa"/>
                  <w:vAlign w:val="center"/>
                </w:tcPr>
                <w:p w14:paraId="1145E692">
                  <w:pPr>
                    <w:pStyle w:val="57"/>
                    <w:rPr>
                      <w:rFonts w:hint="default" w:eastAsia="宋体"/>
                      <w:u w:val="none" w:color="auto"/>
                      <w:lang w:val="en-US" w:eastAsia="zh-CN"/>
                    </w:rPr>
                  </w:pPr>
                  <w:r>
                    <w:rPr>
                      <w:rFonts w:hint="eastAsia"/>
                      <w:u w:val="none" w:color="auto"/>
                    </w:rPr>
                    <w:t>本项目</w:t>
                  </w:r>
                  <w:r>
                    <w:rPr>
                      <w:rFonts w:hint="eastAsia"/>
                      <w:u w:val="none" w:color="auto"/>
                      <w:lang w:val="en-US" w:eastAsia="zh-CN"/>
                    </w:rPr>
                    <w:t>废水不直接排放</w:t>
                  </w:r>
                </w:p>
              </w:tc>
              <w:tc>
                <w:tcPr>
                  <w:tcW w:w="1097" w:type="dxa"/>
                  <w:vAlign w:val="center"/>
                </w:tcPr>
                <w:p w14:paraId="41AB27AF">
                  <w:pPr>
                    <w:pStyle w:val="57"/>
                    <w:rPr>
                      <w:u w:val="none" w:color="auto"/>
                    </w:rPr>
                  </w:pPr>
                  <w:r>
                    <w:rPr>
                      <w:rFonts w:hint="eastAsia"/>
                      <w:u w:val="none" w:color="auto"/>
                    </w:rPr>
                    <w:t>否</w:t>
                  </w:r>
                </w:p>
              </w:tc>
            </w:tr>
            <w:tr w14:paraId="6CC0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Align w:val="center"/>
                </w:tcPr>
                <w:p w14:paraId="4B24A4F8">
                  <w:pPr>
                    <w:pStyle w:val="57"/>
                    <w:rPr>
                      <w:u w:val="none" w:color="auto"/>
                    </w:rPr>
                  </w:pPr>
                  <w:r>
                    <w:rPr>
                      <w:rFonts w:hint="eastAsia"/>
                      <w:u w:val="none" w:color="auto"/>
                    </w:rPr>
                    <w:t>环境风险</w:t>
                  </w:r>
                </w:p>
              </w:tc>
              <w:tc>
                <w:tcPr>
                  <w:tcW w:w="3218" w:type="dxa"/>
                  <w:vAlign w:val="center"/>
                </w:tcPr>
                <w:p w14:paraId="57D9A62B">
                  <w:pPr>
                    <w:pStyle w:val="57"/>
                    <w:rPr>
                      <w:u w:val="none" w:color="auto"/>
                    </w:rPr>
                  </w:pPr>
                  <w:r>
                    <w:rPr>
                      <w:rFonts w:hint="eastAsia"/>
                      <w:u w:val="none" w:color="auto"/>
                    </w:rPr>
                    <w:t>有毒有害和易燃易爆危险物质存储量超过临界量3的建设项目</w:t>
                  </w:r>
                </w:p>
              </w:tc>
              <w:tc>
                <w:tcPr>
                  <w:tcW w:w="1909" w:type="dxa"/>
                  <w:vAlign w:val="center"/>
                </w:tcPr>
                <w:p w14:paraId="53C8A4EC">
                  <w:pPr>
                    <w:pStyle w:val="57"/>
                    <w:rPr>
                      <w:u w:val="none" w:color="auto"/>
                    </w:rPr>
                  </w:pPr>
                  <w:r>
                    <w:rPr>
                      <w:rFonts w:hint="eastAsia"/>
                      <w:u w:val="none" w:color="auto"/>
                    </w:rPr>
                    <w:t>本项目环境风险物质未超过临界量</w:t>
                  </w:r>
                </w:p>
              </w:tc>
              <w:tc>
                <w:tcPr>
                  <w:tcW w:w="1097" w:type="dxa"/>
                  <w:vAlign w:val="center"/>
                </w:tcPr>
                <w:p w14:paraId="536BE1C0">
                  <w:pPr>
                    <w:pStyle w:val="57"/>
                    <w:rPr>
                      <w:u w:val="none" w:color="auto"/>
                    </w:rPr>
                  </w:pPr>
                  <w:r>
                    <w:rPr>
                      <w:rFonts w:hint="eastAsia"/>
                      <w:u w:val="none" w:color="auto"/>
                    </w:rPr>
                    <w:t>否</w:t>
                  </w:r>
                </w:p>
              </w:tc>
            </w:tr>
            <w:tr w14:paraId="216AD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Align w:val="center"/>
                </w:tcPr>
                <w:p w14:paraId="2DDA59EE">
                  <w:pPr>
                    <w:pStyle w:val="57"/>
                    <w:rPr>
                      <w:u w:val="none" w:color="auto"/>
                    </w:rPr>
                  </w:pPr>
                  <w:r>
                    <w:rPr>
                      <w:rFonts w:hint="eastAsia"/>
                      <w:u w:val="none" w:color="auto"/>
                    </w:rPr>
                    <w:t>生态</w:t>
                  </w:r>
                </w:p>
              </w:tc>
              <w:tc>
                <w:tcPr>
                  <w:tcW w:w="3218" w:type="dxa"/>
                  <w:vAlign w:val="center"/>
                </w:tcPr>
                <w:p w14:paraId="2CB8C991">
                  <w:pPr>
                    <w:pStyle w:val="57"/>
                    <w:rPr>
                      <w:u w:val="none" w:color="auto"/>
                    </w:rPr>
                  </w:pPr>
                  <w:r>
                    <w:rPr>
                      <w:rFonts w:hint="eastAsia"/>
                      <w:u w:val="none" w:color="auto"/>
                    </w:rPr>
                    <w:t>取水口下游</w:t>
                  </w:r>
                  <w:r>
                    <w:rPr>
                      <w:u w:val="none" w:color="auto"/>
                    </w:rPr>
                    <w:t>500米范围内有重要水生生物的自然产卵场、索饵场、越冬场和</w:t>
                  </w:r>
                  <w:r>
                    <w:rPr>
                      <w:rFonts w:hint="eastAsia"/>
                      <w:u w:val="none" w:color="auto"/>
                    </w:rPr>
                    <w:t>洄游通道的新增河道取水的污染类建设项目</w:t>
                  </w:r>
                </w:p>
              </w:tc>
              <w:tc>
                <w:tcPr>
                  <w:tcW w:w="1909" w:type="dxa"/>
                  <w:vAlign w:val="center"/>
                </w:tcPr>
                <w:p w14:paraId="48198BCE">
                  <w:pPr>
                    <w:pStyle w:val="57"/>
                    <w:rPr>
                      <w:u w:val="none" w:color="auto"/>
                    </w:rPr>
                  </w:pPr>
                  <w:r>
                    <w:rPr>
                      <w:rFonts w:hint="eastAsia"/>
                      <w:u w:val="none" w:color="auto"/>
                    </w:rPr>
                    <w:t>本项目不设置取水口</w:t>
                  </w:r>
                </w:p>
              </w:tc>
              <w:tc>
                <w:tcPr>
                  <w:tcW w:w="1097" w:type="dxa"/>
                  <w:vAlign w:val="center"/>
                </w:tcPr>
                <w:p w14:paraId="1715264B">
                  <w:pPr>
                    <w:pStyle w:val="57"/>
                    <w:rPr>
                      <w:u w:val="none" w:color="auto"/>
                    </w:rPr>
                  </w:pPr>
                  <w:r>
                    <w:rPr>
                      <w:rFonts w:hint="eastAsia"/>
                      <w:u w:val="none" w:color="auto"/>
                    </w:rPr>
                    <w:t>否</w:t>
                  </w:r>
                </w:p>
              </w:tc>
            </w:tr>
            <w:tr w14:paraId="6834E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Align w:val="center"/>
                </w:tcPr>
                <w:p w14:paraId="1ADB0613">
                  <w:pPr>
                    <w:pStyle w:val="57"/>
                    <w:rPr>
                      <w:u w:val="none" w:color="auto"/>
                    </w:rPr>
                  </w:pPr>
                  <w:r>
                    <w:rPr>
                      <w:rFonts w:hint="eastAsia"/>
                      <w:u w:val="none" w:color="auto"/>
                    </w:rPr>
                    <w:t>海洋</w:t>
                  </w:r>
                </w:p>
              </w:tc>
              <w:tc>
                <w:tcPr>
                  <w:tcW w:w="3218" w:type="dxa"/>
                  <w:vAlign w:val="center"/>
                </w:tcPr>
                <w:p w14:paraId="5F84CAF0">
                  <w:pPr>
                    <w:pStyle w:val="57"/>
                    <w:rPr>
                      <w:u w:val="none" w:color="auto"/>
                    </w:rPr>
                  </w:pPr>
                  <w:r>
                    <w:rPr>
                      <w:rFonts w:hint="eastAsia"/>
                      <w:u w:val="none" w:color="auto"/>
                    </w:rPr>
                    <w:t>直接向海排放污染物的海洋工程建设项目</w:t>
                  </w:r>
                </w:p>
              </w:tc>
              <w:tc>
                <w:tcPr>
                  <w:tcW w:w="1909" w:type="dxa"/>
                  <w:vAlign w:val="center"/>
                </w:tcPr>
                <w:p w14:paraId="046A3055">
                  <w:pPr>
                    <w:pStyle w:val="57"/>
                    <w:rPr>
                      <w:u w:val="none" w:color="auto"/>
                    </w:rPr>
                  </w:pPr>
                  <w:r>
                    <w:rPr>
                      <w:rFonts w:hint="eastAsia"/>
                      <w:u w:val="none" w:color="auto"/>
                    </w:rPr>
                    <w:t>本项目不涉及海洋</w:t>
                  </w:r>
                </w:p>
              </w:tc>
              <w:tc>
                <w:tcPr>
                  <w:tcW w:w="1097" w:type="dxa"/>
                  <w:vAlign w:val="center"/>
                </w:tcPr>
                <w:p w14:paraId="78CCE9DE">
                  <w:pPr>
                    <w:pStyle w:val="57"/>
                    <w:rPr>
                      <w:u w:val="none" w:color="auto"/>
                    </w:rPr>
                  </w:pPr>
                  <w:r>
                    <w:rPr>
                      <w:rFonts w:hint="eastAsia"/>
                      <w:u w:val="none" w:color="auto"/>
                    </w:rPr>
                    <w:t>否</w:t>
                  </w:r>
                </w:p>
              </w:tc>
            </w:tr>
          </w:tbl>
          <w:p w14:paraId="563FECB1">
            <w:pPr>
              <w:pStyle w:val="35"/>
              <w:ind w:firstLine="480"/>
              <w:rPr>
                <w:rFonts w:hint="eastAsia"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r>
              <w:rPr>
                <w:rFonts w:hint="eastAsia" w:cs="Times New Roman"/>
                <w:color w:val="000000" w:themeColor="text1"/>
                <w:kern w:val="2"/>
                <w:sz w:val="21"/>
                <w:szCs w:val="21"/>
                <w:u w:val="none" w:color="auto"/>
                <w:lang w:val="en-US" w:eastAsia="zh-CN" w:bidi="ar-SA"/>
                <w14:textFill>
                  <w14:solidFill>
                    <w14:schemeClr w14:val="tx1"/>
                  </w14:solidFill>
                </w14:textFill>
              </w:rPr>
              <w:t>注：</w:t>
            </w:r>
            <w:r>
              <w:rPr>
                <w:rFonts w:hint="eastAsia"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t>本项目配套2.5t/h生物质蒸汽锅炉，仅外购农林废弃物压制生物质成型颗粒作为燃料，生产全过程不添加任何含汞原辅材料，无污泥、危废、含汞废弃物等协同焚烧工序，生产工艺仅为楠竹物理加工+生物质清洁能源供热，从原料来源、生产流程上均不存在汞元素输入途径，</w:t>
            </w:r>
            <w:r>
              <w:rPr>
                <w:rFonts w:hint="eastAsia" w:cs="Times New Roman"/>
                <w:color w:val="000000" w:themeColor="text1"/>
                <w:kern w:val="2"/>
                <w:sz w:val="21"/>
                <w:szCs w:val="21"/>
                <w:u w:val="none" w:color="auto"/>
                <w:lang w:val="en-US" w:eastAsia="zh-CN" w:bidi="ar-SA"/>
                <w14:textFill>
                  <w14:solidFill>
                    <w14:schemeClr w14:val="tx1"/>
                  </w14:solidFill>
                </w14:textFill>
              </w:rPr>
              <w:t>锅炉</w:t>
            </w:r>
            <w:r>
              <w:rPr>
                <w:rFonts w:hint="eastAsia"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t>燃烧及生产环节不会产生汞及其化合物类污染物。</w:t>
            </w:r>
          </w:p>
          <w:p w14:paraId="4BC9D286">
            <w:pPr>
              <w:pStyle w:val="35"/>
              <w:ind w:firstLine="480"/>
              <w:rPr>
                <w:rFonts w:hint="eastAsia"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t>同时依据锅炉行业自行监测相关技术指南要求，燃生物质成型燃料锅炉无需开展汞污染物监测；对照《建设项目环境影响报告表编制技术指南（污染影响类）（试行）》大气专项评价设置判定条件，本项目不存在汞污染物排放情形，因此本项目不设置大气专项评价。</w:t>
            </w:r>
          </w:p>
          <w:p w14:paraId="50276B83">
            <w:pPr>
              <w:pStyle w:val="35"/>
              <w:ind w:firstLine="480"/>
              <w:rPr>
                <w:u w:val="none" w:color="auto"/>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根据上表可知，本项目不设置专项评价。</w:t>
            </w:r>
          </w:p>
        </w:tc>
      </w:tr>
      <w:tr w14:paraId="17520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67" w:hRule="atLeast"/>
        </w:trPr>
        <w:tc>
          <w:tcPr>
            <w:tcW w:w="1545" w:type="dxa"/>
            <w:vAlign w:val="center"/>
          </w:tcPr>
          <w:p w14:paraId="26CD57BF">
            <w:pPr>
              <w:pStyle w:val="36"/>
              <w:ind w:left="0" w:leftChars="0" w:right="0" w:rightChars="0" w:firstLine="0" w:firstLineChars="0"/>
              <w:jc w:val="center"/>
              <w:rPr>
                <w:sz w:val="24"/>
                <w:u w:val="none" w:color="auto"/>
              </w:rPr>
            </w:pPr>
            <w:r>
              <w:rPr>
                <w:rFonts w:hint="eastAsia"/>
                <w:sz w:val="24"/>
                <w:u w:val="none" w:color="auto"/>
              </w:rPr>
              <w:t>规划情况</w:t>
            </w:r>
          </w:p>
        </w:tc>
        <w:tc>
          <w:tcPr>
            <w:tcW w:w="7455" w:type="dxa"/>
            <w:gridSpan w:val="3"/>
            <w:vAlign w:val="center"/>
          </w:tcPr>
          <w:p w14:paraId="2EABFE93">
            <w:pPr>
              <w:pStyle w:val="36"/>
              <w:rPr>
                <w:rFonts w:hint="eastAsia" w:ascii="Times New Roman" w:hAnsi="Times New Roman" w:eastAsia="宋体" w:cs="Times New Roman"/>
                <w:sz w:val="24"/>
                <w:u w:val="none" w:color="auto"/>
                <w:lang w:eastAsia="zh-CN"/>
              </w:rPr>
            </w:pPr>
            <w:r>
              <w:rPr>
                <w:rFonts w:hint="eastAsia" w:cs="Times New Roman"/>
                <w:sz w:val="24"/>
                <w:u w:val="none" w:color="auto"/>
                <w:lang w:eastAsia="zh-CN"/>
              </w:rPr>
              <w:t>《</w:t>
            </w:r>
            <w:r>
              <w:rPr>
                <w:rFonts w:hint="eastAsia" w:cs="Times New Roman"/>
                <w:sz w:val="24"/>
                <w:u w:val="none" w:color="auto"/>
                <w:lang w:val="en-US" w:eastAsia="zh-CN"/>
              </w:rPr>
              <w:t>赫山区泥江口镇</w:t>
            </w:r>
            <w:r>
              <w:rPr>
                <w:rFonts w:hint="eastAsia" w:cs="Times New Roman"/>
                <w:sz w:val="24"/>
                <w:u w:val="none" w:color="auto"/>
                <w:lang w:eastAsia="zh-CN"/>
              </w:rPr>
              <w:t>国土空间规划》（2021-2035年）</w:t>
            </w:r>
          </w:p>
        </w:tc>
      </w:tr>
      <w:tr w14:paraId="2F7FB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545" w:type="dxa"/>
            <w:vAlign w:val="center"/>
          </w:tcPr>
          <w:p w14:paraId="41A7B603">
            <w:pPr>
              <w:pStyle w:val="36"/>
              <w:ind w:left="0" w:leftChars="0" w:right="0" w:rightChars="0" w:firstLine="0" w:firstLineChars="0"/>
              <w:jc w:val="center"/>
              <w:rPr>
                <w:sz w:val="24"/>
                <w:u w:val="none" w:color="auto"/>
              </w:rPr>
            </w:pPr>
            <w:r>
              <w:rPr>
                <w:rFonts w:hint="eastAsia"/>
                <w:sz w:val="24"/>
                <w:u w:val="none" w:color="auto"/>
              </w:rPr>
              <w:t>规划环境影</w:t>
            </w:r>
          </w:p>
          <w:p w14:paraId="59FE6622">
            <w:pPr>
              <w:pStyle w:val="36"/>
              <w:ind w:left="0" w:leftChars="0" w:right="0" w:rightChars="0" w:firstLine="0" w:firstLineChars="0"/>
              <w:jc w:val="center"/>
              <w:rPr>
                <w:sz w:val="24"/>
                <w:u w:val="none" w:color="auto"/>
              </w:rPr>
            </w:pPr>
            <w:r>
              <w:rPr>
                <w:rFonts w:hint="eastAsia"/>
                <w:sz w:val="24"/>
                <w:u w:val="none" w:color="auto"/>
              </w:rPr>
              <w:t>响评价情况</w:t>
            </w:r>
          </w:p>
        </w:tc>
        <w:tc>
          <w:tcPr>
            <w:tcW w:w="7455" w:type="dxa"/>
            <w:gridSpan w:val="3"/>
            <w:vAlign w:val="center"/>
          </w:tcPr>
          <w:p w14:paraId="0FA1066A">
            <w:pPr>
              <w:pStyle w:val="36"/>
              <w:rPr>
                <w:rFonts w:hint="eastAsia" w:ascii="Times New Roman" w:hAnsi="Times New Roman" w:cs="Times New Roman"/>
                <w:sz w:val="24"/>
                <w:u w:val="none" w:color="auto"/>
              </w:rPr>
            </w:pPr>
            <w:r>
              <w:rPr>
                <w:rFonts w:hint="eastAsia" w:ascii="Times New Roman" w:hAnsi="Times New Roman" w:cs="Times New Roman"/>
                <w:sz w:val="24"/>
                <w:u w:val="none" w:color="auto"/>
              </w:rPr>
              <w:t>无</w:t>
            </w:r>
          </w:p>
        </w:tc>
      </w:tr>
      <w:tr w14:paraId="0FE8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151" w:hRule="atLeast"/>
        </w:trPr>
        <w:tc>
          <w:tcPr>
            <w:tcW w:w="1545" w:type="dxa"/>
            <w:vAlign w:val="center"/>
          </w:tcPr>
          <w:p w14:paraId="52C53545">
            <w:pPr>
              <w:pStyle w:val="36"/>
              <w:ind w:left="0" w:leftChars="0" w:right="0" w:rightChars="0" w:firstLine="0" w:firstLineChars="0"/>
              <w:jc w:val="center"/>
              <w:rPr>
                <w:sz w:val="24"/>
                <w:u w:val="none" w:color="auto"/>
              </w:rPr>
            </w:pPr>
            <w:r>
              <w:rPr>
                <w:rFonts w:hint="eastAsia"/>
                <w:sz w:val="24"/>
                <w:u w:val="none" w:color="auto"/>
              </w:rPr>
              <w:t>规划及规划</w:t>
            </w:r>
          </w:p>
          <w:p w14:paraId="72998562">
            <w:pPr>
              <w:pStyle w:val="36"/>
              <w:ind w:left="0" w:leftChars="0" w:right="0" w:rightChars="0" w:firstLine="0" w:firstLineChars="0"/>
              <w:jc w:val="center"/>
              <w:rPr>
                <w:sz w:val="24"/>
                <w:u w:val="none" w:color="auto"/>
              </w:rPr>
            </w:pPr>
            <w:r>
              <w:rPr>
                <w:rFonts w:hint="eastAsia"/>
                <w:sz w:val="24"/>
                <w:u w:val="none" w:color="auto"/>
              </w:rPr>
              <w:t>环境影响评</w:t>
            </w:r>
          </w:p>
          <w:p w14:paraId="069F0155">
            <w:pPr>
              <w:pStyle w:val="36"/>
              <w:ind w:left="0" w:leftChars="0" w:right="0" w:rightChars="0" w:firstLine="0" w:firstLineChars="0"/>
              <w:jc w:val="center"/>
              <w:rPr>
                <w:sz w:val="24"/>
                <w:u w:val="none" w:color="auto"/>
              </w:rPr>
            </w:pPr>
            <w:r>
              <w:rPr>
                <w:rFonts w:hint="eastAsia"/>
                <w:sz w:val="24"/>
                <w:u w:val="none" w:color="auto"/>
              </w:rPr>
              <w:t>价符合性分析</w:t>
            </w:r>
          </w:p>
        </w:tc>
        <w:tc>
          <w:tcPr>
            <w:tcW w:w="7455" w:type="dxa"/>
            <w:gridSpan w:val="3"/>
            <w:vAlign w:val="center"/>
          </w:tcPr>
          <w:p w14:paraId="1D02CFC1">
            <w:pPr>
              <w:pStyle w:val="36"/>
              <w:numPr>
                <w:ilvl w:val="0"/>
                <w:numId w:val="0"/>
              </w:numPr>
              <w:spacing w:line="360" w:lineRule="auto"/>
              <w:jc w:val="left"/>
              <w:rPr>
                <w:rFonts w:hint="eastAsia" w:cs="Times New Roman"/>
                <w:b/>
                <w:bCs/>
                <w:sz w:val="24"/>
                <w:u w:val="none" w:color="auto"/>
                <w:lang w:val="en-US" w:eastAsia="zh-CN"/>
              </w:rPr>
            </w:pPr>
            <w:r>
              <w:rPr>
                <w:rFonts w:hint="eastAsia" w:cs="Times New Roman"/>
                <w:b/>
                <w:bCs/>
                <w:sz w:val="24"/>
                <w:u w:val="none" w:color="auto"/>
                <w:lang w:val="en-US" w:eastAsia="zh-CN"/>
              </w:rPr>
              <w:t>1</w:t>
            </w:r>
            <w:r>
              <w:rPr>
                <w:rFonts w:hint="eastAsia" w:ascii="Times New Roman" w:hAnsi="Times New Roman" w:eastAsia="宋体" w:cs="Times New Roman"/>
                <w:b/>
                <w:bCs/>
                <w:sz w:val="24"/>
                <w:u w:val="none" w:color="auto"/>
                <w:lang w:val="en-US" w:eastAsia="zh-CN"/>
              </w:rPr>
              <w:t>、与</w:t>
            </w:r>
            <w:r>
              <w:rPr>
                <w:rFonts w:hint="eastAsia" w:ascii="Times New Roman" w:hAnsi="Times New Roman" w:eastAsia="宋体" w:cs="Times New Roman"/>
                <w:b/>
                <w:bCs/>
                <w:sz w:val="24"/>
                <w:u w:val="none" w:color="auto"/>
                <w:lang w:eastAsia="zh-CN"/>
              </w:rPr>
              <w:t>《</w:t>
            </w:r>
            <w:r>
              <w:rPr>
                <w:rFonts w:hint="eastAsia" w:ascii="Times New Roman" w:hAnsi="Times New Roman" w:eastAsia="宋体" w:cs="Times New Roman"/>
                <w:b/>
                <w:bCs/>
                <w:sz w:val="24"/>
                <w:u w:val="none" w:color="auto"/>
                <w:lang w:val="en-US" w:eastAsia="zh-CN"/>
              </w:rPr>
              <w:t>赫山区泥江口镇</w:t>
            </w:r>
            <w:r>
              <w:rPr>
                <w:rFonts w:hint="eastAsia" w:ascii="Times New Roman" w:hAnsi="Times New Roman" w:eastAsia="宋体" w:cs="Times New Roman"/>
                <w:b/>
                <w:bCs/>
                <w:sz w:val="24"/>
                <w:u w:val="none" w:color="auto"/>
                <w:lang w:eastAsia="zh-CN"/>
              </w:rPr>
              <w:t>国土空间规划》（2021-2035年）</w:t>
            </w:r>
            <w:r>
              <w:rPr>
                <w:rFonts w:hint="eastAsia" w:ascii="Times New Roman" w:hAnsi="Times New Roman" w:eastAsia="宋体" w:cs="Times New Roman"/>
                <w:b/>
                <w:bCs/>
                <w:sz w:val="24"/>
                <w:u w:val="none" w:color="auto"/>
                <w:lang w:val="en-US" w:eastAsia="zh-CN"/>
              </w:rPr>
              <w:t>符合性分析</w:t>
            </w:r>
          </w:p>
          <w:p w14:paraId="0814337B">
            <w:pPr>
              <w:autoSpaceDE w:val="0"/>
              <w:autoSpaceDN w:val="0"/>
              <w:adjustRightInd w:val="0"/>
              <w:snapToGrid w:val="0"/>
              <w:spacing w:line="360" w:lineRule="auto"/>
              <w:ind w:firstLine="480" w:firstLineChars="200"/>
              <w:rPr>
                <w:rFonts w:hint="eastAsia" w:ascii="Times New Roman" w:hAnsi="Times New Roman" w:eastAsia="宋体" w:cs="Times New Roman"/>
                <w:b w:val="0"/>
                <w:bCs w:val="0"/>
                <w:sz w:val="24"/>
                <w:u w:val="none" w:color="auto"/>
                <w:lang w:val="en-US" w:eastAsia="zh-CN"/>
              </w:rPr>
            </w:pPr>
            <w:r>
              <w:rPr>
                <w:rFonts w:hint="eastAsia" w:ascii="Times New Roman" w:hAnsi="Times New Roman" w:eastAsia="宋体" w:cs="Times New Roman"/>
                <w:b w:val="0"/>
                <w:bCs w:val="0"/>
                <w:sz w:val="24"/>
                <w:u w:val="none" w:color="auto"/>
                <w:lang w:val="en-US" w:eastAsia="zh-CN"/>
              </w:rPr>
              <w:t>根据</w:t>
            </w:r>
            <w:r>
              <w:rPr>
                <w:rFonts w:hint="eastAsia" w:ascii="Times New Roman" w:hAnsi="Times New Roman" w:eastAsia="宋体" w:cs="Times New Roman"/>
                <w:b w:val="0"/>
                <w:bCs w:val="0"/>
                <w:sz w:val="24"/>
                <w:u w:val="none" w:color="auto"/>
                <w:lang w:eastAsia="zh-CN"/>
              </w:rPr>
              <w:t>《</w:t>
            </w:r>
            <w:r>
              <w:rPr>
                <w:rFonts w:hint="eastAsia" w:ascii="Times New Roman" w:hAnsi="Times New Roman" w:eastAsia="宋体" w:cs="Times New Roman"/>
                <w:b w:val="0"/>
                <w:bCs w:val="0"/>
                <w:sz w:val="24"/>
                <w:u w:val="none" w:color="auto"/>
                <w:lang w:val="en-US" w:eastAsia="zh-CN"/>
              </w:rPr>
              <w:t>赫山区泥江口镇</w:t>
            </w:r>
            <w:r>
              <w:rPr>
                <w:rFonts w:hint="eastAsia" w:ascii="Times New Roman" w:hAnsi="Times New Roman" w:eastAsia="宋体" w:cs="Times New Roman"/>
                <w:b w:val="0"/>
                <w:bCs w:val="0"/>
                <w:sz w:val="24"/>
                <w:u w:val="none" w:color="auto"/>
                <w:lang w:eastAsia="zh-CN"/>
              </w:rPr>
              <w:t>国土空间规划》（2021</w:t>
            </w:r>
            <w:r>
              <w:rPr>
                <w:rFonts w:hint="eastAsia" w:ascii="Times New Roman" w:hAnsi="Times New Roman" w:eastAsia="宋体" w:cs="Times New Roman"/>
                <w:b w:val="0"/>
                <w:bCs w:val="0"/>
                <w:sz w:val="24"/>
                <w:u w:val="none" w:color="auto"/>
                <w:lang w:val="en-US" w:eastAsia="zh-CN"/>
              </w:rPr>
              <w:t>-</w:t>
            </w:r>
            <w:r>
              <w:rPr>
                <w:rFonts w:hint="eastAsia" w:ascii="Times New Roman" w:hAnsi="Times New Roman" w:eastAsia="宋体" w:cs="Times New Roman"/>
                <w:b w:val="0"/>
                <w:bCs w:val="0"/>
                <w:sz w:val="24"/>
                <w:u w:val="none" w:color="auto"/>
                <w:lang w:eastAsia="zh-CN"/>
              </w:rPr>
              <w:t>2035年）</w:t>
            </w:r>
            <w:r>
              <w:rPr>
                <w:rFonts w:hint="eastAsia" w:ascii="Times New Roman" w:hAnsi="Times New Roman" w:eastAsia="宋体" w:cs="Times New Roman"/>
                <w:b w:val="0"/>
                <w:bCs w:val="0"/>
                <w:sz w:val="24"/>
                <w:u w:val="none" w:color="auto"/>
                <w:lang w:val="en-US" w:eastAsia="zh-CN"/>
              </w:rPr>
              <w:t>，泥江口镇的定位为“城市化地区”、“工矿型”与“重点镇”。依据上位规划的定位与泥江口镇本底资源、产业特点、发展理念等方面，泥江口镇发展定位为：坚持生态绿色发展，以“国家级农业产业强镇、湖南省竹制品产业强镇、益阳市重点发展镇、赫山区西部地区工矿大镇”为主要定位的产业发展型乡镇。</w:t>
            </w:r>
          </w:p>
          <w:p w14:paraId="64E33B37">
            <w:pPr>
              <w:autoSpaceDE w:val="0"/>
              <w:autoSpaceDN w:val="0"/>
              <w:adjustRightInd w:val="0"/>
              <w:snapToGrid w:val="0"/>
              <w:spacing w:line="360" w:lineRule="auto"/>
              <w:ind w:firstLine="480" w:firstLineChars="200"/>
              <w:rPr>
                <w:rFonts w:hint="eastAsia" w:ascii="Times New Roman" w:hAnsi="Times New Roman" w:eastAsia="宋体" w:cs="Times New Roman"/>
                <w:b w:val="0"/>
                <w:bCs w:val="0"/>
                <w:sz w:val="24"/>
                <w:u w:val="none" w:color="auto"/>
                <w:lang w:val="en-US" w:eastAsia="zh-CN"/>
              </w:rPr>
            </w:pPr>
            <w:r>
              <w:rPr>
                <w:rFonts w:hint="eastAsia" w:ascii="Times New Roman" w:hAnsi="Times New Roman" w:eastAsia="宋体" w:cs="Times New Roman"/>
                <w:b w:val="0"/>
                <w:bCs w:val="0"/>
                <w:sz w:val="24"/>
                <w:u w:val="none" w:color="auto"/>
                <w:lang w:val="en-US" w:eastAsia="zh-CN"/>
              </w:rPr>
              <w:t>至2035年，全镇落实耕地保有量不低于42921.38亩，永久基本农田面积不低于30957.66亩，城镇开发边界面积控制在216.53公顷以内，不涉及生态保护红线。</w:t>
            </w:r>
          </w:p>
          <w:p w14:paraId="01B3FA1F">
            <w:pPr>
              <w:autoSpaceDE w:val="0"/>
              <w:autoSpaceDN w:val="0"/>
              <w:adjustRightInd w:val="0"/>
              <w:snapToGrid w:val="0"/>
              <w:spacing w:line="360" w:lineRule="auto"/>
              <w:ind w:firstLine="480" w:firstLineChars="200"/>
              <w:rPr>
                <w:rFonts w:hint="default" w:ascii="Times New Roman" w:hAnsi="Times New Roman" w:eastAsia="宋体" w:cs="Times New Roman"/>
                <w:b w:val="0"/>
                <w:bCs w:val="0"/>
                <w:sz w:val="24"/>
                <w:u w:val="none" w:color="auto"/>
                <w:lang w:val="en-US" w:eastAsia="zh-CN"/>
              </w:rPr>
            </w:pPr>
            <w:r>
              <w:rPr>
                <w:rFonts w:hint="eastAsia" w:ascii="Times New Roman" w:hAnsi="Times New Roman" w:eastAsia="宋体" w:cs="Times New Roman"/>
                <w:b w:val="0"/>
                <w:bCs w:val="0"/>
                <w:sz w:val="24"/>
                <w:u w:val="none" w:color="auto"/>
                <w:lang w:val="en-US" w:eastAsia="zh-CN"/>
              </w:rPr>
              <w:t>本项目位于湖南省益阳市赫山区泥江口镇水满村，用地性质为工业用地，</w:t>
            </w:r>
            <w:r>
              <w:rPr>
                <w:rFonts w:ascii="宋体" w:hAnsi="宋体" w:eastAsia="宋体" w:cs="宋体"/>
                <w:sz w:val="24"/>
                <w:szCs w:val="24"/>
              </w:rPr>
              <w:t>未占用生态保护红线、永久基本农田，严格契合该镇国土空间规划“三区三线”管控要求及“一心两轴一平台、一廊多点两片区”总体布局；泥江口镇依托丰</w:t>
            </w:r>
            <w:r>
              <w:rPr>
                <w:rFonts w:hint="eastAsia" w:ascii="宋体" w:hAnsi="宋体" w:eastAsia="宋体" w:cs="宋体"/>
                <w:sz w:val="24"/>
                <w:szCs w:val="24"/>
                <w:lang w:eastAsia="zh-CN"/>
              </w:rPr>
              <w:t>富的</w:t>
            </w:r>
            <w:r>
              <w:rPr>
                <w:rFonts w:ascii="宋体" w:hAnsi="宋体" w:eastAsia="宋体" w:cs="宋体"/>
                <w:sz w:val="24"/>
                <w:szCs w:val="24"/>
              </w:rPr>
              <w:t>竹林资源，将竹制品加工列为重点发展产业，本项目属于规划鼓励的竹材精深加工范畴，与当地“竹业兴镇”的产业发展定位高度相符。项目采用物理加工工艺，污染物均配套成熟环保治</w:t>
            </w:r>
            <w:r>
              <w:rPr>
                <w:rFonts w:hint="default" w:ascii="Times New Roman" w:hAnsi="Times New Roman" w:eastAsia="宋体" w:cs="Times New Roman"/>
                <w:sz w:val="24"/>
                <w:szCs w:val="24"/>
              </w:rPr>
              <w:t>理设施，各类污染物可稳定达标排放，固废实现资源化综合利用，综上，本项目建设与《赫山区泥江口镇国土空间规划（2021-2035 年）》各项要求均相符。</w:t>
            </w:r>
          </w:p>
        </w:tc>
      </w:tr>
      <w:tr w14:paraId="7FDC7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545" w:type="dxa"/>
            <w:vAlign w:val="center"/>
          </w:tcPr>
          <w:p w14:paraId="07355CDF">
            <w:pPr>
              <w:pStyle w:val="36"/>
              <w:rPr>
                <w:sz w:val="24"/>
                <w:u w:val="none" w:color="auto"/>
              </w:rPr>
            </w:pPr>
            <w:r>
              <w:rPr>
                <w:rFonts w:hint="eastAsia"/>
                <w:sz w:val="24"/>
                <w:u w:val="none" w:color="auto"/>
              </w:rPr>
              <w:t>其他符合性分析</w:t>
            </w:r>
          </w:p>
        </w:tc>
        <w:tc>
          <w:tcPr>
            <w:tcW w:w="7455" w:type="dxa"/>
            <w:gridSpan w:val="3"/>
          </w:tcPr>
          <w:p w14:paraId="5B114157">
            <w:pPr>
              <w:pStyle w:val="75"/>
              <w:ind w:firstLine="480"/>
              <w:rPr>
                <w:b/>
                <w:bCs/>
                <w:u w:val="none" w:color="auto"/>
              </w:rPr>
            </w:pPr>
            <w:r>
              <w:rPr>
                <w:rFonts w:hint="eastAsia"/>
                <w:b/>
                <w:bCs/>
                <w:u w:val="none" w:color="auto"/>
                <w:lang w:val="en-US" w:eastAsia="zh-CN"/>
              </w:rPr>
              <w:t>1</w:t>
            </w:r>
            <w:r>
              <w:rPr>
                <w:rFonts w:hint="eastAsia"/>
                <w:b/>
                <w:bCs/>
                <w:u w:val="none" w:color="auto"/>
              </w:rPr>
              <w:t>、产业政策符合性分析</w:t>
            </w:r>
          </w:p>
          <w:p w14:paraId="4CC27D8D">
            <w:pPr>
              <w:pStyle w:val="75"/>
              <w:ind w:firstLine="480"/>
              <w:rPr>
                <w:rFonts w:hint="eastAsia"/>
                <w:u w:val="none" w:color="auto"/>
              </w:rPr>
            </w:pPr>
            <w:r>
              <w:rPr>
                <w:rFonts w:hint="eastAsia"/>
                <w:u w:val="none" w:color="auto"/>
              </w:rPr>
              <w:t>本项目为C2041竹制品制造、D4430热力生产和供应业，</w:t>
            </w:r>
            <w:r>
              <w:rPr>
                <w:rFonts w:hint="eastAsia"/>
                <w:u w:val="none" w:color="auto"/>
                <w:lang w:val="en-US" w:eastAsia="zh-CN"/>
              </w:rPr>
              <w:t>设有</w:t>
            </w:r>
            <w:r>
              <w:rPr>
                <w:rFonts w:hint="eastAsia"/>
                <w:u w:val="none" w:color="auto"/>
              </w:rPr>
              <w:t>1台2.5t/h的生物质蒸汽锅炉</w:t>
            </w:r>
            <w:r>
              <w:rPr>
                <w:rFonts w:hint="eastAsia"/>
                <w:u w:val="none" w:color="auto"/>
                <w:lang w:eastAsia="zh-CN"/>
              </w:rPr>
              <w:t>，</w:t>
            </w:r>
            <w:r>
              <w:rPr>
                <w:rFonts w:hint="eastAsia"/>
                <w:u w:val="none" w:color="auto"/>
              </w:rPr>
              <w:t>属于“D4430 热力生产和供应”，经</w:t>
            </w:r>
            <w:r>
              <w:rPr>
                <w:rFonts w:hint="eastAsia"/>
                <w:u w:val="none" w:color="auto"/>
                <w:lang w:eastAsia="zh-CN"/>
              </w:rPr>
              <w:t>查</w:t>
            </w:r>
            <w:r>
              <w:rPr>
                <w:rFonts w:hint="eastAsia"/>
                <w:u w:val="none" w:color="auto"/>
              </w:rPr>
              <w:t>对《产业结构调整指导目录</w:t>
            </w:r>
            <w:r>
              <w:rPr>
                <w:rFonts w:hint="eastAsia"/>
                <w:u w:val="none" w:color="auto"/>
                <w:lang w:eastAsia="zh-CN"/>
              </w:rPr>
              <w:t>（</w:t>
            </w:r>
            <w:r>
              <w:rPr>
                <w:rFonts w:hint="eastAsia"/>
                <w:u w:val="none" w:color="auto"/>
              </w:rPr>
              <w:t>2024年本</w:t>
            </w:r>
            <w:r>
              <w:rPr>
                <w:rFonts w:hint="eastAsia"/>
                <w:u w:val="none" w:color="auto"/>
                <w:lang w:eastAsia="zh-CN"/>
              </w:rPr>
              <w:t>）</w:t>
            </w:r>
            <w:r>
              <w:rPr>
                <w:rFonts w:hint="eastAsia"/>
                <w:u w:val="none" w:color="auto"/>
              </w:rPr>
              <w:t>》“第二类--限制类--十一、机械</w:t>
            </w:r>
            <w:r>
              <w:rPr>
                <w:rFonts w:hint="eastAsia"/>
                <w:u w:val="none" w:color="auto"/>
                <w:lang w:eastAsia="zh-CN"/>
              </w:rPr>
              <w:t>：</w:t>
            </w:r>
            <w:r>
              <w:rPr>
                <w:rFonts w:hint="eastAsia"/>
                <w:u w:val="none" w:color="auto"/>
              </w:rPr>
              <w:t>57.每小时 35 蒸吨及以下固定炉排式生物质锅炉</w:t>
            </w:r>
            <w:r>
              <w:rPr>
                <w:rFonts w:hint="eastAsia"/>
                <w:u w:val="none" w:color="auto"/>
                <w:lang w:eastAsia="zh-CN"/>
              </w:rPr>
              <w:t>；</w:t>
            </w:r>
            <w:r>
              <w:rPr>
                <w:rFonts w:hint="eastAsia"/>
                <w:u w:val="none" w:color="auto"/>
              </w:rPr>
              <w:t>第三类--淘汰类--二、落后产品-</w:t>
            </w:r>
            <w:r>
              <w:rPr>
                <w:rFonts w:hint="eastAsia"/>
                <w:u w:val="none" w:color="auto"/>
                <w:lang w:eastAsia="zh-CN"/>
              </w:rPr>
              <w:t>（</w:t>
            </w:r>
            <w:r>
              <w:rPr>
                <w:rFonts w:hint="eastAsia"/>
                <w:u w:val="none" w:color="auto"/>
              </w:rPr>
              <w:t>七</w:t>
            </w:r>
            <w:r>
              <w:rPr>
                <w:rFonts w:hint="eastAsia"/>
                <w:u w:val="none" w:color="auto"/>
                <w:lang w:eastAsia="zh-CN"/>
              </w:rPr>
              <w:t>）</w:t>
            </w:r>
            <w:r>
              <w:rPr>
                <w:rFonts w:hint="eastAsia"/>
                <w:u w:val="none" w:color="auto"/>
              </w:rPr>
              <w:t>机械</w:t>
            </w:r>
            <w:r>
              <w:rPr>
                <w:rFonts w:hint="eastAsia"/>
                <w:u w:val="none" w:color="auto"/>
                <w:lang w:eastAsia="zh-CN"/>
              </w:rPr>
              <w:t>：</w:t>
            </w:r>
            <w:r>
              <w:rPr>
                <w:rFonts w:hint="eastAsia"/>
                <w:u w:val="none" w:color="auto"/>
              </w:rPr>
              <w:t>66.每小时2蒸吨及以下生物质锅炉”，对照上述情况，本项目不属于其限制和淘汰类</w:t>
            </w:r>
            <w:r>
              <w:rPr>
                <w:rFonts w:hint="eastAsia"/>
                <w:u w:val="none" w:color="auto"/>
                <w:lang w:eastAsia="zh-CN"/>
              </w:rPr>
              <w:t>；</w:t>
            </w:r>
            <w:r>
              <w:rPr>
                <w:rFonts w:hint="eastAsia"/>
                <w:u w:val="none" w:color="auto"/>
              </w:rPr>
              <w:t>结合湖南省市场监督管理局办公室关于落实《锅炉绿色低碳高质量发展行动方案》的实施意见中“湖南省锅炉使用负面清单”，不属于需要淘汰注销的锅炉</w:t>
            </w:r>
            <w:r>
              <w:rPr>
                <w:rFonts w:hint="eastAsia"/>
                <w:u w:val="none" w:color="auto"/>
                <w:lang w:eastAsia="zh-CN"/>
              </w:rPr>
              <w:t>（</w:t>
            </w:r>
            <w:r>
              <w:rPr>
                <w:rFonts w:hint="eastAsia"/>
                <w:u w:val="none" w:color="auto"/>
              </w:rPr>
              <w:t>每小时2蒸吨及以下生物质锅炉</w:t>
            </w:r>
            <w:r>
              <w:rPr>
                <w:rFonts w:hint="eastAsia"/>
                <w:u w:val="none" w:color="auto"/>
                <w:lang w:eastAsia="zh-CN"/>
              </w:rPr>
              <w:t>）</w:t>
            </w:r>
            <w:r>
              <w:rPr>
                <w:rFonts w:hint="eastAsia"/>
                <w:u w:val="none" w:color="auto"/>
              </w:rPr>
              <w:t>，本项目锅炉型号及燃料种类为允许类，符合国家和地方现行产业政策。</w:t>
            </w:r>
          </w:p>
          <w:p w14:paraId="25387ECD">
            <w:pPr>
              <w:pStyle w:val="75"/>
              <w:ind w:firstLine="480"/>
              <w:rPr>
                <w:b/>
                <w:bCs/>
                <w:u w:val="none" w:color="auto"/>
              </w:rPr>
            </w:pPr>
            <w:r>
              <w:rPr>
                <w:rFonts w:hint="eastAsia"/>
                <w:b/>
                <w:bCs/>
                <w:u w:val="none" w:color="auto"/>
                <w:lang w:val="en-US" w:eastAsia="zh-CN"/>
              </w:rPr>
              <w:t>2</w:t>
            </w:r>
            <w:r>
              <w:rPr>
                <w:rFonts w:hint="eastAsia"/>
                <w:b/>
                <w:bCs/>
                <w:u w:val="none" w:color="auto"/>
              </w:rPr>
              <w:t>、</w:t>
            </w:r>
            <w:r>
              <w:rPr>
                <w:rFonts w:hint="eastAsia" w:ascii="Times New Roman" w:hAnsi="Times New Roman" w:eastAsia="宋体" w:cs="Times New Roman"/>
                <w:b/>
                <w:bCs/>
                <w:kern w:val="2"/>
                <w:sz w:val="24"/>
                <w:szCs w:val="24"/>
                <w:u w:val="none" w:color="auto"/>
                <w:lang w:val="en-US" w:eastAsia="zh-CN" w:bidi="ar-SA"/>
              </w:rPr>
              <w:t>生态环境分区管控要求符合性分析</w:t>
            </w:r>
          </w:p>
          <w:p w14:paraId="5C06CD54">
            <w:pPr>
              <w:autoSpaceDE w:val="0"/>
              <w:autoSpaceDN w:val="0"/>
              <w:adjustRightInd w:val="0"/>
              <w:snapToGrid w:val="0"/>
              <w:spacing w:line="360" w:lineRule="auto"/>
              <w:ind w:firstLine="480" w:firstLineChars="200"/>
              <w:jc w:val="left"/>
              <w:rPr>
                <w:rFonts w:hint="eastAsia" w:ascii="Times New Roman" w:hAnsi="Times New Roman" w:eastAsia="宋体" w:cstheme="minorBidi"/>
                <w:kern w:val="2"/>
                <w:sz w:val="24"/>
                <w:szCs w:val="22"/>
                <w:u w:val="none" w:color="auto"/>
                <w:lang w:val="en-US" w:eastAsia="zh-CN" w:bidi="ar-SA"/>
              </w:rPr>
            </w:pPr>
            <w:r>
              <w:rPr>
                <w:rFonts w:hint="eastAsia" w:ascii="Times New Roman" w:hAnsi="Times New Roman" w:eastAsia="宋体" w:cstheme="minorBidi"/>
                <w:kern w:val="2"/>
                <w:sz w:val="24"/>
                <w:szCs w:val="22"/>
                <w:u w:val="none" w:color="auto"/>
                <w:lang w:val="en-US" w:eastAsia="zh-CN" w:bidi="ar-SA"/>
              </w:rPr>
              <w:t>本项目位于湖南省益阳市赫山区泥江口镇水满村，根据《关于实施“三线一单”生态环境分区管控的</w:t>
            </w:r>
            <w:r>
              <w:rPr>
                <w:rFonts w:hint="default" w:ascii="Times New Roman" w:hAnsi="Times New Roman" w:eastAsia="宋体" w:cstheme="minorBidi"/>
                <w:kern w:val="2"/>
                <w:sz w:val="24"/>
                <w:szCs w:val="22"/>
                <w:u w:val="none" w:color="auto"/>
                <w:lang w:val="en-US" w:eastAsia="zh-CN" w:bidi="ar-SA"/>
              </w:rPr>
              <w:t>意见》（益政发〔202</w:t>
            </w:r>
            <w:r>
              <w:rPr>
                <w:rFonts w:hint="eastAsia" w:ascii="Times New Roman" w:hAnsi="Times New Roman" w:eastAsia="宋体" w:cstheme="minorBidi"/>
                <w:kern w:val="2"/>
                <w:sz w:val="24"/>
                <w:szCs w:val="22"/>
                <w:u w:val="none" w:color="auto"/>
                <w:lang w:val="en-US" w:eastAsia="zh-CN" w:bidi="ar-SA"/>
              </w:rPr>
              <w:t>4</w:t>
            </w:r>
            <w:r>
              <w:rPr>
                <w:rFonts w:hint="default" w:ascii="Times New Roman" w:hAnsi="Times New Roman" w:eastAsia="宋体" w:cstheme="minorBidi"/>
                <w:kern w:val="2"/>
                <w:sz w:val="24"/>
                <w:szCs w:val="22"/>
                <w:u w:val="none" w:color="auto"/>
                <w:lang w:val="en-US" w:eastAsia="zh-CN" w:bidi="ar-SA"/>
              </w:rPr>
              <w:t>〕</w:t>
            </w:r>
            <w:r>
              <w:rPr>
                <w:rFonts w:hint="eastAsia" w:ascii="Times New Roman" w:hAnsi="Times New Roman" w:eastAsia="宋体" w:cstheme="minorBidi"/>
                <w:kern w:val="2"/>
                <w:sz w:val="24"/>
                <w:szCs w:val="22"/>
                <w:u w:val="none" w:color="auto"/>
                <w:lang w:val="en-US" w:eastAsia="zh-CN" w:bidi="ar-SA"/>
              </w:rPr>
              <w:t>11</w:t>
            </w:r>
            <w:r>
              <w:rPr>
                <w:rFonts w:hint="default" w:ascii="Times New Roman" w:hAnsi="Times New Roman" w:eastAsia="宋体" w:cstheme="minorBidi"/>
                <w:kern w:val="2"/>
                <w:sz w:val="24"/>
                <w:szCs w:val="22"/>
                <w:u w:val="none" w:color="auto"/>
                <w:lang w:val="en-US" w:eastAsia="zh-CN" w:bidi="ar-SA"/>
              </w:rPr>
              <w:t>号），项目所在地</w:t>
            </w:r>
            <w:r>
              <w:rPr>
                <w:rFonts w:hint="eastAsia" w:ascii="Times New Roman" w:hAnsi="Times New Roman" w:eastAsia="宋体" w:cstheme="minorBidi"/>
                <w:kern w:val="2"/>
                <w:sz w:val="24"/>
                <w:szCs w:val="22"/>
                <w:u w:val="none" w:color="auto"/>
                <w:lang w:val="en-US" w:eastAsia="zh-CN" w:bidi="ar-SA"/>
              </w:rPr>
              <w:t>泥江口镇</w:t>
            </w:r>
            <w:r>
              <w:rPr>
                <w:rFonts w:hint="default" w:ascii="Times New Roman" w:hAnsi="Times New Roman" w:eastAsia="宋体" w:cstheme="minorBidi"/>
                <w:kern w:val="2"/>
                <w:sz w:val="24"/>
                <w:szCs w:val="22"/>
                <w:u w:val="none" w:color="auto"/>
                <w:lang w:val="en-US" w:eastAsia="zh-CN" w:bidi="ar-SA"/>
              </w:rPr>
              <w:t>属于</w:t>
            </w:r>
            <w:r>
              <w:rPr>
                <w:rFonts w:hint="eastAsia" w:ascii="Times New Roman" w:hAnsi="Times New Roman" w:eastAsia="宋体" w:cstheme="minorBidi"/>
                <w:kern w:val="2"/>
                <w:sz w:val="24"/>
                <w:szCs w:val="22"/>
                <w:u w:val="none" w:color="auto"/>
                <w:lang w:val="en-US" w:eastAsia="zh-CN" w:bidi="ar-SA"/>
              </w:rPr>
              <w:t>“重点管控单元”</w:t>
            </w:r>
            <w:r>
              <w:rPr>
                <w:rFonts w:hint="default" w:ascii="Times New Roman" w:hAnsi="Times New Roman" w:eastAsia="宋体" w:cstheme="minorBidi"/>
                <w:kern w:val="2"/>
                <w:sz w:val="24"/>
                <w:szCs w:val="22"/>
                <w:u w:val="none" w:color="auto"/>
                <w:lang w:val="en-US" w:eastAsia="zh-CN" w:bidi="ar-SA"/>
              </w:rPr>
              <w:t>，</w:t>
            </w:r>
            <w:r>
              <w:rPr>
                <w:rFonts w:hint="eastAsia" w:ascii="Times New Roman" w:hAnsi="Times New Roman" w:eastAsia="宋体" w:cstheme="minorBidi"/>
                <w:kern w:val="2"/>
                <w:sz w:val="24"/>
                <w:szCs w:val="22"/>
                <w:u w:val="none" w:color="auto"/>
                <w:lang w:val="en-US" w:eastAsia="zh-CN" w:bidi="ar-SA"/>
              </w:rPr>
              <w:t>环境管控单元编码为ZH43090320001。根据下表对照分析，项目建设符合其环境准入及管控要求：</w:t>
            </w:r>
          </w:p>
          <w:p w14:paraId="32241661">
            <w:pPr>
              <w:pStyle w:val="21"/>
              <w:spacing w:after="0" w:line="240" w:lineRule="auto"/>
              <w:ind w:left="0" w:leftChars="0"/>
              <w:jc w:val="center"/>
              <w:rPr>
                <w:rFonts w:hint="default" w:ascii="Times New Roman" w:hAnsi="Times New Roman" w:eastAsia="宋体" w:cs="Times New Roman"/>
                <w:b/>
                <w:sz w:val="21"/>
                <w:szCs w:val="18"/>
                <w:u w:val="none" w:color="auto"/>
              </w:rPr>
            </w:pPr>
            <w:r>
              <w:rPr>
                <w:rFonts w:hint="default" w:ascii="Times New Roman" w:hAnsi="Times New Roman" w:eastAsia="宋体" w:cs="Times New Roman"/>
                <w:b/>
                <w:sz w:val="21"/>
                <w:szCs w:val="18"/>
                <w:u w:val="none" w:color="auto"/>
              </w:rPr>
              <w:t>表1-</w:t>
            </w:r>
            <w:r>
              <w:rPr>
                <w:rFonts w:hint="eastAsia" w:ascii="Times New Roman" w:hAnsi="Times New Roman" w:eastAsia="宋体" w:cs="Times New Roman"/>
                <w:b/>
                <w:sz w:val="21"/>
                <w:szCs w:val="18"/>
                <w:u w:val="none" w:color="auto"/>
                <w:lang w:val="en-US" w:eastAsia="zh-CN"/>
              </w:rPr>
              <w:t xml:space="preserve">2 </w:t>
            </w:r>
            <w:r>
              <w:rPr>
                <w:rFonts w:hint="default" w:ascii="Times New Roman" w:hAnsi="Times New Roman" w:eastAsia="宋体" w:cs="Times New Roman"/>
                <w:b/>
                <w:sz w:val="21"/>
                <w:szCs w:val="18"/>
                <w:u w:val="none" w:color="auto"/>
              </w:rPr>
              <w:t xml:space="preserve"> 环境管控单元准入清单</w:t>
            </w:r>
          </w:p>
          <w:tbl>
            <w:tblPr>
              <w:tblStyle w:val="27"/>
              <w:tblW w:w="730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200"/>
              <w:gridCol w:w="1097"/>
              <w:gridCol w:w="509"/>
              <w:gridCol w:w="475"/>
              <w:gridCol w:w="537"/>
              <w:gridCol w:w="786"/>
              <w:gridCol w:w="178"/>
              <w:gridCol w:w="699"/>
              <w:gridCol w:w="862"/>
              <w:gridCol w:w="316"/>
              <w:gridCol w:w="642"/>
            </w:tblGrid>
            <w:tr w14:paraId="368A24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22" w:hRule="atLeast"/>
                <w:jc w:val="center"/>
              </w:trPr>
              <w:tc>
                <w:tcPr>
                  <w:tcW w:w="1200" w:type="dxa"/>
                  <w:vMerge w:val="restart"/>
                  <w:tcBorders>
                    <w:tl2br w:val="nil"/>
                    <w:tr2bl w:val="nil"/>
                  </w:tcBorders>
                  <w:noWrap w:val="0"/>
                  <w:tcMar>
                    <w:left w:w="108" w:type="dxa"/>
                    <w:right w:w="108" w:type="dxa"/>
                  </w:tcMar>
                  <w:vAlign w:val="center"/>
                </w:tcPr>
                <w:p w14:paraId="033F1AB3">
                  <w:pPr>
                    <w:pStyle w:val="57"/>
                    <w:rPr>
                      <w:rFonts w:hint="default" w:ascii="Times New Roman" w:hAnsi="Times New Roman" w:eastAsia="宋体"/>
                      <w:u w:val="none" w:color="auto"/>
                    </w:rPr>
                  </w:pPr>
                  <w:r>
                    <w:rPr>
                      <w:rFonts w:hint="eastAsia" w:ascii="Times New Roman" w:hAnsi="Times New Roman" w:eastAsia="宋体"/>
                      <w:u w:val="none" w:color="auto"/>
                    </w:rPr>
                    <w:t>环境管控单元编码</w:t>
                  </w:r>
                </w:p>
              </w:tc>
              <w:tc>
                <w:tcPr>
                  <w:tcW w:w="1097" w:type="dxa"/>
                  <w:vMerge w:val="restart"/>
                  <w:tcBorders>
                    <w:tl2br w:val="nil"/>
                    <w:tr2bl w:val="nil"/>
                  </w:tcBorders>
                  <w:noWrap w:val="0"/>
                  <w:tcMar>
                    <w:left w:w="108" w:type="dxa"/>
                    <w:right w:w="108" w:type="dxa"/>
                  </w:tcMar>
                  <w:vAlign w:val="center"/>
                </w:tcPr>
                <w:p w14:paraId="1CBC7F3F">
                  <w:pPr>
                    <w:pStyle w:val="57"/>
                    <w:rPr>
                      <w:rFonts w:hint="default" w:ascii="Times New Roman" w:hAnsi="Times New Roman" w:eastAsia="宋体"/>
                      <w:u w:val="none" w:color="auto"/>
                    </w:rPr>
                  </w:pPr>
                  <w:r>
                    <w:rPr>
                      <w:rFonts w:hint="eastAsia" w:ascii="Times New Roman" w:hAnsi="Times New Roman" w:eastAsia="宋体"/>
                      <w:u w:val="none" w:color="auto"/>
                    </w:rPr>
                    <w:t>单元名称</w:t>
                  </w:r>
                </w:p>
              </w:tc>
              <w:tc>
                <w:tcPr>
                  <w:tcW w:w="1521" w:type="dxa"/>
                  <w:gridSpan w:val="3"/>
                  <w:tcBorders>
                    <w:tl2br w:val="nil"/>
                    <w:tr2bl w:val="nil"/>
                  </w:tcBorders>
                  <w:noWrap w:val="0"/>
                  <w:tcMar>
                    <w:left w:w="108" w:type="dxa"/>
                    <w:right w:w="108" w:type="dxa"/>
                  </w:tcMar>
                  <w:vAlign w:val="center"/>
                </w:tcPr>
                <w:p w14:paraId="65A04F20">
                  <w:pPr>
                    <w:pStyle w:val="57"/>
                    <w:rPr>
                      <w:rFonts w:hint="default" w:ascii="Times New Roman" w:hAnsi="Times New Roman" w:eastAsia="宋体"/>
                      <w:u w:val="none" w:color="auto"/>
                    </w:rPr>
                  </w:pPr>
                  <w:r>
                    <w:rPr>
                      <w:rFonts w:hint="eastAsia" w:ascii="Times New Roman" w:hAnsi="Times New Roman" w:eastAsia="宋体"/>
                      <w:u w:val="none" w:color="auto"/>
                    </w:rPr>
                    <w:t>行政区划</w:t>
                  </w:r>
                </w:p>
              </w:tc>
              <w:tc>
                <w:tcPr>
                  <w:tcW w:w="786" w:type="dxa"/>
                  <w:vMerge w:val="restart"/>
                  <w:tcBorders>
                    <w:tl2br w:val="nil"/>
                    <w:tr2bl w:val="nil"/>
                  </w:tcBorders>
                  <w:noWrap w:val="0"/>
                  <w:tcMar>
                    <w:left w:w="108" w:type="dxa"/>
                    <w:right w:w="108" w:type="dxa"/>
                  </w:tcMar>
                  <w:vAlign w:val="center"/>
                </w:tcPr>
                <w:p w14:paraId="6D5FB17F">
                  <w:pPr>
                    <w:pStyle w:val="57"/>
                    <w:rPr>
                      <w:rFonts w:hint="default" w:ascii="Times New Roman" w:hAnsi="Times New Roman" w:eastAsia="宋体"/>
                      <w:u w:val="none" w:color="auto"/>
                    </w:rPr>
                  </w:pPr>
                  <w:r>
                    <w:rPr>
                      <w:rFonts w:hint="eastAsia" w:ascii="Times New Roman" w:hAnsi="Times New Roman" w:eastAsia="宋体"/>
                      <w:u w:val="none" w:color="auto"/>
                    </w:rPr>
                    <w:t>单元分类</w:t>
                  </w:r>
                </w:p>
              </w:tc>
              <w:tc>
                <w:tcPr>
                  <w:tcW w:w="877" w:type="dxa"/>
                  <w:gridSpan w:val="2"/>
                  <w:vMerge w:val="restart"/>
                  <w:tcBorders>
                    <w:tl2br w:val="nil"/>
                    <w:tr2bl w:val="nil"/>
                  </w:tcBorders>
                  <w:noWrap w:val="0"/>
                  <w:tcMar>
                    <w:left w:w="108" w:type="dxa"/>
                    <w:right w:w="108" w:type="dxa"/>
                  </w:tcMar>
                  <w:vAlign w:val="center"/>
                </w:tcPr>
                <w:p w14:paraId="75090DA4">
                  <w:pPr>
                    <w:pStyle w:val="57"/>
                    <w:rPr>
                      <w:rFonts w:hint="default" w:ascii="Times New Roman" w:hAnsi="Times New Roman" w:eastAsia="宋体"/>
                      <w:u w:val="none" w:color="auto"/>
                    </w:rPr>
                  </w:pPr>
                  <w:r>
                    <w:rPr>
                      <w:rFonts w:hint="eastAsia" w:ascii="Times New Roman" w:hAnsi="Times New Roman" w:eastAsia="宋体"/>
                      <w:u w:val="none" w:color="auto"/>
                    </w:rPr>
                    <w:t>单元面积</w:t>
                  </w:r>
                  <w:r>
                    <w:rPr>
                      <w:rFonts w:hint="eastAsia" w:ascii="Times New Roman" w:hAnsi="Times New Roman" w:eastAsia="宋体"/>
                      <w:u w:val="none" w:color="auto"/>
                      <w:lang w:eastAsia="zh-CN"/>
                    </w:rPr>
                    <w:t>（</w:t>
                  </w:r>
                  <w:r>
                    <w:rPr>
                      <w:rFonts w:hint="default" w:ascii="Times New Roman" w:hAnsi="Times New Roman" w:eastAsia="宋体"/>
                      <w:u w:val="none" w:color="auto"/>
                    </w:rPr>
                    <w:t>km</w:t>
                  </w:r>
                  <w:r>
                    <w:rPr>
                      <w:rFonts w:hint="default" w:ascii="Times New Roman" w:hAnsi="Times New Roman" w:eastAsia="宋体"/>
                      <w:u w:val="none" w:color="auto"/>
                      <w:vertAlign w:val="superscript"/>
                    </w:rPr>
                    <w:t>2</w:t>
                  </w:r>
                  <w:r>
                    <w:rPr>
                      <w:rFonts w:hint="eastAsia" w:ascii="Times New Roman" w:hAnsi="Times New Roman" w:eastAsia="宋体"/>
                      <w:u w:val="none" w:color="auto"/>
                      <w:lang w:eastAsia="zh-CN"/>
                    </w:rPr>
                    <w:t>）</w:t>
                  </w:r>
                </w:p>
              </w:tc>
              <w:tc>
                <w:tcPr>
                  <w:tcW w:w="862" w:type="dxa"/>
                  <w:vMerge w:val="restart"/>
                  <w:tcBorders>
                    <w:tl2br w:val="nil"/>
                    <w:tr2bl w:val="nil"/>
                  </w:tcBorders>
                  <w:noWrap w:val="0"/>
                  <w:tcMar>
                    <w:left w:w="108" w:type="dxa"/>
                    <w:right w:w="108" w:type="dxa"/>
                  </w:tcMar>
                  <w:vAlign w:val="center"/>
                </w:tcPr>
                <w:p w14:paraId="42E498DD">
                  <w:pPr>
                    <w:pStyle w:val="57"/>
                    <w:rPr>
                      <w:rFonts w:hint="default" w:ascii="Times New Roman" w:hAnsi="Times New Roman" w:eastAsia="宋体"/>
                      <w:u w:val="none" w:color="auto"/>
                    </w:rPr>
                  </w:pPr>
                  <w:r>
                    <w:rPr>
                      <w:rFonts w:hint="eastAsia" w:ascii="Times New Roman" w:hAnsi="Times New Roman" w:eastAsia="宋体"/>
                      <w:u w:val="none" w:color="auto"/>
                    </w:rPr>
                    <w:t>涉及乡镇</w:t>
                  </w:r>
                  <w:r>
                    <w:rPr>
                      <w:rFonts w:hint="eastAsia" w:ascii="Times New Roman" w:hAnsi="Times New Roman" w:eastAsia="宋体"/>
                      <w:u w:val="none" w:color="auto"/>
                      <w:lang w:eastAsia="zh-CN"/>
                    </w:rPr>
                    <w:t>（</w:t>
                  </w:r>
                  <w:r>
                    <w:rPr>
                      <w:rFonts w:hint="eastAsia" w:ascii="Times New Roman" w:hAnsi="Times New Roman" w:eastAsia="宋体"/>
                      <w:u w:val="none" w:color="auto"/>
                    </w:rPr>
                    <w:t>街道</w:t>
                  </w:r>
                  <w:r>
                    <w:rPr>
                      <w:rFonts w:hint="eastAsia" w:ascii="Times New Roman" w:hAnsi="Times New Roman" w:eastAsia="宋体"/>
                      <w:u w:val="none" w:color="auto"/>
                      <w:lang w:eastAsia="zh-CN"/>
                    </w:rPr>
                    <w:t>）</w:t>
                  </w:r>
                </w:p>
              </w:tc>
              <w:tc>
                <w:tcPr>
                  <w:tcW w:w="958" w:type="dxa"/>
                  <w:gridSpan w:val="2"/>
                  <w:vMerge w:val="restart"/>
                  <w:tcBorders>
                    <w:tl2br w:val="nil"/>
                    <w:tr2bl w:val="nil"/>
                  </w:tcBorders>
                  <w:noWrap w:val="0"/>
                  <w:tcMar>
                    <w:left w:w="108" w:type="dxa"/>
                    <w:right w:w="108" w:type="dxa"/>
                  </w:tcMar>
                  <w:vAlign w:val="center"/>
                </w:tcPr>
                <w:p w14:paraId="50E563B3">
                  <w:pPr>
                    <w:pStyle w:val="57"/>
                    <w:rPr>
                      <w:rFonts w:hint="eastAsia" w:ascii="Times New Roman" w:hAnsi="Times New Roman" w:eastAsia="宋体"/>
                      <w:u w:val="none" w:color="auto"/>
                    </w:rPr>
                  </w:pPr>
                  <w:r>
                    <w:rPr>
                      <w:rFonts w:hint="eastAsia" w:ascii="Times New Roman" w:hAnsi="Times New Roman" w:eastAsia="宋体"/>
                      <w:u w:val="none" w:color="auto"/>
                    </w:rPr>
                    <w:t>主体功能定位</w:t>
                  </w:r>
                </w:p>
              </w:tc>
            </w:tr>
            <w:tr w14:paraId="43DEEF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80" w:hRule="atLeast"/>
                <w:jc w:val="center"/>
              </w:trPr>
              <w:tc>
                <w:tcPr>
                  <w:tcW w:w="1200" w:type="dxa"/>
                  <w:vMerge w:val="continue"/>
                  <w:tcBorders>
                    <w:tl2br w:val="nil"/>
                    <w:tr2bl w:val="nil"/>
                  </w:tcBorders>
                  <w:noWrap w:val="0"/>
                  <w:tcMar>
                    <w:left w:w="108" w:type="dxa"/>
                    <w:right w:w="108" w:type="dxa"/>
                  </w:tcMar>
                  <w:vAlign w:val="center"/>
                </w:tcPr>
                <w:p w14:paraId="114C8876">
                  <w:pPr>
                    <w:pStyle w:val="57"/>
                    <w:rPr>
                      <w:rFonts w:hint="default" w:ascii="Times New Roman" w:hAnsi="Times New Roman" w:eastAsia="宋体"/>
                      <w:u w:val="none" w:color="auto"/>
                    </w:rPr>
                  </w:pPr>
                </w:p>
              </w:tc>
              <w:tc>
                <w:tcPr>
                  <w:tcW w:w="1097" w:type="dxa"/>
                  <w:vMerge w:val="continue"/>
                  <w:tcBorders>
                    <w:tl2br w:val="nil"/>
                    <w:tr2bl w:val="nil"/>
                  </w:tcBorders>
                  <w:noWrap w:val="0"/>
                  <w:tcMar>
                    <w:left w:w="108" w:type="dxa"/>
                    <w:right w:w="108" w:type="dxa"/>
                  </w:tcMar>
                  <w:vAlign w:val="center"/>
                </w:tcPr>
                <w:p w14:paraId="1E255507">
                  <w:pPr>
                    <w:pStyle w:val="57"/>
                    <w:rPr>
                      <w:rFonts w:hint="default" w:ascii="Times New Roman" w:hAnsi="Times New Roman" w:eastAsia="宋体"/>
                      <w:u w:val="none" w:color="auto"/>
                    </w:rPr>
                  </w:pPr>
                </w:p>
              </w:tc>
              <w:tc>
                <w:tcPr>
                  <w:tcW w:w="509" w:type="dxa"/>
                  <w:tcBorders>
                    <w:tl2br w:val="nil"/>
                    <w:tr2bl w:val="nil"/>
                  </w:tcBorders>
                  <w:noWrap w:val="0"/>
                  <w:tcMar>
                    <w:left w:w="108" w:type="dxa"/>
                    <w:right w:w="108" w:type="dxa"/>
                  </w:tcMar>
                  <w:vAlign w:val="center"/>
                </w:tcPr>
                <w:p w14:paraId="06DDCD19">
                  <w:pPr>
                    <w:pStyle w:val="57"/>
                    <w:rPr>
                      <w:rFonts w:hint="default" w:ascii="Times New Roman" w:hAnsi="Times New Roman" w:eastAsia="宋体"/>
                      <w:u w:val="none" w:color="auto"/>
                    </w:rPr>
                  </w:pPr>
                  <w:r>
                    <w:rPr>
                      <w:rFonts w:hint="eastAsia" w:ascii="Times New Roman" w:hAnsi="Times New Roman" w:eastAsia="宋体"/>
                      <w:u w:val="none" w:color="auto"/>
                    </w:rPr>
                    <w:t>省</w:t>
                  </w:r>
                </w:p>
              </w:tc>
              <w:tc>
                <w:tcPr>
                  <w:tcW w:w="475" w:type="dxa"/>
                  <w:tcBorders>
                    <w:tl2br w:val="nil"/>
                    <w:tr2bl w:val="nil"/>
                  </w:tcBorders>
                  <w:noWrap w:val="0"/>
                  <w:tcMar>
                    <w:left w:w="108" w:type="dxa"/>
                    <w:right w:w="108" w:type="dxa"/>
                  </w:tcMar>
                  <w:vAlign w:val="center"/>
                </w:tcPr>
                <w:p w14:paraId="38B0AA84">
                  <w:pPr>
                    <w:pStyle w:val="57"/>
                    <w:rPr>
                      <w:rFonts w:hint="default" w:ascii="Times New Roman" w:hAnsi="Times New Roman" w:eastAsia="宋体"/>
                      <w:u w:val="none" w:color="auto"/>
                    </w:rPr>
                  </w:pPr>
                  <w:r>
                    <w:rPr>
                      <w:rFonts w:hint="eastAsia" w:ascii="Times New Roman" w:hAnsi="Times New Roman" w:eastAsia="宋体"/>
                      <w:u w:val="none" w:color="auto"/>
                    </w:rPr>
                    <w:t>市</w:t>
                  </w:r>
                </w:p>
              </w:tc>
              <w:tc>
                <w:tcPr>
                  <w:tcW w:w="537" w:type="dxa"/>
                  <w:tcBorders>
                    <w:tl2br w:val="nil"/>
                    <w:tr2bl w:val="nil"/>
                  </w:tcBorders>
                  <w:noWrap w:val="0"/>
                  <w:tcMar>
                    <w:left w:w="108" w:type="dxa"/>
                    <w:right w:w="108" w:type="dxa"/>
                  </w:tcMar>
                  <w:vAlign w:val="center"/>
                </w:tcPr>
                <w:p w14:paraId="3A1B3193">
                  <w:pPr>
                    <w:pStyle w:val="57"/>
                    <w:rPr>
                      <w:rFonts w:hint="default" w:ascii="Times New Roman" w:hAnsi="Times New Roman" w:eastAsia="宋体"/>
                      <w:u w:val="none" w:color="auto"/>
                    </w:rPr>
                  </w:pPr>
                  <w:r>
                    <w:rPr>
                      <w:rFonts w:hint="eastAsia" w:ascii="Times New Roman" w:hAnsi="Times New Roman" w:eastAsia="宋体"/>
                      <w:u w:val="none" w:color="auto"/>
                    </w:rPr>
                    <w:t>县</w:t>
                  </w:r>
                </w:p>
              </w:tc>
              <w:tc>
                <w:tcPr>
                  <w:tcW w:w="786" w:type="dxa"/>
                  <w:vMerge w:val="continue"/>
                  <w:tcBorders>
                    <w:tl2br w:val="nil"/>
                    <w:tr2bl w:val="nil"/>
                  </w:tcBorders>
                  <w:noWrap w:val="0"/>
                  <w:tcMar>
                    <w:left w:w="108" w:type="dxa"/>
                    <w:right w:w="108" w:type="dxa"/>
                  </w:tcMar>
                  <w:vAlign w:val="center"/>
                </w:tcPr>
                <w:p w14:paraId="04E24628">
                  <w:pPr>
                    <w:pStyle w:val="57"/>
                    <w:rPr>
                      <w:rFonts w:hint="default" w:ascii="Times New Roman" w:hAnsi="Times New Roman" w:eastAsia="宋体"/>
                      <w:u w:val="none" w:color="auto"/>
                    </w:rPr>
                  </w:pPr>
                </w:p>
              </w:tc>
              <w:tc>
                <w:tcPr>
                  <w:tcW w:w="877" w:type="dxa"/>
                  <w:gridSpan w:val="2"/>
                  <w:vMerge w:val="continue"/>
                  <w:tcBorders>
                    <w:tl2br w:val="nil"/>
                    <w:tr2bl w:val="nil"/>
                  </w:tcBorders>
                  <w:noWrap w:val="0"/>
                  <w:tcMar>
                    <w:left w:w="108" w:type="dxa"/>
                    <w:right w:w="108" w:type="dxa"/>
                  </w:tcMar>
                  <w:vAlign w:val="center"/>
                </w:tcPr>
                <w:p w14:paraId="3D7347E7">
                  <w:pPr>
                    <w:pStyle w:val="57"/>
                    <w:rPr>
                      <w:rFonts w:hint="default" w:ascii="Times New Roman" w:hAnsi="Times New Roman" w:eastAsia="宋体"/>
                      <w:u w:val="none" w:color="auto"/>
                    </w:rPr>
                  </w:pPr>
                </w:p>
              </w:tc>
              <w:tc>
                <w:tcPr>
                  <w:tcW w:w="862" w:type="dxa"/>
                  <w:vMerge w:val="continue"/>
                  <w:tcBorders>
                    <w:tl2br w:val="nil"/>
                    <w:tr2bl w:val="nil"/>
                  </w:tcBorders>
                  <w:noWrap w:val="0"/>
                  <w:tcMar>
                    <w:left w:w="108" w:type="dxa"/>
                    <w:right w:w="108" w:type="dxa"/>
                  </w:tcMar>
                  <w:vAlign w:val="center"/>
                </w:tcPr>
                <w:p w14:paraId="2476CD7D">
                  <w:pPr>
                    <w:pStyle w:val="57"/>
                    <w:rPr>
                      <w:rFonts w:hint="default" w:ascii="Times New Roman" w:hAnsi="Times New Roman" w:eastAsia="宋体"/>
                      <w:u w:val="none" w:color="auto"/>
                    </w:rPr>
                  </w:pPr>
                </w:p>
              </w:tc>
              <w:tc>
                <w:tcPr>
                  <w:tcW w:w="958" w:type="dxa"/>
                  <w:gridSpan w:val="2"/>
                  <w:vMerge w:val="continue"/>
                  <w:tcBorders>
                    <w:tl2br w:val="nil"/>
                    <w:tr2bl w:val="nil"/>
                  </w:tcBorders>
                  <w:noWrap w:val="0"/>
                  <w:tcMar>
                    <w:left w:w="108" w:type="dxa"/>
                    <w:right w:w="108" w:type="dxa"/>
                  </w:tcMar>
                  <w:vAlign w:val="center"/>
                </w:tcPr>
                <w:p w14:paraId="7D024ED8">
                  <w:pPr>
                    <w:pStyle w:val="57"/>
                    <w:rPr>
                      <w:rFonts w:hint="default" w:ascii="Times New Roman" w:hAnsi="Times New Roman" w:eastAsia="宋体"/>
                      <w:u w:val="none" w:color="auto"/>
                    </w:rPr>
                  </w:pPr>
                </w:p>
              </w:tc>
            </w:tr>
            <w:tr w14:paraId="5BEF4A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1200" w:type="dxa"/>
                  <w:tcBorders>
                    <w:tl2br w:val="nil"/>
                    <w:tr2bl w:val="nil"/>
                  </w:tcBorders>
                  <w:noWrap w:val="0"/>
                  <w:tcMar>
                    <w:left w:w="108" w:type="dxa"/>
                    <w:right w:w="108" w:type="dxa"/>
                  </w:tcMar>
                  <w:vAlign w:val="center"/>
                </w:tcPr>
                <w:p w14:paraId="623B221A">
                  <w:pPr>
                    <w:pStyle w:val="57"/>
                    <w:rPr>
                      <w:rFonts w:hint="default" w:ascii="Times New Roman" w:hAnsi="Times New Roman" w:eastAsia="宋体"/>
                      <w:u w:val="none" w:color="auto"/>
                    </w:rPr>
                  </w:pPr>
                  <w:r>
                    <w:rPr>
                      <w:rFonts w:hint="eastAsia" w:ascii="Times New Roman" w:hAnsi="Times New Roman" w:eastAsia="宋体"/>
                      <w:u w:val="none" w:color="auto"/>
                    </w:rPr>
                    <w:t>ZH</w:t>
                  </w:r>
                  <w:r>
                    <w:rPr>
                      <w:rFonts w:hint="eastAsia" w:ascii="Times New Roman" w:hAnsi="Times New Roman" w:eastAsia="宋体"/>
                      <w:u w:val="none" w:color="auto"/>
                      <w:lang w:val="en-US" w:eastAsia="zh-CN"/>
                    </w:rPr>
                    <w:t>43090320001</w:t>
                  </w:r>
                </w:p>
              </w:tc>
              <w:tc>
                <w:tcPr>
                  <w:tcW w:w="1097" w:type="dxa"/>
                  <w:tcBorders>
                    <w:tl2br w:val="nil"/>
                    <w:tr2bl w:val="nil"/>
                  </w:tcBorders>
                  <w:noWrap w:val="0"/>
                  <w:tcMar>
                    <w:left w:w="108" w:type="dxa"/>
                    <w:right w:w="108" w:type="dxa"/>
                  </w:tcMar>
                  <w:vAlign w:val="center"/>
                </w:tcPr>
                <w:p w14:paraId="1637C944">
                  <w:pPr>
                    <w:pStyle w:val="57"/>
                    <w:rPr>
                      <w:rFonts w:hint="eastAsia" w:ascii="Times New Roman" w:hAnsi="Times New Roman" w:eastAsia="宋体"/>
                      <w:u w:val="none" w:color="auto"/>
                      <w:lang w:eastAsia="zh-CN"/>
                    </w:rPr>
                  </w:pPr>
                  <w:r>
                    <w:rPr>
                      <w:rFonts w:hint="eastAsia" w:ascii="Times New Roman" w:hAnsi="Times New Roman" w:eastAsia="宋体"/>
                      <w:u w:val="none" w:color="auto"/>
                      <w:lang w:val="en-US" w:eastAsia="zh-CN"/>
                    </w:rPr>
                    <w:t>泥江口镇</w:t>
                  </w:r>
                </w:p>
              </w:tc>
              <w:tc>
                <w:tcPr>
                  <w:tcW w:w="509" w:type="dxa"/>
                  <w:tcBorders>
                    <w:tl2br w:val="nil"/>
                    <w:tr2bl w:val="nil"/>
                  </w:tcBorders>
                  <w:noWrap w:val="0"/>
                  <w:tcMar>
                    <w:left w:w="108" w:type="dxa"/>
                    <w:right w:w="108" w:type="dxa"/>
                  </w:tcMar>
                  <w:vAlign w:val="center"/>
                </w:tcPr>
                <w:p w14:paraId="15906EBA">
                  <w:pPr>
                    <w:pStyle w:val="57"/>
                    <w:rPr>
                      <w:rFonts w:hint="default" w:ascii="Times New Roman" w:hAnsi="Times New Roman" w:eastAsia="宋体"/>
                      <w:u w:val="none" w:color="auto"/>
                    </w:rPr>
                  </w:pPr>
                  <w:r>
                    <w:rPr>
                      <w:rFonts w:hint="eastAsia" w:ascii="Times New Roman" w:hAnsi="Times New Roman" w:eastAsia="宋体"/>
                      <w:u w:val="none" w:color="auto"/>
                    </w:rPr>
                    <w:t>湖南省</w:t>
                  </w:r>
                </w:p>
              </w:tc>
              <w:tc>
                <w:tcPr>
                  <w:tcW w:w="475" w:type="dxa"/>
                  <w:tcBorders>
                    <w:tl2br w:val="nil"/>
                    <w:tr2bl w:val="nil"/>
                  </w:tcBorders>
                  <w:noWrap w:val="0"/>
                  <w:tcMar>
                    <w:left w:w="108" w:type="dxa"/>
                    <w:right w:w="108" w:type="dxa"/>
                  </w:tcMar>
                  <w:vAlign w:val="center"/>
                </w:tcPr>
                <w:p w14:paraId="3E451083">
                  <w:pPr>
                    <w:pStyle w:val="57"/>
                    <w:rPr>
                      <w:rFonts w:hint="eastAsia" w:ascii="Times New Roman" w:hAnsi="Times New Roman" w:eastAsia="宋体"/>
                      <w:u w:val="none" w:color="auto"/>
                      <w:lang w:eastAsia="zh-CN"/>
                    </w:rPr>
                  </w:pPr>
                  <w:r>
                    <w:rPr>
                      <w:rFonts w:hint="eastAsia" w:ascii="Times New Roman" w:hAnsi="Times New Roman" w:eastAsia="宋体"/>
                      <w:u w:val="none" w:color="auto"/>
                      <w:lang w:val="en-US" w:eastAsia="zh-CN"/>
                    </w:rPr>
                    <w:t>益阳市</w:t>
                  </w:r>
                </w:p>
              </w:tc>
              <w:tc>
                <w:tcPr>
                  <w:tcW w:w="537" w:type="dxa"/>
                  <w:tcBorders>
                    <w:tl2br w:val="nil"/>
                    <w:tr2bl w:val="nil"/>
                  </w:tcBorders>
                  <w:noWrap w:val="0"/>
                  <w:tcMar>
                    <w:left w:w="108" w:type="dxa"/>
                    <w:right w:w="108" w:type="dxa"/>
                  </w:tcMar>
                  <w:vAlign w:val="center"/>
                </w:tcPr>
                <w:p w14:paraId="5ABDF06A">
                  <w:pPr>
                    <w:pStyle w:val="57"/>
                    <w:rPr>
                      <w:rFonts w:hint="default" w:ascii="Times New Roman" w:hAnsi="Times New Roman" w:eastAsia="宋体"/>
                      <w:u w:val="none" w:color="auto"/>
                    </w:rPr>
                  </w:pPr>
                  <w:r>
                    <w:rPr>
                      <w:rFonts w:hint="eastAsia" w:ascii="Times New Roman" w:hAnsi="Times New Roman" w:eastAsia="宋体"/>
                      <w:u w:val="none" w:color="auto"/>
                      <w:lang w:val="en-US" w:eastAsia="zh-CN"/>
                    </w:rPr>
                    <w:t>赫山区</w:t>
                  </w:r>
                </w:p>
              </w:tc>
              <w:tc>
                <w:tcPr>
                  <w:tcW w:w="786" w:type="dxa"/>
                  <w:tcBorders>
                    <w:tl2br w:val="nil"/>
                    <w:tr2bl w:val="nil"/>
                  </w:tcBorders>
                  <w:noWrap w:val="0"/>
                  <w:tcMar>
                    <w:left w:w="108" w:type="dxa"/>
                    <w:right w:w="108" w:type="dxa"/>
                  </w:tcMar>
                  <w:vAlign w:val="center"/>
                </w:tcPr>
                <w:p w14:paraId="2F6F93C9">
                  <w:pPr>
                    <w:pStyle w:val="57"/>
                    <w:rPr>
                      <w:rFonts w:hint="default" w:ascii="Times New Roman" w:hAnsi="Times New Roman" w:eastAsia="宋体"/>
                      <w:u w:val="none" w:color="auto"/>
                    </w:rPr>
                  </w:pPr>
                  <w:r>
                    <w:rPr>
                      <w:rFonts w:hint="eastAsia" w:ascii="Times New Roman" w:hAnsi="Times New Roman" w:eastAsia="宋体"/>
                      <w:u w:val="none" w:color="auto"/>
                      <w:lang w:val="en-US" w:eastAsia="zh-CN"/>
                    </w:rPr>
                    <w:t>重点</w:t>
                  </w:r>
                  <w:r>
                    <w:rPr>
                      <w:rFonts w:hint="eastAsia" w:ascii="Times New Roman" w:hAnsi="Times New Roman" w:eastAsia="宋体"/>
                      <w:u w:val="none" w:color="auto"/>
                    </w:rPr>
                    <w:t>管控单元</w:t>
                  </w:r>
                </w:p>
              </w:tc>
              <w:tc>
                <w:tcPr>
                  <w:tcW w:w="877" w:type="dxa"/>
                  <w:gridSpan w:val="2"/>
                  <w:tcBorders>
                    <w:tl2br w:val="nil"/>
                    <w:tr2bl w:val="nil"/>
                  </w:tcBorders>
                  <w:noWrap w:val="0"/>
                  <w:tcMar>
                    <w:left w:w="108" w:type="dxa"/>
                    <w:right w:w="108" w:type="dxa"/>
                  </w:tcMar>
                  <w:vAlign w:val="center"/>
                </w:tcPr>
                <w:p w14:paraId="7706512A">
                  <w:pPr>
                    <w:pStyle w:val="57"/>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137.86</w:t>
                  </w:r>
                </w:p>
              </w:tc>
              <w:tc>
                <w:tcPr>
                  <w:tcW w:w="862" w:type="dxa"/>
                  <w:tcBorders>
                    <w:tl2br w:val="nil"/>
                    <w:tr2bl w:val="nil"/>
                  </w:tcBorders>
                  <w:noWrap w:val="0"/>
                  <w:tcMar>
                    <w:left w:w="108" w:type="dxa"/>
                    <w:right w:w="108" w:type="dxa"/>
                  </w:tcMar>
                  <w:vAlign w:val="center"/>
                </w:tcPr>
                <w:p w14:paraId="289020B4">
                  <w:pPr>
                    <w:pStyle w:val="57"/>
                    <w:rPr>
                      <w:rFonts w:hint="eastAsia" w:ascii="Times New Roman" w:hAnsi="Times New Roman" w:eastAsia="宋体"/>
                      <w:u w:val="none" w:color="auto"/>
                      <w:lang w:eastAsia="zh-CN"/>
                    </w:rPr>
                  </w:pPr>
                  <w:r>
                    <w:rPr>
                      <w:rFonts w:hint="eastAsia" w:ascii="Times New Roman" w:hAnsi="Times New Roman" w:eastAsia="宋体"/>
                      <w:u w:val="none" w:color="auto"/>
                      <w:lang w:val="en-US" w:eastAsia="zh-CN"/>
                    </w:rPr>
                    <w:t>泥江口镇</w:t>
                  </w:r>
                </w:p>
              </w:tc>
              <w:tc>
                <w:tcPr>
                  <w:tcW w:w="958" w:type="dxa"/>
                  <w:gridSpan w:val="2"/>
                  <w:tcBorders>
                    <w:tl2br w:val="nil"/>
                    <w:tr2bl w:val="nil"/>
                  </w:tcBorders>
                  <w:noWrap w:val="0"/>
                  <w:tcMar>
                    <w:left w:w="108" w:type="dxa"/>
                    <w:right w:w="108" w:type="dxa"/>
                  </w:tcMar>
                  <w:vAlign w:val="center"/>
                </w:tcPr>
                <w:p w14:paraId="37BE90AD">
                  <w:pPr>
                    <w:pStyle w:val="57"/>
                    <w:rPr>
                      <w:rFonts w:hint="eastAsia" w:ascii="Times New Roman" w:hAnsi="Times New Roman" w:eastAsia="宋体"/>
                      <w:u w:val="none" w:color="auto"/>
                      <w:lang w:val="en-US" w:eastAsia="zh-CN"/>
                    </w:rPr>
                  </w:pPr>
                  <w:r>
                    <w:rPr>
                      <w:rFonts w:hint="eastAsia" w:ascii="Times New Roman" w:hAnsi="Times New Roman" w:eastAsia="宋体"/>
                      <w:u w:val="none" w:color="auto"/>
                    </w:rPr>
                    <w:t>城市化地区</w:t>
                  </w:r>
                </w:p>
              </w:tc>
            </w:tr>
            <w:tr w14:paraId="50CD87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37" w:hRule="atLeast"/>
                <w:jc w:val="center"/>
              </w:trPr>
              <w:tc>
                <w:tcPr>
                  <w:tcW w:w="1200" w:type="dxa"/>
                  <w:tcBorders>
                    <w:tl2br w:val="nil"/>
                    <w:tr2bl w:val="nil"/>
                  </w:tcBorders>
                  <w:noWrap w:val="0"/>
                  <w:tcMar>
                    <w:left w:w="108" w:type="dxa"/>
                    <w:right w:w="108" w:type="dxa"/>
                  </w:tcMar>
                  <w:vAlign w:val="center"/>
                </w:tcPr>
                <w:p w14:paraId="7570B57D">
                  <w:pPr>
                    <w:pStyle w:val="57"/>
                    <w:rPr>
                      <w:rFonts w:hint="eastAsia" w:ascii="Times New Roman" w:hAnsi="Times New Roman" w:eastAsia="宋体"/>
                      <w:u w:val="none" w:color="auto"/>
                    </w:rPr>
                  </w:pPr>
                  <w:r>
                    <w:rPr>
                      <w:rFonts w:hint="eastAsia" w:ascii="Times New Roman" w:hAnsi="Times New Roman" w:eastAsia="宋体"/>
                      <w:u w:val="none" w:color="auto"/>
                    </w:rPr>
                    <w:t>经济产业布局</w:t>
                  </w:r>
                </w:p>
              </w:tc>
              <w:tc>
                <w:tcPr>
                  <w:tcW w:w="6101" w:type="dxa"/>
                  <w:gridSpan w:val="10"/>
                  <w:tcBorders>
                    <w:tl2br w:val="nil"/>
                    <w:tr2bl w:val="nil"/>
                  </w:tcBorders>
                  <w:noWrap w:val="0"/>
                  <w:tcMar>
                    <w:left w:w="108" w:type="dxa"/>
                    <w:right w:w="108" w:type="dxa"/>
                  </w:tcMar>
                  <w:vAlign w:val="center"/>
                </w:tcPr>
                <w:p w14:paraId="1E914BB5">
                  <w:pPr>
                    <w:pStyle w:val="57"/>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茶叶加工、竹叶加工业</w:t>
                  </w:r>
                </w:p>
              </w:tc>
            </w:tr>
            <w:tr w14:paraId="0AF131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625" w:hRule="atLeast"/>
                <w:jc w:val="center"/>
              </w:trPr>
              <w:tc>
                <w:tcPr>
                  <w:tcW w:w="1200" w:type="dxa"/>
                  <w:tcBorders>
                    <w:tl2br w:val="nil"/>
                    <w:tr2bl w:val="nil"/>
                  </w:tcBorders>
                  <w:noWrap w:val="0"/>
                  <w:tcMar>
                    <w:left w:w="108" w:type="dxa"/>
                    <w:right w:w="108" w:type="dxa"/>
                  </w:tcMar>
                  <w:vAlign w:val="center"/>
                </w:tcPr>
                <w:p w14:paraId="6F599D63">
                  <w:pPr>
                    <w:pStyle w:val="57"/>
                    <w:rPr>
                      <w:rFonts w:hint="eastAsia" w:ascii="Times New Roman" w:hAnsi="Times New Roman" w:eastAsia="宋体"/>
                      <w:u w:val="none" w:color="auto"/>
                    </w:rPr>
                  </w:pPr>
                  <w:r>
                    <w:rPr>
                      <w:rFonts w:hint="eastAsia" w:ascii="Times New Roman" w:hAnsi="Times New Roman" w:eastAsia="宋体"/>
                      <w:u w:val="none" w:color="auto"/>
                    </w:rPr>
                    <w:t>主要环境问题</w:t>
                  </w:r>
                </w:p>
              </w:tc>
              <w:tc>
                <w:tcPr>
                  <w:tcW w:w="6101" w:type="dxa"/>
                  <w:gridSpan w:val="10"/>
                  <w:tcBorders>
                    <w:tl2br w:val="nil"/>
                    <w:tr2bl w:val="nil"/>
                  </w:tcBorders>
                  <w:noWrap w:val="0"/>
                  <w:tcMar>
                    <w:left w:w="108" w:type="dxa"/>
                    <w:right w:w="108" w:type="dxa"/>
                  </w:tcMar>
                  <w:vAlign w:val="center"/>
                </w:tcPr>
                <w:p w14:paraId="0CC0088A">
                  <w:pPr>
                    <w:pStyle w:val="57"/>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存在大气粉尘污染</w:t>
                  </w:r>
                </w:p>
              </w:tc>
            </w:tr>
            <w:tr w14:paraId="11FB89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86" w:hRule="atLeast"/>
                <w:jc w:val="center"/>
              </w:trPr>
              <w:tc>
                <w:tcPr>
                  <w:tcW w:w="1200" w:type="dxa"/>
                  <w:tcBorders>
                    <w:tl2br w:val="nil"/>
                    <w:tr2bl w:val="nil"/>
                  </w:tcBorders>
                  <w:noWrap w:val="0"/>
                  <w:tcMar>
                    <w:left w:w="108" w:type="dxa"/>
                    <w:right w:w="108" w:type="dxa"/>
                  </w:tcMar>
                  <w:vAlign w:val="center"/>
                </w:tcPr>
                <w:p w14:paraId="0840080C">
                  <w:pPr>
                    <w:pStyle w:val="57"/>
                    <w:rPr>
                      <w:rFonts w:hint="default" w:ascii="Times New Roman" w:hAnsi="Times New Roman" w:eastAsia="宋体"/>
                      <w:u w:val="none" w:color="auto"/>
                    </w:rPr>
                  </w:pPr>
                  <w:r>
                    <w:rPr>
                      <w:rFonts w:hint="eastAsia" w:ascii="Times New Roman" w:hAnsi="Times New Roman" w:eastAsia="宋体"/>
                      <w:u w:val="none" w:color="auto"/>
                    </w:rPr>
                    <w:t>主要属性</w:t>
                  </w:r>
                </w:p>
              </w:tc>
              <w:tc>
                <w:tcPr>
                  <w:tcW w:w="6101" w:type="dxa"/>
                  <w:gridSpan w:val="10"/>
                  <w:tcBorders>
                    <w:tl2br w:val="nil"/>
                    <w:tr2bl w:val="nil"/>
                  </w:tcBorders>
                  <w:noWrap w:val="0"/>
                  <w:tcMar>
                    <w:left w:w="108" w:type="dxa"/>
                    <w:right w:w="108" w:type="dxa"/>
                  </w:tcMar>
                  <w:vAlign w:val="center"/>
                </w:tcPr>
                <w:p w14:paraId="788A84CC">
                  <w:pPr>
                    <w:pStyle w:val="57"/>
                    <w:rPr>
                      <w:rFonts w:hint="eastAsia" w:ascii="Times New Roman" w:hAnsi="Times New Roman" w:eastAsia="宋体"/>
                      <w:u w:val="none" w:color="auto"/>
                    </w:rPr>
                  </w:pPr>
                  <w:r>
                    <w:rPr>
                      <w:rFonts w:hint="eastAsia" w:ascii="宋体" w:hAnsi="宋体" w:eastAsia="宋体" w:cs="宋体"/>
                      <w:i w:val="0"/>
                      <w:iCs w:val="0"/>
                      <w:caps w:val="0"/>
                      <w:color w:val="000000"/>
                      <w:spacing w:val="0"/>
                      <w:sz w:val="21"/>
                      <w:szCs w:val="21"/>
                      <w:shd w:val="clear" w:fill="FFFFFF"/>
                    </w:rPr>
                    <w:t>一般生态空间（水源涵养重要区/生物多样性保护功能重要区/水土流失敏感区）/水环境其他重点管控区/水环境一般管控区/重金属矿/（益阳市赫山区泥江口镇南坝陈冲锰矿）/大气环境受体敏感重点管控区/建设用地重点管控区/其他重点管控区/（矿区/中高风险企业用地/重金属污染防治重点区域/重点行业企业重点区域）/城市化地区</w:t>
                  </w:r>
                </w:p>
              </w:tc>
            </w:tr>
            <w:tr w14:paraId="155F7E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7" w:hRule="atLeast"/>
                <w:jc w:val="center"/>
              </w:trPr>
              <w:tc>
                <w:tcPr>
                  <w:tcW w:w="1200" w:type="dxa"/>
                  <w:tcBorders>
                    <w:tl2br w:val="nil"/>
                    <w:tr2bl w:val="nil"/>
                  </w:tcBorders>
                  <w:noWrap w:val="0"/>
                  <w:tcMar>
                    <w:left w:w="108" w:type="dxa"/>
                    <w:right w:w="108" w:type="dxa"/>
                  </w:tcMar>
                  <w:vAlign w:val="center"/>
                </w:tcPr>
                <w:p w14:paraId="54151D5E">
                  <w:pPr>
                    <w:pStyle w:val="57"/>
                    <w:rPr>
                      <w:rFonts w:hint="default" w:ascii="Times New Roman" w:hAnsi="Times New Roman" w:eastAsia="宋体"/>
                      <w:u w:val="none" w:color="auto"/>
                    </w:rPr>
                  </w:pPr>
                  <w:r>
                    <w:rPr>
                      <w:rFonts w:hint="eastAsia" w:ascii="Times New Roman" w:hAnsi="Times New Roman" w:eastAsia="宋体"/>
                      <w:u w:val="none" w:color="auto"/>
                    </w:rPr>
                    <w:t>管控维度</w:t>
                  </w:r>
                </w:p>
              </w:tc>
              <w:tc>
                <w:tcPr>
                  <w:tcW w:w="3582" w:type="dxa"/>
                  <w:gridSpan w:val="6"/>
                  <w:tcBorders>
                    <w:tl2br w:val="nil"/>
                    <w:tr2bl w:val="nil"/>
                  </w:tcBorders>
                  <w:noWrap w:val="0"/>
                  <w:tcMar>
                    <w:left w:w="108" w:type="dxa"/>
                    <w:right w:w="108" w:type="dxa"/>
                  </w:tcMar>
                  <w:vAlign w:val="center"/>
                </w:tcPr>
                <w:p w14:paraId="1641F51F">
                  <w:pPr>
                    <w:pStyle w:val="57"/>
                    <w:rPr>
                      <w:rFonts w:hint="default" w:ascii="Times New Roman" w:hAnsi="Times New Roman" w:eastAsia="宋体"/>
                      <w:u w:val="none" w:color="auto"/>
                    </w:rPr>
                  </w:pPr>
                  <w:r>
                    <w:rPr>
                      <w:rFonts w:hint="eastAsia" w:ascii="Times New Roman" w:hAnsi="Times New Roman" w:eastAsia="宋体"/>
                      <w:u w:val="none" w:color="auto"/>
                    </w:rPr>
                    <w:t>管控要求</w:t>
                  </w:r>
                </w:p>
              </w:tc>
              <w:tc>
                <w:tcPr>
                  <w:tcW w:w="1877" w:type="dxa"/>
                  <w:gridSpan w:val="3"/>
                  <w:tcBorders>
                    <w:tl2br w:val="nil"/>
                    <w:tr2bl w:val="nil"/>
                  </w:tcBorders>
                  <w:noWrap w:val="0"/>
                  <w:tcMar>
                    <w:left w:w="108" w:type="dxa"/>
                    <w:right w:w="108" w:type="dxa"/>
                  </w:tcMar>
                  <w:vAlign w:val="center"/>
                </w:tcPr>
                <w:p w14:paraId="2DD8A9F2">
                  <w:pPr>
                    <w:pStyle w:val="57"/>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项目情况</w:t>
                  </w:r>
                </w:p>
              </w:tc>
              <w:tc>
                <w:tcPr>
                  <w:tcW w:w="642" w:type="dxa"/>
                  <w:tcBorders>
                    <w:tl2br w:val="nil"/>
                    <w:tr2bl w:val="nil"/>
                  </w:tcBorders>
                  <w:noWrap w:val="0"/>
                  <w:tcMar>
                    <w:left w:w="108" w:type="dxa"/>
                    <w:right w:w="108" w:type="dxa"/>
                  </w:tcMar>
                  <w:vAlign w:val="center"/>
                </w:tcPr>
                <w:p w14:paraId="2990C663">
                  <w:pPr>
                    <w:pStyle w:val="57"/>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符合性</w:t>
                  </w:r>
                </w:p>
              </w:tc>
            </w:tr>
            <w:tr w14:paraId="08536E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36" w:hRule="atLeast"/>
                <w:jc w:val="center"/>
              </w:trPr>
              <w:tc>
                <w:tcPr>
                  <w:tcW w:w="1200" w:type="dxa"/>
                  <w:tcBorders>
                    <w:tl2br w:val="nil"/>
                    <w:tr2bl w:val="nil"/>
                  </w:tcBorders>
                  <w:noWrap w:val="0"/>
                  <w:tcMar>
                    <w:left w:w="108" w:type="dxa"/>
                    <w:right w:w="108" w:type="dxa"/>
                  </w:tcMar>
                  <w:vAlign w:val="center"/>
                </w:tcPr>
                <w:p w14:paraId="6D897322">
                  <w:pPr>
                    <w:pStyle w:val="57"/>
                    <w:rPr>
                      <w:rFonts w:hint="default" w:ascii="Times New Roman" w:hAnsi="Times New Roman" w:eastAsia="宋体"/>
                      <w:u w:val="none" w:color="auto"/>
                    </w:rPr>
                  </w:pPr>
                  <w:r>
                    <w:rPr>
                      <w:rFonts w:hint="eastAsia" w:ascii="Times New Roman" w:hAnsi="Times New Roman" w:eastAsia="宋体"/>
                      <w:u w:val="none" w:color="auto"/>
                    </w:rPr>
                    <w:t>空间布局约束</w:t>
                  </w:r>
                </w:p>
              </w:tc>
              <w:tc>
                <w:tcPr>
                  <w:tcW w:w="3582" w:type="dxa"/>
                  <w:gridSpan w:val="6"/>
                  <w:tcBorders>
                    <w:tl2br w:val="nil"/>
                    <w:tr2bl w:val="nil"/>
                  </w:tcBorders>
                  <w:noWrap w:val="0"/>
                  <w:tcMar>
                    <w:left w:w="108" w:type="dxa"/>
                    <w:right w:w="108" w:type="dxa"/>
                  </w:tcMar>
                  <w:vAlign w:val="center"/>
                </w:tcPr>
                <w:p w14:paraId="782E6336">
                  <w:pPr>
                    <w:pStyle w:val="57"/>
                    <w:jc w:val="left"/>
                    <w:rPr>
                      <w:rFonts w:hint="eastAsia" w:ascii="Times New Roman" w:hAnsi="Times New Roman" w:eastAsia="宋体"/>
                      <w:u w:val="none" w:color="auto"/>
                      <w:lang w:val="en-US" w:eastAsia="zh-CN"/>
                    </w:rPr>
                  </w:pPr>
                  <w:r>
                    <w:rPr>
                      <w:rFonts w:hint="eastAsia" w:ascii="Times New Roman" w:hAnsi="Times New Roman" w:eastAsia="宋体"/>
                      <w:u w:val="none" w:color="auto"/>
                      <w:lang w:val="en-US" w:eastAsia="zh-CN"/>
                    </w:rPr>
                    <w:t>（1.1）禁止新建落后产能或产能过剩的建设项目。</w:t>
                  </w:r>
                </w:p>
                <w:p w14:paraId="576DA762">
                  <w:pPr>
                    <w:pStyle w:val="57"/>
                    <w:jc w:val="left"/>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（1.2）禁止在饮用水水源保护区、集镇规划区、受保护的山体水体以及生态保护红线区内建设畜禽养殖场、养殖小区。</w:t>
                  </w:r>
                </w:p>
              </w:tc>
              <w:tc>
                <w:tcPr>
                  <w:tcW w:w="1877" w:type="dxa"/>
                  <w:gridSpan w:val="3"/>
                  <w:tcBorders>
                    <w:tl2br w:val="nil"/>
                    <w:tr2bl w:val="nil"/>
                  </w:tcBorders>
                  <w:noWrap w:val="0"/>
                  <w:tcMar>
                    <w:left w:w="108" w:type="dxa"/>
                    <w:right w:w="108" w:type="dxa"/>
                  </w:tcMar>
                  <w:vAlign w:val="center"/>
                </w:tcPr>
                <w:p w14:paraId="3586F49D">
                  <w:pPr>
                    <w:pStyle w:val="57"/>
                    <w:rPr>
                      <w:rFonts w:hint="eastAsia" w:ascii="Times New Roman" w:eastAsia="宋体"/>
                      <w:color w:val="auto"/>
                      <w:sz w:val="21"/>
                      <w:szCs w:val="21"/>
                      <w:lang w:eastAsia="zh-CN"/>
                    </w:rPr>
                  </w:pPr>
                  <w:r>
                    <w:rPr>
                      <w:rFonts w:hint="eastAsia" w:ascii="Times New Roman" w:hAnsi="Times New Roman" w:eastAsia="宋体"/>
                      <w:u w:val="none" w:color="auto"/>
                      <w:lang w:val="en-US" w:eastAsia="zh-CN"/>
                    </w:rPr>
                    <w:t>（1.1）本项目为C2041竹制品制造、D4430热力生产和供应业，不属于高能耗高</w:t>
                  </w:r>
                  <w:r>
                    <w:rPr>
                      <w:rFonts w:hint="eastAsia" w:ascii="Times New Roman"/>
                      <w:color w:val="auto"/>
                      <w:sz w:val="21"/>
                      <w:szCs w:val="21"/>
                    </w:rPr>
                    <w:t>水耗高污染项目</w:t>
                  </w:r>
                  <w:r>
                    <w:rPr>
                      <w:rFonts w:hint="eastAsia" w:ascii="Times New Roman"/>
                      <w:color w:val="auto"/>
                      <w:sz w:val="21"/>
                      <w:szCs w:val="21"/>
                      <w:lang w:eastAsia="zh-CN"/>
                    </w:rPr>
                    <w:t>；</w:t>
                  </w:r>
                </w:p>
                <w:p w14:paraId="746A87AD">
                  <w:pPr>
                    <w:pStyle w:val="57"/>
                    <w:rPr>
                      <w:rFonts w:hint="default" w:ascii="Times New Roman" w:hAnsi="Times New Roman" w:eastAsia="宋体"/>
                      <w:u w:val="none" w:color="auto"/>
                      <w:lang w:val="en-US" w:eastAsia="zh-CN"/>
                    </w:rPr>
                  </w:pPr>
                  <w:r>
                    <w:rPr>
                      <w:rFonts w:hint="eastAsia" w:ascii="Times New Roman"/>
                      <w:color w:val="auto"/>
                      <w:sz w:val="21"/>
                      <w:szCs w:val="21"/>
                    </w:rPr>
                    <w:t>（1.2）本项目不属于养殖业</w:t>
                  </w:r>
                  <w:r>
                    <w:rPr>
                      <w:rFonts w:ascii="Times New Roman"/>
                      <w:color w:val="auto"/>
                      <w:sz w:val="21"/>
                      <w:szCs w:val="21"/>
                    </w:rPr>
                    <w:t>。</w:t>
                  </w:r>
                </w:p>
              </w:tc>
              <w:tc>
                <w:tcPr>
                  <w:tcW w:w="642" w:type="dxa"/>
                  <w:tcBorders>
                    <w:tl2br w:val="nil"/>
                    <w:tr2bl w:val="nil"/>
                  </w:tcBorders>
                  <w:noWrap w:val="0"/>
                  <w:tcMar>
                    <w:left w:w="108" w:type="dxa"/>
                    <w:right w:w="108" w:type="dxa"/>
                  </w:tcMar>
                  <w:vAlign w:val="center"/>
                </w:tcPr>
                <w:p w14:paraId="3B36DCC6">
                  <w:pPr>
                    <w:pStyle w:val="57"/>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符合</w:t>
                  </w:r>
                </w:p>
              </w:tc>
            </w:tr>
            <w:tr w14:paraId="44D2EB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1200" w:type="dxa"/>
                  <w:tcBorders>
                    <w:tl2br w:val="nil"/>
                    <w:tr2bl w:val="nil"/>
                  </w:tcBorders>
                  <w:noWrap w:val="0"/>
                  <w:tcMar>
                    <w:left w:w="108" w:type="dxa"/>
                    <w:right w:w="108" w:type="dxa"/>
                  </w:tcMar>
                  <w:vAlign w:val="center"/>
                </w:tcPr>
                <w:p w14:paraId="52998D3C">
                  <w:pPr>
                    <w:pStyle w:val="57"/>
                    <w:rPr>
                      <w:rFonts w:hint="default" w:ascii="Times New Roman" w:hAnsi="Times New Roman" w:eastAsia="宋体"/>
                      <w:u w:val="none" w:color="auto"/>
                    </w:rPr>
                  </w:pPr>
                  <w:r>
                    <w:rPr>
                      <w:rFonts w:hint="eastAsia" w:ascii="Times New Roman" w:hAnsi="Times New Roman" w:eastAsia="宋体"/>
                      <w:u w:val="none" w:color="auto"/>
                    </w:rPr>
                    <w:t>污染物排放管控</w:t>
                  </w:r>
                </w:p>
              </w:tc>
              <w:tc>
                <w:tcPr>
                  <w:tcW w:w="3582" w:type="dxa"/>
                  <w:gridSpan w:val="6"/>
                  <w:tcBorders>
                    <w:tl2br w:val="nil"/>
                    <w:tr2bl w:val="nil"/>
                  </w:tcBorders>
                  <w:noWrap w:val="0"/>
                  <w:tcMar>
                    <w:left w:w="108" w:type="dxa"/>
                    <w:right w:w="108" w:type="dxa"/>
                  </w:tcMar>
                  <w:vAlign w:val="center"/>
                </w:tcPr>
                <w:p w14:paraId="3B227ABA">
                  <w:pPr>
                    <w:pStyle w:val="57"/>
                    <w:jc w:val="left"/>
                    <w:rPr>
                      <w:rFonts w:hint="eastAsia" w:ascii="Times New Roman" w:hAnsi="Times New Roman" w:eastAsia="宋体"/>
                      <w:u w:val="none" w:color="auto"/>
                      <w:lang w:val="en-US" w:eastAsia="zh-CN"/>
                    </w:rPr>
                  </w:pPr>
                  <w:r>
                    <w:rPr>
                      <w:rFonts w:hint="eastAsia" w:ascii="Times New Roman" w:hAnsi="Times New Roman" w:eastAsia="宋体"/>
                      <w:u w:val="none" w:color="auto"/>
                      <w:lang w:val="en-US" w:eastAsia="zh-CN"/>
                    </w:rPr>
                    <w:t>（2.1）废水：</w:t>
                  </w:r>
                </w:p>
                <w:p w14:paraId="12C3A540">
                  <w:pPr>
                    <w:pStyle w:val="57"/>
                    <w:jc w:val="left"/>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（2.1.1）灌溉用水应符合农田灌溉水水质标准。禁止工矿企业和畜禽养殖场排放废水直接用于农业灌溉。灌溉水无法达标或存在较明显环境风险的区域，要及时调整种植结构，确保农产品质量安全。</w:t>
                  </w:r>
                </w:p>
                <w:p w14:paraId="590A9ECC">
                  <w:pPr>
                    <w:pStyle w:val="57"/>
                    <w:jc w:val="left"/>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（2.1.2）加强对区域内关闭矿山进行管理，防止涌水未经处理直接外排至环境中。</w:t>
                  </w:r>
                </w:p>
                <w:p w14:paraId="4A28574C">
                  <w:pPr>
                    <w:pStyle w:val="57"/>
                    <w:jc w:val="left"/>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（2.2）废气：加强矿山扬尘治理。对不符合环评要求、排污许可以及国家和地方环境标准的露天矿山实施停产整治。</w:t>
                  </w:r>
                </w:p>
              </w:tc>
              <w:tc>
                <w:tcPr>
                  <w:tcW w:w="1877" w:type="dxa"/>
                  <w:gridSpan w:val="3"/>
                  <w:tcBorders>
                    <w:tl2br w:val="nil"/>
                    <w:tr2bl w:val="nil"/>
                  </w:tcBorders>
                  <w:noWrap w:val="0"/>
                  <w:tcMar>
                    <w:left w:w="108" w:type="dxa"/>
                    <w:right w:w="108" w:type="dxa"/>
                  </w:tcMar>
                  <w:vAlign w:val="center"/>
                </w:tcPr>
                <w:p w14:paraId="6D3DF298">
                  <w:pPr>
                    <w:pStyle w:val="57"/>
                    <w:rPr>
                      <w:rFonts w:hint="default" w:ascii="Times New Roman" w:hAnsi="Times New Roman" w:eastAsia="宋体"/>
                      <w:u w:val="none" w:color="auto"/>
                      <w:lang w:val="en-US" w:eastAsia="zh-CN"/>
                    </w:rPr>
                  </w:pPr>
                  <w:r>
                    <w:rPr>
                      <w:rFonts w:hint="eastAsia"/>
                      <w:bCs/>
                      <w:szCs w:val="21"/>
                    </w:rPr>
                    <w:t>（2.1）本项目不涉及灌溉用水；</w:t>
                  </w:r>
                  <w:r>
                    <w:rPr>
                      <w:rFonts w:hint="eastAsia"/>
                      <w:bCs/>
                      <w:szCs w:val="21"/>
                      <w:lang w:val="en-US" w:eastAsia="zh-CN"/>
                    </w:rPr>
                    <w:t>不涉及矿山；</w:t>
                  </w:r>
                  <w:r>
                    <w:rPr>
                      <w:rFonts w:hint="eastAsia"/>
                      <w:bCs/>
                      <w:szCs w:val="21"/>
                    </w:rPr>
                    <w:t>（2.2）本项目不涉及矿山。</w:t>
                  </w:r>
                </w:p>
              </w:tc>
              <w:tc>
                <w:tcPr>
                  <w:tcW w:w="642" w:type="dxa"/>
                  <w:tcBorders>
                    <w:tl2br w:val="nil"/>
                    <w:tr2bl w:val="nil"/>
                  </w:tcBorders>
                  <w:noWrap w:val="0"/>
                  <w:tcMar>
                    <w:left w:w="108" w:type="dxa"/>
                    <w:right w:w="108" w:type="dxa"/>
                  </w:tcMar>
                  <w:vAlign w:val="center"/>
                </w:tcPr>
                <w:p w14:paraId="2F8D0601">
                  <w:pPr>
                    <w:pStyle w:val="57"/>
                    <w:rPr>
                      <w:rFonts w:hint="default" w:ascii="Times New Roman" w:hAnsi="Times New Roman" w:eastAsia="宋体"/>
                      <w:u w:val="none" w:color="auto"/>
                    </w:rPr>
                  </w:pPr>
                  <w:r>
                    <w:rPr>
                      <w:rFonts w:hint="eastAsia" w:ascii="Times New Roman" w:hAnsi="Times New Roman" w:eastAsia="宋体"/>
                      <w:u w:val="none" w:color="auto"/>
                      <w:lang w:val="en-US" w:eastAsia="zh-CN"/>
                    </w:rPr>
                    <w:t>符合</w:t>
                  </w:r>
                </w:p>
              </w:tc>
            </w:tr>
            <w:tr w14:paraId="5DF65A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32" w:hRule="atLeast"/>
                <w:jc w:val="center"/>
              </w:trPr>
              <w:tc>
                <w:tcPr>
                  <w:tcW w:w="1200" w:type="dxa"/>
                  <w:tcBorders>
                    <w:tl2br w:val="nil"/>
                    <w:tr2bl w:val="nil"/>
                  </w:tcBorders>
                  <w:noWrap w:val="0"/>
                  <w:tcMar>
                    <w:left w:w="108" w:type="dxa"/>
                    <w:right w:w="108" w:type="dxa"/>
                  </w:tcMar>
                  <w:vAlign w:val="center"/>
                </w:tcPr>
                <w:p w14:paraId="38ED3DC5">
                  <w:pPr>
                    <w:pStyle w:val="57"/>
                    <w:rPr>
                      <w:rFonts w:hint="default" w:ascii="Times New Roman" w:hAnsi="Times New Roman" w:eastAsia="宋体"/>
                      <w:u w:val="none" w:color="auto"/>
                    </w:rPr>
                  </w:pPr>
                  <w:r>
                    <w:rPr>
                      <w:rFonts w:hint="eastAsia" w:ascii="Times New Roman" w:hAnsi="Times New Roman" w:eastAsia="宋体"/>
                      <w:u w:val="none" w:color="auto"/>
                    </w:rPr>
                    <w:t>环境风险</w:t>
                  </w:r>
                </w:p>
                <w:p w14:paraId="4A813EF8">
                  <w:pPr>
                    <w:pStyle w:val="57"/>
                    <w:rPr>
                      <w:rFonts w:hint="default" w:ascii="Times New Roman" w:hAnsi="Times New Roman" w:eastAsia="宋体"/>
                      <w:u w:val="none" w:color="auto"/>
                    </w:rPr>
                  </w:pPr>
                  <w:r>
                    <w:rPr>
                      <w:rFonts w:hint="eastAsia" w:ascii="Times New Roman" w:hAnsi="Times New Roman" w:eastAsia="宋体"/>
                      <w:u w:val="none" w:color="auto"/>
                    </w:rPr>
                    <w:t>防控</w:t>
                  </w:r>
                </w:p>
              </w:tc>
              <w:tc>
                <w:tcPr>
                  <w:tcW w:w="3582" w:type="dxa"/>
                  <w:gridSpan w:val="6"/>
                  <w:tcBorders>
                    <w:tl2br w:val="nil"/>
                    <w:tr2bl w:val="nil"/>
                  </w:tcBorders>
                  <w:noWrap w:val="0"/>
                  <w:tcMar>
                    <w:left w:w="108" w:type="dxa"/>
                    <w:right w:w="108" w:type="dxa"/>
                  </w:tcMar>
                  <w:vAlign w:val="center"/>
                </w:tcPr>
                <w:p w14:paraId="6BF8F577">
                  <w:pPr>
                    <w:pStyle w:val="57"/>
                    <w:jc w:val="left"/>
                    <w:rPr>
                      <w:rFonts w:hint="eastAsia" w:ascii="Times New Roman" w:hAnsi="Times New Roman" w:eastAsia="宋体"/>
                      <w:u w:val="none" w:color="auto"/>
                      <w:lang w:val="en-US" w:eastAsia="zh-CN"/>
                    </w:rPr>
                  </w:pPr>
                  <w:r>
                    <w:rPr>
                      <w:rFonts w:hint="eastAsia" w:ascii="Times New Roman" w:hAnsi="Times New Roman" w:eastAsia="宋体"/>
                      <w:u w:val="none" w:color="auto"/>
                      <w:lang w:val="en-US" w:eastAsia="zh-CN"/>
                    </w:rPr>
                    <w:t>（3.1）全面整治历史遗留矿山，加强对无责任主体的废矿坑洞涌水、采矿地下水及其污染源的监测、风险管控和治理修复。加强对矿山等矿产资源开采活动影响区域内未利用地的环境监管，发现土壤污染问题的，要及时督促有关企业采取防治措施。</w:t>
                  </w:r>
                </w:p>
                <w:p w14:paraId="0E03CF0F">
                  <w:pPr>
                    <w:pStyle w:val="57"/>
                    <w:jc w:val="left"/>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3.2）加强七里村水库饮用水水源保护区、塘湾水库水源地水质安全监测、监管执法和信息公开，实施从源头到水龙头的全过程控制；继续开展全区集中式饮用水水源环境状况评估，持续推进集中式饮用水水源规范化建设，加强城镇超标集中式饮用水水源整治。</w:t>
                  </w:r>
                </w:p>
                <w:p w14:paraId="0247A0E3">
                  <w:pPr>
                    <w:pStyle w:val="57"/>
                    <w:jc w:val="left"/>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（3.3）加强对严格管控类耕地的用途管理，依法、有序划定特定农产品禁止生产区域，严禁种植食用农产品；对威胁地下水、饮用水水源安全的，要制定环境风险管控方案，并落实有关措施。</w:t>
                  </w:r>
                </w:p>
                <w:p w14:paraId="49296EFF">
                  <w:pPr>
                    <w:pStyle w:val="57"/>
                    <w:jc w:val="left"/>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3.4）符合相应规划用地土壤环境质量要求的地块，可进入用地程序。暂不开发利用或现阶段不具备治理修复条件的污染地块，划定管控区域，设立标识，发布公告，开展土壤、地表水、地下水、空气环境监测；存在潜在污染扩散风险的，责令相关责任方制定环境风险管控方案；发现污染扩散的，封闭污染区域，采取污染物隔离、阻断等环境风险管控措施。</w:t>
                  </w:r>
                </w:p>
                <w:p w14:paraId="3A26C946">
                  <w:pPr>
                    <w:pStyle w:val="57"/>
                    <w:jc w:val="left"/>
                    <w:rPr>
                      <w:rFonts w:hint="default" w:ascii="Times New Roman" w:hAnsi="Times New Roman" w:eastAsia="宋体"/>
                      <w:u w:val="none" w:color="auto"/>
                      <w:lang w:val="en-US" w:eastAsia="zh-CN"/>
                    </w:rPr>
                  </w:pPr>
                </w:p>
              </w:tc>
              <w:tc>
                <w:tcPr>
                  <w:tcW w:w="1877" w:type="dxa"/>
                  <w:gridSpan w:val="3"/>
                  <w:tcBorders>
                    <w:tl2br w:val="nil"/>
                    <w:tr2bl w:val="nil"/>
                  </w:tcBorders>
                  <w:noWrap w:val="0"/>
                  <w:tcMar>
                    <w:left w:w="108" w:type="dxa"/>
                    <w:right w:w="108" w:type="dxa"/>
                  </w:tcMar>
                  <w:vAlign w:val="center"/>
                </w:tcPr>
                <w:p w14:paraId="0028826D">
                  <w:pPr>
                    <w:pStyle w:val="57"/>
                    <w:jc w:val="left"/>
                    <w:rPr>
                      <w:rFonts w:hint="eastAsia" w:ascii="Times New Roman" w:hAnsi="Times New Roman" w:eastAsia="宋体"/>
                      <w:u w:val="none" w:color="auto"/>
                      <w:lang w:val="en-US" w:eastAsia="zh-CN"/>
                    </w:rPr>
                  </w:pPr>
                  <w:r>
                    <w:rPr>
                      <w:rFonts w:hint="eastAsia" w:ascii="Times New Roman" w:hAnsi="Times New Roman" w:eastAsia="宋体"/>
                      <w:u w:val="none" w:color="auto"/>
                      <w:lang w:val="en-US" w:eastAsia="zh-CN"/>
                    </w:rPr>
                    <w:t>（3.1）项目不涉及矿山；</w:t>
                  </w:r>
                </w:p>
                <w:p w14:paraId="7CD04A9C">
                  <w:pPr>
                    <w:pStyle w:val="57"/>
                    <w:jc w:val="left"/>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（3.2）项目不涉及饮用水水源保护区；</w:t>
                  </w:r>
                </w:p>
                <w:p w14:paraId="0AA09442">
                  <w:pPr>
                    <w:pStyle w:val="57"/>
                    <w:jc w:val="left"/>
                    <w:rPr>
                      <w:rFonts w:hint="eastAsia" w:ascii="Times New Roman" w:hAnsi="Times New Roman" w:eastAsia="宋体"/>
                      <w:u w:val="none" w:color="auto"/>
                      <w:lang w:val="en-US" w:eastAsia="zh-CN"/>
                    </w:rPr>
                  </w:pPr>
                  <w:r>
                    <w:rPr>
                      <w:rFonts w:hint="eastAsia" w:ascii="Times New Roman" w:hAnsi="Times New Roman" w:eastAsia="宋体"/>
                      <w:u w:val="none" w:color="auto"/>
                      <w:lang w:val="en-US" w:eastAsia="zh-CN"/>
                    </w:rPr>
                    <w:t>（3.3）</w:t>
                  </w:r>
                  <w:r>
                    <w:rPr>
                      <w:rFonts w:hint="eastAsia" w:ascii="Times New Roman"/>
                      <w:color w:val="auto"/>
                      <w:sz w:val="21"/>
                      <w:szCs w:val="21"/>
                    </w:rPr>
                    <w:t>本</w:t>
                  </w:r>
                  <w:r>
                    <w:rPr>
                      <w:rFonts w:ascii="Times New Roman"/>
                      <w:color w:val="auto"/>
                      <w:sz w:val="21"/>
                      <w:szCs w:val="21"/>
                    </w:rPr>
                    <w:t>项目</w:t>
                  </w:r>
                  <w:r>
                    <w:rPr>
                      <w:rFonts w:hint="eastAsia" w:ascii="Times New Roman"/>
                      <w:color w:val="auto"/>
                      <w:sz w:val="21"/>
                      <w:szCs w:val="21"/>
                    </w:rPr>
                    <w:t>用地为工业用地，不涉及耕地</w:t>
                  </w:r>
                  <w:r>
                    <w:rPr>
                      <w:rFonts w:hint="eastAsia" w:ascii="Times New Roman"/>
                      <w:color w:val="auto"/>
                      <w:sz w:val="21"/>
                      <w:szCs w:val="21"/>
                      <w:lang w:eastAsia="zh-CN"/>
                    </w:rPr>
                    <w:t>；</w:t>
                  </w:r>
                </w:p>
                <w:p w14:paraId="465D546B">
                  <w:pPr>
                    <w:pStyle w:val="57"/>
                    <w:jc w:val="left"/>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（3.4）项目不涉及污染地块。</w:t>
                  </w:r>
                </w:p>
              </w:tc>
              <w:tc>
                <w:tcPr>
                  <w:tcW w:w="642" w:type="dxa"/>
                  <w:tcBorders>
                    <w:tl2br w:val="nil"/>
                    <w:tr2bl w:val="nil"/>
                  </w:tcBorders>
                  <w:noWrap w:val="0"/>
                  <w:tcMar>
                    <w:left w:w="108" w:type="dxa"/>
                    <w:right w:w="108" w:type="dxa"/>
                  </w:tcMar>
                  <w:vAlign w:val="center"/>
                </w:tcPr>
                <w:p w14:paraId="160185B2">
                  <w:pPr>
                    <w:pStyle w:val="57"/>
                    <w:rPr>
                      <w:rFonts w:hint="default" w:ascii="Times New Roman" w:hAnsi="Times New Roman" w:eastAsia="宋体"/>
                      <w:u w:val="none" w:color="auto"/>
                    </w:rPr>
                  </w:pPr>
                  <w:r>
                    <w:rPr>
                      <w:rFonts w:hint="eastAsia" w:ascii="Times New Roman" w:hAnsi="Times New Roman" w:eastAsia="宋体"/>
                      <w:u w:val="none" w:color="auto"/>
                      <w:lang w:val="en-US" w:eastAsia="zh-CN"/>
                    </w:rPr>
                    <w:t>符合</w:t>
                  </w:r>
                </w:p>
              </w:tc>
            </w:tr>
            <w:tr w14:paraId="4DF0D1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90" w:hRule="atLeast"/>
                <w:jc w:val="center"/>
              </w:trPr>
              <w:tc>
                <w:tcPr>
                  <w:tcW w:w="1200" w:type="dxa"/>
                  <w:tcBorders>
                    <w:tl2br w:val="nil"/>
                    <w:tr2bl w:val="nil"/>
                  </w:tcBorders>
                  <w:noWrap w:val="0"/>
                  <w:tcMar>
                    <w:left w:w="108" w:type="dxa"/>
                    <w:right w:w="108" w:type="dxa"/>
                  </w:tcMar>
                  <w:vAlign w:val="center"/>
                </w:tcPr>
                <w:p w14:paraId="27E70023">
                  <w:pPr>
                    <w:pStyle w:val="57"/>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资源开发效率要求</w:t>
                  </w:r>
                </w:p>
              </w:tc>
              <w:tc>
                <w:tcPr>
                  <w:tcW w:w="3582" w:type="dxa"/>
                  <w:gridSpan w:val="6"/>
                  <w:tcBorders>
                    <w:tl2br w:val="nil"/>
                    <w:tr2bl w:val="nil"/>
                  </w:tcBorders>
                  <w:noWrap w:val="0"/>
                  <w:tcMar>
                    <w:left w:w="108" w:type="dxa"/>
                    <w:right w:w="108" w:type="dxa"/>
                  </w:tcMar>
                  <w:vAlign w:val="center"/>
                </w:tcPr>
                <w:p w14:paraId="5F32163D">
                  <w:pPr>
                    <w:pStyle w:val="57"/>
                    <w:jc w:val="left"/>
                    <w:rPr>
                      <w:rFonts w:hint="eastAsia" w:ascii="Times New Roman" w:hAnsi="Times New Roman" w:eastAsia="宋体"/>
                      <w:u w:val="none" w:color="auto"/>
                      <w:lang w:val="en-US" w:eastAsia="zh-CN"/>
                    </w:rPr>
                  </w:pPr>
                  <w:r>
                    <w:rPr>
                      <w:rFonts w:hint="eastAsia" w:ascii="Times New Roman" w:hAnsi="Times New Roman" w:eastAsia="宋体"/>
                      <w:u w:val="none" w:color="auto"/>
                      <w:lang w:val="en-US" w:eastAsia="zh-CN"/>
                    </w:rPr>
                    <w:t>（4.1）能源：全力推进可利用风、光、生物质等清洁</w:t>
                  </w:r>
                  <w:r>
                    <w:rPr>
                      <w:rFonts w:hint="eastAsia"/>
                      <w:u w:val="none" w:color="auto"/>
                      <w:lang w:val="en-US" w:eastAsia="zh-CN"/>
                    </w:rPr>
                    <w:t>能源</w:t>
                  </w:r>
                  <w:r>
                    <w:rPr>
                      <w:rFonts w:hint="eastAsia" w:ascii="Times New Roman" w:hAnsi="Times New Roman" w:eastAsia="宋体"/>
                      <w:u w:val="none" w:color="auto"/>
                      <w:lang w:val="en-US" w:eastAsia="zh-CN"/>
                    </w:rPr>
                    <w:t>，提高新能源产出比例。</w:t>
                  </w:r>
                </w:p>
                <w:p w14:paraId="4B651890">
                  <w:pPr>
                    <w:pStyle w:val="57"/>
                    <w:jc w:val="left"/>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（4.2）水资源：强化农业用水刚性约束，推动农业用水方式由粗放向节约集约转变。大力推进工业节水改造，推广高效节水工艺和技术。</w:t>
                  </w:r>
                </w:p>
                <w:p w14:paraId="62D282DD">
                  <w:pPr>
                    <w:pStyle w:val="57"/>
                    <w:jc w:val="left"/>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（4.3）土地资源：在国土空间规划“一张图”上统筹各相关专项领域的空间需求，协调项目选址、布局和空间规模，确保各类需求的空间布局不冲突，确保节约集约用地，不突破规划确定的建设用地总规模。</w:t>
                  </w:r>
                </w:p>
              </w:tc>
              <w:tc>
                <w:tcPr>
                  <w:tcW w:w="1877" w:type="dxa"/>
                  <w:gridSpan w:val="3"/>
                  <w:tcBorders>
                    <w:tl2br w:val="nil"/>
                    <w:tr2bl w:val="nil"/>
                  </w:tcBorders>
                  <w:noWrap w:val="0"/>
                  <w:tcMar>
                    <w:left w:w="108" w:type="dxa"/>
                    <w:right w:w="108" w:type="dxa"/>
                  </w:tcMar>
                  <w:vAlign w:val="center"/>
                </w:tcPr>
                <w:p w14:paraId="5B732B34">
                  <w:pPr>
                    <w:pStyle w:val="57"/>
                    <w:rPr>
                      <w:rFonts w:hint="eastAsia" w:ascii="Times New Roman" w:hAnsi="Times New Roman" w:eastAsia="宋体"/>
                      <w:color w:val="auto"/>
                      <w:u w:val="none" w:color="auto"/>
                      <w:lang w:val="en-US" w:eastAsia="zh-CN"/>
                    </w:rPr>
                  </w:pPr>
                  <w:r>
                    <w:rPr>
                      <w:rFonts w:hint="eastAsia" w:ascii="Times New Roman" w:hAnsi="Times New Roman" w:eastAsia="宋体"/>
                      <w:u w:val="none" w:color="auto"/>
                      <w:lang w:val="en-US" w:eastAsia="zh-CN"/>
                    </w:rPr>
                    <w:t>（4.1）</w:t>
                  </w:r>
                  <w:r>
                    <w:rPr>
                      <w:rFonts w:hint="eastAsia" w:ascii="Times New Roman" w:hAnsi="Times New Roman" w:eastAsia="宋体"/>
                      <w:u w:val="none" w:color="auto"/>
                    </w:rPr>
                    <w:t>本项目生产均使用电能</w:t>
                  </w:r>
                  <w:r>
                    <w:rPr>
                      <w:rFonts w:hint="eastAsia" w:ascii="Times New Roman" w:hAnsi="Times New Roman" w:eastAsia="宋体"/>
                      <w:u w:val="none" w:color="auto"/>
                      <w:lang w:val="en-US" w:eastAsia="zh-CN"/>
                    </w:rPr>
                    <w:t>及生物质</w:t>
                  </w:r>
                  <w:r>
                    <w:rPr>
                      <w:rFonts w:hint="eastAsia" w:ascii="Times New Roman" w:hAnsi="Times New Roman" w:eastAsia="宋体"/>
                      <w:u w:val="none" w:color="auto"/>
                    </w:rPr>
                    <w:t>，属于清洁</w:t>
                  </w:r>
                  <w:r>
                    <w:rPr>
                      <w:rFonts w:hint="eastAsia" w:ascii="Times New Roman" w:hAnsi="Times New Roman" w:eastAsia="宋体"/>
                      <w:color w:val="auto"/>
                      <w:u w:val="none" w:color="auto"/>
                    </w:rPr>
                    <w:t>能源</w:t>
                  </w:r>
                  <w:r>
                    <w:rPr>
                      <w:rFonts w:hint="eastAsia" w:ascii="Times New Roman" w:hAnsi="Times New Roman" w:eastAsia="宋体"/>
                      <w:color w:val="auto"/>
                      <w:u w:val="none" w:color="auto"/>
                      <w:lang w:eastAsia="zh-CN"/>
                    </w:rPr>
                    <w:t>；</w:t>
                  </w:r>
                </w:p>
                <w:p w14:paraId="29760FF4">
                  <w:pPr>
                    <w:pStyle w:val="57"/>
                    <w:rPr>
                      <w:rFonts w:hint="eastAsia" w:ascii="Times New Roman" w:hAnsi="Times New Roman" w:eastAsia="宋体"/>
                      <w:color w:val="auto"/>
                      <w:u w:val="none" w:color="auto"/>
                      <w:lang w:eastAsia="zh-CN"/>
                    </w:rPr>
                  </w:pPr>
                  <w:r>
                    <w:rPr>
                      <w:rFonts w:hint="eastAsia" w:ascii="Times New Roman" w:hAnsi="Times New Roman" w:eastAsia="宋体"/>
                      <w:color w:val="auto"/>
                      <w:u w:val="none" w:color="auto"/>
                      <w:lang w:val="en-US" w:eastAsia="zh-CN"/>
                    </w:rPr>
                    <w:t>（4.2）项目用水主要为员工生活用水、</w:t>
                  </w:r>
                  <w:r>
                    <w:rPr>
                      <w:rFonts w:hint="eastAsia"/>
                      <w:color w:val="auto"/>
                      <w:u w:val="none" w:color="auto"/>
                      <w:lang w:val="en-US" w:eastAsia="zh-CN"/>
                    </w:rPr>
                    <w:t>锅炉用水，用水量较小</w:t>
                  </w:r>
                  <w:r>
                    <w:rPr>
                      <w:rFonts w:hint="eastAsia" w:ascii="Times New Roman" w:hAnsi="Times New Roman" w:eastAsia="宋体"/>
                      <w:color w:val="auto"/>
                      <w:u w:val="none" w:color="auto"/>
                      <w:lang w:val="en-US" w:eastAsia="zh-CN"/>
                    </w:rPr>
                    <w:t>。</w:t>
                  </w:r>
                </w:p>
                <w:p w14:paraId="4454507D">
                  <w:pPr>
                    <w:pStyle w:val="57"/>
                    <w:rPr>
                      <w:rFonts w:hint="default" w:ascii="Times New Roman" w:hAnsi="Times New Roman" w:eastAsia="宋体"/>
                      <w:u w:val="none" w:color="auto"/>
                      <w:lang w:val="en-US" w:eastAsia="zh-CN"/>
                    </w:rPr>
                  </w:pPr>
                  <w:r>
                    <w:rPr>
                      <w:rFonts w:hint="eastAsia" w:ascii="Times New Roman" w:hAnsi="Times New Roman" w:eastAsia="宋体"/>
                      <w:u w:val="none" w:color="auto"/>
                    </w:rPr>
                    <w:t>（4.3）本项目</w:t>
                  </w:r>
                  <w:r>
                    <w:rPr>
                      <w:rFonts w:hint="eastAsia" w:ascii="Times New Roman" w:hAnsi="Times New Roman" w:eastAsia="宋体"/>
                      <w:u w:val="none" w:color="auto"/>
                      <w:lang w:val="en-US" w:eastAsia="zh-CN"/>
                    </w:rPr>
                    <w:t>用地为工业用地</w:t>
                  </w:r>
                  <w:r>
                    <w:rPr>
                      <w:rFonts w:hint="eastAsia" w:ascii="Times New Roman" w:hAnsi="Times New Roman" w:eastAsia="宋体"/>
                      <w:u w:val="none" w:color="auto"/>
                    </w:rPr>
                    <w:t>。</w:t>
                  </w:r>
                </w:p>
              </w:tc>
              <w:tc>
                <w:tcPr>
                  <w:tcW w:w="642" w:type="dxa"/>
                  <w:tcBorders>
                    <w:tl2br w:val="nil"/>
                    <w:tr2bl w:val="nil"/>
                  </w:tcBorders>
                  <w:noWrap w:val="0"/>
                  <w:tcMar>
                    <w:left w:w="108" w:type="dxa"/>
                    <w:right w:w="108" w:type="dxa"/>
                  </w:tcMar>
                  <w:vAlign w:val="center"/>
                </w:tcPr>
                <w:p w14:paraId="445BF92F">
                  <w:pPr>
                    <w:pStyle w:val="57"/>
                    <w:rPr>
                      <w:rFonts w:hint="default" w:ascii="Times New Roman" w:hAnsi="Times New Roman" w:eastAsia="宋体"/>
                      <w:u w:val="none" w:color="auto"/>
                    </w:rPr>
                  </w:pPr>
                  <w:r>
                    <w:rPr>
                      <w:rFonts w:hint="eastAsia" w:ascii="Times New Roman" w:hAnsi="Times New Roman" w:eastAsia="宋体"/>
                      <w:u w:val="none" w:color="auto"/>
                      <w:lang w:val="en-US" w:eastAsia="zh-CN"/>
                    </w:rPr>
                    <w:t>符合</w:t>
                  </w:r>
                </w:p>
              </w:tc>
            </w:tr>
          </w:tbl>
          <w:p w14:paraId="7038DA12">
            <w:pPr>
              <w:widowControl/>
              <w:spacing w:line="360" w:lineRule="auto"/>
              <w:ind w:firstLine="480" w:firstLineChars="200"/>
              <w:jc w:val="left"/>
              <w:rPr>
                <w:rFonts w:hint="default" w:ascii="Times New Roman" w:hAnsi="Times New Roman" w:eastAsia="宋体" w:cs="Times New Roman"/>
                <w:color w:val="000000" w:themeColor="text1"/>
                <w:kern w:val="2"/>
                <w:sz w:val="24"/>
                <w:szCs w:val="20"/>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0"/>
                <w:u w:val="none" w:color="auto"/>
                <w:lang w:val="en-US" w:eastAsia="zh-CN" w:bidi="ar-SA"/>
                <w14:textFill>
                  <w14:solidFill>
                    <w14:schemeClr w14:val="tx1"/>
                  </w14:solidFill>
                </w14:textFill>
              </w:rPr>
              <w:t>综上所述，本项目符合益阳市人民政府发布《关于实施“三线一单”生态环境分区管控的</w:t>
            </w:r>
            <w:r>
              <w:rPr>
                <w:rFonts w:hint="default" w:ascii="Times New Roman" w:hAnsi="Times New Roman" w:eastAsia="宋体" w:cs="Times New Roman"/>
                <w:color w:val="000000" w:themeColor="text1"/>
                <w:kern w:val="2"/>
                <w:sz w:val="24"/>
                <w:szCs w:val="20"/>
                <w:u w:val="none" w:color="auto"/>
                <w:lang w:val="en-US" w:eastAsia="zh-CN" w:bidi="ar-SA"/>
                <w14:textFill>
                  <w14:solidFill>
                    <w14:schemeClr w14:val="tx1"/>
                  </w14:solidFill>
                </w14:textFill>
              </w:rPr>
              <w:t>意见》（益政发〔202</w:t>
            </w:r>
            <w:r>
              <w:rPr>
                <w:rFonts w:hint="eastAsia" w:ascii="Times New Roman" w:hAnsi="Times New Roman" w:eastAsia="宋体" w:cs="Times New Roman"/>
                <w:color w:val="000000" w:themeColor="text1"/>
                <w:kern w:val="2"/>
                <w:sz w:val="24"/>
                <w:szCs w:val="20"/>
                <w:u w:val="none" w:color="auto"/>
                <w:lang w:val="en-US" w:eastAsia="zh-CN" w:bidi="ar-SA"/>
                <w14:textFill>
                  <w14:solidFill>
                    <w14:schemeClr w14:val="tx1"/>
                  </w14:solidFill>
                </w14:textFill>
              </w:rPr>
              <w:t>4</w:t>
            </w:r>
            <w:r>
              <w:rPr>
                <w:rFonts w:hint="default" w:ascii="Times New Roman" w:hAnsi="Times New Roman" w:eastAsia="宋体" w:cs="Times New Roman"/>
                <w:color w:val="000000" w:themeColor="text1"/>
                <w:kern w:val="2"/>
                <w:sz w:val="24"/>
                <w:szCs w:val="20"/>
                <w:u w:val="none" w:color="auto"/>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0"/>
                <w:u w:val="none" w:color="auto"/>
                <w:lang w:val="en-US" w:eastAsia="zh-CN" w:bidi="ar-SA"/>
                <w14:textFill>
                  <w14:solidFill>
                    <w14:schemeClr w14:val="tx1"/>
                  </w14:solidFill>
                </w14:textFill>
              </w:rPr>
              <w:t>11</w:t>
            </w:r>
            <w:r>
              <w:rPr>
                <w:rFonts w:hint="default" w:ascii="Times New Roman" w:hAnsi="Times New Roman" w:eastAsia="宋体" w:cs="Times New Roman"/>
                <w:color w:val="000000" w:themeColor="text1"/>
                <w:kern w:val="2"/>
                <w:sz w:val="24"/>
                <w:szCs w:val="20"/>
                <w:u w:val="none" w:color="auto"/>
                <w:lang w:val="en-US" w:eastAsia="zh-CN" w:bidi="ar-SA"/>
                <w14:textFill>
                  <w14:solidFill>
                    <w14:schemeClr w14:val="tx1"/>
                  </w14:solidFill>
                </w14:textFill>
              </w:rPr>
              <w:t>号）</w:t>
            </w:r>
            <w:r>
              <w:rPr>
                <w:rFonts w:hint="eastAsia" w:ascii="Times New Roman" w:hAnsi="Times New Roman" w:eastAsia="宋体" w:cs="Times New Roman"/>
                <w:color w:val="000000" w:themeColor="text1"/>
                <w:kern w:val="2"/>
                <w:sz w:val="24"/>
                <w:szCs w:val="20"/>
                <w:u w:val="none" w:color="auto"/>
                <w:lang w:val="en-US" w:eastAsia="zh-CN" w:bidi="ar-SA"/>
                <w14:textFill>
                  <w14:solidFill>
                    <w14:schemeClr w14:val="tx1"/>
                  </w14:solidFill>
                </w14:textFill>
              </w:rPr>
              <w:t>相关要求。</w:t>
            </w:r>
          </w:p>
          <w:p w14:paraId="78115737">
            <w:pPr>
              <w:pStyle w:val="101"/>
              <w:spacing w:line="360" w:lineRule="auto"/>
              <w:ind w:left="0" w:leftChars="0" w:firstLine="482" w:firstLineChars="200"/>
              <w:rPr>
                <w:rFonts w:hint="default" w:ascii="Times New Roman" w:hAnsi="Times New Roman" w:eastAsia="宋体" w:cs="Times New Roman"/>
                <w:b/>
                <w:bCs/>
                <w:color w:val="000000" w:themeColor="text1"/>
                <w:sz w:val="24"/>
                <w:u w:val="none" w:color="auto"/>
                <w:lang w:val="en-US" w:eastAsia="zh-CN"/>
                <w14:textFill>
                  <w14:solidFill>
                    <w14:schemeClr w14:val="tx1"/>
                  </w14:solidFill>
                </w14:textFill>
              </w:rPr>
            </w:pPr>
            <w:r>
              <w:rPr>
                <w:rFonts w:hint="default" w:ascii="Times New Roman" w:hAnsi="Times New Roman" w:eastAsia="宋体" w:cs="Times New Roman"/>
                <w:b/>
                <w:bCs/>
                <w:color w:val="000000" w:themeColor="text1"/>
                <w:sz w:val="24"/>
                <w:u w:val="none" w:color="auto"/>
                <w:lang w:val="en-US" w:eastAsia="zh-CN"/>
                <w14:textFill>
                  <w14:solidFill>
                    <w14:schemeClr w14:val="tx1"/>
                  </w14:solidFill>
                </w14:textFill>
              </w:rPr>
              <w:t>3、与《湖南省锅炉使用负面清单》符合性分析</w:t>
            </w:r>
          </w:p>
          <w:p w14:paraId="3C48C8A7">
            <w:pPr>
              <w:pStyle w:val="101"/>
              <w:spacing w:line="360" w:lineRule="auto"/>
              <w:rPr>
                <w:rFonts w:hint="default" w:ascii="Times New Roman" w:hAnsi="Times New Roman" w:eastAsia="宋体" w:cs="Times New Roman"/>
                <w:color w:val="000000" w:themeColor="text1"/>
                <w:sz w:val="24"/>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sz w:val="24"/>
                <w:u w:val="none" w:color="auto"/>
                <w:lang w:val="en-US" w:eastAsia="zh-CN"/>
                <w14:textFill>
                  <w14:solidFill>
                    <w14:schemeClr w14:val="tx1"/>
                  </w14:solidFill>
                </w14:textFill>
              </w:rPr>
              <w:t>根据《湖南省锅炉使用负面清单》，不予办理使用登记的锅炉：每小时35蒸吨及以下固定炉排式生物质锅炉；县级及以上城市建成区每小时35蒸吨以下的燃煤锅炉，其他区域每小时10蒸吨以下的燃煤锅炉。需要淘汰注销的锅炉：固定炉排燃煤锅炉；每小时10蒸吨以下的燃煤锅炉；每小时2蒸吨以下的生物质锅炉；每小时35蒸吨及以下的燃煤锅炉（执行大气污染物特别排放限值的地区）。</w:t>
            </w:r>
          </w:p>
          <w:p w14:paraId="5FA6DBD3">
            <w:pPr>
              <w:pStyle w:val="101"/>
              <w:spacing w:line="360" w:lineRule="auto"/>
              <w:rPr>
                <w:rFonts w:hint="eastAsia" w:ascii="宋体" w:hAnsi="宋体" w:eastAsia="宋体" w:cs="Times New Roman"/>
                <w:color w:val="000000" w:themeColor="text1"/>
                <w:sz w:val="24"/>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sz w:val="24"/>
                <w:u w:val="none" w:color="auto"/>
                <w:lang w:val="en-US" w:eastAsia="zh-CN"/>
                <w14:textFill>
                  <w14:solidFill>
                    <w14:schemeClr w14:val="tx1"/>
                  </w14:solidFill>
                </w14:textFill>
              </w:rPr>
              <w:t>本项目为2.</w:t>
            </w:r>
            <w:r>
              <w:rPr>
                <w:rFonts w:hint="eastAsia" w:ascii="Times New Roman" w:hAnsi="Times New Roman" w:eastAsia="宋体" w:cs="Times New Roman"/>
                <w:color w:val="000000" w:themeColor="text1"/>
                <w:sz w:val="24"/>
                <w:u w:val="none" w:color="auto"/>
                <w:lang w:val="en-US" w:eastAsia="zh-CN"/>
                <w14:textFill>
                  <w14:solidFill>
                    <w14:schemeClr w14:val="tx1"/>
                  </w14:solidFill>
                </w14:textFill>
              </w:rPr>
              <w:t>5</w:t>
            </w:r>
            <w:r>
              <w:rPr>
                <w:rFonts w:hint="default" w:ascii="Times New Roman" w:hAnsi="Times New Roman" w:eastAsia="宋体" w:cs="Times New Roman"/>
                <w:color w:val="000000" w:themeColor="text1"/>
                <w:sz w:val="24"/>
                <w:u w:val="none" w:color="auto"/>
                <w:lang w:val="en-US" w:eastAsia="zh-CN"/>
                <w14:textFill>
                  <w14:solidFill>
                    <w14:schemeClr w14:val="tx1"/>
                  </w14:solidFill>
                </w14:textFill>
              </w:rPr>
              <w:t>t/h的生物质</w:t>
            </w:r>
            <w:r>
              <w:rPr>
                <w:rFonts w:hint="eastAsia" w:ascii="Times New Roman" w:hAnsi="Times New Roman" w:eastAsia="宋体" w:cs="Times New Roman"/>
                <w:color w:val="000000" w:themeColor="text1"/>
                <w:sz w:val="24"/>
                <w:u w:val="none" w:color="auto"/>
                <w:lang w:val="en-US" w:eastAsia="zh-CN"/>
                <w14:textFill>
                  <w14:solidFill>
                    <w14:schemeClr w14:val="tx1"/>
                  </w14:solidFill>
                </w14:textFill>
              </w:rPr>
              <w:t>蒸汽锅炉</w:t>
            </w:r>
            <w:r>
              <w:rPr>
                <w:rFonts w:hint="default" w:ascii="Times New Roman" w:hAnsi="Times New Roman" w:eastAsia="宋体" w:cs="Times New Roman"/>
                <w:color w:val="000000" w:themeColor="text1"/>
                <w:sz w:val="24"/>
                <w:u w:val="none" w:color="auto"/>
                <w:lang w:val="en-US" w:eastAsia="zh-CN"/>
                <w14:textFill>
                  <w14:solidFill>
                    <w14:schemeClr w14:val="tx1"/>
                  </w14:solidFill>
                </w14:textFill>
              </w:rPr>
              <w:t>，</w:t>
            </w:r>
            <w:r>
              <w:rPr>
                <w:rFonts w:hint="eastAsia" w:ascii="Times New Roman" w:hAnsi="Times New Roman" w:eastAsia="宋体" w:cs="Times New Roman"/>
                <w:color w:val="000000" w:themeColor="text1"/>
                <w:sz w:val="24"/>
                <w:u w:val="none" w:color="auto"/>
                <w:lang w:val="en-US" w:eastAsia="zh-CN"/>
                <w14:textFill>
                  <w14:solidFill>
                    <w14:schemeClr w14:val="tx1"/>
                  </w14:solidFill>
                </w14:textFill>
              </w:rPr>
              <w:t>为链条炉排，</w:t>
            </w:r>
            <w:r>
              <w:rPr>
                <w:rFonts w:hint="default" w:ascii="Times New Roman" w:hAnsi="Times New Roman" w:eastAsia="宋体" w:cs="Times New Roman"/>
                <w:color w:val="000000" w:themeColor="text1"/>
                <w:sz w:val="24"/>
                <w:u w:val="none" w:color="auto"/>
                <w:lang w:val="en-US" w:eastAsia="zh-CN"/>
                <w14:textFill>
                  <w14:solidFill>
                    <w14:schemeClr w14:val="tx1"/>
                  </w14:solidFill>
                </w14:textFill>
              </w:rPr>
              <w:t>不属于《湖南省锅炉使用负面清单》中所列不予办理使用登记的锅炉、需要淘汰注销的锅炉</w:t>
            </w:r>
            <w:r>
              <w:rPr>
                <w:rFonts w:hint="eastAsia" w:ascii="宋体" w:hAnsi="宋体" w:eastAsia="宋体" w:cs="Times New Roman"/>
                <w:color w:val="000000" w:themeColor="text1"/>
                <w:sz w:val="24"/>
                <w:u w:val="none" w:color="auto"/>
                <w:lang w:val="en-US" w:eastAsia="zh-CN"/>
                <w14:textFill>
                  <w14:solidFill>
                    <w14:schemeClr w14:val="tx1"/>
                  </w14:solidFill>
                </w14:textFill>
              </w:rPr>
              <w:t>。</w:t>
            </w:r>
          </w:p>
          <w:p w14:paraId="284474C5">
            <w:pPr>
              <w:pStyle w:val="75"/>
              <w:ind w:firstLine="482"/>
              <w:rPr>
                <w:rFonts w:hint="eastAsia" w:eastAsia="宋体"/>
                <w:b/>
                <w:bCs/>
                <w:u w:val="none" w:color="auto"/>
                <w:lang w:val="en-US" w:eastAsia="zh-CN"/>
              </w:rPr>
            </w:pPr>
            <w:r>
              <w:rPr>
                <w:rFonts w:hint="eastAsia"/>
                <w:b/>
                <w:bCs/>
                <w:u w:val="none" w:color="auto"/>
                <w:lang w:val="en-US" w:eastAsia="zh-CN"/>
              </w:rPr>
              <w:t>4、与关于发布《高污染燃料目录》的通知（国环规大气</w:t>
            </w:r>
            <w:r>
              <w:rPr>
                <w:rFonts w:hint="default" w:ascii="Times New Roman" w:hAnsi="Times New Roman" w:eastAsia="宋体" w:cs="Times New Roman"/>
                <w:b/>
                <w:bCs/>
                <w:u w:val="none" w:color="auto"/>
                <w:lang w:val="en-US" w:eastAsia="zh-CN"/>
              </w:rPr>
              <w:t>〔</w:t>
            </w:r>
            <w:r>
              <w:rPr>
                <w:rFonts w:hint="eastAsia"/>
                <w:b/>
                <w:bCs/>
                <w:u w:val="none" w:color="auto"/>
                <w:lang w:val="en-US" w:eastAsia="zh-CN"/>
              </w:rPr>
              <w:t>2017</w:t>
            </w:r>
            <w:r>
              <w:rPr>
                <w:rFonts w:hint="default" w:ascii="Times New Roman" w:hAnsi="Times New Roman" w:eastAsia="宋体" w:cs="Times New Roman"/>
                <w:b/>
                <w:bCs/>
                <w:u w:val="none" w:color="auto"/>
                <w:lang w:val="en-US" w:eastAsia="zh-CN"/>
              </w:rPr>
              <w:t>〕</w:t>
            </w:r>
            <w:r>
              <w:rPr>
                <w:rFonts w:hint="eastAsia"/>
                <w:b/>
                <w:bCs/>
                <w:u w:val="none" w:color="auto"/>
                <w:lang w:val="en-US" w:eastAsia="zh-CN"/>
              </w:rPr>
              <w:t>2号）的相关要求符合性分析</w:t>
            </w:r>
          </w:p>
          <w:p w14:paraId="7BA4B967">
            <w:pPr>
              <w:pStyle w:val="75"/>
              <w:ind w:firstLine="482"/>
              <w:rPr>
                <w:rFonts w:hint="eastAsia" w:eastAsia="宋体"/>
                <w:b w:val="0"/>
                <w:bCs w:val="0"/>
                <w:u w:val="none" w:color="auto"/>
                <w:lang w:eastAsia="zh-CN"/>
              </w:rPr>
            </w:pPr>
            <w:r>
              <w:rPr>
                <w:rFonts w:hint="eastAsia"/>
                <w:b w:val="0"/>
                <w:bCs w:val="0"/>
                <w:u w:val="none" w:color="auto"/>
              </w:rPr>
              <w:t>根据中华人民共和国生态环境部《关于高污染燃料禁燃区管理中对直接燃用生物质燃料等问题的复函》中提到</w:t>
            </w:r>
            <w:r>
              <w:rPr>
                <w:rFonts w:hint="eastAsia"/>
                <w:b w:val="0"/>
                <w:bCs w:val="0"/>
                <w:u w:val="none" w:color="auto"/>
                <w:lang w:eastAsia="zh-CN"/>
              </w:rPr>
              <w:t>：</w:t>
            </w:r>
          </w:p>
          <w:p w14:paraId="6E49F11E">
            <w:pPr>
              <w:pStyle w:val="75"/>
              <w:ind w:firstLine="482"/>
              <w:rPr>
                <w:rFonts w:hint="eastAsia"/>
                <w:b w:val="0"/>
                <w:bCs w:val="0"/>
                <w:u w:val="none" w:color="auto"/>
              </w:rPr>
            </w:pPr>
            <w:r>
              <w:rPr>
                <w:rFonts w:hint="eastAsia"/>
                <w:b w:val="0"/>
                <w:bCs w:val="0"/>
                <w:u w:val="none" w:color="auto"/>
                <w:lang w:eastAsia="zh-CN"/>
              </w:rPr>
              <w:t>（</w:t>
            </w:r>
            <w:r>
              <w:rPr>
                <w:rFonts w:hint="eastAsia"/>
                <w:b w:val="0"/>
                <w:bCs w:val="0"/>
                <w:u w:val="none" w:color="auto"/>
                <w:lang w:val="en-US" w:eastAsia="zh-CN"/>
              </w:rPr>
              <w:t>1</w:t>
            </w:r>
            <w:r>
              <w:rPr>
                <w:rFonts w:hint="eastAsia"/>
                <w:b w:val="0"/>
                <w:bCs w:val="0"/>
                <w:u w:val="none" w:color="auto"/>
                <w:lang w:eastAsia="zh-CN"/>
              </w:rPr>
              <w:t>）</w:t>
            </w:r>
            <w:r>
              <w:rPr>
                <w:rFonts w:hint="eastAsia"/>
                <w:b w:val="0"/>
                <w:bCs w:val="0"/>
                <w:u w:val="none" w:color="auto"/>
              </w:rPr>
              <w:t>直接燃用的生物质燃料</w:t>
            </w:r>
            <w:r>
              <w:rPr>
                <w:rFonts w:hint="eastAsia"/>
                <w:b w:val="0"/>
                <w:bCs w:val="0"/>
                <w:u w:val="none" w:color="auto"/>
                <w:lang w:eastAsia="zh-CN"/>
              </w:rPr>
              <w:t>（</w:t>
            </w:r>
            <w:r>
              <w:rPr>
                <w:rFonts w:hint="eastAsia"/>
                <w:b w:val="0"/>
                <w:bCs w:val="0"/>
                <w:u w:val="none" w:color="auto"/>
              </w:rPr>
              <w:t>树木、秸秆、锯末、稻壳、蔗渣等</w:t>
            </w:r>
            <w:r>
              <w:rPr>
                <w:rFonts w:hint="eastAsia"/>
                <w:b w:val="0"/>
                <w:bCs w:val="0"/>
                <w:u w:val="none" w:color="auto"/>
                <w:lang w:eastAsia="zh-CN"/>
              </w:rPr>
              <w:t>）</w:t>
            </w:r>
            <w:r>
              <w:rPr>
                <w:rFonts w:hint="eastAsia"/>
                <w:b w:val="0"/>
                <w:bCs w:val="0"/>
                <w:u w:val="none" w:color="auto"/>
              </w:rPr>
              <w:t>和生物质成型燃料在组分上没有区别，非专用锅炉或未配置高效除尘设施的专用锅炉燃用的生物质燃料参照《高污染燃料目录》</w:t>
            </w:r>
            <w:r>
              <w:rPr>
                <w:rFonts w:hint="eastAsia"/>
                <w:b w:val="0"/>
                <w:bCs w:val="0"/>
                <w:u w:val="none" w:color="auto"/>
                <w:lang w:val="en-US" w:eastAsia="zh-CN"/>
              </w:rPr>
              <w:t>（国环规大气</w:t>
            </w:r>
            <w:r>
              <w:rPr>
                <w:rFonts w:hint="default" w:ascii="Times New Roman" w:hAnsi="Times New Roman" w:eastAsia="宋体" w:cs="Times New Roman"/>
                <w:b w:val="0"/>
                <w:bCs w:val="0"/>
                <w:u w:val="none" w:color="auto"/>
                <w:lang w:val="en-US" w:eastAsia="zh-CN"/>
              </w:rPr>
              <w:t>〔</w:t>
            </w:r>
            <w:r>
              <w:rPr>
                <w:rFonts w:hint="eastAsia"/>
                <w:b w:val="0"/>
                <w:bCs w:val="0"/>
                <w:u w:val="none" w:color="auto"/>
                <w:lang w:val="en-US" w:eastAsia="zh-CN"/>
              </w:rPr>
              <w:t>2017</w:t>
            </w:r>
            <w:r>
              <w:rPr>
                <w:rFonts w:hint="default" w:ascii="Times New Roman" w:hAnsi="Times New Roman" w:eastAsia="宋体" w:cs="Times New Roman"/>
                <w:b w:val="0"/>
                <w:bCs w:val="0"/>
                <w:u w:val="none" w:color="auto"/>
                <w:lang w:val="en-US" w:eastAsia="zh-CN"/>
              </w:rPr>
              <w:t>〕</w:t>
            </w:r>
            <w:r>
              <w:rPr>
                <w:rFonts w:hint="eastAsia"/>
                <w:b w:val="0"/>
                <w:bCs w:val="0"/>
                <w:u w:val="none" w:color="auto"/>
                <w:lang w:val="en-US" w:eastAsia="zh-CN"/>
              </w:rPr>
              <w:t>2号）</w:t>
            </w:r>
            <w:r>
              <w:rPr>
                <w:rFonts w:hint="eastAsia"/>
                <w:b w:val="0"/>
                <w:bCs w:val="0"/>
                <w:u w:val="none" w:color="auto"/>
              </w:rPr>
              <w:t>中关于生物质成型燃料有关规定执行。</w:t>
            </w:r>
          </w:p>
          <w:p w14:paraId="364A72DC">
            <w:pPr>
              <w:pStyle w:val="75"/>
              <w:ind w:firstLine="482"/>
              <w:rPr>
                <w:rFonts w:hint="eastAsia"/>
                <w:b w:val="0"/>
                <w:bCs w:val="0"/>
                <w:u w:val="none" w:color="auto"/>
              </w:rPr>
            </w:pPr>
            <w:r>
              <w:rPr>
                <w:rFonts w:hint="eastAsia"/>
                <w:b w:val="0"/>
                <w:bCs w:val="0"/>
                <w:u w:val="none" w:color="auto"/>
              </w:rPr>
              <w:t>《高污染燃料目录》规定的是生产和生活使用的煤炭及其制品、油类等常规燃料，不包括工业废弃物、垃圾等。焚烧沥青、油毡、</w:t>
            </w:r>
            <w:r>
              <w:rPr>
                <w:rFonts w:hint="eastAsia"/>
                <w:b w:val="0"/>
                <w:bCs w:val="0"/>
                <w:u w:val="none" w:color="auto"/>
                <w:lang w:val="en-US" w:eastAsia="zh-CN"/>
              </w:rPr>
              <w:t>橡胶</w:t>
            </w:r>
            <w:r>
              <w:rPr>
                <w:rFonts w:hint="eastAsia"/>
                <w:b w:val="0"/>
                <w:bCs w:val="0"/>
                <w:u w:val="none" w:color="auto"/>
              </w:rPr>
              <w:t>、塑料、皮革、垃圾等产生有毒有害烟尘和恶臭气体的物质的，依照《中华人民共和国大气污染防治法》第八十二条和第一百一十九条规定进行管理和处罚。</w:t>
            </w:r>
          </w:p>
          <w:p w14:paraId="77ECCB2C">
            <w:pPr>
              <w:pStyle w:val="75"/>
              <w:ind w:firstLine="482"/>
              <w:rPr>
                <w:rFonts w:hint="eastAsia" w:eastAsia="宋体"/>
                <w:b w:val="0"/>
                <w:bCs w:val="0"/>
                <w:u w:val="none" w:color="auto"/>
                <w:lang w:eastAsia="zh-CN"/>
              </w:rPr>
            </w:pPr>
            <w:r>
              <w:rPr>
                <w:rFonts w:hint="eastAsia"/>
                <w:b w:val="0"/>
                <w:bCs w:val="0"/>
                <w:u w:val="none" w:color="auto"/>
              </w:rPr>
              <w:t>根据环提函</w:t>
            </w:r>
            <w:r>
              <w:rPr>
                <w:rFonts w:hint="default" w:ascii="Times New Roman" w:hAnsi="Times New Roman" w:eastAsia="宋体" w:cs="Times New Roman"/>
                <w:b w:val="0"/>
                <w:bCs w:val="0"/>
                <w:u w:val="none" w:color="auto"/>
                <w:lang w:val="en-US" w:eastAsia="zh-CN"/>
              </w:rPr>
              <w:t>〔</w:t>
            </w:r>
            <w:r>
              <w:rPr>
                <w:rFonts w:hint="eastAsia"/>
                <w:b w:val="0"/>
                <w:bCs w:val="0"/>
                <w:u w:val="none" w:color="auto"/>
              </w:rPr>
              <w:t>2021</w:t>
            </w:r>
            <w:r>
              <w:rPr>
                <w:rFonts w:hint="default" w:ascii="Times New Roman" w:hAnsi="Times New Roman" w:eastAsia="宋体" w:cs="Times New Roman"/>
                <w:b w:val="0"/>
                <w:bCs w:val="0"/>
                <w:u w:val="none" w:color="auto"/>
                <w:lang w:val="en-US" w:eastAsia="zh-CN"/>
              </w:rPr>
              <w:t>〕</w:t>
            </w:r>
            <w:r>
              <w:rPr>
                <w:rFonts w:hint="eastAsia"/>
                <w:b w:val="0"/>
                <w:bCs w:val="0"/>
                <w:u w:val="none" w:color="auto"/>
              </w:rPr>
              <w:t>104号《关于政协十三届全国委员会第四次会议第1365号</w:t>
            </w:r>
            <w:r>
              <w:rPr>
                <w:rFonts w:hint="eastAsia"/>
                <w:b w:val="0"/>
                <w:bCs w:val="0"/>
                <w:u w:val="none" w:color="auto"/>
                <w:lang w:eastAsia="zh-CN"/>
              </w:rPr>
              <w:t>（</w:t>
            </w:r>
            <w:r>
              <w:rPr>
                <w:rFonts w:hint="eastAsia"/>
                <w:b w:val="0"/>
                <w:bCs w:val="0"/>
                <w:u w:val="none" w:color="auto"/>
              </w:rPr>
              <w:t>资源环境类 154号</w:t>
            </w:r>
            <w:r>
              <w:rPr>
                <w:rFonts w:hint="eastAsia"/>
                <w:b w:val="0"/>
                <w:bCs w:val="0"/>
                <w:u w:val="none" w:color="auto"/>
                <w:lang w:eastAsia="zh-CN"/>
              </w:rPr>
              <w:t>）</w:t>
            </w:r>
            <w:r>
              <w:rPr>
                <w:rFonts w:hint="eastAsia"/>
                <w:b w:val="0"/>
                <w:bCs w:val="0"/>
                <w:u w:val="none" w:color="auto"/>
              </w:rPr>
              <w:t>提案复的函》中提到</w:t>
            </w:r>
            <w:r>
              <w:rPr>
                <w:rFonts w:hint="eastAsia"/>
                <w:b w:val="0"/>
                <w:bCs w:val="0"/>
                <w:u w:val="none" w:color="auto"/>
                <w:lang w:eastAsia="zh-CN"/>
              </w:rPr>
              <w:t>：</w:t>
            </w:r>
          </w:p>
          <w:p w14:paraId="2755F11F">
            <w:pPr>
              <w:pStyle w:val="75"/>
              <w:ind w:firstLine="482"/>
              <w:rPr>
                <w:rFonts w:hint="eastAsia"/>
                <w:b w:val="0"/>
                <w:bCs w:val="0"/>
                <w:u w:val="none" w:color="auto"/>
              </w:rPr>
            </w:pPr>
            <w:r>
              <w:rPr>
                <w:rFonts w:hint="eastAsia"/>
                <w:b w:val="0"/>
                <w:bCs w:val="0"/>
                <w:u w:val="none" w:color="auto"/>
                <w:lang w:eastAsia="zh-CN"/>
              </w:rPr>
              <w:t>（</w:t>
            </w:r>
            <w:r>
              <w:rPr>
                <w:rFonts w:hint="eastAsia"/>
                <w:b w:val="0"/>
                <w:bCs w:val="0"/>
                <w:u w:val="none" w:color="auto"/>
                <w:lang w:val="en-US" w:eastAsia="zh-CN"/>
              </w:rPr>
              <w:t>1</w:t>
            </w:r>
            <w:r>
              <w:rPr>
                <w:rFonts w:hint="eastAsia"/>
                <w:b w:val="0"/>
                <w:bCs w:val="0"/>
                <w:u w:val="none" w:color="auto"/>
                <w:lang w:eastAsia="zh-CN"/>
              </w:rPr>
              <w:t>）</w:t>
            </w:r>
            <w:r>
              <w:rPr>
                <w:rFonts w:hint="eastAsia"/>
                <w:b w:val="0"/>
                <w:bCs w:val="0"/>
                <w:u w:val="none" w:color="auto"/>
              </w:rPr>
              <w:t>生物质燃料是重要的可再生能源</w:t>
            </w:r>
            <w:r>
              <w:rPr>
                <w:rFonts w:hint="eastAsia"/>
                <w:b w:val="0"/>
                <w:bCs w:val="0"/>
                <w:u w:val="none" w:color="auto"/>
                <w:lang w:eastAsia="zh-CN"/>
              </w:rPr>
              <w:t>，</w:t>
            </w:r>
            <w:r>
              <w:rPr>
                <w:rFonts w:hint="eastAsia"/>
                <w:b w:val="0"/>
                <w:bCs w:val="0"/>
                <w:u w:val="none" w:color="auto"/>
              </w:rPr>
              <w:t>推动生物质资源有序利用对推进大气污染防治、助力碳达峰碳中和具有重要意义。</w:t>
            </w:r>
          </w:p>
          <w:p w14:paraId="6F88262A">
            <w:pPr>
              <w:pStyle w:val="75"/>
              <w:ind w:firstLine="482"/>
              <w:rPr>
                <w:rFonts w:hint="eastAsia" w:eastAsia="宋体"/>
                <w:b w:val="0"/>
                <w:bCs w:val="0"/>
                <w:u w:val="none" w:color="auto"/>
                <w:lang w:eastAsia="zh-CN"/>
              </w:rPr>
            </w:pPr>
            <w:r>
              <w:rPr>
                <w:rFonts w:hint="eastAsia"/>
                <w:b w:val="0"/>
                <w:bCs w:val="0"/>
                <w:u w:val="none" w:color="auto"/>
                <w:lang w:eastAsia="zh-CN"/>
              </w:rPr>
              <w:t>（</w:t>
            </w:r>
            <w:r>
              <w:rPr>
                <w:rFonts w:hint="eastAsia"/>
                <w:b w:val="0"/>
                <w:bCs w:val="0"/>
                <w:u w:val="none" w:color="auto"/>
                <w:lang w:val="en-US" w:eastAsia="zh-CN"/>
              </w:rPr>
              <w:t>2</w:t>
            </w:r>
            <w:r>
              <w:rPr>
                <w:rFonts w:hint="eastAsia"/>
                <w:b w:val="0"/>
                <w:bCs w:val="0"/>
                <w:u w:val="none" w:color="auto"/>
                <w:lang w:eastAsia="zh-CN"/>
              </w:rPr>
              <w:t>）</w:t>
            </w:r>
            <w:r>
              <w:rPr>
                <w:rFonts w:hint="eastAsia"/>
                <w:b w:val="0"/>
                <w:bCs w:val="0"/>
                <w:u w:val="none" w:color="auto"/>
              </w:rPr>
              <w:t>在《关于发布《高污染燃料目录》的通知》中并未将生物质成型燃料列为高污染燃料，而是从规范燃用方式角度对生物质成型燃料提出要求，即配置了袋式除尘器等高效除尘设施的专用生物质成型燃料锅炉可在禁燃区内使用。根据《高污染燃料目录》的通知</w:t>
            </w:r>
            <w:r>
              <w:rPr>
                <w:rFonts w:hint="eastAsia"/>
                <w:b w:val="0"/>
                <w:bCs w:val="0"/>
                <w:u w:val="none" w:color="auto"/>
                <w:lang w:val="en-US" w:eastAsia="zh-CN"/>
              </w:rPr>
              <w:t>（国环规大气</w:t>
            </w:r>
            <w:r>
              <w:rPr>
                <w:rFonts w:hint="default" w:ascii="Times New Roman" w:hAnsi="Times New Roman" w:eastAsia="宋体" w:cs="Times New Roman"/>
                <w:b w:val="0"/>
                <w:bCs w:val="0"/>
                <w:u w:val="none" w:color="auto"/>
                <w:lang w:val="en-US" w:eastAsia="zh-CN"/>
              </w:rPr>
              <w:t>〔</w:t>
            </w:r>
            <w:r>
              <w:rPr>
                <w:rFonts w:hint="eastAsia"/>
                <w:b w:val="0"/>
                <w:bCs w:val="0"/>
                <w:u w:val="none" w:color="auto"/>
                <w:lang w:val="en-US" w:eastAsia="zh-CN"/>
              </w:rPr>
              <w:t>2017</w:t>
            </w:r>
            <w:r>
              <w:rPr>
                <w:rFonts w:hint="default" w:ascii="Times New Roman" w:hAnsi="Times New Roman" w:eastAsia="宋体" w:cs="Times New Roman"/>
                <w:b w:val="0"/>
                <w:bCs w:val="0"/>
                <w:u w:val="none" w:color="auto"/>
                <w:lang w:val="en-US" w:eastAsia="zh-CN"/>
              </w:rPr>
              <w:t>〕</w:t>
            </w:r>
            <w:r>
              <w:rPr>
                <w:rFonts w:hint="eastAsia"/>
                <w:b w:val="0"/>
                <w:bCs w:val="0"/>
                <w:u w:val="none" w:color="auto"/>
                <w:lang w:val="en-US" w:eastAsia="zh-CN"/>
              </w:rPr>
              <w:t>2号）</w:t>
            </w:r>
            <w:r>
              <w:rPr>
                <w:rFonts w:hint="eastAsia"/>
                <w:b w:val="0"/>
                <w:bCs w:val="0"/>
                <w:u w:val="none" w:color="auto"/>
              </w:rPr>
              <w:t>中规定</w:t>
            </w:r>
            <w:r>
              <w:rPr>
                <w:rFonts w:hint="eastAsia"/>
                <w:b w:val="0"/>
                <w:bCs w:val="0"/>
                <w:u w:val="none" w:color="auto"/>
                <w:lang w:eastAsia="zh-CN"/>
              </w:rPr>
              <w:t>：</w:t>
            </w:r>
          </w:p>
          <w:p w14:paraId="49664F34">
            <w:pPr>
              <w:pStyle w:val="75"/>
              <w:ind w:firstLine="482"/>
              <w:rPr>
                <w:rFonts w:hint="eastAsia"/>
                <w:b w:val="0"/>
                <w:bCs w:val="0"/>
                <w:u w:val="none" w:color="auto"/>
              </w:rPr>
            </w:pPr>
            <w:r>
              <w:rPr>
                <w:rFonts w:hint="eastAsia"/>
                <w:b w:val="0"/>
                <w:bCs w:val="0"/>
                <w:u w:val="none" w:color="auto"/>
                <w:lang w:eastAsia="zh-CN"/>
              </w:rPr>
              <w:t>（</w:t>
            </w:r>
            <w:r>
              <w:rPr>
                <w:rFonts w:hint="eastAsia"/>
                <w:b w:val="0"/>
                <w:bCs w:val="0"/>
                <w:u w:val="none" w:color="auto"/>
                <w:lang w:val="en-US" w:eastAsia="zh-CN"/>
              </w:rPr>
              <w:t>1</w:t>
            </w:r>
            <w:r>
              <w:rPr>
                <w:rFonts w:hint="eastAsia"/>
                <w:b w:val="0"/>
                <w:bCs w:val="0"/>
                <w:u w:val="none" w:color="auto"/>
                <w:lang w:eastAsia="zh-CN"/>
              </w:rPr>
              <w:t>）</w:t>
            </w:r>
            <w:r>
              <w:rPr>
                <w:rFonts w:hint="eastAsia"/>
                <w:b w:val="0"/>
                <w:bCs w:val="0"/>
                <w:u w:val="none" w:color="auto"/>
              </w:rPr>
              <w:t>该目录仅适用于城市人民政府依法划定的高污染燃料禁燃区</w:t>
            </w:r>
            <w:r>
              <w:rPr>
                <w:rFonts w:hint="eastAsia"/>
                <w:b w:val="0"/>
                <w:bCs w:val="0"/>
                <w:u w:val="none" w:color="auto"/>
                <w:lang w:eastAsia="zh-CN"/>
              </w:rPr>
              <w:t>（</w:t>
            </w:r>
            <w:r>
              <w:rPr>
                <w:rFonts w:hint="eastAsia"/>
                <w:b w:val="0"/>
                <w:bCs w:val="0"/>
                <w:u w:val="none" w:color="auto"/>
              </w:rPr>
              <w:t>以下简称禁燃区</w:t>
            </w:r>
            <w:r>
              <w:rPr>
                <w:rFonts w:hint="eastAsia"/>
                <w:b w:val="0"/>
                <w:bCs w:val="0"/>
                <w:u w:val="none" w:color="auto"/>
                <w:lang w:eastAsia="zh-CN"/>
              </w:rPr>
              <w:t>）</w:t>
            </w:r>
            <w:r>
              <w:rPr>
                <w:rFonts w:hint="eastAsia"/>
                <w:b w:val="0"/>
                <w:bCs w:val="0"/>
                <w:u w:val="none" w:color="auto"/>
              </w:rPr>
              <w:t>的管理，不作为禁燃区外燃料的禁燃管理依据。</w:t>
            </w:r>
          </w:p>
          <w:p w14:paraId="27B6ADEF">
            <w:pPr>
              <w:pStyle w:val="75"/>
              <w:ind w:firstLine="482"/>
              <w:rPr>
                <w:rFonts w:hint="eastAsia"/>
                <w:b w:val="0"/>
                <w:bCs w:val="0"/>
                <w:u w:val="none" w:color="auto"/>
              </w:rPr>
            </w:pPr>
            <w:r>
              <w:rPr>
                <w:rFonts w:hint="eastAsia"/>
                <w:b w:val="0"/>
                <w:bCs w:val="0"/>
                <w:u w:val="none" w:color="auto"/>
                <w:lang w:eastAsia="zh-CN"/>
              </w:rPr>
              <w:t>（</w:t>
            </w:r>
            <w:r>
              <w:rPr>
                <w:rFonts w:hint="eastAsia"/>
                <w:b w:val="0"/>
                <w:bCs w:val="0"/>
                <w:u w:val="none" w:color="auto"/>
                <w:lang w:val="en-US" w:eastAsia="zh-CN"/>
              </w:rPr>
              <w:t>2</w:t>
            </w:r>
            <w:r>
              <w:rPr>
                <w:rFonts w:hint="eastAsia"/>
                <w:b w:val="0"/>
                <w:bCs w:val="0"/>
                <w:u w:val="none" w:color="auto"/>
                <w:lang w:eastAsia="zh-CN"/>
              </w:rPr>
              <w:t>）</w:t>
            </w:r>
            <w:r>
              <w:rPr>
                <w:rFonts w:hint="eastAsia"/>
                <w:b w:val="0"/>
                <w:bCs w:val="0"/>
                <w:u w:val="none" w:color="auto"/>
              </w:rPr>
              <w:t>非专用锅炉或未配置高效除尘设施的专用锅炉燃用的生物质成型燃料属于高污染燃料。</w:t>
            </w:r>
          </w:p>
          <w:p w14:paraId="5AC54D00">
            <w:pPr>
              <w:pStyle w:val="75"/>
              <w:ind w:firstLine="482"/>
              <w:rPr>
                <w:rFonts w:hint="eastAsia"/>
                <w:b w:val="0"/>
                <w:bCs w:val="0"/>
                <w:u w:val="none" w:color="auto"/>
              </w:rPr>
            </w:pPr>
            <w:r>
              <w:rPr>
                <w:rFonts w:hint="eastAsia"/>
                <w:b w:val="0"/>
                <w:bCs w:val="0"/>
                <w:u w:val="none" w:color="auto"/>
              </w:rPr>
              <w:t>综上，本项目位于</w:t>
            </w:r>
            <w:r>
              <w:rPr>
                <w:rFonts w:hint="eastAsia" w:ascii="Times New Roman" w:hAnsi="Times New Roman" w:eastAsia="宋体" w:cstheme="minorBidi"/>
                <w:kern w:val="2"/>
                <w:sz w:val="24"/>
                <w:szCs w:val="22"/>
                <w:u w:val="none" w:color="auto"/>
                <w:lang w:val="en-US" w:eastAsia="zh-CN" w:bidi="ar-SA"/>
              </w:rPr>
              <w:t>湖南省益阳市赫山区泥江口镇水满村</w:t>
            </w:r>
            <w:r>
              <w:rPr>
                <w:rFonts w:hint="eastAsia"/>
                <w:b w:val="0"/>
                <w:bCs w:val="0"/>
                <w:u w:val="none" w:color="auto"/>
              </w:rPr>
              <w:t>，项目建设地点不属于</w:t>
            </w:r>
            <w:r>
              <w:rPr>
                <w:rFonts w:hint="eastAsia" w:ascii="Times New Roman" w:hAnsi="Times New Roman" w:eastAsia="宋体" w:cstheme="minorBidi"/>
                <w:kern w:val="2"/>
                <w:sz w:val="24"/>
                <w:szCs w:val="22"/>
                <w:u w:val="none" w:color="auto"/>
                <w:lang w:val="en-US" w:eastAsia="zh-CN" w:bidi="ar-SA"/>
              </w:rPr>
              <w:t>益阳市</w:t>
            </w:r>
            <w:r>
              <w:rPr>
                <w:rFonts w:hint="eastAsia"/>
                <w:b w:val="0"/>
                <w:bCs w:val="0"/>
                <w:u w:val="none" w:color="auto"/>
              </w:rPr>
              <w:t>高污染燃料禁燃区范围内。本项目采用高效节能环保型锅炉，使用成型生物质颗粒作为燃料，设专用炉具并配备高效除尘装置</w:t>
            </w:r>
            <w:r>
              <w:rPr>
                <w:rFonts w:hint="eastAsia"/>
                <w:b w:val="0"/>
                <w:bCs w:val="0"/>
                <w:u w:val="none" w:color="auto"/>
                <w:lang w:eastAsia="zh-CN"/>
              </w:rPr>
              <w:t>（</w:t>
            </w:r>
            <w:r>
              <w:rPr>
                <w:rFonts w:hint="eastAsia"/>
                <w:b w:val="0"/>
                <w:bCs w:val="0"/>
                <w:u w:val="none" w:color="auto"/>
                <w:lang w:val="en-US" w:eastAsia="zh-CN"/>
              </w:rPr>
              <w:t>旋风</w:t>
            </w:r>
            <w:r>
              <w:rPr>
                <w:rFonts w:hint="eastAsia"/>
                <w:b w:val="0"/>
                <w:bCs w:val="0"/>
                <w:u w:val="none" w:color="auto"/>
              </w:rPr>
              <w:t>除尘器+布袋除尘器</w:t>
            </w:r>
            <w:r>
              <w:rPr>
                <w:rFonts w:hint="eastAsia"/>
                <w:b w:val="0"/>
                <w:bCs w:val="0"/>
                <w:u w:val="none" w:color="auto"/>
                <w:lang w:val="en-US" w:eastAsia="zh-CN"/>
              </w:rPr>
              <w:t>+水膜除尘</w:t>
            </w:r>
            <w:r>
              <w:rPr>
                <w:rFonts w:hint="eastAsia"/>
                <w:b w:val="0"/>
                <w:bCs w:val="0"/>
                <w:u w:val="none" w:color="auto"/>
                <w:lang w:eastAsia="zh-CN"/>
              </w:rPr>
              <w:t>）</w:t>
            </w:r>
            <w:r>
              <w:rPr>
                <w:rFonts w:hint="eastAsia"/>
                <w:b w:val="0"/>
                <w:bCs w:val="0"/>
                <w:u w:val="none" w:color="auto"/>
              </w:rPr>
              <w:t>，故本项目使用的生物质燃料不属于高污染燃料，属于鼓励使用的可再生能源，符合《高污染燃料目录》的通知</w:t>
            </w:r>
            <w:r>
              <w:rPr>
                <w:rFonts w:hint="eastAsia"/>
                <w:b w:val="0"/>
                <w:bCs w:val="0"/>
                <w:u w:val="none" w:color="auto"/>
                <w:lang w:val="en-US" w:eastAsia="zh-CN"/>
              </w:rPr>
              <w:t>（国环规大气</w:t>
            </w:r>
            <w:r>
              <w:rPr>
                <w:rFonts w:hint="default" w:ascii="Times New Roman" w:hAnsi="Times New Roman" w:eastAsia="宋体" w:cs="Times New Roman"/>
                <w:b w:val="0"/>
                <w:bCs w:val="0"/>
                <w:u w:val="none" w:color="auto"/>
                <w:lang w:val="en-US" w:eastAsia="zh-CN"/>
              </w:rPr>
              <w:t>〔</w:t>
            </w:r>
            <w:r>
              <w:rPr>
                <w:rFonts w:hint="eastAsia"/>
                <w:b w:val="0"/>
                <w:bCs w:val="0"/>
                <w:u w:val="none" w:color="auto"/>
                <w:lang w:val="en-US" w:eastAsia="zh-CN"/>
              </w:rPr>
              <w:t>2017</w:t>
            </w:r>
            <w:r>
              <w:rPr>
                <w:rFonts w:hint="default" w:ascii="Times New Roman" w:hAnsi="Times New Roman" w:eastAsia="宋体" w:cs="Times New Roman"/>
                <w:b w:val="0"/>
                <w:bCs w:val="0"/>
                <w:u w:val="none" w:color="auto"/>
                <w:lang w:val="en-US" w:eastAsia="zh-CN"/>
              </w:rPr>
              <w:t>〕</w:t>
            </w:r>
            <w:r>
              <w:rPr>
                <w:rFonts w:hint="eastAsia"/>
                <w:b w:val="0"/>
                <w:bCs w:val="0"/>
                <w:u w:val="none" w:color="auto"/>
                <w:lang w:val="en-US" w:eastAsia="zh-CN"/>
              </w:rPr>
              <w:t>2号）</w:t>
            </w:r>
            <w:r>
              <w:rPr>
                <w:rFonts w:hint="eastAsia"/>
                <w:b w:val="0"/>
                <w:bCs w:val="0"/>
                <w:u w:val="none" w:color="auto"/>
              </w:rPr>
              <w:t>的相关要求。</w:t>
            </w:r>
          </w:p>
          <w:p w14:paraId="34CEB9F1">
            <w:pPr>
              <w:pStyle w:val="75"/>
              <w:ind w:firstLine="482"/>
              <w:rPr>
                <w:b/>
                <w:bCs/>
                <w:u w:val="none" w:color="auto"/>
              </w:rPr>
            </w:pPr>
            <w:r>
              <w:rPr>
                <w:rFonts w:hint="eastAsia"/>
                <w:b/>
                <w:bCs/>
                <w:u w:val="none" w:color="auto"/>
                <w:lang w:val="en-US" w:eastAsia="zh-CN"/>
              </w:rPr>
              <w:t>5</w:t>
            </w:r>
            <w:r>
              <w:rPr>
                <w:rFonts w:hint="eastAsia"/>
                <w:b/>
                <w:bCs/>
                <w:u w:val="none" w:color="auto"/>
              </w:rPr>
              <w:t>、项目与《工业锅炉污染防治可行技术指南》相符性分析</w:t>
            </w:r>
          </w:p>
          <w:p w14:paraId="79C0286A">
            <w:pPr>
              <w:pStyle w:val="77"/>
              <w:keepNext w:val="0"/>
              <w:keepLines w:val="0"/>
              <w:pageBreakBefore w:val="0"/>
              <w:widowControl w:val="0"/>
              <w:kinsoku/>
              <w:wordWrap/>
              <w:overflowPunct/>
              <w:topLinePunct w:val="0"/>
              <w:autoSpaceDE/>
              <w:autoSpaceDN/>
              <w:bidi w:val="0"/>
              <w:adjustRightInd/>
              <w:snapToGrid/>
              <w:spacing w:line="240" w:lineRule="atLeast"/>
              <w:textAlignment w:val="auto"/>
              <w:rPr>
                <w:sz w:val="21"/>
                <w:szCs w:val="20"/>
                <w:u w:val="none" w:color="auto"/>
              </w:rPr>
            </w:pPr>
            <w:r>
              <w:rPr>
                <w:rFonts w:hint="eastAsia"/>
                <w:sz w:val="21"/>
                <w:szCs w:val="20"/>
                <w:u w:val="none" w:color="auto"/>
              </w:rPr>
              <w:t>表1-</w:t>
            </w:r>
            <w:r>
              <w:rPr>
                <w:rFonts w:hint="eastAsia"/>
                <w:sz w:val="21"/>
                <w:szCs w:val="20"/>
                <w:u w:val="none" w:color="auto"/>
                <w:lang w:val="en-US" w:eastAsia="zh-CN"/>
              </w:rPr>
              <w:t>3</w:t>
            </w:r>
            <w:r>
              <w:rPr>
                <w:rFonts w:hint="eastAsia"/>
                <w:sz w:val="21"/>
                <w:szCs w:val="20"/>
                <w:u w:val="none" w:color="auto"/>
              </w:rPr>
              <w:t xml:space="preserve">  与《工业锅炉污染防治可行技术指南》相符性分析一览表</w:t>
            </w:r>
          </w:p>
          <w:tbl>
            <w:tblPr>
              <w:tblStyle w:val="28"/>
              <w:tblW w:w="49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
              <w:gridCol w:w="690"/>
              <w:gridCol w:w="3231"/>
              <w:gridCol w:w="2034"/>
              <w:gridCol w:w="822"/>
            </w:tblGrid>
            <w:tr w14:paraId="26027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6A9C5955">
                  <w:pPr>
                    <w:pStyle w:val="57"/>
                    <w:rPr>
                      <w:u w:val="none" w:color="auto"/>
                    </w:rPr>
                  </w:pPr>
                  <w:r>
                    <w:rPr>
                      <w:u w:val="none" w:color="auto"/>
                    </w:rPr>
                    <w:t>序号</w:t>
                  </w:r>
                </w:p>
              </w:tc>
              <w:tc>
                <w:tcPr>
                  <w:tcW w:w="2679" w:type="pct"/>
                  <w:gridSpan w:val="2"/>
                  <w:vAlign w:val="center"/>
                </w:tcPr>
                <w:p w14:paraId="0B1BFC6E">
                  <w:pPr>
                    <w:pStyle w:val="57"/>
                    <w:rPr>
                      <w:kern w:val="0"/>
                      <w:u w:val="none" w:color="auto"/>
                    </w:rPr>
                  </w:pPr>
                  <w:r>
                    <w:rPr>
                      <w:u w:val="none" w:color="auto"/>
                    </w:rPr>
                    <w:t>指南要求</w:t>
                  </w:r>
                </w:p>
              </w:tc>
              <w:tc>
                <w:tcPr>
                  <w:tcW w:w="1389" w:type="pct"/>
                  <w:vAlign w:val="center"/>
                </w:tcPr>
                <w:p w14:paraId="4BAFC6AD">
                  <w:pPr>
                    <w:pStyle w:val="57"/>
                    <w:rPr>
                      <w:kern w:val="0"/>
                      <w:u w:val="none" w:color="auto"/>
                    </w:rPr>
                  </w:pPr>
                  <w:r>
                    <w:rPr>
                      <w:u w:val="none" w:color="auto"/>
                    </w:rPr>
                    <w:t>本项目建设情况</w:t>
                  </w:r>
                </w:p>
              </w:tc>
              <w:tc>
                <w:tcPr>
                  <w:tcW w:w="561" w:type="pct"/>
                  <w:vAlign w:val="center"/>
                </w:tcPr>
                <w:p w14:paraId="3165B5F6">
                  <w:pPr>
                    <w:pStyle w:val="57"/>
                    <w:rPr>
                      <w:kern w:val="0"/>
                      <w:u w:val="none" w:color="auto"/>
                    </w:rPr>
                  </w:pPr>
                  <w:r>
                    <w:rPr>
                      <w:u w:val="none" w:color="auto"/>
                    </w:rPr>
                    <w:t>相符性</w:t>
                  </w:r>
                </w:p>
              </w:tc>
            </w:tr>
            <w:tr w14:paraId="6FAD9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47126334">
                  <w:pPr>
                    <w:pStyle w:val="57"/>
                    <w:rPr>
                      <w:u w:val="none" w:color="auto"/>
                    </w:rPr>
                  </w:pPr>
                  <w:r>
                    <w:rPr>
                      <w:u w:val="none" w:color="auto"/>
                    </w:rPr>
                    <w:t>1</w:t>
                  </w:r>
                </w:p>
              </w:tc>
              <w:tc>
                <w:tcPr>
                  <w:tcW w:w="471" w:type="pct"/>
                  <w:vAlign w:val="center"/>
                </w:tcPr>
                <w:p w14:paraId="2774967D">
                  <w:pPr>
                    <w:pStyle w:val="57"/>
                    <w:rPr>
                      <w:u w:val="none" w:color="auto"/>
                    </w:rPr>
                  </w:pPr>
                  <w:r>
                    <w:rPr>
                      <w:u w:val="none" w:color="auto"/>
                    </w:rPr>
                    <w:t>一般原则</w:t>
                  </w:r>
                </w:p>
              </w:tc>
              <w:tc>
                <w:tcPr>
                  <w:tcW w:w="2207" w:type="pct"/>
                  <w:vAlign w:val="center"/>
                </w:tcPr>
                <w:p w14:paraId="3EBDEFA9">
                  <w:pPr>
                    <w:pStyle w:val="57"/>
                    <w:rPr>
                      <w:u w:val="none" w:color="auto"/>
                    </w:rPr>
                  </w:pPr>
                  <w:r>
                    <w:rPr>
                      <w:u w:val="none" w:color="auto"/>
                    </w:rPr>
                    <w:t>5.1.1 锅炉使用单位应优先选用符合国家或地方相关标准及政策要求的低硫分和低灰分的燃料，降低因燃料燃烧产生的颗粒物、SO</w:t>
                  </w:r>
                  <w:r>
                    <w:rPr>
                      <w:u w:val="none" w:color="auto"/>
                      <w:vertAlign w:val="subscript"/>
                    </w:rPr>
                    <w:t>2</w:t>
                  </w:r>
                  <w:r>
                    <w:rPr>
                      <w:u w:val="none" w:color="auto"/>
                    </w:rPr>
                    <w:t>、汞及其化合物的浓度。</w:t>
                  </w:r>
                </w:p>
                <w:p w14:paraId="179FED5B">
                  <w:pPr>
                    <w:pStyle w:val="57"/>
                    <w:rPr>
                      <w:u w:val="none" w:color="auto"/>
                    </w:rPr>
                  </w:pPr>
                  <w:r>
                    <w:rPr>
                      <w:u w:val="none" w:color="auto"/>
                    </w:rPr>
                    <w:t>5.1.2锅炉使用单位宜选择低</w:t>
                  </w:r>
                  <w:r>
                    <w:rPr>
                      <w:rFonts w:hint="eastAsia"/>
                      <w:u w:val="none" w:color="auto"/>
                    </w:rPr>
                    <w:t>氮</w:t>
                  </w:r>
                  <w:r>
                    <w:rPr>
                      <w:u w:val="none" w:color="auto"/>
                    </w:rPr>
                    <w:t>燃烧效果好的炉型及燃烧设备。</w:t>
                  </w:r>
                </w:p>
                <w:p w14:paraId="0ED129C1">
                  <w:pPr>
                    <w:pStyle w:val="57"/>
                    <w:rPr>
                      <w:u w:val="none" w:color="auto"/>
                    </w:rPr>
                  </w:pPr>
                  <w:r>
                    <w:rPr>
                      <w:u w:val="none" w:color="auto"/>
                    </w:rPr>
                    <w:t>5.1.3 锅炉使用单位应加强对低氮燃烧设备的定期维护、保养，以确保其运行稳定</w:t>
                  </w:r>
                </w:p>
              </w:tc>
              <w:tc>
                <w:tcPr>
                  <w:tcW w:w="1389" w:type="pct"/>
                  <w:vAlign w:val="center"/>
                </w:tcPr>
                <w:p w14:paraId="093B8292">
                  <w:pPr>
                    <w:pStyle w:val="57"/>
                    <w:rPr>
                      <w:u w:val="none" w:color="auto"/>
                    </w:rPr>
                  </w:pPr>
                  <w:r>
                    <w:rPr>
                      <w:u w:val="none" w:color="auto"/>
                    </w:rPr>
                    <w:t>本项目所使用成型生物质能满足</w:t>
                  </w:r>
                  <w:r>
                    <w:rPr>
                      <w:rFonts w:hint="eastAsia"/>
                      <w:u w:val="none" w:color="auto"/>
                    </w:rPr>
                    <w:t>《生物质成型燃料质量分级》（NB</w:t>
                  </w:r>
                  <w:r>
                    <w:rPr>
                      <w:u w:val="none" w:color="auto"/>
                    </w:rPr>
                    <w:t>/T34024-2015</w:t>
                  </w:r>
                  <w:r>
                    <w:rPr>
                      <w:rFonts w:hint="eastAsia"/>
                      <w:u w:val="none" w:color="auto"/>
                    </w:rPr>
                    <w:t>）</w:t>
                  </w:r>
                  <w:r>
                    <w:rPr>
                      <w:u w:val="none" w:color="auto"/>
                    </w:rPr>
                    <w:t>要求，本项目禁止使用含汞的成型生物质燃料。</w:t>
                  </w:r>
                </w:p>
                <w:p w14:paraId="4B0CCA05">
                  <w:pPr>
                    <w:pStyle w:val="57"/>
                    <w:rPr>
                      <w:u w:val="none" w:color="auto"/>
                    </w:rPr>
                  </w:pPr>
                  <w:r>
                    <w:rPr>
                      <w:u w:val="none" w:color="auto"/>
                    </w:rPr>
                    <w:t>本项目锅炉为层燃炉，</w:t>
                  </w:r>
                  <w:r>
                    <w:rPr>
                      <w:rFonts w:hint="eastAsia"/>
                      <w:u w:val="none" w:color="auto"/>
                      <w:lang w:val="en-US" w:eastAsia="zh-CN"/>
                    </w:rPr>
                    <w:t>燃烧效率较高</w:t>
                  </w:r>
                  <w:r>
                    <w:rPr>
                      <w:u w:val="none" w:color="auto"/>
                    </w:rPr>
                    <w:t>。</w:t>
                  </w:r>
                </w:p>
                <w:p w14:paraId="44AEF762">
                  <w:pPr>
                    <w:pStyle w:val="57"/>
                    <w:rPr>
                      <w:u w:val="none" w:color="auto"/>
                    </w:rPr>
                  </w:pPr>
                  <w:r>
                    <w:rPr>
                      <w:u w:val="none" w:color="auto"/>
                    </w:rPr>
                    <w:t>建设单位应对锅炉等设备开展定期维护、保养，以确保其运行稳定。</w:t>
                  </w:r>
                </w:p>
              </w:tc>
              <w:tc>
                <w:tcPr>
                  <w:tcW w:w="561" w:type="pct"/>
                  <w:vAlign w:val="center"/>
                </w:tcPr>
                <w:p w14:paraId="07555514">
                  <w:pPr>
                    <w:pStyle w:val="57"/>
                    <w:rPr>
                      <w:u w:val="none" w:color="auto"/>
                    </w:rPr>
                  </w:pPr>
                  <w:r>
                    <w:rPr>
                      <w:rFonts w:hint="eastAsia"/>
                      <w:u w:val="none" w:color="auto"/>
                    </w:rPr>
                    <w:t>符合</w:t>
                  </w:r>
                </w:p>
              </w:tc>
            </w:tr>
            <w:tr w14:paraId="3712C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restart"/>
                  <w:vAlign w:val="center"/>
                </w:tcPr>
                <w:p w14:paraId="71AD8A52">
                  <w:pPr>
                    <w:pStyle w:val="57"/>
                    <w:rPr>
                      <w:u w:val="none" w:color="auto"/>
                    </w:rPr>
                  </w:pPr>
                  <w:r>
                    <w:rPr>
                      <w:u w:val="none" w:color="auto"/>
                    </w:rPr>
                    <w:t>2</w:t>
                  </w:r>
                </w:p>
              </w:tc>
              <w:tc>
                <w:tcPr>
                  <w:tcW w:w="471" w:type="pct"/>
                  <w:vMerge w:val="restart"/>
                  <w:vAlign w:val="center"/>
                </w:tcPr>
                <w:p w14:paraId="29A066E6">
                  <w:pPr>
                    <w:pStyle w:val="57"/>
                    <w:rPr>
                      <w:u w:val="none" w:color="auto"/>
                    </w:rPr>
                  </w:pPr>
                  <w:r>
                    <w:rPr>
                      <w:u w:val="none" w:color="auto"/>
                    </w:rPr>
                    <w:t>烟气污染治理技术</w:t>
                  </w:r>
                </w:p>
              </w:tc>
              <w:tc>
                <w:tcPr>
                  <w:tcW w:w="2207" w:type="pct"/>
                  <w:vAlign w:val="center"/>
                </w:tcPr>
                <w:p w14:paraId="099849D1">
                  <w:pPr>
                    <w:pStyle w:val="57"/>
                    <w:rPr>
                      <w:u w:val="none" w:color="auto"/>
                    </w:rPr>
                  </w:pPr>
                  <w:r>
                    <w:rPr>
                      <w:u w:val="none" w:color="auto"/>
                    </w:rPr>
                    <w:t>锅炉使用单位应根据实际情况优先采用污染预防技术，若仍无法稳定达标排放，应采用适合的治理技术。</w:t>
                  </w:r>
                </w:p>
              </w:tc>
              <w:tc>
                <w:tcPr>
                  <w:tcW w:w="1389" w:type="pct"/>
                  <w:vAlign w:val="center"/>
                </w:tcPr>
                <w:p w14:paraId="32549C9C">
                  <w:pPr>
                    <w:pStyle w:val="57"/>
                    <w:rPr>
                      <w:u w:val="none" w:color="auto"/>
                    </w:rPr>
                  </w:pPr>
                  <w:r>
                    <w:rPr>
                      <w:u w:val="none" w:color="auto"/>
                    </w:rPr>
                    <w:t>本项目锅炉</w:t>
                  </w:r>
                  <w:r>
                    <w:rPr>
                      <w:rFonts w:hint="eastAsia"/>
                      <w:u w:val="none" w:color="auto"/>
                      <w:lang w:val="en-US" w:eastAsia="zh-CN"/>
                    </w:rPr>
                    <w:t>废气能稳定达标排放</w:t>
                  </w:r>
                  <w:r>
                    <w:rPr>
                      <w:u w:val="none" w:color="auto"/>
                    </w:rPr>
                    <w:t>，属于污染预防技术。</w:t>
                  </w:r>
                </w:p>
              </w:tc>
              <w:tc>
                <w:tcPr>
                  <w:tcW w:w="561" w:type="pct"/>
                  <w:vAlign w:val="center"/>
                </w:tcPr>
                <w:p w14:paraId="7308E3A9">
                  <w:pPr>
                    <w:pStyle w:val="57"/>
                    <w:rPr>
                      <w:u w:val="none" w:color="auto"/>
                    </w:rPr>
                  </w:pPr>
                  <w:r>
                    <w:rPr>
                      <w:rFonts w:hint="eastAsia"/>
                      <w:u w:val="none" w:color="auto"/>
                    </w:rPr>
                    <w:t>符合</w:t>
                  </w:r>
                </w:p>
              </w:tc>
            </w:tr>
            <w:tr w14:paraId="20F9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continue"/>
                  <w:vAlign w:val="center"/>
                </w:tcPr>
                <w:p w14:paraId="664988E2">
                  <w:pPr>
                    <w:pStyle w:val="57"/>
                    <w:rPr>
                      <w:u w:val="none" w:color="auto"/>
                    </w:rPr>
                  </w:pPr>
                </w:p>
              </w:tc>
              <w:tc>
                <w:tcPr>
                  <w:tcW w:w="471" w:type="pct"/>
                  <w:vMerge w:val="continue"/>
                  <w:vAlign w:val="center"/>
                </w:tcPr>
                <w:p w14:paraId="2E152C74">
                  <w:pPr>
                    <w:pStyle w:val="57"/>
                    <w:rPr>
                      <w:u w:val="none" w:color="auto"/>
                    </w:rPr>
                  </w:pPr>
                </w:p>
              </w:tc>
              <w:tc>
                <w:tcPr>
                  <w:tcW w:w="2207" w:type="pct"/>
                  <w:vAlign w:val="center"/>
                </w:tcPr>
                <w:p w14:paraId="7D573C9F">
                  <w:pPr>
                    <w:pStyle w:val="57"/>
                    <w:rPr>
                      <w:u w:val="none" w:color="auto"/>
                    </w:rPr>
                  </w:pPr>
                  <w:r>
                    <w:rPr>
                      <w:u w:val="none" w:color="auto"/>
                    </w:rPr>
                    <w:t>燃生物质成型燃料锅炉宜采用机械除尘+袋式除尘技术实现颗粒物达标排放。</w:t>
                  </w:r>
                </w:p>
              </w:tc>
              <w:tc>
                <w:tcPr>
                  <w:tcW w:w="1389" w:type="pct"/>
                  <w:vAlign w:val="center"/>
                </w:tcPr>
                <w:p w14:paraId="16BDA1D7">
                  <w:pPr>
                    <w:pStyle w:val="57"/>
                    <w:rPr>
                      <w:u w:val="none" w:color="auto"/>
                    </w:rPr>
                  </w:pPr>
                  <w:r>
                    <w:rPr>
                      <w:u w:val="none" w:color="auto"/>
                    </w:rPr>
                    <w:t>本项目锅炉采用</w:t>
                  </w:r>
                  <w:r>
                    <w:rPr>
                      <w:rFonts w:hint="eastAsia"/>
                      <w:u w:val="none" w:color="auto"/>
                    </w:rPr>
                    <w:t>耐高温袋式除尘器</w:t>
                  </w:r>
                  <w:r>
                    <w:rPr>
                      <w:u w:val="none" w:color="auto"/>
                    </w:rPr>
                    <w:t>对颗粒物进行处理，能做到达标排放。</w:t>
                  </w:r>
                </w:p>
              </w:tc>
              <w:tc>
                <w:tcPr>
                  <w:tcW w:w="561" w:type="pct"/>
                  <w:vAlign w:val="center"/>
                </w:tcPr>
                <w:p w14:paraId="03F6752C">
                  <w:pPr>
                    <w:pStyle w:val="57"/>
                    <w:rPr>
                      <w:u w:val="none" w:color="auto"/>
                    </w:rPr>
                  </w:pPr>
                  <w:r>
                    <w:rPr>
                      <w:rFonts w:hint="eastAsia"/>
                      <w:u w:val="none" w:color="auto"/>
                    </w:rPr>
                    <w:t>符合</w:t>
                  </w:r>
                </w:p>
              </w:tc>
            </w:tr>
            <w:tr w14:paraId="21363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continue"/>
                  <w:vAlign w:val="center"/>
                </w:tcPr>
                <w:p w14:paraId="2BE3287F">
                  <w:pPr>
                    <w:pStyle w:val="57"/>
                    <w:rPr>
                      <w:u w:val="none" w:color="auto"/>
                    </w:rPr>
                  </w:pPr>
                </w:p>
              </w:tc>
              <w:tc>
                <w:tcPr>
                  <w:tcW w:w="471" w:type="pct"/>
                  <w:vMerge w:val="continue"/>
                  <w:vAlign w:val="center"/>
                </w:tcPr>
                <w:p w14:paraId="44955093">
                  <w:pPr>
                    <w:pStyle w:val="57"/>
                    <w:rPr>
                      <w:u w:val="none" w:color="auto"/>
                    </w:rPr>
                  </w:pPr>
                </w:p>
              </w:tc>
              <w:tc>
                <w:tcPr>
                  <w:tcW w:w="2207" w:type="pct"/>
                  <w:vAlign w:val="center"/>
                </w:tcPr>
                <w:p w14:paraId="2F40F956">
                  <w:pPr>
                    <w:pStyle w:val="57"/>
                    <w:rPr>
                      <w:u w:val="none" w:color="auto"/>
                    </w:rPr>
                  </w:pPr>
                  <w:r>
                    <w:rPr>
                      <w:u w:val="none" w:color="auto"/>
                    </w:rPr>
                    <w:t>燃油、燃气和燃生物质成型燃料锅炉SO排放不达标时，宜参考燃煤锅炉选择烟气脱硫技术。</w:t>
                  </w:r>
                </w:p>
              </w:tc>
              <w:tc>
                <w:tcPr>
                  <w:tcW w:w="1389" w:type="pct"/>
                  <w:vAlign w:val="center"/>
                </w:tcPr>
                <w:p w14:paraId="6AAA1B3A">
                  <w:pPr>
                    <w:pStyle w:val="57"/>
                    <w:rPr>
                      <w:u w:val="none" w:color="auto"/>
                    </w:rPr>
                  </w:pPr>
                  <w:r>
                    <w:rPr>
                      <w:u w:val="none" w:color="auto"/>
                    </w:rPr>
                    <w:t>本项目二氧化硫</w:t>
                  </w:r>
                  <w:r>
                    <w:rPr>
                      <w:rFonts w:hint="eastAsia"/>
                      <w:u w:val="none" w:color="auto"/>
                    </w:rPr>
                    <w:t>可达标排放</w:t>
                  </w:r>
                </w:p>
              </w:tc>
              <w:tc>
                <w:tcPr>
                  <w:tcW w:w="561" w:type="pct"/>
                  <w:vAlign w:val="center"/>
                </w:tcPr>
                <w:p w14:paraId="1AE368BF">
                  <w:pPr>
                    <w:pStyle w:val="57"/>
                    <w:rPr>
                      <w:u w:val="none" w:color="auto"/>
                    </w:rPr>
                  </w:pPr>
                  <w:r>
                    <w:rPr>
                      <w:rFonts w:hint="eastAsia"/>
                      <w:u w:val="none" w:color="auto"/>
                    </w:rPr>
                    <w:t>符合</w:t>
                  </w:r>
                </w:p>
              </w:tc>
            </w:tr>
            <w:tr w14:paraId="0AF53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9" w:type="pct"/>
                  <w:vMerge w:val="continue"/>
                  <w:vAlign w:val="center"/>
                </w:tcPr>
                <w:p w14:paraId="3804102B">
                  <w:pPr>
                    <w:pStyle w:val="57"/>
                    <w:rPr>
                      <w:u w:val="none" w:color="auto"/>
                    </w:rPr>
                  </w:pPr>
                </w:p>
              </w:tc>
              <w:tc>
                <w:tcPr>
                  <w:tcW w:w="471" w:type="pct"/>
                  <w:vMerge w:val="continue"/>
                  <w:vAlign w:val="center"/>
                </w:tcPr>
                <w:p w14:paraId="0EED0D4D">
                  <w:pPr>
                    <w:pStyle w:val="57"/>
                    <w:rPr>
                      <w:u w:val="none" w:color="auto"/>
                    </w:rPr>
                  </w:pPr>
                </w:p>
              </w:tc>
              <w:tc>
                <w:tcPr>
                  <w:tcW w:w="2207" w:type="pct"/>
                  <w:vAlign w:val="center"/>
                </w:tcPr>
                <w:p w14:paraId="372407FC">
                  <w:pPr>
                    <w:pStyle w:val="57"/>
                    <w:rPr>
                      <w:u w:val="none" w:color="auto"/>
                    </w:rPr>
                  </w:pPr>
                  <w:r>
                    <w:rPr>
                      <w:u w:val="none" w:color="auto"/>
                    </w:rPr>
                    <w:t>氮氧化物排放控制宜优先采用低氮燃烧技术，若不能实现达标排放，应结合选择性催化还原法(SCR)、选择性非催化还原法(SNCR) 和 SNCR-SCR 联合法脱硝技术实现达标排放。</w:t>
                  </w:r>
                </w:p>
              </w:tc>
              <w:tc>
                <w:tcPr>
                  <w:tcW w:w="1389" w:type="pct"/>
                  <w:vAlign w:val="center"/>
                </w:tcPr>
                <w:p w14:paraId="7C530D2F">
                  <w:pPr>
                    <w:pStyle w:val="57"/>
                    <w:rPr>
                      <w:u w:val="none" w:color="auto"/>
                    </w:rPr>
                  </w:pPr>
                  <w:r>
                    <w:rPr>
                      <w:u w:val="none" w:color="auto"/>
                    </w:rPr>
                    <w:t>本项目</w:t>
                  </w:r>
                  <w:r>
                    <w:rPr>
                      <w:rFonts w:hint="eastAsia"/>
                      <w:u w:val="none" w:color="auto"/>
                      <w:lang w:val="en-US" w:eastAsia="zh-CN"/>
                    </w:rPr>
                    <w:t>采用</w:t>
                  </w:r>
                  <w:r>
                    <w:rPr>
                      <w:u w:val="none" w:color="auto"/>
                    </w:rPr>
                    <w:t>SNCR</w:t>
                  </w:r>
                  <w:r>
                    <w:rPr>
                      <w:rFonts w:hint="eastAsia"/>
                      <w:u w:val="none" w:color="auto"/>
                      <w:lang w:val="en-US" w:eastAsia="zh-CN"/>
                    </w:rPr>
                    <w:t>脱硝技术，</w:t>
                  </w:r>
                  <w:r>
                    <w:rPr>
                      <w:u w:val="none" w:color="auto"/>
                    </w:rPr>
                    <w:t>氮氧化物满足达标排放要求</w:t>
                  </w:r>
                </w:p>
              </w:tc>
              <w:tc>
                <w:tcPr>
                  <w:tcW w:w="561" w:type="pct"/>
                  <w:vAlign w:val="center"/>
                </w:tcPr>
                <w:p w14:paraId="192DBE96">
                  <w:pPr>
                    <w:pStyle w:val="57"/>
                    <w:rPr>
                      <w:u w:val="none" w:color="auto"/>
                    </w:rPr>
                  </w:pPr>
                  <w:r>
                    <w:rPr>
                      <w:rFonts w:hint="eastAsia"/>
                      <w:u w:val="none" w:color="auto"/>
                    </w:rPr>
                    <w:t>符合</w:t>
                  </w:r>
                </w:p>
              </w:tc>
            </w:tr>
            <w:tr w14:paraId="427CE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continue"/>
                  <w:vAlign w:val="center"/>
                </w:tcPr>
                <w:p w14:paraId="7BC083CC">
                  <w:pPr>
                    <w:pStyle w:val="57"/>
                    <w:rPr>
                      <w:u w:val="none" w:color="auto"/>
                    </w:rPr>
                  </w:pPr>
                </w:p>
              </w:tc>
              <w:tc>
                <w:tcPr>
                  <w:tcW w:w="471" w:type="pct"/>
                  <w:vMerge w:val="continue"/>
                  <w:vAlign w:val="center"/>
                </w:tcPr>
                <w:p w14:paraId="238D2378">
                  <w:pPr>
                    <w:pStyle w:val="57"/>
                    <w:rPr>
                      <w:u w:val="none" w:color="auto"/>
                    </w:rPr>
                  </w:pPr>
                </w:p>
              </w:tc>
              <w:tc>
                <w:tcPr>
                  <w:tcW w:w="2207" w:type="pct"/>
                  <w:vAlign w:val="center"/>
                </w:tcPr>
                <w:p w14:paraId="78967DE5">
                  <w:pPr>
                    <w:pStyle w:val="57"/>
                    <w:rPr>
                      <w:u w:val="none" w:color="auto"/>
                    </w:rPr>
                  </w:pPr>
                  <w:r>
                    <w:rPr>
                      <w:u w:val="none" w:color="auto"/>
                    </w:rPr>
                    <w:t>汞及其化合物宜采用协同治理技术实现达标排放。</w:t>
                  </w:r>
                </w:p>
              </w:tc>
              <w:tc>
                <w:tcPr>
                  <w:tcW w:w="1389" w:type="pct"/>
                  <w:vAlign w:val="center"/>
                </w:tcPr>
                <w:p w14:paraId="4068A916">
                  <w:pPr>
                    <w:pStyle w:val="57"/>
                    <w:rPr>
                      <w:u w:val="none" w:color="auto"/>
                    </w:rPr>
                  </w:pPr>
                  <w:r>
                    <w:rPr>
                      <w:u w:val="none" w:color="auto"/>
                    </w:rPr>
                    <w:t>本项目禁止使用含汞的成型生物质燃料。</w:t>
                  </w:r>
                </w:p>
              </w:tc>
              <w:tc>
                <w:tcPr>
                  <w:tcW w:w="561" w:type="pct"/>
                  <w:vAlign w:val="center"/>
                </w:tcPr>
                <w:p w14:paraId="0A2B843E">
                  <w:pPr>
                    <w:pStyle w:val="57"/>
                    <w:rPr>
                      <w:u w:val="none" w:color="auto"/>
                    </w:rPr>
                  </w:pPr>
                  <w:r>
                    <w:rPr>
                      <w:rFonts w:hint="eastAsia"/>
                      <w:u w:val="none" w:color="auto"/>
                    </w:rPr>
                    <w:t>符合</w:t>
                  </w:r>
                </w:p>
              </w:tc>
            </w:tr>
            <w:tr w14:paraId="5976D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restart"/>
                  <w:vAlign w:val="center"/>
                </w:tcPr>
                <w:p w14:paraId="4D3A68BC">
                  <w:pPr>
                    <w:pStyle w:val="57"/>
                    <w:rPr>
                      <w:u w:val="none" w:color="auto"/>
                    </w:rPr>
                  </w:pPr>
                  <w:r>
                    <w:rPr>
                      <w:rFonts w:hint="eastAsia"/>
                      <w:u w:val="none" w:color="auto"/>
                    </w:rPr>
                    <w:t>3</w:t>
                  </w:r>
                </w:p>
              </w:tc>
              <w:tc>
                <w:tcPr>
                  <w:tcW w:w="471" w:type="pct"/>
                  <w:vMerge w:val="restart"/>
                  <w:vAlign w:val="center"/>
                </w:tcPr>
                <w:p w14:paraId="54D0C7EA">
                  <w:pPr>
                    <w:pStyle w:val="57"/>
                    <w:rPr>
                      <w:u w:val="none" w:color="auto"/>
                    </w:rPr>
                  </w:pPr>
                  <w:r>
                    <w:rPr>
                      <w:u w:val="none" w:color="auto"/>
                    </w:rPr>
                    <w:t>废水污染治理技术</w:t>
                  </w:r>
                </w:p>
              </w:tc>
              <w:tc>
                <w:tcPr>
                  <w:tcW w:w="2207" w:type="pct"/>
                  <w:vAlign w:val="center"/>
                </w:tcPr>
                <w:p w14:paraId="6892511E">
                  <w:pPr>
                    <w:pStyle w:val="57"/>
                    <w:rPr>
                      <w:u w:val="none" w:color="auto"/>
                    </w:rPr>
                  </w:pPr>
                  <w:r>
                    <w:rPr>
                      <w:u w:val="none" w:color="auto"/>
                    </w:rPr>
                    <w:t>脱硫废水是湿法脱硫工艺排放的废水，具有氯离子浓度高、悬浮物浓度高等特点，宜采用氧化、pH调整、沉淀、絮凝、澄清和浓缩等处理后回用或间接排放。</w:t>
                  </w:r>
                </w:p>
              </w:tc>
              <w:tc>
                <w:tcPr>
                  <w:tcW w:w="1389" w:type="pct"/>
                  <w:vAlign w:val="center"/>
                </w:tcPr>
                <w:p w14:paraId="503EE86E">
                  <w:pPr>
                    <w:pStyle w:val="57"/>
                    <w:rPr>
                      <w:u w:val="none" w:color="auto"/>
                    </w:rPr>
                  </w:pPr>
                  <w:r>
                    <w:rPr>
                      <w:u w:val="none" w:color="auto"/>
                    </w:rPr>
                    <w:t>本项目</w:t>
                  </w:r>
                  <w:r>
                    <w:rPr>
                      <w:rFonts w:hint="eastAsia"/>
                      <w:u w:val="none" w:color="auto"/>
                    </w:rPr>
                    <w:t>不产生脱硫废水</w:t>
                  </w:r>
                </w:p>
              </w:tc>
              <w:tc>
                <w:tcPr>
                  <w:tcW w:w="561" w:type="pct"/>
                  <w:vAlign w:val="center"/>
                </w:tcPr>
                <w:p w14:paraId="18679975">
                  <w:pPr>
                    <w:pStyle w:val="57"/>
                    <w:rPr>
                      <w:u w:val="none" w:color="auto"/>
                    </w:rPr>
                  </w:pPr>
                  <w:r>
                    <w:rPr>
                      <w:rFonts w:hint="eastAsia"/>
                      <w:u w:val="none" w:color="auto"/>
                    </w:rPr>
                    <w:t>符合</w:t>
                  </w:r>
                </w:p>
              </w:tc>
            </w:tr>
            <w:tr w14:paraId="0E153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continue"/>
                  <w:vAlign w:val="center"/>
                </w:tcPr>
                <w:p w14:paraId="3FAECE2C">
                  <w:pPr>
                    <w:pStyle w:val="57"/>
                    <w:rPr>
                      <w:u w:val="none" w:color="auto"/>
                    </w:rPr>
                  </w:pPr>
                </w:p>
              </w:tc>
              <w:tc>
                <w:tcPr>
                  <w:tcW w:w="471" w:type="pct"/>
                  <w:vMerge w:val="continue"/>
                  <w:vAlign w:val="center"/>
                </w:tcPr>
                <w:p w14:paraId="30284CD8">
                  <w:pPr>
                    <w:pStyle w:val="57"/>
                    <w:rPr>
                      <w:u w:val="none" w:color="auto"/>
                    </w:rPr>
                  </w:pPr>
                </w:p>
              </w:tc>
              <w:tc>
                <w:tcPr>
                  <w:tcW w:w="2207" w:type="pct"/>
                  <w:vAlign w:val="center"/>
                </w:tcPr>
                <w:p w14:paraId="1518D2AA">
                  <w:pPr>
                    <w:pStyle w:val="57"/>
                    <w:rPr>
                      <w:u w:val="none" w:color="auto"/>
                    </w:rPr>
                  </w:pPr>
                  <w:r>
                    <w:rPr>
                      <w:u w:val="none" w:color="auto"/>
                    </w:rPr>
                    <w:t>软化水再生废水是锅炉软化水装置再生时产生的废水，当其为酸碱废水时，宜采用 pH调整处理后回用或排至生产废水集中处理系统集中处理；当其为浓盐水时，宜采用絮凝、澄清处理后回用或排至生产废水集中处理系统集中处理。</w:t>
                  </w:r>
                </w:p>
              </w:tc>
              <w:tc>
                <w:tcPr>
                  <w:tcW w:w="1389" w:type="pct"/>
                  <w:vMerge w:val="restart"/>
                  <w:vAlign w:val="center"/>
                </w:tcPr>
                <w:p w14:paraId="74566F37">
                  <w:pPr>
                    <w:pStyle w:val="57"/>
                    <w:rPr>
                      <w:rFonts w:hint="default"/>
                      <w:u w:val="none" w:color="auto"/>
                      <w:lang w:val="en-US"/>
                    </w:rPr>
                  </w:pPr>
                  <w:r>
                    <w:rPr>
                      <w:u w:val="none" w:color="auto"/>
                    </w:rPr>
                    <w:t>本项目</w:t>
                  </w:r>
                  <w:r>
                    <w:rPr>
                      <w:rFonts w:hint="eastAsia"/>
                      <w:u w:val="none" w:color="auto"/>
                    </w:rPr>
                    <w:t>锅炉排污水和软水制备废水</w:t>
                  </w:r>
                  <w:r>
                    <w:rPr>
                      <w:rFonts w:hint="eastAsia"/>
                      <w:u w:val="none" w:color="auto"/>
                      <w:lang w:val="en-US" w:eastAsia="zh-CN"/>
                    </w:rPr>
                    <w:t>收集后用于水膜除尘补充用水。</w:t>
                  </w:r>
                </w:p>
              </w:tc>
              <w:tc>
                <w:tcPr>
                  <w:tcW w:w="561" w:type="pct"/>
                  <w:vMerge w:val="restart"/>
                  <w:vAlign w:val="center"/>
                </w:tcPr>
                <w:p w14:paraId="32F5784F">
                  <w:pPr>
                    <w:pStyle w:val="57"/>
                    <w:rPr>
                      <w:u w:val="none" w:color="auto"/>
                    </w:rPr>
                  </w:pPr>
                  <w:r>
                    <w:rPr>
                      <w:rFonts w:hint="eastAsia"/>
                      <w:u w:val="none" w:color="auto"/>
                    </w:rPr>
                    <w:t>符合</w:t>
                  </w:r>
                </w:p>
              </w:tc>
            </w:tr>
            <w:tr w14:paraId="11231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continue"/>
                  <w:vAlign w:val="center"/>
                </w:tcPr>
                <w:p w14:paraId="5E95C9F2">
                  <w:pPr>
                    <w:pStyle w:val="57"/>
                    <w:rPr>
                      <w:u w:val="none" w:color="auto"/>
                    </w:rPr>
                  </w:pPr>
                </w:p>
              </w:tc>
              <w:tc>
                <w:tcPr>
                  <w:tcW w:w="471" w:type="pct"/>
                  <w:vMerge w:val="continue"/>
                  <w:vAlign w:val="center"/>
                </w:tcPr>
                <w:p w14:paraId="33713017">
                  <w:pPr>
                    <w:pStyle w:val="57"/>
                    <w:rPr>
                      <w:u w:val="none" w:color="auto"/>
                    </w:rPr>
                  </w:pPr>
                </w:p>
              </w:tc>
              <w:tc>
                <w:tcPr>
                  <w:tcW w:w="2207" w:type="pct"/>
                  <w:vAlign w:val="center"/>
                </w:tcPr>
                <w:p w14:paraId="184EC0C5">
                  <w:pPr>
                    <w:pStyle w:val="57"/>
                    <w:rPr>
                      <w:u w:val="none" w:color="auto"/>
                    </w:rPr>
                  </w:pPr>
                  <w:r>
                    <w:rPr>
                      <w:u w:val="none" w:color="auto"/>
                    </w:rPr>
                    <w:t>锅炉排污水是为保持锅炉内的水质，需定期或连续排放的污水，宜采用 pH 调整、絮凝和澄清处理后回用或排至生产废水集中处理系统处理。</w:t>
                  </w:r>
                </w:p>
              </w:tc>
              <w:tc>
                <w:tcPr>
                  <w:tcW w:w="1389" w:type="pct"/>
                  <w:vMerge w:val="continue"/>
                  <w:vAlign w:val="center"/>
                </w:tcPr>
                <w:p w14:paraId="2045F3F3">
                  <w:pPr>
                    <w:pStyle w:val="57"/>
                    <w:rPr>
                      <w:u w:val="none" w:color="auto"/>
                    </w:rPr>
                  </w:pPr>
                </w:p>
              </w:tc>
              <w:tc>
                <w:tcPr>
                  <w:tcW w:w="561" w:type="pct"/>
                  <w:vMerge w:val="continue"/>
                  <w:vAlign w:val="center"/>
                </w:tcPr>
                <w:p w14:paraId="36AC7577">
                  <w:pPr>
                    <w:pStyle w:val="57"/>
                    <w:rPr>
                      <w:u w:val="none" w:color="auto"/>
                    </w:rPr>
                  </w:pPr>
                </w:p>
              </w:tc>
            </w:tr>
            <w:tr w14:paraId="35568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restart"/>
                  <w:vAlign w:val="center"/>
                </w:tcPr>
                <w:p w14:paraId="09E76308">
                  <w:pPr>
                    <w:pStyle w:val="57"/>
                    <w:rPr>
                      <w:u w:val="none" w:color="auto"/>
                    </w:rPr>
                  </w:pPr>
                  <w:r>
                    <w:rPr>
                      <w:rFonts w:hint="eastAsia"/>
                      <w:u w:val="none" w:color="auto"/>
                    </w:rPr>
                    <w:t>4</w:t>
                  </w:r>
                </w:p>
              </w:tc>
              <w:tc>
                <w:tcPr>
                  <w:tcW w:w="471" w:type="pct"/>
                  <w:vMerge w:val="restart"/>
                  <w:vAlign w:val="center"/>
                </w:tcPr>
                <w:p w14:paraId="0CCED897">
                  <w:pPr>
                    <w:pStyle w:val="57"/>
                    <w:rPr>
                      <w:u w:val="none" w:color="auto"/>
                    </w:rPr>
                  </w:pPr>
                  <w:r>
                    <w:rPr>
                      <w:u w:val="none" w:color="auto"/>
                    </w:rPr>
                    <w:t>固体废物治理技术</w:t>
                  </w:r>
                </w:p>
              </w:tc>
              <w:tc>
                <w:tcPr>
                  <w:tcW w:w="2207" w:type="pct"/>
                  <w:vAlign w:val="center"/>
                </w:tcPr>
                <w:p w14:paraId="7657D28C">
                  <w:pPr>
                    <w:pStyle w:val="57"/>
                    <w:rPr>
                      <w:u w:val="none" w:color="auto"/>
                    </w:rPr>
                  </w:pPr>
                  <w:r>
                    <w:rPr>
                      <w:u w:val="none" w:color="auto"/>
                    </w:rPr>
                    <w:t>6.3.1.1 固体废物应根据其废物属性，按照 GB 18597 或 GB 18599 的要求贮存。 6.3.1.2 一般工业固体废物宜优先资源化利用，不能资源化利用时应按照 GB 18599 规定处置。 6.3.1.3 危险废物应委托有资质的单位进行利用处置。产生、收集、贮存、运输、利用、处置过程应满足危险废物相关法律法规、标准规范的规定，并通过全国固体废物管理信息系统报送相关信息。危险废物转移过程应执行《危险废物转移联单管理办法》。</w:t>
                  </w:r>
                </w:p>
              </w:tc>
              <w:tc>
                <w:tcPr>
                  <w:tcW w:w="1389" w:type="pct"/>
                  <w:vAlign w:val="center"/>
                </w:tcPr>
                <w:p w14:paraId="22353FD2">
                  <w:pPr>
                    <w:pStyle w:val="57"/>
                    <w:rPr>
                      <w:rFonts w:hint="eastAsia" w:eastAsia="宋体"/>
                      <w:color w:val="000000" w:themeColor="text1"/>
                      <w:u w:val="none" w:color="auto"/>
                      <w:lang w:eastAsia="zh-CN"/>
                      <w14:textFill>
                        <w14:solidFill>
                          <w14:schemeClr w14:val="tx1"/>
                        </w14:solidFill>
                      </w14:textFill>
                    </w:rPr>
                  </w:pPr>
                  <w:r>
                    <w:rPr>
                      <w:rFonts w:hint="eastAsia"/>
                      <w:color w:val="000000" w:themeColor="text1"/>
                      <w:u w:val="none" w:color="auto"/>
                      <w14:textFill>
                        <w14:solidFill>
                          <w14:schemeClr w14:val="tx1"/>
                        </w14:solidFill>
                      </w14:textFill>
                    </w:rPr>
                    <w:t>本项目</w:t>
                  </w:r>
                  <w:r>
                    <w:rPr>
                      <w:rFonts w:hint="eastAsia"/>
                      <w:color w:val="000000" w:themeColor="text1"/>
                      <w:u w:val="none" w:color="auto"/>
                      <w:lang w:val="en-US" w:eastAsia="zh-CN"/>
                      <w14:textFill>
                        <w14:solidFill>
                          <w14:schemeClr w14:val="tx1"/>
                        </w14:solidFill>
                      </w14:textFill>
                    </w:rPr>
                    <w:t>按要求建设</w:t>
                  </w:r>
                  <w:r>
                    <w:rPr>
                      <w:rFonts w:hint="eastAsia"/>
                      <w:color w:val="000000" w:themeColor="text1"/>
                      <w:u w:val="none" w:color="auto"/>
                      <w14:textFill>
                        <w14:solidFill>
                          <w14:schemeClr w14:val="tx1"/>
                        </w14:solidFill>
                      </w14:textFill>
                    </w:rPr>
                    <w:t>一般固废暂存间，暂存炉渣、除尘灰等一般固废，定期交由周边农户作为农肥利用，危险废物暂存于危险废物暂存间，委托有资质单位处置</w:t>
                  </w:r>
                  <w:r>
                    <w:rPr>
                      <w:rFonts w:hint="eastAsia"/>
                      <w:color w:val="000000" w:themeColor="text1"/>
                      <w:u w:val="none" w:color="auto"/>
                      <w:lang w:eastAsia="zh-CN"/>
                      <w14:textFill>
                        <w14:solidFill>
                          <w14:schemeClr w14:val="tx1"/>
                        </w14:solidFill>
                      </w14:textFill>
                    </w:rPr>
                    <w:t>。</w:t>
                  </w:r>
                </w:p>
              </w:tc>
              <w:tc>
                <w:tcPr>
                  <w:tcW w:w="561" w:type="pct"/>
                  <w:vAlign w:val="center"/>
                </w:tcPr>
                <w:p w14:paraId="6FDE119C">
                  <w:pPr>
                    <w:pStyle w:val="57"/>
                    <w:rPr>
                      <w:u w:val="none" w:color="auto"/>
                    </w:rPr>
                  </w:pPr>
                  <w:r>
                    <w:rPr>
                      <w:rFonts w:hint="eastAsia"/>
                      <w:u w:val="none" w:color="auto"/>
                    </w:rPr>
                    <w:t>符合</w:t>
                  </w:r>
                </w:p>
              </w:tc>
            </w:tr>
            <w:tr w14:paraId="78098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continue"/>
                  <w:vAlign w:val="center"/>
                </w:tcPr>
                <w:p w14:paraId="52C4909C">
                  <w:pPr>
                    <w:pStyle w:val="57"/>
                    <w:rPr>
                      <w:u w:val="none" w:color="auto"/>
                    </w:rPr>
                  </w:pPr>
                </w:p>
              </w:tc>
              <w:tc>
                <w:tcPr>
                  <w:tcW w:w="471" w:type="pct"/>
                  <w:vMerge w:val="continue"/>
                  <w:vAlign w:val="center"/>
                </w:tcPr>
                <w:p w14:paraId="59EC8D22">
                  <w:pPr>
                    <w:pStyle w:val="57"/>
                    <w:rPr>
                      <w:u w:val="none" w:color="auto"/>
                    </w:rPr>
                  </w:pPr>
                </w:p>
              </w:tc>
              <w:tc>
                <w:tcPr>
                  <w:tcW w:w="2207" w:type="pct"/>
                  <w:vAlign w:val="center"/>
                </w:tcPr>
                <w:p w14:paraId="62EF30BC">
                  <w:pPr>
                    <w:pStyle w:val="57"/>
                    <w:rPr>
                      <w:u w:val="none" w:color="auto"/>
                    </w:rPr>
                  </w:pPr>
                  <w:r>
                    <w:rPr>
                      <w:u w:val="none" w:color="auto"/>
                    </w:rPr>
                    <w:t>6.3.2.1 粉煤灰可用于制作水泥、砖等建筑材料，也可用于混凝土掺料、道路路基处理等。 6.3.2.2 脱硫石膏可用于制作石膏板，用作水泥缓凝剂，也可用于矿井回填、土壤改良等。</w:t>
                  </w:r>
                </w:p>
              </w:tc>
              <w:tc>
                <w:tcPr>
                  <w:tcW w:w="1389" w:type="pct"/>
                  <w:vAlign w:val="center"/>
                </w:tcPr>
                <w:p w14:paraId="0D2D7EE8">
                  <w:pPr>
                    <w:pStyle w:val="57"/>
                    <w:rPr>
                      <w:rFonts w:hint="eastAsia" w:eastAsia="宋体"/>
                      <w:color w:val="000000" w:themeColor="text1"/>
                      <w:u w:val="none" w:color="auto"/>
                      <w:lang w:eastAsia="zh-CN"/>
                      <w14:textFill>
                        <w14:solidFill>
                          <w14:schemeClr w14:val="tx1"/>
                        </w14:solidFill>
                      </w14:textFill>
                    </w:rPr>
                  </w:pPr>
                  <w:r>
                    <w:rPr>
                      <w:color w:val="000000" w:themeColor="text1"/>
                      <w:u w:val="none" w:color="auto"/>
                      <w14:textFill>
                        <w14:solidFill>
                          <w14:schemeClr w14:val="tx1"/>
                        </w14:solidFill>
                      </w14:textFill>
                    </w:rPr>
                    <w:t>项目炉渣和除尘灰</w:t>
                  </w:r>
                  <w:r>
                    <w:rPr>
                      <w:rFonts w:hint="eastAsia"/>
                      <w:color w:val="000000" w:themeColor="text1"/>
                      <w:u w:val="none" w:color="auto"/>
                      <w14:textFill>
                        <w14:solidFill>
                          <w14:schemeClr w14:val="tx1"/>
                        </w14:solidFill>
                      </w14:textFill>
                    </w:rPr>
                    <w:t>定期交由周边农户作为农肥利用</w:t>
                  </w:r>
                  <w:r>
                    <w:rPr>
                      <w:bCs/>
                      <w:color w:val="000000" w:themeColor="text1"/>
                      <w:spacing w:val="-10"/>
                      <w:u w:val="none" w:color="auto"/>
                      <w14:textFill>
                        <w14:solidFill>
                          <w14:schemeClr w14:val="tx1"/>
                        </w14:solidFill>
                      </w14:textFill>
                    </w:rPr>
                    <w:t>；项目不产生脱硫石膏</w:t>
                  </w:r>
                  <w:r>
                    <w:rPr>
                      <w:rFonts w:hint="eastAsia"/>
                      <w:bCs/>
                      <w:color w:val="000000" w:themeColor="text1"/>
                      <w:spacing w:val="-10"/>
                      <w:u w:val="none" w:color="auto"/>
                      <w:lang w:eastAsia="zh-CN"/>
                      <w14:textFill>
                        <w14:solidFill>
                          <w14:schemeClr w14:val="tx1"/>
                        </w14:solidFill>
                      </w14:textFill>
                    </w:rPr>
                    <w:t>。</w:t>
                  </w:r>
                </w:p>
              </w:tc>
              <w:tc>
                <w:tcPr>
                  <w:tcW w:w="561" w:type="pct"/>
                  <w:vAlign w:val="center"/>
                </w:tcPr>
                <w:p w14:paraId="256A3F42">
                  <w:pPr>
                    <w:pStyle w:val="57"/>
                    <w:rPr>
                      <w:u w:val="none" w:color="auto"/>
                    </w:rPr>
                  </w:pPr>
                  <w:r>
                    <w:rPr>
                      <w:rFonts w:hint="eastAsia"/>
                      <w:u w:val="none" w:color="auto"/>
                    </w:rPr>
                    <w:t>符合</w:t>
                  </w:r>
                </w:p>
              </w:tc>
            </w:tr>
            <w:tr w14:paraId="0B90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restart"/>
                  <w:vAlign w:val="center"/>
                </w:tcPr>
                <w:p w14:paraId="21158A02">
                  <w:pPr>
                    <w:pStyle w:val="57"/>
                    <w:rPr>
                      <w:u w:val="none" w:color="auto"/>
                    </w:rPr>
                  </w:pPr>
                  <w:r>
                    <w:rPr>
                      <w:rFonts w:hint="eastAsia"/>
                      <w:u w:val="none" w:color="auto"/>
                    </w:rPr>
                    <w:t>5</w:t>
                  </w:r>
                </w:p>
              </w:tc>
              <w:tc>
                <w:tcPr>
                  <w:tcW w:w="471" w:type="pct"/>
                  <w:vMerge w:val="restart"/>
                  <w:vAlign w:val="center"/>
                </w:tcPr>
                <w:p w14:paraId="525C4485">
                  <w:pPr>
                    <w:pStyle w:val="57"/>
                    <w:rPr>
                      <w:u w:val="none" w:color="auto"/>
                    </w:rPr>
                  </w:pPr>
                  <w:r>
                    <w:rPr>
                      <w:u w:val="none" w:color="auto"/>
                    </w:rPr>
                    <w:t>噪声治理技术</w:t>
                  </w:r>
                </w:p>
              </w:tc>
              <w:tc>
                <w:tcPr>
                  <w:tcW w:w="2207" w:type="pct"/>
                  <w:vAlign w:val="center"/>
                </w:tcPr>
                <w:p w14:paraId="38BD7B55">
                  <w:pPr>
                    <w:pStyle w:val="57"/>
                    <w:rPr>
                      <w:u w:val="none" w:color="auto"/>
                    </w:rPr>
                  </w:pPr>
                  <w:r>
                    <w:rPr>
                      <w:u w:val="none" w:color="auto"/>
                    </w:rPr>
                    <w:t>消声器适用于各类风机和磨煤机排气口噪声的控制</w:t>
                  </w:r>
                </w:p>
              </w:tc>
              <w:tc>
                <w:tcPr>
                  <w:tcW w:w="1389" w:type="pct"/>
                  <w:vMerge w:val="restart"/>
                  <w:vAlign w:val="center"/>
                </w:tcPr>
                <w:p w14:paraId="58313DA0">
                  <w:pPr>
                    <w:pStyle w:val="57"/>
                    <w:rPr>
                      <w:u w:val="none" w:color="auto"/>
                    </w:rPr>
                  </w:pPr>
                  <w:r>
                    <w:rPr>
                      <w:u w:val="none" w:color="auto"/>
                    </w:rPr>
                    <w:t>本项目各产噪设备采取消声、隔声、吸声、减振措施进一步降低噪声</w:t>
                  </w:r>
                </w:p>
              </w:tc>
              <w:tc>
                <w:tcPr>
                  <w:tcW w:w="561" w:type="pct"/>
                  <w:vMerge w:val="restart"/>
                  <w:vAlign w:val="center"/>
                </w:tcPr>
                <w:p w14:paraId="7416037B">
                  <w:pPr>
                    <w:pStyle w:val="57"/>
                    <w:rPr>
                      <w:u w:val="none" w:color="auto"/>
                    </w:rPr>
                  </w:pPr>
                  <w:r>
                    <w:rPr>
                      <w:rFonts w:hint="eastAsia"/>
                      <w:u w:val="none" w:color="auto"/>
                    </w:rPr>
                    <w:t>符合</w:t>
                  </w:r>
                </w:p>
              </w:tc>
            </w:tr>
            <w:tr w14:paraId="6C4E9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69" w:type="pct"/>
                  <w:vMerge w:val="continue"/>
                  <w:vAlign w:val="center"/>
                </w:tcPr>
                <w:p w14:paraId="4011825F">
                  <w:pPr>
                    <w:pStyle w:val="57"/>
                    <w:rPr>
                      <w:u w:val="none" w:color="auto"/>
                    </w:rPr>
                  </w:pPr>
                </w:p>
              </w:tc>
              <w:tc>
                <w:tcPr>
                  <w:tcW w:w="471" w:type="pct"/>
                  <w:vMerge w:val="continue"/>
                  <w:vAlign w:val="center"/>
                </w:tcPr>
                <w:p w14:paraId="7AC345EF">
                  <w:pPr>
                    <w:pStyle w:val="57"/>
                    <w:rPr>
                      <w:u w:val="none" w:color="auto"/>
                    </w:rPr>
                  </w:pPr>
                </w:p>
              </w:tc>
              <w:tc>
                <w:tcPr>
                  <w:tcW w:w="2207" w:type="pct"/>
                  <w:vAlign w:val="center"/>
                </w:tcPr>
                <w:p w14:paraId="305ED058">
                  <w:pPr>
                    <w:pStyle w:val="57"/>
                    <w:rPr>
                      <w:u w:val="none" w:color="auto"/>
                    </w:rPr>
                  </w:pPr>
                  <w:r>
                    <w:rPr>
                      <w:u w:val="none" w:color="auto"/>
                    </w:rPr>
                    <w:t>隔声适用于泵类、风机和燃烧器等设备噪声的控制。</w:t>
                  </w:r>
                </w:p>
              </w:tc>
              <w:tc>
                <w:tcPr>
                  <w:tcW w:w="1389" w:type="pct"/>
                  <w:vMerge w:val="continue"/>
                  <w:vAlign w:val="center"/>
                </w:tcPr>
                <w:p w14:paraId="406B96D0">
                  <w:pPr>
                    <w:pStyle w:val="57"/>
                    <w:rPr>
                      <w:u w:val="none" w:color="auto"/>
                    </w:rPr>
                  </w:pPr>
                </w:p>
              </w:tc>
              <w:tc>
                <w:tcPr>
                  <w:tcW w:w="561" w:type="pct"/>
                  <w:vMerge w:val="continue"/>
                  <w:vAlign w:val="center"/>
                </w:tcPr>
                <w:p w14:paraId="7A85710A">
                  <w:pPr>
                    <w:pStyle w:val="57"/>
                    <w:rPr>
                      <w:u w:val="none" w:color="auto"/>
                    </w:rPr>
                  </w:pPr>
                </w:p>
              </w:tc>
            </w:tr>
            <w:tr w14:paraId="4969D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69" w:type="pct"/>
                  <w:vMerge w:val="continue"/>
                  <w:vAlign w:val="center"/>
                </w:tcPr>
                <w:p w14:paraId="1E216C9C">
                  <w:pPr>
                    <w:pStyle w:val="57"/>
                    <w:rPr>
                      <w:u w:val="none" w:color="auto"/>
                    </w:rPr>
                  </w:pPr>
                </w:p>
              </w:tc>
              <w:tc>
                <w:tcPr>
                  <w:tcW w:w="471" w:type="pct"/>
                  <w:vMerge w:val="continue"/>
                  <w:vAlign w:val="center"/>
                </w:tcPr>
                <w:p w14:paraId="035062E2">
                  <w:pPr>
                    <w:pStyle w:val="57"/>
                    <w:rPr>
                      <w:u w:val="none" w:color="auto"/>
                    </w:rPr>
                  </w:pPr>
                </w:p>
              </w:tc>
              <w:tc>
                <w:tcPr>
                  <w:tcW w:w="2207" w:type="pct"/>
                  <w:vAlign w:val="center"/>
                </w:tcPr>
                <w:p w14:paraId="3DEE3325">
                  <w:pPr>
                    <w:pStyle w:val="57"/>
                    <w:rPr>
                      <w:u w:val="none" w:color="auto"/>
                    </w:rPr>
                  </w:pPr>
                  <w:r>
                    <w:rPr>
                      <w:u w:val="none" w:color="auto"/>
                    </w:rPr>
                    <w:t>吸声</w:t>
                  </w:r>
                </w:p>
              </w:tc>
              <w:tc>
                <w:tcPr>
                  <w:tcW w:w="1389" w:type="pct"/>
                  <w:vMerge w:val="continue"/>
                  <w:vAlign w:val="center"/>
                </w:tcPr>
                <w:p w14:paraId="762CF160">
                  <w:pPr>
                    <w:pStyle w:val="57"/>
                    <w:rPr>
                      <w:u w:val="none" w:color="auto"/>
                    </w:rPr>
                  </w:pPr>
                </w:p>
              </w:tc>
              <w:tc>
                <w:tcPr>
                  <w:tcW w:w="561" w:type="pct"/>
                  <w:vMerge w:val="continue"/>
                  <w:vAlign w:val="center"/>
                </w:tcPr>
                <w:p w14:paraId="3534E60A">
                  <w:pPr>
                    <w:pStyle w:val="57"/>
                    <w:rPr>
                      <w:u w:val="none" w:color="auto"/>
                    </w:rPr>
                  </w:pPr>
                </w:p>
              </w:tc>
            </w:tr>
            <w:tr w14:paraId="7F8A9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continue"/>
                  <w:vAlign w:val="center"/>
                </w:tcPr>
                <w:p w14:paraId="7BB74318">
                  <w:pPr>
                    <w:pStyle w:val="57"/>
                    <w:rPr>
                      <w:u w:val="none" w:color="auto"/>
                    </w:rPr>
                  </w:pPr>
                </w:p>
              </w:tc>
              <w:tc>
                <w:tcPr>
                  <w:tcW w:w="471" w:type="pct"/>
                  <w:vMerge w:val="continue"/>
                  <w:vAlign w:val="center"/>
                </w:tcPr>
                <w:p w14:paraId="4095FAB6">
                  <w:pPr>
                    <w:pStyle w:val="57"/>
                    <w:rPr>
                      <w:u w:val="none" w:color="auto"/>
                    </w:rPr>
                  </w:pPr>
                </w:p>
              </w:tc>
              <w:tc>
                <w:tcPr>
                  <w:tcW w:w="2207" w:type="pct"/>
                  <w:vAlign w:val="center"/>
                </w:tcPr>
                <w:p w14:paraId="54BFEFDB">
                  <w:pPr>
                    <w:pStyle w:val="57"/>
                    <w:rPr>
                      <w:u w:val="none" w:color="auto"/>
                    </w:rPr>
                  </w:pPr>
                  <w:r>
                    <w:rPr>
                      <w:u w:val="none" w:color="auto"/>
                    </w:rPr>
                    <w:t>减振适用于磨煤机、球磨机、破碎 机、各类风机、泵类等设备噪声的控制</w:t>
                  </w:r>
                </w:p>
              </w:tc>
              <w:tc>
                <w:tcPr>
                  <w:tcW w:w="1389" w:type="pct"/>
                  <w:vMerge w:val="continue"/>
                  <w:vAlign w:val="center"/>
                </w:tcPr>
                <w:p w14:paraId="6261994C">
                  <w:pPr>
                    <w:pStyle w:val="57"/>
                    <w:rPr>
                      <w:u w:val="none" w:color="auto"/>
                    </w:rPr>
                  </w:pPr>
                </w:p>
              </w:tc>
              <w:tc>
                <w:tcPr>
                  <w:tcW w:w="561" w:type="pct"/>
                  <w:vMerge w:val="continue"/>
                  <w:vAlign w:val="center"/>
                </w:tcPr>
                <w:p w14:paraId="5542D24C">
                  <w:pPr>
                    <w:pStyle w:val="57"/>
                    <w:rPr>
                      <w:u w:val="none" w:color="auto"/>
                    </w:rPr>
                  </w:pPr>
                </w:p>
              </w:tc>
            </w:tr>
            <w:tr w14:paraId="3D058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69" w:type="pct"/>
                  <w:vAlign w:val="center"/>
                </w:tcPr>
                <w:p w14:paraId="02EADC64">
                  <w:pPr>
                    <w:pStyle w:val="57"/>
                    <w:rPr>
                      <w:u w:val="none" w:color="auto"/>
                    </w:rPr>
                  </w:pPr>
                  <w:r>
                    <w:rPr>
                      <w:rFonts w:hint="eastAsia"/>
                      <w:u w:val="none" w:color="auto"/>
                    </w:rPr>
                    <w:t>6</w:t>
                  </w:r>
                </w:p>
              </w:tc>
              <w:tc>
                <w:tcPr>
                  <w:tcW w:w="471" w:type="pct"/>
                  <w:vAlign w:val="center"/>
                </w:tcPr>
                <w:p w14:paraId="07158F85">
                  <w:pPr>
                    <w:pStyle w:val="57"/>
                    <w:rPr>
                      <w:u w:val="none" w:color="auto"/>
                    </w:rPr>
                  </w:pPr>
                  <w:r>
                    <w:rPr>
                      <w:u w:val="none" w:color="auto"/>
                    </w:rPr>
                    <w:t>无组织排放控制措施</w:t>
                  </w:r>
                </w:p>
              </w:tc>
              <w:tc>
                <w:tcPr>
                  <w:tcW w:w="2207" w:type="pct"/>
                  <w:vAlign w:val="center"/>
                </w:tcPr>
                <w:p w14:paraId="612F94B8">
                  <w:pPr>
                    <w:pStyle w:val="57"/>
                    <w:rPr>
                      <w:u w:val="none" w:color="auto"/>
                    </w:rPr>
                  </w:pPr>
                  <w:r>
                    <w:rPr>
                      <w:u w:val="none" w:color="auto"/>
                    </w:rPr>
                    <w:t>渣库可采用挡尘卷帘、围挡等</w:t>
                  </w:r>
                  <w:r>
                    <w:rPr>
                      <w:rFonts w:hint="eastAsia"/>
                      <w:u w:val="none" w:color="auto"/>
                    </w:rPr>
                    <w:t>形式</w:t>
                  </w:r>
                  <w:r>
                    <w:rPr>
                      <w:u w:val="none" w:color="auto"/>
                    </w:rPr>
                    <w:t>的防尘措施。</w:t>
                  </w:r>
                </w:p>
              </w:tc>
              <w:tc>
                <w:tcPr>
                  <w:tcW w:w="1389" w:type="pct"/>
                  <w:vAlign w:val="center"/>
                </w:tcPr>
                <w:p w14:paraId="7969388A">
                  <w:pPr>
                    <w:pStyle w:val="57"/>
                    <w:rPr>
                      <w:u w:val="none" w:color="auto"/>
                    </w:rPr>
                  </w:pPr>
                  <w:r>
                    <w:rPr>
                      <w:rFonts w:hint="eastAsia"/>
                      <w:u w:val="none" w:color="auto"/>
                    </w:rPr>
                    <w:t>本项目炉渣采用吨袋密封包装后贮存于现有一般固废暂存间，属于封闭暂存间，符合防尘要求</w:t>
                  </w:r>
                </w:p>
              </w:tc>
              <w:tc>
                <w:tcPr>
                  <w:tcW w:w="561" w:type="pct"/>
                  <w:vAlign w:val="center"/>
                </w:tcPr>
                <w:p w14:paraId="54AAF1A7">
                  <w:pPr>
                    <w:pStyle w:val="57"/>
                    <w:rPr>
                      <w:u w:val="none" w:color="auto"/>
                    </w:rPr>
                  </w:pPr>
                  <w:r>
                    <w:rPr>
                      <w:rFonts w:hint="eastAsia"/>
                      <w:u w:val="none" w:color="auto"/>
                    </w:rPr>
                    <w:t>符合</w:t>
                  </w:r>
                </w:p>
              </w:tc>
            </w:tr>
            <w:tr w14:paraId="121D6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restart"/>
                  <w:vAlign w:val="center"/>
                </w:tcPr>
                <w:p w14:paraId="180CBA73">
                  <w:pPr>
                    <w:pStyle w:val="57"/>
                    <w:rPr>
                      <w:u w:val="none" w:color="auto"/>
                    </w:rPr>
                  </w:pPr>
                  <w:r>
                    <w:rPr>
                      <w:rFonts w:hint="eastAsia"/>
                      <w:u w:val="none" w:color="auto"/>
                    </w:rPr>
                    <w:t>7</w:t>
                  </w:r>
                </w:p>
              </w:tc>
              <w:tc>
                <w:tcPr>
                  <w:tcW w:w="471" w:type="pct"/>
                  <w:vMerge w:val="restart"/>
                  <w:vAlign w:val="center"/>
                </w:tcPr>
                <w:p w14:paraId="3B597D35">
                  <w:pPr>
                    <w:pStyle w:val="57"/>
                    <w:rPr>
                      <w:u w:val="none" w:color="auto"/>
                    </w:rPr>
                  </w:pPr>
                  <w:r>
                    <w:rPr>
                      <w:u w:val="none" w:color="auto"/>
                    </w:rPr>
                    <w:t>其他</w:t>
                  </w:r>
                </w:p>
              </w:tc>
              <w:tc>
                <w:tcPr>
                  <w:tcW w:w="2207" w:type="pct"/>
                  <w:vAlign w:val="center"/>
                </w:tcPr>
                <w:p w14:paraId="73253344">
                  <w:pPr>
                    <w:pStyle w:val="57"/>
                    <w:rPr>
                      <w:u w:val="none" w:color="auto"/>
                    </w:rPr>
                  </w:pPr>
                  <w:r>
                    <w:rPr>
                      <w:u w:val="none" w:color="auto"/>
                    </w:rPr>
                    <w:t>燃用生物质成型燃料时应采用专用锅炉，禁止掺烧煤炭、垃圾、工业固废等其他物料。</w:t>
                  </w:r>
                </w:p>
              </w:tc>
              <w:tc>
                <w:tcPr>
                  <w:tcW w:w="1389" w:type="pct"/>
                  <w:vAlign w:val="center"/>
                </w:tcPr>
                <w:p w14:paraId="752CAFCF">
                  <w:pPr>
                    <w:pStyle w:val="57"/>
                    <w:rPr>
                      <w:u w:val="none" w:color="auto"/>
                    </w:rPr>
                  </w:pPr>
                  <w:r>
                    <w:rPr>
                      <w:u w:val="none" w:color="auto"/>
                    </w:rPr>
                    <w:t>本项目采用专用锅炉，禁止掺烧煤炭、垃圾、工业固废等其他物料。</w:t>
                  </w:r>
                </w:p>
              </w:tc>
              <w:tc>
                <w:tcPr>
                  <w:tcW w:w="561" w:type="pct"/>
                  <w:vAlign w:val="center"/>
                </w:tcPr>
                <w:p w14:paraId="4E619EFF">
                  <w:pPr>
                    <w:pStyle w:val="57"/>
                    <w:rPr>
                      <w:u w:val="none" w:color="auto"/>
                    </w:rPr>
                  </w:pPr>
                  <w:r>
                    <w:rPr>
                      <w:rFonts w:hint="eastAsia"/>
                      <w:u w:val="none" w:color="auto"/>
                    </w:rPr>
                    <w:t>符合</w:t>
                  </w:r>
                </w:p>
              </w:tc>
            </w:tr>
            <w:tr w14:paraId="60F1A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continue"/>
                  <w:vAlign w:val="center"/>
                </w:tcPr>
                <w:p w14:paraId="0E0986FF">
                  <w:pPr>
                    <w:pStyle w:val="57"/>
                    <w:rPr>
                      <w:u w:val="none" w:color="auto"/>
                    </w:rPr>
                  </w:pPr>
                </w:p>
              </w:tc>
              <w:tc>
                <w:tcPr>
                  <w:tcW w:w="471" w:type="pct"/>
                  <w:vMerge w:val="continue"/>
                  <w:vAlign w:val="center"/>
                </w:tcPr>
                <w:p w14:paraId="1E8CA959">
                  <w:pPr>
                    <w:pStyle w:val="57"/>
                    <w:rPr>
                      <w:u w:val="none" w:color="auto"/>
                    </w:rPr>
                  </w:pPr>
                </w:p>
              </w:tc>
              <w:tc>
                <w:tcPr>
                  <w:tcW w:w="2207" w:type="pct"/>
                  <w:vAlign w:val="center"/>
                </w:tcPr>
                <w:p w14:paraId="15498477">
                  <w:pPr>
                    <w:pStyle w:val="57"/>
                    <w:rPr>
                      <w:u w:val="none" w:color="auto"/>
                    </w:rPr>
                  </w:pPr>
                  <w:r>
                    <w:rPr>
                      <w:u w:val="none" w:color="auto"/>
                    </w:rPr>
                    <w:t>位于高污染燃料禁燃区内的锅炉，使用的燃料应符合《关于发布〈高污染燃料目录〉的通知》 的相关要求。</w:t>
                  </w:r>
                </w:p>
              </w:tc>
              <w:tc>
                <w:tcPr>
                  <w:tcW w:w="1389" w:type="pct"/>
                  <w:vAlign w:val="center"/>
                </w:tcPr>
                <w:p w14:paraId="406B877F">
                  <w:pPr>
                    <w:pStyle w:val="57"/>
                    <w:rPr>
                      <w:u w:val="none" w:color="auto"/>
                    </w:rPr>
                  </w:pPr>
                  <w:r>
                    <w:rPr>
                      <w:u w:val="none" w:color="auto"/>
                    </w:rPr>
                    <w:t>本项目所在区域</w:t>
                  </w:r>
                  <w:r>
                    <w:rPr>
                      <w:rFonts w:hint="eastAsia"/>
                      <w:u w:val="none" w:color="auto"/>
                    </w:rPr>
                    <w:t>不属于</w:t>
                  </w:r>
                  <w:r>
                    <w:rPr>
                      <w:u w:val="none" w:color="auto"/>
                    </w:rPr>
                    <w:t>高污染燃料禁燃区，使用的燃料不属于高污染燃料。</w:t>
                  </w:r>
                </w:p>
              </w:tc>
              <w:tc>
                <w:tcPr>
                  <w:tcW w:w="561" w:type="pct"/>
                  <w:vAlign w:val="center"/>
                </w:tcPr>
                <w:p w14:paraId="7839EACD">
                  <w:pPr>
                    <w:pStyle w:val="57"/>
                    <w:rPr>
                      <w:u w:val="none" w:color="auto"/>
                    </w:rPr>
                  </w:pPr>
                  <w:r>
                    <w:rPr>
                      <w:rFonts w:hint="eastAsia"/>
                      <w:u w:val="none" w:color="auto"/>
                    </w:rPr>
                    <w:t>符合</w:t>
                  </w:r>
                </w:p>
              </w:tc>
            </w:tr>
          </w:tbl>
          <w:p w14:paraId="5347962E">
            <w:pPr>
              <w:pStyle w:val="75"/>
              <w:ind w:firstLine="482"/>
              <w:rPr>
                <w:rFonts w:hint="default" w:cs="Times New Roman"/>
                <w:b w:val="0"/>
                <w:bCs w:val="0"/>
                <w:szCs w:val="24"/>
                <w:u w:val="none" w:color="auto"/>
                <w:lang w:val="en-US" w:eastAsia="zh-CN"/>
              </w:rPr>
            </w:pPr>
            <w:r>
              <w:rPr>
                <w:rFonts w:hint="eastAsia" w:cs="Times New Roman"/>
                <w:b w:val="0"/>
                <w:bCs w:val="0"/>
                <w:szCs w:val="24"/>
                <w:u w:val="none" w:color="auto"/>
                <w:lang w:val="en-US" w:eastAsia="zh-CN"/>
              </w:rPr>
              <w:t>综上所述，本项目符合</w:t>
            </w:r>
            <w:r>
              <w:rPr>
                <w:rFonts w:hint="eastAsia" w:cs="Times New Roman"/>
                <w:b w:val="0"/>
                <w:bCs w:val="0"/>
                <w:szCs w:val="24"/>
                <w:u w:val="none" w:color="auto"/>
              </w:rPr>
              <w:t>《工业锅炉污染防治可行技术指南》</w:t>
            </w:r>
            <w:r>
              <w:rPr>
                <w:rFonts w:hint="eastAsia" w:cs="Times New Roman"/>
                <w:b w:val="0"/>
                <w:bCs w:val="0"/>
                <w:szCs w:val="24"/>
                <w:u w:val="none" w:color="auto"/>
                <w:lang w:val="en-US" w:eastAsia="zh-CN"/>
              </w:rPr>
              <w:t>相关技术要求。</w:t>
            </w:r>
          </w:p>
          <w:p w14:paraId="652F5F8C">
            <w:pPr>
              <w:pStyle w:val="75"/>
              <w:ind w:firstLine="482"/>
              <w:rPr>
                <w:b/>
                <w:bCs/>
                <w:u w:val="none" w:color="auto"/>
              </w:rPr>
            </w:pPr>
            <w:r>
              <w:rPr>
                <w:rFonts w:hint="eastAsia"/>
                <w:b/>
                <w:bCs/>
                <w:u w:val="none" w:color="auto"/>
                <w:lang w:val="en-US" w:eastAsia="zh-CN"/>
              </w:rPr>
              <w:t>6</w:t>
            </w:r>
            <w:r>
              <w:rPr>
                <w:rFonts w:hint="eastAsia"/>
                <w:b/>
                <w:bCs/>
                <w:u w:val="none" w:color="auto"/>
              </w:rPr>
              <w:t>、“两高”项目判定</w:t>
            </w:r>
          </w:p>
          <w:p w14:paraId="4B43D2AF">
            <w:pPr>
              <w:pStyle w:val="102"/>
              <w:ind w:firstLine="480"/>
              <w:rPr>
                <w:rFonts w:hint="default" w:ascii="Times New Roman" w:hAnsi="Times New Roman" w:eastAsia="宋体" w:cs="Times New Roman"/>
                <w:kern w:val="2"/>
                <w:sz w:val="24"/>
                <w:szCs w:val="24"/>
                <w:u w:val="none" w:color="auto"/>
                <w:lang w:val="en-US" w:eastAsia="zh-CN" w:bidi="ar-SA"/>
              </w:rPr>
            </w:pPr>
            <w:r>
              <w:rPr>
                <w:rFonts w:hint="eastAsia" w:ascii="Times New Roman" w:hAnsi="Times New Roman" w:eastAsia="宋体" w:cs="Times New Roman"/>
                <w:kern w:val="2"/>
                <w:sz w:val="24"/>
                <w:szCs w:val="24"/>
                <w:u w:val="none" w:color="auto"/>
                <w:lang w:val="en-US" w:eastAsia="zh-CN" w:bidi="ar-SA"/>
              </w:rPr>
              <w:t>根据《湖南省发展和改革委员会关于印发〈湖南省“两高”项目管理名录〉的通知》（湘发改环资〔2021〕968号）内容，详情见表1-3。</w:t>
            </w:r>
          </w:p>
          <w:p w14:paraId="03F65447">
            <w:pPr>
              <w:jc w:val="center"/>
              <w:rPr>
                <w:rFonts w:hint="default" w:ascii="Times New Roman" w:hAnsi="Times New Roman" w:eastAsia="宋体" w:cs="Times New Roman"/>
                <w:b/>
                <w:bCs/>
                <w:color w:val="000000" w:themeColor="text1"/>
                <w:szCs w:val="21"/>
                <w:u w:val="none" w:color="auto"/>
                <w14:textFill>
                  <w14:solidFill>
                    <w14:schemeClr w14:val="tx1"/>
                  </w14:solidFill>
                </w14:textFill>
              </w:rPr>
            </w:pPr>
            <w:r>
              <w:rPr>
                <w:rFonts w:hint="default" w:ascii="Times New Roman" w:hAnsi="Times New Roman" w:eastAsia="宋体" w:cs="Times New Roman"/>
                <w:b/>
                <w:bCs/>
                <w:color w:val="000000" w:themeColor="text1"/>
                <w:szCs w:val="21"/>
                <w:u w:val="none" w:color="auto"/>
                <w14:textFill>
                  <w14:solidFill>
                    <w14:schemeClr w14:val="tx1"/>
                  </w14:solidFill>
                </w14:textFill>
              </w:rPr>
              <w:t>表1-</w:t>
            </w:r>
            <w:r>
              <w:rPr>
                <w:rFonts w:hint="eastAsia" w:ascii="Times New Roman" w:hAnsi="Times New Roman" w:eastAsia="宋体" w:cs="Times New Roman"/>
                <w:b/>
                <w:bCs/>
                <w:color w:val="000000" w:themeColor="text1"/>
                <w:szCs w:val="21"/>
                <w:u w:val="none" w:color="auto"/>
                <w:lang w:val="en-US" w:eastAsia="zh-CN"/>
                <w14:textFill>
                  <w14:solidFill>
                    <w14:schemeClr w14:val="tx1"/>
                  </w14:solidFill>
                </w14:textFill>
              </w:rPr>
              <w:t>4</w:t>
            </w:r>
            <w:r>
              <w:rPr>
                <w:rFonts w:hint="default" w:ascii="Times New Roman" w:hAnsi="Times New Roman" w:eastAsia="宋体" w:cs="Times New Roman"/>
                <w:b/>
                <w:bCs/>
                <w:color w:val="000000" w:themeColor="text1"/>
                <w:szCs w:val="21"/>
                <w:u w:val="none" w:color="auto"/>
                <w14:textFill>
                  <w14:solidFill>
                    <w14:schemeClr w14:val="tx1"/>
                  </w14:solidFill>
                </w14:textFill>
              </w:rPr>
              <w:t xml:space="preserve">  湖南省“两高”项目管理目录</w:t>
            </w:r>
          </w:p>
          <w:tbl>
            <w:tblPr>
              <w:tblStyle w:val="27"/>
              <w:tblW w:w="72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426"/>
              <w:gridCol w:w="431"/>
              <w:gridCol w:w="2272"/>
              <w:gridCol w:w="2396"/>
              <w:gridCol w:w="1753"/>
            </w:tblGrid>
            <w:tr w14:paraId="12F6B4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5" w:hRule="atLeast"/>
                <w:jc w:val="center"/>
              </w:trPr>
              <w:tc>
                <w:tcPr>
                  <w:tcW w:w="292" w:type="pct"/>
                  <w:tcBorders>
                    <w:tl2br w:val="nil"/>
                    <w:tr2bl w:val="nil"/>
                  </w:tcBorders>
                  <w:vAlign w:val="center"/>
                </w:tcPr>
                <w:p w14:paraId="1C0BCCF6">
                  <w:pPr>
                    <w:jc w:val="center"/>
                    <w:rPr>
                      <w:rFonts w:hint="default" w:ascii="Times New Roman" w:hAnsi="Times New Roman" w:eastAsia="宋体" w:cs="Times New Roman"/>
                      <w:b/>
                      <w:bCs/>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b/>
                      <w:bCs/>
                      <w:color w:val="000000" w:themeColor="text1"/>
                      <w:kern w:val="0"/>
                      <w:szCs w:val="21"/>
                      <w:u w:val="none" w:color="auto"/>
                      <w:shd w:val="clear" w:color="auto" w:fill="FFFFFF"/>
                      <w14:textFill>
                        <w14:solidFill>
                          <w14:schemeClr w14:val="tx1"/>
                        </w14:solidFill>
                      </w14:textFill>
                    </w:rPr>
                    <w:t>序号</w:t>
                  </w:r>
                </w:p>
              </w:tc>
              <w:tc>
                <w:tcPr>
                  <w:tcW w:w="296" w:type="pct"/>
                  <w:tcBorders>
                    <w:tl2br w:val="nil"/>
                    <w:tr2bl w:val="nil"/>
                  </w:tcBorders>
                  <w:vAlign w:val="center"/>
                </w:tcPr>
                <w:p w14:paraId="0BC2B071">
                  <w:pPr>
                    <w:jc w:val="center"/>
                    <w:rPr>
                      <w:rFonts w:hint="default" w:ascii="Times New Roman" w:hAnsi="Times New Roman" w:eastAsia="宋体" w:cs="Times New Roman"/>
                      <w:b/>
                      <w:bCs/>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b/>
                      <w:bCs/>
                      <w:color w:val="000000" w:themeColor="text1"/>
                      <w:kern w:val="0"/>
                      <w:szCs w:val="21"/>
                      <w:u w:val="none" w:color="auto"/>
                      <w:shd w:val="clear" w:color="auto" w:fill="FFFFFF"/>
                      <w14:textFill>
                        <w14:solidFill>
                          <w14:schemeClr w14:val="tx1"/>
                        </w14:solidFill>
                      </w14:textFill>
                    </w:rPr>
                    <w:t>行业</w:t>
                  </w:r>
                </w:p>
              </w:tc>
              <w:tc>
                <w:tcPr>
                  <w:tcW w:w="1560" w:type="pct"/>
                  <w:tcBorders>
                    <w:tl2br w:val="nil"/>
                    <w:tr2bl w:val="nil"/>
                  </w:tcBorders>
                  <w:vAlign w:val="center"/>
                </w:tcPr>
                <w:p w14:paraId="46F7A5EF">
                  <w:pPr>
                    <w:jc w:val="center"/>
                    <w:rPr>
                      <w:rFonts w:hint="default" w:ascii="Times New Roman" w:hAnsi="Times New Roman" w:eastAsia="宋体" w:cs="Times New Roman"/>
                      <w:b/>
                      <w:bCs/>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b/>
                      <w:bCs/>
                      <w:color w:val="000000" w:themeColor="text1"/>
                      <w:kern w:val="0"/>
                      <w:szCs w:val="21"/>
                      <w:u w:val="none" w:color="auto"/>
                      <w:shd w:val="clear" w:color="auto" w:fill="FFFFFF"/>
                      <w14:textFill>
                        <w14:solidFill>
                          <w14:schemeClr w14:val="tx1"/>
                        </w14:solidFill>
                      </w14:textFill>
                    </w:rPr>
                    <w:t>主要内容</w:t>
                  </w:r>
                </w:p>
              </w:tc>
              <w:tc>
                <w:tcPr>
                  <w:tcW w:w="1646" w:type="pct"/>
                  <w:tcBorders>
                    <w:tl2br w:val="nil"/>
                    <w:tr2bl w:val="nil"/>
                  </w:tcBorders>
                  <w:vAlign w:val="center"/>
                </w:tcPr>
                <w:p w14:paraId="25A59539">
                  <w:pPr>
                    <w:jc w:val="center"/>
                    <w:rPr>
                      <w:rFonts w:hint="default" w:ascii="Times New Roman" w:hAnsi="Times New Roman" w:eastAsia="宋体" w:cs="Times New Roman"/>
                      <w:b/>
                      <w:bCs/>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b/>
                      <w:bCs/>
                      <w:color w:val="000000" w:themeColor="text1"/>
                      <w:kern w:val="0"/>
                      <w:szCs w:val="21"/>
                      <w:u w:val="none" w:color="auto"/>
                      <w:shd w:val="clear" w:color="auto" w:fill="FFFFFF"/>
                      <w14:textFill>
                        <w14:solidFill>
                          <w14:schemeClr w14:val="tx1"/>
                        </w14:solidFill>
                      </w14:textFill>
                    </w:rPr>
                    <w:t>涉及主要产品及工序</w:t>
                  </w:r>
                </w:p>
              </w:tc>
              <w:tc>
                <w:tcPr>
                  <w:tcW w:w="1204" w:type="pct"/>
                  <w:tcBorders>
                    <w:tl2br w:val="nil"/>
                    <w:tr2bl w:val="nil"/>
                  </w:tcBorders>
                  <w:vAlign w:val="center"/>
                </w:tcPr>
                <w:p w14:paraId="5C5A658D">
                  <w:pPr>
                    <w:jc w:val="center"/>
                    <w:rPr>
                      <w:rFonts w:hint="default" w:ascii="Times New Roman" w:hAnsi="Times New Roman" w:eastAsia="宋体" w:cs="Times New Roman"/>
                      <w:b/>
                      <w:bCs/>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b/>
                      <w:bCs/>
                      <w:color w:val="000000" w:themeColor="text1"/>
                      <w:kern w:val="0"/>
                      <w:szCs w:val="21"/>
                      <w:u w:val="none" w:color="auto"/>
                      <w:shd w:val="clear" w:color="auto" w:fill="FFFFFF"/>
                      <w14:textFill>
                        <w14:solidFill>
                          <w14:schemeClr w14:val="tx1"/>
                        </w14:solidFill>
                      </w14:textFill>
                    </w:rPr>
                    <w:t>备注</w:t>
                  </w:r>
                </w:p>
              </w:tc>
            </w:tr>
            <w:tr w14:paraId="5B70C7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5" w:hRule="atLeast"/>
                <w:jc w:val="center"/>
              </w:trPr>
              <w:tc>
                <w:tcPr>
                  <w:tcW w:w="292" w:type="pct"/>
                  <w:tcBorders>
                    <w:tl2br w:val="nil"/>
                    <w:tr2bl w:val="nil"/>
                  </w:tcBorders>
                  <w:vAlign w:val="center"/>
                </w:tcPr>
                <w:p w14:paraId="1D81247C">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1</w:t>
                  </w:r>
                </w:p>
              </w:tc>
              <w:tc>
                <w:tcPr>
                  <w:tcW w:w="296" w:type="pct"/>
                  <w:tcBorders>
                    <w:tl2br w:val="nil"/>
                    <w:tr2bl w:val="nil"/>
                  </w:tcBorders>
                  <w:vAlign w:val="center"/>
                </w:tcPr>
                <w:p w14:paraId="7E6170C0">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石化</w:t>
                  </w:r>
                </w:p>
              </w:tc>
              <w:tc>
                <w:tcPr>
                  <w:tcW w:w="1560" w:type="pct"/>
                  <w:tcBorders>
                    <w:tl2br w:val="nil"/>
                    <w:tr2bl w:val="nil"/>
                  </w:tcBorders>
                  <w:vAlign w:val="center"/>
                </w:tcPr>
                <w:p w14:paraId="7B2F6F6E">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原油加工及石油制品制造（2511）</w:t>
                  </w:r>
                </w:p>
              </w:tc>
              <w:tc>
                <w:tcPr>
                  <w:tcW w:w="1646" w:type="pct"/>
                  <w:tcBorders>
                    <w:tl2br w:val="nil"/>
                    <w:tr2bl w:val="nil"/>
                  </w:tcBorders>
                  <w:vAlign w:val="center"/>
                </w:tcPr>
                <w:p w14:paraId="65D2CE90">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炼油、乙烯</w:t>
                  </w:r>
                </w:p>
              </w:tc>
              <w:tc>
                <w:tcPr>
                  <w:tcW w:w="1204" w:type="pct"/>
                  <w:tcBorders>
                    <w:tl2br w:val="nil"/>
                    <w:tr2bl w:val="nil"/>
                  </w:tcBorders>
                  <w:vAlign w:val="center"/>
                </w:tcPr>
                <w:p w14:paraId="634B510A">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w:t>
                  </w:r>
                </w:p>
              </w:tc>
            </w:tr>
            <w:tr w14:paraId="7A2CFC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07" w:hRule="atLeast"/>
                <w:jc w:val="center"/>
              </w:trPr>
              <w:tc>
                <w:tcPr>
                  <w:tcW w:w="292" w:type="pct"/>
                  <w:tcBorders>
                    <w:tl2br w:val="nil"/>
                    <w:tr2bl w:val="nil"/>
                  </w:tcBorders>
                  <w:vAlign w:val="center"/>
                </w:tcPr>
                <w:p w14:paraId="10A5FFB1">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2</w:t>
                  </w:r>
                </w:p>
              </w:tc>
              <w:tc>
                <w:tcPr>
                  <w:tcW w:w="296" w:type="pct"/>
                  <w:tcBorders>
                    <w:tl2br w:val="nil"/>
                    <w:tr2bl w:val="nil"/>
                  </w:tcBorders>
                  <w:vAlign w:val="center"/>
                </w:tcPr>
                <w:p w14:paraId="4B4EEB3D">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化工</w:t>
                  </w:r>
                </w:p>
              </w:tc>
              <w:tc>
                <w:tcPr>
                  <w:tcW w:w="1560" w:type="pct"/>
                  <w:tcBorders>
                    <w:tl2br w:val="nil"/>
                    <w:tr2bl w:val="nil"/>
                  </w:tcBorders>
                  <w:vAlign w:val="center"/>
                </w:tcPr>
                <w:p w14:paraId="2DA35702">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无机酸制造（2611）、无机碱制造（2612）、无机盐制造（2613）</w:t>
                  </w:r>
                </w:p>
              </w:tc>
              <w:tc>
                <w:tcPr>
                  <w:tcW w:w="1646" w:type="pct"/>
                  <w:tcBorders>
                    <w:tl2br w:val="nil"/>
                    <w:tr2bl w:val="nil"/>
                  </w:tcBorders>
                  <w:vAlign w:val="center"/>
                </w:tcPr>
                <w:p w14:paraId="6E4DA504">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烧碱、纯碱、工业硫酸、黄磷、合成氨、尿素、磷铵、电石、聚氯乙烯、聚丙烯、精对苯二甲酸、对二甲苯、苯乙烯、乙酸乙烯酯、二苯基甲烷二异氰酸酯、1,4-丁二醇</w:t>
                  </w:r>
                </w:p>
              </w:tc>
              <w:tc>
                <w:tcPr>
                  <w:tcW w:w="1204" w:type="pct"/>
                  <w:tcBorders>
                    <w:tl2br w:val="nil"/>
                    <w:tr2bl w:val="nil"/>
                  </w:tcBorders>
                  <w:vAlign w:val="center"/>
                </w:tcPr>
                <w:p w14:paraId="33C07A9F">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w:t>
                  </w:r>
                </w:p>
              </w:tc>
            </w:tr>
            <w:tr w14:paraId="7B7F97C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94" w:hRule="atLeast"/>
                <w:jc w:val="center"/>
              </w:trPr>
              <w:tc>
                <w:tcPr>
                  <w:tcW w:w="292" w:type="pct"/>
                  <w:tcBorders>
                    <w:tl2br w:val="nil"/>
                    <w:tr2bl w:val="nil"/>
                  </w:tcBorders>
                  <w:vAlign w:val="center"/>
                </w:tcPr>
                <w:p w14:paraId="2ADDCE0D">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3</w:t>
                  </w:r>
                </w:p>
              </w:tc>
              <w:tc>
                <w:tcPr>
                  <w:tcW w:w="296" w:type="pct"/>
                  <w:tcBorders>
                    <w:tl2br w:val="nil"/>
                    <w:tr2bl w:val="nil"/>
                  </w:tcBorders>
                  <w:vAlign w:val="center"/>
                </w:tcPr>
                <w:p w14:paraId="1A368F62">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煤化工</w:t>
                  </w:r>
                </w:p>
              </w:tc>
              <w:tc>
                <w:tcPr>
                  <w:tcW w:w="1560" w:type="pct"/>
                  <w:tcBorders>
                    <w:tl2br w:val="nil"/>
                    <w:tr2bl w:val="nil"/>
                  </w:tcBorders>
                  <w:vAlign w:val="center"/>
                </w:tcPr>
                <w:p w14:paraId="3A276118">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煤制合成气生产（2522）、煤制液体燃料生产（2523）</w:t>
                  </w:r>
                </w:p>
              </w:tc>
              <w:tc>
                <w:tcPr>
                  <w:tcW w:w="1646" w:type="pct"/>
                  <w:tcBorders>
                    <w:tl2br w:val="nil"/>
                    <w:tr2bl w:val="nil"/>
                  </w:tcBorders>
                  <w:vAlign w:val="center"/>
                </w:tcPr>
                <w:p w14:paraId="13C49BEE">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一氧化碳、氢气、甲烷及其他煤制合成气；甲醇、二甲醚、乙二醇、汽油、柴油和航空燃料及其他煤制液体燃料</w:t>
                  </w:r>
                </w:p>
              </w:tc>
              <w:tc>
                <w:tcPr>
                  <w:tcW w:w="1204" w:type="pct"/>
                  <w:tcBorders>
                    <w:tl2br w:val="nil"/>
                    <w:tr2bl w:val="nil"/>
                  </w:tcBorders>
                  <w:vAlign w:val="center"/>
                </w:tcPr>
                <w:p w14:paraId="789EB480">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w:t>
                  </w:r>
                </w:p>
              </w:tc>
            </w:tr>
            <w:tr w14:paraId="0A88C0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666" w:hRule="atLeast"/>
                <w:jc w:val="center"/>
              </w:trPr>
              <w:tc>
                <w:tcPr>
                  <w:tcW w:w="292" w:type="pct"/>
                  <w:tcBorders>
                    <w:tl2br w:val="nil"/>
                    <w:tr2bl w:val="nil"/>
                  </w:tcBorders>
                  <w:vAlign w:val="center"/>
                </w:tcPr>
                <w:p w14:paraId="68EF4C57">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4</w:t>
                  </w:r>
                </w:p>
              </w:tc>
              <w:tc>
                <w:tcPr>
                  <w:tcW w:w="296" w:type="pct"/>
                  <w:tcBorders>
                    <w:tl2br w:val="nil"/>
                    <w:tr2bl w:val="nil"/>
                  </w:tcBorders>
                  <w:vAlign w:val="center"/>
                </w:tcPr>
                <w:p w14:paraId="3F50A0B7">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焦化</w:t>
                  </w:r>
                </w:p>
              </w:tc>
              <w:tc>
                <w:tcPr>
                  <w:tcW w:w="1560" w:type="pct"/>
                  <w:tcBorders>
                    <w:tl2br w:val="nil"/>
                    <w:tr2bl w:val="nil"/>
                  </w:tcBorders>
                  <w:vAlign w:val="center"/>
                </w:tcPr>
                <w:p w14:paraId="133250AB">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炼焦（2521）</w:t>
                  </w:r>
                </w:p>
              </w:tc>
              <w:tc>
                <w:tcPr>
                  <w:tcW w:w="1646" w:type="pct"/>
                  <w:tcBorders>
                    <w:tl2br w:val="nil"/>
                    <w:tr2bl w:val="nil"/>
                  </w:tcBorders>
                  <w:vAlign w:val="center"/>
                </w:tcPr>
                <w:p w14:paraId="0C4D6ED7">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焦炭、石油焦（焦炭类）、沥青焦、其他原料生产焦炭、机焦、型焦、土焦、半焦炭、针状焦、其他工艺生产焦炭、矿物油焦</w:t>
                  </w:r>
                </w:p>
              </w:tc>
              <w:tc>
                <w:tcPr>
                  <w:tcW w:w="1204" w:type="pct"/>
                  <w:tcBorders>
                    <w:tl2br w:val="nil"/>
                    <w:tr2bl w:val="nil"/>
                  </w:tcBorders>
                  <w:vAlign w:val="center"/>
                </w:tcPr>
                <w:p w14:paraId="11A1E2DC">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w:t>
                  </w:r>
                </w:p>
              </w:tc>
            </w:tr>
            <w:tr w14:paraId="645F25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94" w:hRule="atLeast"/>
                <w:jc w:val="center"/>
              </w:trPr>
              <w:tc>
                <w:tcPr>
                  <w:tcW w:w="292" w:type="pct"/>
                  <w:tcBorders>
                    <w:tl2br w:val="nil"/>
                    <w:tr2bl w:val="nil"/>
                  </w:tcBorders>
                  <w:vAlign w:val="center"/>
                </w:tcPr>
                <w:p w14:paraId="3B51B401">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5</w:t>
                  </w:r>
                </w:p>
              </w:tc>
              <w:tc>
                <w:tcPr>
                  <w:tcW w:w="296" w:type="pct"/>
                  <w:tcBorders>
                    <w:tl2br w:val="nil"/>
                    <w:tr2bl w:val="nil"/>
                  </w:tcBorders>
                  <w:vAlign w:val="center"/>
                </w:tcPr>
                <w:p w14:paraId="48735EF5">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钢铁</w:t>
                  </w:r>
                </w:p>
              </w:tc>
              <w:tc>
                <w:tcPr>
                  <w:tcW w:w="1560" w:type="pct"/>
                  <w:tcBorders>
                    <w:tl2br w:val="nil"/>
                    <w:tr2bl w:val="nil"/>
                  </w:tcBorders>
                  <w:vAlign w:val="center"/>
                </w:tcPr>
                <w:p w14:paraId="0D0EB99E">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炼铁（3110）、炼钢（3120）、铁合金（3140）</w:t>
                  </w:r>
                </w:p>
              </w:tc>
              <w:tc>
                <w:tcPr>
                  <w:tcW w:w="1646" w:type="pct"/>
                  <w:tcBorders>
                    <w:tl2br w:val="nil"/>
                    <w:tr2bl w:val="nil"/>
                  </w:tcBorders>
                  <w:vAlign w:val="center"/>
                </w:tcPr>
                <w:p w14:paraId="08F3A95C">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炼钢用高炉生铁、直接还原铁、熔融还原铁、非合金钢粗钢、低合金钢粗钢、合金钢粗钢、铁合金、电解金属锰</w:t>
                  </w:r>
                </w:p>
              </w:tc>
              <w:tc>
                <w:tcPr>
                  <w:tcW w:w="1204" w:type="pct"/>
                  <w:tcBorders>
                    <w:tl2br w:val="nil"/>
                    <w:tr2bl w:val="nil"/>
                  </w:tcBorders>
                  <w:vAlign w:val="center"/>
                </w:tcPr>
                <w:p w14:paraId="06B4E26D">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不包括以含重金属固体废弃物为原料（≥85%）进行锰资源综合回收项目。</w:t>
                  </w:r>
                </w:p>
              </w:tc>
            </w:tr>
            <w:tr w14:paraId="0EEA69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5" w:hRule="atLeast"/>
                <w:jc w:val="center"/>
              </w:trPr>
              <w:tc>
                <w:tcPr>
                  <w:tcW w:w="292" w:type="pct"/>
                  <w:vMerge w:val="restart"/>
                  <w:tcBorders>
                    <w:tl2br w:val="nil"/>
                    <w:tr2bl w:val="nil"/>
                  </w:tcBorders>
                  <w:vAlign w:val="center"/>
                </w:tcPr>
                <w:p w14:paraId="31279DB2">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6</w:t>
                  </w:r>
                </w:p>
              </w:tc>
              <w:tc>
                <w:tcPr>
                  <w:tcW w:w="296" w:type="pct"/>
                  <w:vMerge w:val="restart"/>
                  <w:tcBorders>
                    <w:tl2br w:val="nil"/>
                    <w:tr2bl w:val="nil"/>
                  </w:tcBorders>
                  <w:vAlign w:val="center"/>
                </w:tcPr>
                <w:p w14:paraId="57D98683">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建材</w:t>
                  </w:r>
                </w:p>
              </w:tc>
              <w:tc>
                <w:tcPr>
                  <w:tcW w:w="1560" w:type="pct"/>
                  <w:vMerge w:val="restart"/>
                  <w:tcBorders>
                    <w:tl2br w:val="nil"/>
                    <w:tr2bl w:val="nil"/>
                  </w:tcBorders>
                  <w:vAlign w:val="center"/>
                </w:tcPr>
                <w:p w14:paraId="4F0A290E">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水泥制造（3011）、石灰和石膏制造（3012）、粘土砖瓦及建筑砌块制造（3031）、平板玻璃制造（3041）、建筑陶瓷制品制造（3071）</w:t>
                  </w:r>
                </w:p>
              </w:tc>
              <w:tc>
                <w:tcPr>
                  <w:tcW w:w="1646" w:type="pct"/>
                  <w:tcBorders>
                    <w:tl2br w:val="nil"/>
                    <w:tr2bl w:val="nil"/>
                  </w:tcBorders>
                  <w:vAlign w:val="center"/>
                </w:tcPr>
                <w:p w14:paraId="53D5D347">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石灰、建筑陶瓷、耐火材料、烧结砖瓦</w:t>
                  </w:r>
                </w:p>
              </w:tc>
              <w:tc>
                <w:tcPr>
                  <w:tcW w:w="1204" w:type="pct"/>
                  <w:tcBorders>
                    <w:tl2br w:val="nil"/>
                    <w:tr2bl w:val="nil"/>
                  </w:tcBorders>
                  <w:vAlign w:val="center"/>
                </w:tcPr>
                <w:p w14:paraId="4D1738CA">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不包括资源综合利用项目。</w:t>
                  </w:r>
                </w:p>
              </w:tc>
            </w:tr>
            <w:tr w14:paraId="739FC0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89" w:hRule="atLeast"/>
                <w:jc w:val="center"/>
              </w:trPr>
              <w:tc>
                <w:tcPr>
                  <w:tcW w:w="292" w:type="pct"/>
                  <w:vMerge w:val="continue"/>
                  <w:tcBorders>
                    <w:tl2br w:val="nil"/>
                    <w:tr2bl w:val="nil"/>
                  </w:tcBorders>
                  <w:vAlign w:val="center"/>
                </w:tcPr>
                <w:p w14:paraId="51E72EA8">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p>
              </w:tc>
              <w:tc>
                <w:tcPr>
                  <w:tcW w:w="296" w:type="pct"/>
                  <w:vMerge w:val="continue"/>
                  <w:tcBorders>
                    <w:tl2br w:val="nil"/>
                    <w:tr2bl w:val="nil"/>
                  </w:tcBorders>
                  <w:vAlign w:val="center"/>
                </w:tcPr>
                <w:p w14:paraId="2CF5C94F">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p>
              </w:tc>
              <w:tc>
                <w:tcPr>
                  <w:tcW w:w="1560" w:type="pct"/>
                  <w:vMerge w:val="continue"/>
                  <w:tcBorders>
                    <w:tl2br w:val="nil"/>
                    <w:tr2bl w:val="nil"/>
                  </w:tcBorders>
                  <w:vAlign w:val="center"/>
                </w:tcPr>
                <w:p w14:paraId="6C38B337">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p>
              </w:tc>
              <w:tc>
                <w:tcPr>
                  <w:tcW w:w="1646" w:type="pct"/>
                  <w:tcBorders>
                    <w:tl2br w:val="nil"/>
                    <w:tr2bl w:val="nil"/>
                  </w:tcBorders>
                  <w:vAlign w:val="center"/>
                </w:tcPr>
                <w:p w14:paraId="564024D0">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水泥熟料、平板玻璃</w:t>
                  </w:r>
                </w:p>
              </w:tc>
              <w:tc>
                <w:tcPr>
                  <w:tcW w:w="1204" w:type="pct"/>
                  <w:tcBorders>
                    <w:tl2br w:val="nil"/>
                    <w:tr2bl w:val="nil"/>
                  </w:tcBorders>
                  <w:vAlign w:val="center"/>
                </w:tcPr>
                <w:p w14:paraId="75D125B0">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w:t>
                  </w:r>
                </w:p>
              </w:tc>
            </w:tr>
            <w:tr w14:paraId="6AE630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94" w:hRule="atLeast"/>
                <w:jc w:val="center"/>
              </w:trPr>
              <w:tc>
                <w:tcPr>
                  <w:tcW w:w="292" w:type="pct"/>
                  <w:tcBorders>
                    <w:tl2br w:val="nil"/>
                    <w:tr2bl w:val="nil"/>
                  </w:tcBorders>
                  <w:vAlign w:val="center"/>
                </w:tcPr>
                <w:p w14:paraId="52B75FF6">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7</w:t>
                  </w:r>
                </w:p>
              </w:tc>
              <w:tc>
                <w:tcPr>
                  <w:tcW w:w="296" w:type="pct"/>
                  <w:tcBorders>
                    <w:tl2br w:val="nil"/>
                    <w:tr2bl w:val="nil"/>
                  </w:tcBorders>
                  <w:vAlign w:val="center"/>
                </w:tcPr>
                <w:p w14:paraId="5FE953AE">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有色</w:t>
                  </w:r>
                </w:p>
              </w:tc>
              <w:tc>
                <w:tcPr>
                  <w:tcW w:w="1560" w:type="pct"/>
                  <w:tcBorders>
                    <w:tl2br w:val="nil"/>
                    <w:tr2bl w:val="nil"/>
                  </w:tcBorders>
                  <w:vAlign w:val="center"/>
                </w:tcPr>
                <w:p w14:paraId="153C28F5">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铜冶炼（3211）、铅锌冶炼（3212）、锑冶炼（3215）、铝冶炼（3216）、硅冶炼（3218）</w:t>
                  </w:r>
                </w:p>
              </w:tc>
              <w:tc>
                <w:tcPr>
                  <w:tcW w:w="1646" w:type="pct"/>
                  <w:tcBorders>
                    <w:tl2br w:val="nil"/>
                    <w:tr2bl w:val="nil"/>
                  </w:tcBorders>
                  <w:vAlign w:val="center"/>
                </w:tcPr>
                <w:p w14:paraId="3FFC0450">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铜、铅锌、锑、铝、硅冶炼</w:t>
                  </w:r>
                </w:p>
              </w:tc>
              <w:tc>
                <w:tcPr>
                  <w:tcW w:w="1204" w:type="pct"/>
                  <w:tcBorders>
                    <w:tl2br w:val="nil"/>
                    <w:tr2bl w:val="nil"/>
                  </w:tcBorders>
                  <w:vAlign w:val="center"/>
                </w:tcPr>
                <w:p w14:paraId="423E4B93">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不包括再生有色资源冶炼项目。</w:t>
                  </w:r>
                </w:p>
              </w:tc>
            </w:tr>
            <w:tr w14:paraId="020812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5" w:hRule="atLeast"/>
                <w:jc w:val="center"/>
              </w:trPr>
              <w:tc>
                <w:tcPr>
                  <w:tcW w:w="292" w:type="pct"/>
                  <w:tcBorders>
                    <w:tl2br w:val="nil"/>
                    <w:tr2bl w:val="nil"/>
                  </w:tcBorders>
                  <w:vAlign w:val="center"/>
                </w:tcPr>
                <w:p w14:paraId="1BDCA043">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8</w:t>
                  </w:r>
                </w:p>
              </w:tc>
              <w:tc>
                <w:tcPr>
                  <w:tcW w:w="296" w:type="pct"/>
                  <w:tcBorders>
                    <w:tl2br w:val="nil"/>
                    <w:tr2bl w:val="nil"/>
                  </w:tcBorders>
                  <w:vAlign w:val="center"/>
                </w:tcPr>
                <w:p w14:paraId="79FCFC15">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煤电</w:t>
                  </w:r>
                </w:p>
              </w:tc>
              <w:tc>
                <w:tcPr>
                  <w:tcW w:w="1560" w:type="pct"/>
                  <w:tcBorders>
                    <w:tl2br w:val="nil"/>
                    <w:tr2bl w:val="nil"/>
                  </w:tcBorders>
                  <w:vAlign w:val="center"/>
                </w:tcPr>
                <w:p w14:paraId="795FB859">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火力发电（4411）、热电联产（4412）</w:t>
                  </w:r>
                </w:p>
              </w:tc>
              <w:tc>
                <w:tcPr>
                  <w:tcW w:w="1646" w:type="pct"/>
                  <w:tcBorders>
                    <w:tl2br w:val="nil"/>
                    <w:tr2bl w:val="nil"/>
                  </w:tcBorders>
                  <w:vAlign w:val="center"/>
                </w:tcPr>
                <w:p w14:paraId="68301EF2">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燃煤发电、燃煤热电联产</w:t>
                  </w:r>
                </w:p>
              </w:tc>
              <w:tc>
                <w:tcPr>
                  <w:tcW w:w="1204" w:type="pct"/>
                  <w:tcBorders>
                    <w:tl2br w:val="nil"/>
                    <w:tr2bl w:val="nil"/>
                  </w:tcBorders>
                  <w:vAlign w:val="center"/>
                </w:tcPr>
                <w:p w14:paraId="19202A6B">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w:t>
                  </w:r>
                </w:p>
              </w:tc>
            </w:tr>
            <w:tr w14:paraId="51CC37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44" w:hRule="atLeast"/>
                <w:jc w:val="center"/>
              </w:trPr>
              <w:tc>
                <w:tcPr>
                  <w:tcW w:w="292" w:type="pct"/>
                  <w:tcBorders>
                    <w:tl2br w:val="nil"/>
                    <w:tr2bl w:val="nil"/>
                  </w:tcBorders>
                  <w:vAlign w:val="center"/>
                </w:tcPr>
                <w:p w14:paraId="0AA96BFF">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9</w:t>
                  </w:r>
                </w:p>
              </w:tc>
              <w:tc>
                <w:tcPr>
                  <w:tcW w:w="4707" w:type="pct"/>
                  <w:gridSpan w:val="4"/>
                  <w:tcBorders>
                    <w:tl2br w:val="nil"/>
                    <w:tr2bl w:val="nil"/>
                  </w:tcBorders>
                  <w:vAlign w:val="center"/>
                </w:tcPr>
                <w:p w14:paraId="20A0BF00">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涉煤及煤制品、石油焦、渣油、重油等高污染燃料使用工业炉窑、锅炉的项目</w:t>
                  </w:r>
                </w:p>
              </w:tc>
            </w:tr>
          </w:tbl>
          <w:p w14:paraId="62C054D1">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000000" w:themeColor="text1"/>
                <w:sz w:val="24"/>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4"/>
                <w:u w:val="none" w:color="auto"/>
                <w:lang w:val="en-US" w:eastAsia="zh-CN"/>
                <w14:textFill>
                  <w14:solidFill>
                    <w14:schemeClr w14:val="tx1"/>
                  </w14:solidFill>
                </w14:textFill>
              </w:rPr>
              <w:t>本项目使用的生物质锅炉为专用锅炉，并配置高效除尘设施，不属于高污染燃料，根据湖南省发展和改革委员会关于印发《湖南省“两高”项目管理目录》的通知（湘发改环资〔2021〕968号）中，本项目不属于“两高”项目。</w:t>
            </w:r>
          </w:p>
          <w:p w14:paraId="5A4BB70C">
            <w:pPr>
              <w:pStyle w:val="75"/>
              <w:ind w:firstLine="482"/>
              <w:rPr>
                <w:b/>
                <w:bCs/>
                <w:u w:val="none" w:color="auto"/>
              </w:rPr>
            </w:pPr>
            <w:r>
              <w:rPr>
                <w:rFonts w:hint="eastAsia"/>
                <w:b/>
                <w:bCs/>
                <w:u w:val="none" w:color="auto"/>
                <w:lang w:val="en-US" w:eastAsia="zh-CN"/>
              </w:rPr>
              <w:t>7</w:t>
            </w:r>
            <w:r>
              <w:rPr>
                <w:rFonts w:hint="eastAsia"/>
                <w:b/>
                <w:bCs/>
                <w:u w:val="none" w:color="auto"/>
              </w:rPr>
              <w:t>、与《湖南省长江经济带发展负面清单实施细则（试行，2022年版）》的符合性分析</w:t>
            </w:r>
          </w:p>
          <w:p w14:paraId="25BA3F79">
            <w:pPr>
              <w:pStyle w:val="77"/>
              <w:spacing w:line="240" w:lineRule="auto"/>
              <w:rPr>
                <w:sz w:val="21"/>
                <w:szCs w:val="20"/>
                <w:u w:val="none" w:color="auto"/>
              </w:rPr>
            </w:pPr>
            <w:r>
              <w:rPr>
                <w:rFonts w:hint="eastAsia"/>
                <w:sz w:val="21"/>
                <w:szCs w:val="20"/>
                <w:u w:val="none" w:color="auto"/>
              </w:rPr>
              <w:t>表1-</w:t>
            </w:r>
            <w:r>
              <w:rPr>
                <w:rFonts w:hint="eastAsia"/>
                <w:sz w:val="21"/>
                <w:szCs w:val="20"/>
                <w:u w:val="none" w:color="auto"/>
                <w:lang w:val="en-US" w:eastAsia="zh-CN"/>
              </w:rPr>
              <w:t>5</w:t>
            </w:r>
            <w:r>
              <w:rPr>
                <w:rFonts w:hint="eastAsia"/>
                <w:sz w:val="21"/>
                <w:szCs w:val="20"/>
                <w:u w:val="none" w:color="auto"/>
              </w:rPr>
              <w:t xml:space="preserve">  项目与《湖南省长江经济带发展负面清单实施细则（试行，2022年版）》符合性分析表</w:t>
            </w:r>
          </w:p>
          <w:tbl>
            <w:tblPr>
              <w:tblStyle w:val="28"/>
              <w:tblW w:w="0" w:type="auto"/>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
              <w:gridCol w:w="4430"/>
              <w:gridCol w:w="1960"/>
              <w:gridCol w:w="856"/>
            </w:tblGrid>
            <w:tr w14:paraId="45DDA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92" w:type="dxa"/>
                  <w:shd w:val="clear" w:color="auto" w:fill="auto"/>
                  <w:vAlign w:val="center"/>
                </w:tcPr>
                <w:p w14:paraId="4EA59280">
                  <w:pPr>
                    <w:pStyle w:val="57"/>
                    <w:rPr>
                      <w:u w:val="none" w:color="auto"/>
                    </w:rPr>
                  </w:pPr>
                  <w:r>
                    <w:rPr>
                      <w:rFonts w:hint="eastAsia"/>
                      <w:u w:val="none" w:color="auto"/>
                    </w:rPr>
                    <w:t>序号</w:t>
                  </w:r>
                </w:p>
              </w:tc>
              <w:tc>
                <w:tcPr>
                  <w:tcW w:w="4430" w:type="dxa"/>
                  <w:shd w:val="clear" w:color="auto" w:fill="auto"/>
                  <w:vAlign w:val="center"/>
                </w:tcPr>
                <w:p w14:paraId="40F21D21">
                  <w:pPr>
                    <w:pStyle w:val="57"/>
                    <w:rPr>
                      <w:u w:val="none" w:color="auto"/>
                    </w:rPr>
                  </w:pPr>
                  <w:r>
                    <w:rPr>
                      <w:rFonts w:hint="eastAsia"/>
                      <w:u w:val="none" w:color="auto"/>
                    </w:rPr>
                    <w:t>文件要求</w:t>
                  </w:r>
                </w:p>
              </w:tc>
              <w:tc>
                <w:tcPr>
                  <w:tcW w:w="1960" w:type="dxa"/>
                  <w:shd w:val="clear" w:color="auto" w:fill="auto"/>
                  <w:vAlign w:val="center"/>
                </w:tcPr>
                <w:p w14:paraId="235452A8">
                  <w:pPr>
                    <w:pStyle w:val="57"/>
                    <w:rPr>
                      <w:u w:val="none" w:color="auto"/>
                    </w:rPr>
                  </w:pPr>
                  <w:r>
                    <w:rPr>
                      <w:rFonts w:hint="eastAsia"/>
                      <w:u w:val="none" w:color="auto"/>
                    </w:rPr>
                    <w:t>本项目情况</w:t>
                  </w:r>
                </w:p>
              </w:tc>
              <w:tc>
                <w:tcPr>
                  <w:tcW w:w="856" w:type="dxa"/>
                  <w:shd w:val="clear" w:color="auto" w:fill="auto"/>
                  <w:vAlign w:val="center"/>
                </w:tcPr>
                <w:p w14:paraId="74F3BE6F">
                  <w:pPr>
                    <w:pStyle w:val="57"/>
                    <w:rPr>
                      <w:u w:val="none" w:color="auto"/>
                    </w:rPr>
                  </w:pPr>
                  <w:r>
                    <w:rPr>
                      <w:rFonts w:hint="eastAsia"/>
                      <w:u w:val="none" w:color="auto"/>
                    </w:rPr>
                    <w:t>符合性分析</w:t>
                  </w:r>
                </w:p>
              </w:tc>
            </w:tr>
            <w:tr w14:paraId="2341F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642F6DDC">
                  <w:pPr>
                    <w:pStyle w:val="57"/>
                    <w:rPr>
                      <w:u w:val="none" w:color="auto"/>
                    </w:rPr>
                  </w:pPr>
                  <w:r>
                    <w:rPr>
                      <w:rFonts w:hint="eastAsia"/>
                      <w:u w:val="none" w:color="auto"/>
                    </w:rPr>
                    <w:t>1</w:t>
                  </w:r>
                </w:p>
              </w:tc>
              <w:tc>
                <w:tcPr>
                  <w:tcW w:w="4430" w:type="dxa"/>
                  <w:vAlign w:val="center"/>
                </w:tcPr>
                <w:p w14:paraId="0A967614">
                  <w:pPr>
                    <w:pStyle w:val="57"/>
                    <w:rPr>
                      <w:u w:val="none" w:color="auto"/>
                    </w:rPr>
                  </w:pPr>
                  <w:r>
                    <w:rPr>
                      <w:rFonts w:hint="eastAsia"/>
                      <w:u w:val="none" w:color="auto"/>
                    </w:rPr>
                    <w:t>第三条：禁止建设不符合全国和省级港口布局规划以及港口总体规划的码头项目。对不符合港口总体规划的新建，改建和扩建的码头工程(含舾装码头工程)及其同时建设的配套设施、防波堤、锚地、护岸等工程投资主管部门不得审批或核准。码头工程建设项目需要使用港口岸线的，项目单位应当按照国省港口岸线使用的管理规定办理港口岸线使用手续。未取得岸线使用批准文件或者岸线使用意见的，不得开工建设，禁止建设不符合《长江干线过江通道布局规划（2</w:t>
                  </w:r>
                  <w:r>
                    <w:rPr>
                      <w:u w:val="none" w:color="auto"/>
                    </w:rPr>
                    <w:t>020-2035</w:t>
                  </w:r>
                  <w:r>
                    <w:rPr>
                      <w:rFonts w:hint="eastAsia"/>
                      <w:u w:val="none" w:color="auto"/>
                    </w:rPr>
                    <w:t>年）》的过长江通道项目。</w:t>
                  </w:r>
                </w:p>
              </w:tc>
              <w:tc>
                <w:tcPr>
                  <w:tcW w:w="1960" w:type="dxa"/>
                  <w:vAlign w:val="center"/>
                </w:tcPr>
                <w:p w14:paraId="493C98FC">
                  <w:pPr>
                    <w:pStyle w:val="57"/>
                    <w:rPr>
                      <w:u w:val="none" w:color="auto"/>
                    </w:rPr>
                  </w:pPr>
                  <w:r>
                    <w:rPr>
                      <w:rFonts w:hint="eastAsia"/>
                      <w:u w:val="none" w:color="auto"/>
                    </w:rPr>
                    <w:t>本项目不属于港口码头项目</w:t>
                  </w:r>
                </w:p>
              </w:tc>
              <w:tc>
                <w:tcPr>
                  <w:tcW w:w="856" w:type="dxa"/>
                  <w:vAlign w:val="center"/>
                </w:tcPr>
                <w:p w14:paraId="34C5CC78">
                  <w:pPr>
                    <w:pStyle w:val="57"/>
                    <w:rPr>
                      <w:u w:val="none" w:color="auto"/>
                    </w:rPr>
                  </w:pPr>
                  <w:r>
                    <w:rPr>
                      <w:rFonts w:hint="eastAsia"/>
                      <w:u w:val="none" w:color="auto"/>
                    </w:rPr>
                    <w:t>符合</w:t>
                  </w:r>
                </w:p>
              </w:tc>
            </w:tr>
            <w:tr w14:paraId="1A4E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34D4F59E">
                  <w:pPr>
                    <w:pStyle w:val="57"/>
                    <w:rPr>
                      <w:u w:val="none" w:color="auto"/>
                    </w:rPr>
                  </w:pPr>
                  <w:r>
                    <w:rPr>
                      <w:rFonts w:hint="eastAsia"/>
                      <w:u w:val="none" w:color="auto"/>
                    </w:rPr>
                    <w:t>2</w:t>
                  </w:r>
                </w:p>
              </w:tc>
              <w:tc>
                <w:tcPr>
                  <w:tcW w:w="4430" w:type="dxa"/>
                  <w:vAlign w:val="center"/>
                </w:tcPr>
                <w:p w14:paraId="68DF7667">
                  <w:pPr>
                    <w:pStyle w:val="57"/>
                    <w:rPr>
                      <w:u w:val="none" w:color="auto"/>
                    </w:rPr>
                  </w:pPr>
                  <w:r>
                    <w:rPr>
                      <w:rFonts w:hint="eastAsia"/>
                      <w:u w:val="none" w:color="auto"/>
                    </w:rPr>
                    <w:t>第四条：禁止在自然保护区核心区、缓冲区的岸线和河段范围内投资建设以下项目：</w:t>
                  </w:r>
                  <w:r>
                    <w:rPr>
                      <w:u w:val="none" w:color="auto"/>
                    </w:rPr>
                    <w:t>……</w:t>
                  </w:r>
                </w:p>
              </w:tc>
              <w:tc>
                <w:tcPr>
                  <w:tcW w:w="1960" w:type="dxa"/>
                  <w:vAlign w:val="center"/>
                </w:tcPr>
                <w:p w14:paraId="5FCE3C9C">
                  <w:pPr>
                    <w:pStyle w:val="57"/>
                    <w:rPr>
                      <w:u w:val="none" w:color="auto"/>
                    </w:rPr>
                  </w:pPr>
                  <w:r>
                    <w:rPr>
                      <w:rFonts w:hint="eastAsia"/>
                      <w:u w:val="none" w:color="auto"/>
                    </w:rPr>
                    <w:t>本项目建设不涉及自然保护区</w:t>
                  </w:r>
                </w:p>
              </w:tc>
              <w:tc>
                <w:tcPr>
                  <w:tcW w:w="856" w:type="dxa"/>
                  <w:vAlign w:val="center"/>
                </w:tcPr>
                <w:p w14:paraId="05F81BCB">
                  <w:pPr>
                    <w:pStyle w:val="57"/>
                    <w:rPr>
                      <w:u w:val="none" w:color="auto"/>
                    </w:rPr>
                  </w:pPr>
                  <w:r>
                    <w:rPr>
                      <w:rFonts w:hint="eastAsia"/>
                      <w:u w:val="none" w:color="auto"/>
                    </w:rPr>
                    <w:t>符合</w:t>
                  </w:r>
                </w:p>
              </w:tc>
            </w:tr>
            <w:tr w14:paraId="176A4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633AD9AD">
                  <w:pPr>
                    <w:pStyle w:val="57"/>
                    <w:rPr>
                      <w:u w:val="none" w:color="auto"/>
                    </w:rPr>
                  </w:pPr>
                  <w:r>
                    <w:rPr>
                      <w:rFonts w:hint="eastAsia"/>
                      <w:u w:val="none" w:color="auto"/>
                    </w:rPr>
                    <w:t>3</w:t>
                  </w:r>
                </w:p>
              </w:tc>
              <w:tc>
                <w:tcPr>
                  <w:tcW w:w="4430" w:type="dxa"/>
                  <w:vAlign w:val="center"/>
                </w:tcPr>
                <w:p w14:paraId="63BDADBE">
                  <w:pPr>
                    <w:pStyle w:val="57"/>
                    <w:rPr>
                      <w:u w:val="none" w:color="auto"/>
                    </w:rPr>
                  </w:pPr>
                  <w:r>
                    <w:rPr>
                      <w:rFonts w:hint="eastAsia"/>
                      <w:u w:val="none" w:color="auto"/>
                    </w:rPr>
                    <w:t>第五条：机场、铁路、公路、水利、航运、围堰等公益性设施的选址选线应多方案优化比选</w:t>
                  </w:r>
                  <w:r>
                    <w:rPr>
                      <w:u w:val="none" w:color="auto"/>
                    </w:rPr>
                    <w:t>……</w:t>
                  </w:r>
                </w:p>
              </w:tc>
              <w:tc>
                <w:tcPr>
                  <w:tcW w:w="1960" w:type="dxa"/>
                  <w:vAlign w:val="center"/>
                </w:tcPr>
                <w:p w14:paraId="7EBF4170">
                  <w:pPr>
                    <w:pStyle w:val="57"/>
                    <w:rPr>
                      <w:u w:val="none" w:color="auto"/>
                    </w:rPr>
                  </w:pPr>
                  <w:r>
                    <w:rPr>
                      <w:rFonts w:hint="eastAsia"/>
                      <w:u w:val="none" w:color="auto"/>
                    </w:rPr>
                    <w:t>本项目不属于所列公益性设施</w:t>
                  </w:r>
                </w:p>
              </w:tc>
              <w:tc>
                <w:tcPr>
                  <w:tcW w:w="856" w:type="dxa"/>
                  <w:vAlign w:val="center"/>
                </w:tcPr>
                <w:p w14:paraId="0A3E69B7">
                  <w:pPr>
                    <w:pStyle w:val="57"/>
                    <w:rPr>
                      <w:u w:val="none" w:color="auto"/>
                    </w:rPr>
                  </w:pPr>
                  <w:r>
                    <w:rPr>
                      <w:rFonts w:hint="eastAsia"/>
                      <w:u w:val="none" w:color="auto"/>
                    </w:rPr>
                    <w:t>符合</w:t>
                  </w:r>
                </w:p>
              </w:tc>
            </w:tr>
            <w:tr w14:paraId="1417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6334B90E">
                  <w:pPr>
                    <w:pStyle w:val="57"/>
                    <w:rPr>
                      <w:u w:val="none" w:color="auto"/>
                    </w:rPr>
                  </w:pPr>
                  <w:r>
                    <w:rPr>
                      <w:rFonts w:hint="eastAsia"/>
                      <w:u w:val="none" w:color="auto"/>
                    </w:rPr>
                    <w:t>4</w:t>
                  </w:r>
                </w:p>
              </w:tc>
              <w:tc>
                <w:tcPr>
                  <w:tcW w:w="4430" w:type="dxa"/>
                  <w:vAlign w:val="center"/>
                </w:tcPr>
                <w:p w14:paraId="78AC272C">
                  <w:pPr>
                    <w:pStyle w:val="57"/>
                    <w:rPr>
                      <w:u w:val="none" w:color="auto"/>
                    </w:rPr>
                  </w:pPr>
                  <w:r>
                    <w:rPr>
                      <w:rFonts w:hint="eastAsia"/>
                      <w:u w:val="none" w:color="auto"/>
                    </w:rPr>
                    <w:t>第六条：禁止违反风景名胜区规划</w:t>
                  </w:r>
                  <w:r>
                    <w:rPr>
                      <w:u w:val="none" w:color="auto"/>
                    </w:rPr>
                    <w:t>……</w:t>
                  </w:r>
                </w:p>
              </w:tc>
              <w:tc>
                <w:tcPr>
                  <w:tcW w:w="1960" w:type="dxa"/>
                  <w:vAlign w:val="center"/>
                </w:tcPr>
                <w:p w14:paraId="7F67C20F">
                  <w:pPr>
                    <w:pStyle w:val="57"/>
                    <w:rPr>
                      <w:u w:val="none" w:color="auto"/>
                    </w:rPr>
                  </w:pPr>
                  <w:r>
                    <w:rPr>
                      <w:rFonts w:hint="eastAsia"/>
                      <w:u w:val="none" w:color="auto"/>
                    </w:rPr>
                    <w:t>本项目不涉及风景名胜区</w:t>
                  </w:r>
                </w:p>
              </w:tc>
              <w:tc>
                <w:tcPr>
                  <w:tcW w:w="856" w:type="dxa"/>
                  <w:vAlign w:val="center"/>
                </w:tcPr>
                <w:p w14:paraId="4A8CBC0D">
                  <w:pPr>
                    <w:pStyle w:val="57"/>
                    <w:rPr>
                      <w:u w:val="none" w:color="auto"/>
                    </w:rPr>
                  </w:pPr>
                  <w:r>
                    <w:rPr>
                      <w:rFonts w:hint="eastAsia"/>
                      <w:u w:val="none" w:color="auto"/>
                    </w:rPr>
                    <w:t>符合</w:t>
                  </w:r>
                </w:p>
              </w:tc>
            </w:tr>
            <w:tr w14:paraId="7D2A2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52CBB85E">
                  <w:pPr>
                    <w:pStyle w:val="57"/>
                    <w:rPr>
                      <w:u w:val="none" w:color="auto"/>
                    </w:rPr>
                  </w:pPr>
                  <w:r>
                    <w:rPr>
                      <w:rFonts w:hint="eastAsia"/>
                      <w:u w:val="none" w:color="auto"/>
                    </w:rPr>
                    <w:t>5</w:t>
                  </w:r>
                </w:p>
              </w:tc>
              <w:tc>
                <w:tcPr>
                  <w:tcW w:w="4430" w:type="dxa"/>
                  <w:vAlign w:val="center"/>
                </w:tcPr>
                <w:p w14:paraId="6C6CC43D">
                  <w:pPr>
                    <w:pStyle w:val="57"/>
                    <w:rPr>
                      <w:u w:val="none" w:color="auto"/>
                    </w:rPr>
                  </w:pPr>
                  <w:r>
                    <w:rPr>
                      <w:rFonts w:hint="eastAsia"/>
                      <w:u w:val="none" w:color="auto"/>
                    </w:rPr>
                    <w:t>第七条：饮用水源一级保护区内禁止新建、改建扩建与供水设施和保护水源无关的建设项目</w:t>
                  </w:r>
                  <w:r>
                    <w:rPr>
                      <w:u w:val="none" w:color="auto"/>
                    </w:rPr>
                    <w:t>……</w:t>
                  </w:r>
                </w:p>
              </w:tc>
              <w:tc>
                <w:tcPr>
                  <w:tcW w:w="1960" w:type="dxa"/>
                  <w:vMerge w:val="restart"/>
                  <w:vAlign w:val="center"/>
                </w:tcPr>
                <w:p w14:paraId="23B14D0D">
                  <w:pPr>
                    <w:pStyle w:val="57"/>
                    <w:rPr>
                      <w:u w:val="none" w:color="auto"/>
                    </w:rPr>
                  </w:pPr>
                  <w:r>
                    <w:rPr>
                      <w:rFonts w:hint="eastAsia"/>
                      <w:u w:val="none" w:color="auto"/>
                    </w:rPr>
                    <w:t>本项目建设不涉及饮用水源保护区</w:t>
                  </w:r>
                </w:p>
              </w:tc>
              <w:tc>
                <w:tcPr>
                  <w:tcW w:w="856" w:type="dxa"/>
                  <w:vMerge w:val="restart"/>
                  <w:vAlign w:val="center"/>
                </w:tcPr>
                <w:p w14:paraId="63E5ACFC">
                  <w:pPr>
                    <w:pStyle w:val="57"/>
                    <w:rPr>
                      <w:u w:val="none" w:color="auto"/>
                    </w:rPr>
                  </w:pPr>
                  <w:r>
                    <w:rPr>
                      <w:rFonts w:hint="eastAsia"/>
                      <w:u w:val="none" w:color="auto"/>
                    </w:rPr>
                    <w:t>符合</w:t>
                  </w:r>
                </w:p>
              </w:tc>
            </w:tr>
            <w:tr w14:paraId="524E7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54504ECC">
                  <w:pPr>
                    <w:pStyle w:val="57"/>
                    <w:rPr>
                      <w:u w:val="none" w:color="auto"/>
                    </w:rPr>
                  </w:pPr>
                  <w:r>
                    <w:rPr>
                      <w:rFonts w:hint="eastAsia"/>
                      <w:u w:val="none" w:color="auto"/>
                    </w:rPr>
                    <w:t>6</w:t>
                  </w:r>
                </w:p>
              </w:tc>
              <w:tc>
                <w:tcPr>
                  <w:tcW w:w="4430" w:type="dxa"/>
                  <w:vAlign w:val="center"/>
                </w:tcPr>
                <w:p w14:paraId="27EBD4FB">
                  <w:pPr>
                    <w:pStyle w:val="57"/>
                    <w:rPr>
                      <w:u w:val="none" w:color="auto"/>
                    </w:rPr>
                  </w:pPr>
                  <w:r>
                    <w:rPr>
                      <w:rFonts w:hint="eastAsia"/>
                      <w:u w:val="none" w:color="auto"/>
                    </w:rPr>
                    <w:t>第八条：饮用水水源二级保护区内禁止</w:t>
                  </w:r>
                  <w:r>
                    <w:rPr>
                      <w:u w:val="none" w:color="auto"/>
                    </w:rPr>
                    <w:t>……</w:t>
                  </w:r>
                </w:p>
              </w:tc>
              <w:tc>
                <w:tcPr>
                  <w:tcW w:w="1960" w:type="dxa"/>
                  <w:vMerge w:val="continue"/>
                  <w:vAlign w:val="center"/>
                </w:tcPr>
                <w:p w14:paraId="1D56781A">
                  <w:pPr>
                    <w:pStyle w:val="57"/>
                    <w:rPr>
                      <w:u w:val="none" w:color="auto"/>
                    </w:rPr>
                  </w:pPr>
                </w:p>
              </w:tc>
              <w:tc>
                <w:tcPr>
                  <w:tcW w:w="856" w:type="dxa"/>
                  <w:vMerge w:val="continue"/>
                  <w:vAlign w:val="center"/>
                </w:tcPr>
                <w:p w14:paraId="194A4BE6">
                  <w:pPr>
                    <w:pStyle w:val="57"/>
                    <w:rPr>
                      <w:u w:val="none" w:color="auto"/>
                    </w:rPr>
                  </w:pPr>
                </w:p>
              </w:tc>
            </w:tr>
            <w:tr w14:paraId="7B9BC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264C1AD0">
                  <w:pPr>
                    <w:pStyle w:val="57"/>
                    <w:rPr>
                      <w:u w:val="none" w:color="auto"/>
                    </w:rPr>
                  </w:pPr>
                  <w:r>
                    <w:rPr>
                      <w:rFonts w:hint="eastAsia"/>
                      <w:u w:val="none" w:color="auto"/>
                    </w:rPr>
                    <w:t>7</w:t>
                  </w:r>
                </w:p>
              </w:tc>
              <w:tc>
                <w:tcPr>
                  <w:tcW w:w="4430" w:type="dxa"/>
                  <w:vAlign w:val="center"/>
                </w:tcPr>
                <w:p w14:paraId="50AD5934">
                  <w:pPr>
                    <w:pStyle w:val="57"/>
                    <w:rPr>
                      <w:u w:val="none" w:color="auto"/>
                    </w:rPr>
                  </w:pPr>
                  <w:r>
                    <w:rPr>
                      <w:rFonts w:hint="eastAsia"/>
                      <w:u w:val="none" w:color="auto"/>
                    </w:rPr>
                    <w:t>第九条：禁止在水产种质资源保护区内新建排污口、从事围湖造田等投资建设项目</w:t>
                  </w:r>
                </w:p>
              </w:tc>
              <w:tc>
                <w:tcPr>
                  <w:tcW w:w="1960" w:type="dxa"/>
                  <w:vAlign w:val="center"/>
                </w:tcPr>
                <w:p w14:paraId="25441036">
                  <w:pPr>
                    <w:pStyle w:val="57"/>
                    <w:rPr>
                      <w:u w:val="none" w:color="auto"/>
                    </w:rPr>
                  </w:pPr>
                  <w:r>
                    <w:rPr>
                      <w:rFonts w:hint="eastAsia"/>
                      <w:u w:val="none" w:color="auto"/>
                    </w:rPr>
                    <w:t>本项目不</w:t>
                  </w:r>
                  <w:r>
                    <w:rPr>
                      <w:rFonts w:hint="eastAsia"/>
                      <w:u w:val="none" w:color="auto"/>
                      <w:lang w:val="en-US" w:eastAsia="zh-CN"/>
                    </w:rPr>
                    <w:t>涉及</w:t>
                  </w:r>
                  <w:r>
                    <w:rPr>
                      <w:rFonts w:hint="eastAsia"/>
                      <w:u w:val="none" w:color="auto"/>
                    </w:rPr>
                    <w:t>水产种质资源保护区内，不涉及围湖造田等</w:t>
                  </w:r>
                </w:p>
              </w:tc>
              <w:tc>
                <w:tcPr>
                  <w:tcW w:w="856" w:type="dxa"/>
                  <w:vAlign w:val="center"/>
                </w:tcPr>
                <w:p w14:paraId="3F2EA5CF">
                  <w:pPr>
                    <w:pStyle w:val="57"/>
                    <w:rPr>
                      <w:u w:val="none" w:color="auto"/>
                    </w:rPr>
                  </w:pPr>
                  <w:r>
                    <w:rPr>
                      <w:rFonts w:hint="eastAsia"/>
                      <w:u w:val="none" w:color="auto"/>
                    </w:rPr>
                    <w:t>符合</w:t>
                  </w:r>
                </w:p>
              </w:tc>
            </w:tr>
            <w:tr w14:paraId="2973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222A3116">
                  <w:pPr>
                    <w:pStyle w:val="57"/>
                    <w:rPr>
                      <w:u w:val="none" w:color="auto"/>
                    </w:rPr>
                  </w:pPr>
                  <w:r>
                    <w:rPr>
                      <w:rFonts w:hint="eastAsia"/>
                      <w:u w:val="none" w:color="auto"/>
                    </w:rPr>
                    <w:t>8</w:t>
                  </w:r>
                </w:p>
              </w:tc>
              <w:tc>
                <w:tcPr>
                  <w:tcW w:w="4430" w:type="dxa"/>
                  <w:vAlign w:val="center"/>
                </w:tcPr>
                <w:p w14:paraId="47A9D010">
                  <w:pPr>
                    <w:pStyle w:val="57"/>
                    <w:rPr>
                      <w:u w:val="none" w:color="auto"/>
                    </w:rPr>
                  </w:pPr>
                  <w:r>
                    <w:rPr>
                      <w:rFonts w:hint="eastAsia"/>
                      <w:u w:val="none" w:color="auto"/>
                    </w:rPr>
                    <w:t>第十条：除《中华人民共和国防洪法》规定的紧急防汛期采取的紧急措施外，禁止在国家湿地公园的岸线和河段范围内挖沙、采矿，以及以下不符合主体功能定位的行为和活动:</w:t>
                  </w:r>
                  <w:r>
                    <w:rPr>
                      <w:u w:val="none" w:color="auto"/>
                    </w:rPr>
                    <w:t>……</w:t>
                  </w:r>
                </w:p>
              </w:tc>
              <w:tc>
                <w:tcPr>
                  <w:tcW w:w="1960" w:type="dxa"/>
                  <w:vAlign w:val="center"/>
                </w:tcPr>
                <w:p w14:paraId="589FE30F">
                  <w:pPr>
                    <w:pStyle w:val="57"/>
                    <w:rPr>
                      <w:u w:val="none" w:color="auto"/>
                    </w:rPr>
                  </w:pPr>
                  <w:r>
                    <w:rPr>
                      <w:rFonts w:hint="eastAsia"/>
                      <w:u w:val="none" w:color="auto"/>
                    </w:rPr>
                    <w:t>本项目不涉及国家湿地公园</w:t>
                  </w:r>
                </w:p>
              </w:tc>
              <w:tc>
                <w:tcPr>
                  <w:tcW w:w="856" w:type="dxa"/>
                  <w:vAlign w:val="center"/>
                </w:tcPr>
                <w:p w14:paraId="08D689D9">
                  <w:pPr>
                    <w:pStyle w:val="57"/>
                    <w:rPr>
                      <w:u w:val="none" w:color="auto"/>
                    </w:rPr>
                  </w:pPr>
                  <w:r>
                    <w:rPr>
                      <w:rFonts w:hint="eastAsia"/>
                      <w:u w:val="none" w:color="auto"/>
                    </w:rPr>
                    <w:t>符合</w:t>
                  </w:r>
                </w:p>
              </w:tc>
            </w:tr>
            <w:tr w14:paraId="0013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3C60E661">
                  <w:pPr>
                    <w:pStyle w:val="57"/>
                    <w:rPr>
                      <w:u w:val="none" w:color="auto"/>
                    </w:rPr>
                  </w:pPr>
                  <w:r>
                    <w:rPr>
                      <w:u w:val="none" w:color="auto"/>
                    </w:rPr>
                    <w:t>9</w:t>
                  </w:r>
                </w:p>
              </w:tc>
              <w:tc>
                <w:tcPr>
                  <w:tcW w:w="4430" w:type="dxa"/>
                  <w:vAlign w:val="center"/>
                </w:tcPr>
                <w:p w14:paraId="6C72EB9B">
                  <w:pPr>
                    <w:pStyle w:val="57"/>
                    <w:rPr>
                      <w:u w:val="none" w:color="auto"/>
                    </w:rPr>
                  </w:pPr>
                  <w:r>
                    <w:rPr>
                      <w:rFonts w:hint="eastAsia"/>
                      <w:u w:val="none" w:color="auto"/>
                    </w:rPr>
                    <w:t>第十一条：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w:t>
                  </w:r>
                </w:p>
                <w:p w14:paraId="0FC58762">
                  <w:pPr>
                    <w:pStyle w:val="57"/>
                    <w:rPr>
                      <w:u w:val="none" w:color="auto"/>
                    </w:rPr>
                  </w:pPr>
                  <w:r>
                    <w:rPr>
                      <w:rFonts w:hint="eastAsia"/>
                      <w:u w:val="none" w:color="auto"/>
                    </w:rPr>
                    <w:t>禁止填湖造地、围湖造田及非法围垦河道，禁止非法建设矮围网围、填埋湿地等侵占河湖水域或者违法利用、占用河湖岸线的行为。</w:t>
                  </w:r>
                </w:p>
              </w:tc>
              <w:tc>
                <w:tcPr>
                  <w:tcW w:w="1960" w:type="dxa"/>
                  <w:vAlign w:val="center"/>
                </w:tcPr>
                <w:p w14:paraId="27E767A3">
                  <w:pPr>
                    <w:pStyle w:val="57"/>
                    <w:rPr>
                      <w:u w:val="none" w:color="auto"/>
                    </w:rPr>
                  </w:pPr>
                  <w:r>
                    <w:rPr>
                      <w:rFonts w:hint="eastAsia"/>
                      <w:u w:val="none" w:color="auto"/>
                    </w:rPr>
                    <w:t>本项目未处于划定的岸线保护区范围内</w:t>
                  </w:r>
                </w:p>
              </w:tc>
              <w:tc>
                <w:tcPr>
                  <w:tcW w:w="856" w:type="dxa"/>
                  <w:vAlign w:val="center"/>
                </w:tcPr>
                <w:p w14:paraId="737F920F">
                  <w:pPr>
                    <w:pStyle w:val="57"/>
                    <w:rPr>
                      <w:u w:val="none" w:color="auto"/>
                    </w:rPr>
                  </w:pPr>
                  <w:r>
                    <w:rPr>
                      <w:rFonts w:hint="eastAsia"/>
                      <w:u w:val="none" w:color="auto"/>
                    </w:rPr>
                    <w:t>符合</w:t>
                  </w:r>
                </w:p>
              </w:tc>
            </w:tr>
            <w:tr w14:paraId="5ADD3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7A8B10A0">
                  <w:pPr>
                    <w:pStyle w:val="57"/>
                    <w:rPr>
                      <w:u w:val="none" w:color="auto"/>
                    </w:rPr>
                  </w:pPr>
                  <w:r>
                    <w:rPr>
                      <w:rFonts w:hint="eastAsia"/>
                      <w:u w:val="none" w:color="auto"/>
                    </w:rPr>
                    <w:t>1</w:t>
                  </w:r>
                  <w:r>
                    <w:rPr>
                      <w:u w:val="none" w:color="auto"/>
                    </w:rPr>
                    <w:t>0</w:t>
                  </w:r>
                </w:p>
              </w:tc>
              <w:tc>
                <w:tcPr>
                  <w:tcW w:w="4430" w:type="dxa"/>
                  <w:vAlign w:val="center"/>
                </w:tcPr>
                <w:p w14:paraId="4409BF2A">
                  <w:pPr>
                    <w:pStyle w:val="57"/>
                    <w:rPr>
                      <w:u w:val="none" w:color="auto"/>
                    </w:rPr>
                  </w:pPr>
                  <w:r>
                    <w:rPr>
                      <w:rFonts w:hint="eastAsia"/>
                      <w:u w:val="none" w:color="auto"/>
                    </w:rPr>
                    <w:t>第十二条：禁止在《全国重要江河湖泊水功能区划》划定的河段保护区、保留区内投资建设不利于水资源及自然生态保护的项目。</w:t>
                  </w:r>
                </w:p>
              </w:tc>
              <w:tc>
                <w:tcPr>
                  <w:tcW w:w="1960" w:type="dxa"/>
                  <w:vAlign w:val="center"/>
                </w:tcPr>
                <w:p w14:paraId="44F78B3E">
                  <w:pPr>
                    <w:pStyle w:val="57"/>
                    <w:rPr>
                      <w:u w:val="none" w:color="auto"/>
                    </w:rPr>
                  </w:pPr>
                  <w:r>
                    <w:rPr>
                      <w:rFonts w:hint="eastAsia"/>
                      <w:u w:val="none" w:color="auto"/>
                    </w:rPr>
                    <w:t>本项目不涉及河段保护区、保留区</w:t>
                  </w:r>
                </w:p>
              </w:tc>
              <w:tc>
                <w:tcPr>
                  <w:tcW w:w="856" w:type="dxa"/>
                  <w:vAlign w:val="center"/>
                </w:tcPr>
                <w:p w14:paraId="67A5B352">
                  <w:pPr>
                    <w:pStyle w:val="57"/>
                    <w:rPr>
                      <w:u w:val="none" w:color="auto"/>
                    </w:rPr>
                  </w:pPr>
                  <w:r>
                    <w:rPr>
                      <w:rFonts w:hint="eastAsia"/>
                      <w:u w:val="none" w:color="auto"/>
                    </w:rPr>
                    <w:t>符合</w:t>
                  </w:r>
                </w:p>
              </w:tc>
            </w:tr>
            <w:tr w14:paraId="3196D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7476949A">
                  <w:pPr>
                    <w:pStyle w:val="57"/>
                    <w:rPr>
                      <w:u w:val="none" w:color="auto"/>
                    </w:rPr>
                  </w:pPr>
                  <w:r>
                    <w:rPr>
                      <w:rFonts w:hint="eastAsia"/>
                      <w:u w:val="none" w:color="auto"/>
                    </w:rPr>
                    <w:t>1</w:t>
                  </w:r>
                  <w:r>
                    <w:rPr>
                      <w:u w:val="none" w:color="auto"/>
                    </w:rPr>
                    <w:t>1</w:t>
                  </w:r>
                </w:p>
              </w:tc>
              <w:tc>
                <w:tcPr>
                  <w:tcW w:w="4430" w:type="dxa"/>
                  <w:vAlign w:val="center"/>
                </w:tcPr>
                <w:p w14:paraId="042FCF9C">
                  <w:pPr>
                    <w:pStyle w:val="57"/>
                    <w:rPr>
                      <w:u w:val="none" w:color="auto"/>
                    </w:rPr>
                  </w:pPr>
                  <w:r>
                    <w:rPr>
                      <w:rFonts w:hint="eastAsia"/>
                      <w:u w:val="none" w:color="auto"/>
                    </w:rPr>
                    <w:t>第十三条：禁止未经许可在长江干支流及湖泊新设、改设或扩大排污口</w:t>
                  </w:r>
                </w:p>
              </w:tc>
              <w:tc>
                <w:tcPr>
                  <w:tcW w:w="1960" w:type="dxa"/>
                  <w:vAlign w:val="center"/>
                </w:tcPr>
                <w:p w14:paraId="393C4A4C">
                  <w:pPr>
                    <w:pStyle w:val="57"/>
                    <w:rPr>
                      <w:rFonts w:hint="default" w:eastAsia="宋体"/>
                      <w:u w:val="none" w:color="auto"/>
                      <w:lang w:val="en-US" w:eastAsia="zh-CN"/>
                    </w:rPr>
                  </w:pPr>
                  <w:r>
                    <w:rPr>
                      <w:rFonts w:hint="eastAsia"/>
                      <w:u w:val="none" w:color="auto"/>
                    </w:rPr>
                    <w:t>本项目不</w:t>
                  </w:r>
                  <w:r>
                    <w:rPr>
                      <w:rFonts w:hint="eastAsia"/>
                      <w:u w:val="none" w:color="auto"/>
                      <w:lang w:val="en-US" w:eastAsia="zh-CN"/>
                    </w:rPr>
                    <w:t>新设排污口</w:t>
                  </w:r>
                </w:p>
              </w:tc>
              <w:tc>
                <w:tcPr>
                  <w:tcW w:w="856" w:type="dxa"/>
                  <w:vAlign w:val="center"/>
                </w:tcPr>
                <w:p w14:paraId="58FB090B">
                  <w:pPr>
                    <w:pStyle w:val="57"/>
                    <w:rPr>
                      <w:u w:val="none" w:color="auto"/>
                    </w:rPr>
                  </w:pPr>
                  <w:r>
                    <w:rPr>
                      <w:rFonts w:hint="eastAsia"/>
                      <w:u w:val="none" w:color="auto"/>
                    </w:rPr>
                    <w:t>符合</w:t>
                  </w:r>
                </w:p>
              </w:tc>
            </w:tr>
            <w:tr w14:paraId="22DB9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02C777DD">
                  <w:pPr>
                    <w:pStyle w:val="57"/>
                    <w:rPr>
                      <w:u w:val="none" w:color="auto"/>
                    </w:rPr>
                  </w:pPr>
                  <w:r>
                    <w:rPr>
                      <w:rFonts w:hint="eastAsia"/>
                      <w:u w:val="none" w:color="auto"/>
                    </w:rPr>
                    <w:t>1</w:t>
                  </w:r>
                  <w:r>
                    <w:rPr>
                      <w:u w:val="none" w:color="auto"/>
                    </w:rPr>
                    <w:t>2</w:t>
                  </w:r>
                </w:p>
              </w:tc>
              <w:tc>
                <w:tcPr>
                  <w:tcW w:w="4430" w:type="dxa"/>
                  <w:vAlign w:val="center"/>
                </w:tcPr>
                <w:p w14:paraId="394E0438">
                  <w:pPr>
                    <w:pStyle w:val="57"/>
                    <w:rPr>
                      <w:u w:val="none" w:color="auto"/>
                    </w:rPr>
                  </w:pPr>
                  <w:r>
                    <w:rPr>
                      <w:rFonts w:hint="eastAsia"/>
                      <w:u w:val="none" w:color="auto"/>
                    </w:rPr>
                    <w:t>第十四条：禁止在洞庭湖、湘江、资江、沅江、</w:t>
                  </w:r>
                  <w:r>
                    <w:rPr>
                      <w:rFonts w:hint="eastAsia"/>
                      <w:u w:val="none" w:color="auto"/>
                      <w:lang w:eastAsia="zh-CN"/>
                    </w:rPr>
                    <w:t>澧水</w:t>
                  </w:r>
                  <w:r>
                    <w:rPr>
                      <w:rFonts w:hint="eastAsia"/>
                      <w:u w:val="none" w:color="auto"/>
                    </w:rPr>
                    <w:t>干流和 45个水生生物保护区开展生产性捕捞。在相关自然保护区域和禁猎 (渔)区、禁猎 (渔)期内，禁止猎捕以及其他妨碍野生动物生息繁衍的活动，但法律法规另有规定的除外。</w:t>
                  </w:r>
                </w:p>
              </w:tc>
              <w:tc>
                <w:tcPr>
                  <w:tcW w:w="1960" w:type="dxa"/>
                  <w:vAlign w:val="center"/>
                </w:tcPr>
                <w:p w14:paraId="0104B543">
                  <w:pPr>
                    <w:pStyle w:val="57"/>
                    <w:rPr>
                      <w:u w:val="none" w:color="auto"/>
                    </w:rPr>
                  </w:pPr>
                  <w:r>
                    <w:rPr>
                      <w:rFonts w:hint="eastAsia"/>
                      <w:u w:val="none" w:color="auto"/>
                    </w:rPr>
                    <w:t>本项目不从事生产线捕捞</w:t>
                  </w:r>
                </w:p>
              </w:tc>
              <w:tc>
                <w:tcPr>
                  <w:tcW w:w="856" w:type="dxa"/>
                  <w:vAlign w:val="center"/>
                </w:tcPr>
                <w:p w14:paraId="2CAA7873">
                  <w:pPr>
                    <w:pStyle w:val="57"/>
                    <w:rPr>
                      <w:u w:val="none" w:color="auto"/>
                    </w:rPr>
                  </w:pPr>
                  <w:r>
                    <w:rPr>
                      <w:rFonts w:hint="eastAsia"/>
                      <w:u w:val="none" w:color="auto"/>
                    </w:rPr>
                    <w:t>符合</w:t>
                  </w:r>
                </w:p>
              </w:tc>
            </w:tr>
            <w:tr w14:paraId="50C8C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5CE04EC4">
                  <w:pPr>
                    <w:pStyle w:val="57"/>
                    <w:rPr>
                      <w:u w:val="none" w:color="auto"/>
                    </w:rPr>
                  </w:pPr>
                  <w:r>
                    <w:rPr>
                      <w:rFonts w:hint="eastAsia"/>
                      <w:u w:val="none" w:color="auto"/>
                    </w:rPr>
                    <w:t>1</w:t>
                  </w:r>
                  <w:r>
                    <w:rPr>
                      <w:u w:val="none" w:color="auto"/>
                    </w:rPr>
                    <w:t>3</w:t>
                  </w:r>
                </w:p>
              </w:tc>
              <w:tc>
                <w:tcPr>
                  <w:tcW w:w="4430" w:type="dxa"/>
                  <w:vAlign w:val="center"/>
                </w:tcPr>
                <w:p w14:paraId="243A9899">
                  <w:pPr>
                    <w:pStyle w:val="57"/>
                    <w:rPr>
                      <w:u w:val="none" w:color="auto"/>
                    </w:rPr>
                  </w:pPr>
                  <w:r>
                    <w:rPr>
                      <w:rFonts w:hint="eastAsia"/>
                      <w:u w:val="none" w:color="auto"/>
                    </w:rPr>
                    <w:t>第十五条：禁止在长江湖南段和洞庭湖、湘江、资江、沅江、澧水干流岸线一公里范围内新建、扩建化工园区和化工项目。禁止在长江湖南段岸线三公里范围内和湘江、资江、沅江、澧水岸线一公里范围内新建、改建、扩建尾矿库、冶炼渣库和磷石膏库，以提升安全、生态环境保护水平为目的的改建除外。</w:t>
                  </w:r>
                </w:p>
              </w:tc>
              <w:tc>
                <w:tcPr>
                  <w:tcW w:w="1960" w:type="dxa"/>
                  <w:vAlign w:val="center"/>
                </w:tcPr>
                <w:p w14:paraId="76FCEA37">
                  <w:pPr>
                    <w:pStyle w:val="57"/>
                    <w:rPr>
                      <w:u w:val="none" w:color="auto"/>
                    </w:rPr>
                  </w:pPr>
                  <w:r>
                    <w:rPr>
                      <w:rFonts w:hint="eastAsia"/>
                      <w:u w:val="none" w:color="auto"/>
                    </w:rPr>
                    <w:t>本项目不属于化工项目</w:t>
                  </w:r>
                </w:p>
              </w:tc>
              <w:tc>
                <w:tcPr>
                  <w:tcW w:w="856" w:type="dxa"/>
                  <w:vAlign w:val="center"/>
                </w:tcPr>
                <w:p w14:paraId="5FB22881">
                  <w:pPr>
                    <w:pStyle w:val="57"/>
                    <w:rPr>
                      <w:u w:val="none" w:color="auto"/>
                    </w:rPr>
                  </w:pPr>
                  <w:r>
                    <w:rPr>
                      <w:rFonts w:hint="eastAsia"/>
                      <w:u w:val="none" w:color="auto"/>
                    </w:rPr>
                    <w:t>符合</w:t>
                  </w:r>
                </w:p>
              </w:tc>
            </w:tr>
            <w:tr w14:paraId="7F95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4154CF33">
                  <w:pPr>
                    <w:pStyle w:val="57"/>
                    <w:rPr>
                      <w:u w:val="none" w:color="auto"/>
                    </w:rPr>
                  </w:pPr>
                  <w:r>
                    <w:rPr>
                      <w:rFonts w:hint="eastAsia"/>
                      <w:u w:val="none" w:color="auto"/>
                    </w:rPr>
                    <w:t>1</w:t>
                  </w:r>
                  <w:r>
                    <w:rPr>
                      <w:u w:val="none" w:color="auto"/>
                    </w:rPr>
                    <w:t>4</w:t>
                  </w:r>
                </w:p>
              </w:tc>
              <w:tc>
                <w:tcPr>
                  <w:tcW w:w="4430" w:type="dxa"/>
                  <w:vAlign w:val="center"/>
                </w:tcPr>
                <w:p w14:paraId="6D9D9E55">
                  <w:pPr>
                    <w:pStyle w:val="57"/>
                    <w:rPr>
                      <w:u w:val="none" w:color="auto"/>
                    </w:rPr>
                  </w:pPr>
                  <w:r>
                    <w:rPr>
                      <w:rFonts w:hint="eastAsia"/>
                      <w:u w:val="none" w:color="auto"/>
                    </w:rPr>
                    <w:t>第十六条：禁止在合规园区外新建、扩建钢铁、石化、化工、焦化、建材、有色、制浆造纸等高污染项目。高污染项目严格按照生态环境部《环境保护综合名录</w:t>
                  </w:r>
                  <w:r>
                    <w:rPr>
                      <w:rFonts w:hint="eastAsia"/>
                      <w:u w:val="none" w:color="auto"/>
                      <w:lang w:eastAsia="zh-CN"/>
                    </w:rPr>
                    <w:t>（</w:t>
                  </w:r>
                  <w:r>
                    <w:rPr>
                      <w:rFonts w:hint="eastAsia"/>
                      <w:u w:val="none" w:color="auto"/>
                    </w:rPr>
                    <w:t>2021 年版</w:t>
                  </w:r>
                  <w:r>
                    <w:rPr>
                      <w:rFonts w:hint="eastAsia"/>
                      <w:u w:val="none" w:color="auto"/>
                      <w:lang w:eastAsia="zh-CN"/>
                    </w:rPr>
                    <w:t>）</w:t>
                  </w:r>
                  <w:r>
                    <w:rPr>
                      <w:rFonts w:hint="eastAsia"/>
                      <w:u w:val="none" w:color="auto"/>
                    </w:rPr>
                    <w:t>》有关要求执行。</w:t>
                  </w:r>
                </w:p>
              </w:tc>
              <w:tc>
                <w:tcPr>
                  <w:tcW w:w="1960" w:type="dxa"/>
                  <w:vAlign w:val="center"/>
                </w:tcPr>
                <w:p w14:paraId="52D015AB">
                  <w:pPr>
                    <w:pStyle w:val="57"/>
                    <w:rPr>
                      <w:u w:val="none" w:color="auto"/>
                    </w:rPr>
                  </w:pPr>
                  <w:r>
                    <w:rPr>
                      <w:rFonts w:hint="eastAsia"/>
                      <w:u w:val="none" w:color="auto"/>
                    </w:rPr>
                    <w:t>本项目不属于所列禁止类项目</w:t>
                  </w:r>
                </w:p>
              </w:tc>
              <w:tc>
                <w:tcPr>
                  <w:tcW w:w="856" w:type="dxa"/>
                  <w:vAlign w:val="center"/>
                </w:tcPr>
                <w:p w14:paraId="13DC2574">
                  <w:pPr>
                    <w:pStyle w:val="57"/>
                    <w:rPr>
                      <w:u w:val="none" w:color="auto"/>
                    </w:rPr>
                  </w:pPr>
                  <w:r>
                    <w:rPr>
                      <w:rFonts w:hint="eastAsia"/>
                      <w:u w:val="none" w:color="auto"/>
                    </w:rPr>
                    <w:t>符合</w:t>
                  </w:r>
                </w:p>
              </w:tc>
            </w:tr>
            <w:tr w14:paraId="4EACF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27993EB8">
                  <w:pPr>
                    <w:pStyle w:val="57"/>
                    <w:rPr>
                      <w:u w:val="none" w:color="auto"/>
                    </w:rPr>
                  </w:pPr>
                  <w:r>
                    <w:rPr>
                      <w:rFonts w:hint="eastAsia"/>
                      <w:u w:val="none" w:color="auto"/>
                    </w:rPr>
                    <w:t>1</w:t>
                  </w:r>
                  <w:r>
                    <w:rPr>
                      <w:u w:val="none" w:color="auto"/>
                    </w:rPr>
                    <w:t>5</w:t>
                  </w:r>
                </w:p>
              </w:tc>
              <w:tc>
                <w:tcPr>
                  <w:tcW w:w="4430" w:type="dxa"/>
                  <w:vAlign w:val="center"/>
                </w:tcPr>
                <w:p w14:paraId="3D07CEDE">
                  <w:pPr>
                    <w:pStyle w:val="57"/>
                    <w:rPr>
                      <w:u w:val="none" w:color="auto"/>
                    </w:rPr>
                  </w:pPr>
                  <w:r>
                    <w:rPr>
                      <w:rFonts w:hint="eastAsia"/>
                      <w:u w:val="none" w:color="auto"/>
                    </w:rPr>
                    <w:t>第十七条：禁止新建、扩建不符合国家石化、现代煤化工等产业布局规划的项目。未通过认定的化工园区，不得新建、改扩建化工项目</w:t>
                  </w:r>
                  <w:r>
                    <w:rPr>
                      <w:rFonts w:hint="eastAsia"/>
                      <w:u w:val="none" w:color="auto"/>
                      <w:lang w:eastAsia="zh-CN"/>
                    </w:rPr>
                    <w:t>（</w:t>
                  </w:r>
                  <w:r>
                    <w:rPr>
                      <w:rFonts w:hint="eastAsia"/>
                      <w:u w:val="none" w:color="auto"/>
                    </w:rPr>
                    <w:t>安全、环保、节能和智能化改造项目除外</w:t>
                  </w:r>
                  <w:r>
                    <w:rPr>
                      <w:rFonts w:hint="eastAsia"/>
                      <w:u w:val="none" w:color="auto"/>
                      <w:lang w:eastAsia="zh-CN"/>
                    </w:rPr>
                    <w:t>）</w:t>
                  </w:r>
                  <w:r>
                    <w:rPr>
                      <w:rFonts w:hint="eastAsia"/>
                      <w:u w:val="none" w:color="auto"/>
                    </w:rPr>
                    <w:t>。</w:t>
                  </w:r>
                </w:p>
              </w:tc>
              <w:tc>
                <w:tcPr>
                  <w:tcW w:w="1960" w:type="dxa"/>
                  <w:vAlign w:val="center"/>
                </w:tcPr>
                <w:p w14:paraId="6F97F310">
                  <w:pPr>
                    <w:pStyle w:val="57"/>
                    <w:rPr>
                      <w:u w:val="none" w:color="auto"/>
                    </w:rPr>
                  </w:pPr>
                  <w:r>
                    <w:rPr>
                      <w:rFonts w:hint="eastAsia"/>
                      <w:u w:val="none" w:color="auto"/>
                    </w:rPr>
                    <w:t>本项目不属于化工、石化、现代煤化工等类型项目</w:t>
                  </w:r>
                </w:p>
              </w:tc>
              <w:tc>
                <w:tcPr>
                  <w:tcW w:w="856" w:type="dxa"/>
                  <w:vAlign w:val="center"/>
                </w:tcPr>
                <w:p w14:paraId="3354938A">
                  <w:pPr>
                    <w:pStyle w:val="57"/>
                    <w:rPr>
                      <w:u w:val="none" w:color="auto"/>
                    </w:rPr>
                  </w:pPr>
                  <w:r>
                    <w:rPr>
                      <w:rFonts w:hint="eastAsia"/>
                      <w:u w:val="none" w:color="auto"/>
                    </w:rPr>
                    <w:t>符合</w:t>
                  </w:r>
                </w:p>
              </w:tc>
            </w:tr>
            <w:tr w14:paraId="5F96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5B86960F">
                  <w:pPr>
                    <w:pStyle w:val="57"/>
                    <w:rPr>
                      <w:u w:val="none" w:color="auto"/>
                    </w:rPr>
                  </w:pPr>
                  <w:r>
                    <w:rPr>
                      <w:rFonts w:hint="eastAsia"/>
                      <w:u w:val="none" w:color="auto"/>
                    </w:rPr>
                    <w:t>1</w:t>
                  </w:r>
                  <w:r>
                    <w:rPr>
                      <w:u w:val="none" w:color="auto"/>
                    </w:rPr>
                    <w:t>6</w:t>
                  </w:r>
                </w:p>
              </w:tc>
              <w:tc>
                <w:tcPr>
                  <w:tcW w:w="4430" w:type="dxa"/>
                  <w:vAlign w:val="center"/>
                </w:tcPr>
                <w:p w14:paraId="5537A1A1">
                  <w:pPr>
                    <w:pStyle w:val="57"/>
                    <w:rPr>
                      <w:u w:val="none" w:color="auto"/>
                    </w:rPr>
                  </w:pPr>
                  <w:r>
                    <w:rPr>
                      <w:rFonts w:hint="eastAsia"/>
                      <w:u w:val="none" w:color="auto"/>
                    </w:rPr>
                    <w:t>第十八条：禁止新建、扩建法律法规和相关政策明令禁止的落后产能项目</w:t>
                  </w:r>
                  <w:r>
                    <w:rPr>
                      <w:rFonts w:hint="eastAsia"/>
                      <w:u w:val="none" w:color="auto"/>
                      <w:lang w:eastAsia="zh-CN"/>
                    </w:rPr>
                    <w:t>；</w:t>
                  </w:r>
                  <w:r>
                    <w:rPr>
                      <w:rFonts w:hint="eastAsia"/>
                      <w:u w:val="none" w:color="auto"/>
                    </w:rPr>
                    <w:t>对不符合要求的落后产能存量项目依法依规退出。禁止新建、扩建不符合国家产能置换要求的严重过剩产能行业</w:t>
                  </w:r>
                  <w:r>
                    <w:rPr>
                      <w:rFonts w:hint="eastAsia"/>
                      <w:u w:val="none" w:color="auto"/>
                      <w:lang w:eastAsia="zh-CN"/>
                    </w:rPr>
                    <w:t>（</w:t>
                  </w:r>
                  <w:r>
                    <w:rPr>
                      <w:rFonts w:hint="eastAsia"/>
                      <w:u w:val="none" w:color="auto"/>
                    </w:rPr>
                    <w:t>钢铁、水泥、电解铝、平板玻璃、船舶等行业</w:t>
                  </w:r>
                  <w:r>
                    <w:rPr>
                      <w:rFonts w:hint="eastAsia"/>
                      <w:u w:val="none" w:color="auto"/>
                      <w:lang w:eastAsia="zh-CN"/>
                    </w:rPr>
                    <w:t>）</w:t>
                  </w:r>
                  <w:r>
                    <w:rPr>
                      <w:rFonts w:hint="eastAsia"/>
                      <w:u w:val="none" w:color="auto"/>
                    </w:rPr>
                    <w:t>的项目。对确有必要新建、扩建的，必须严格执行产能置换实施办法，实施减量或等量置换，依法依规办理有关手续。禁止新建扩建不符合要求的高耗能高排放项目。</w:t>
                  </w:r>
                </w:p>
              </w:tc>
              <w:tc>
                <w:tcPr>
                  <w:tcW w:w="1960" w:type="dxa"/>
                  <w:vAlign w:val="center"/>
                </w:tcPr>
                <w:p w14:paraId="524071B5">
                  <w:pPr>
                    <w:pStyle w:val="57"/>
                    <w:rPr>
                      <w:u w:val="none" w:color="auto"/>
                    </w:rPr>
                  </w:pPr>
                  <w:r>
                    <w:rPr>
                      <w:rFonts w:hint="eastAsia"/>
                      <w:u w:val="none" w:color="auto"/>
                    </w:rPr>
                    <w:t>本项目不属于生产型项目，不属于淘汰类项目；不属于产能过剩行业。</w:t>
                  </w:r>
                </w:p>
              </w:tc>
              <w:tc>
                <w:tcPr>
                  <w:tcW w:w="856" w:type="dxa"/>
                  <w:vAlign w:val="center"/>
                </w:tcPr>
                <w:p w14:paraId="0D570CE4">
                  <w:pPr>
                    <w:pStyle w:val="57"/>
                    <w:rPr>
                      <w:u w:val="none" w:color="auto"/>
                    </w:rPr>
                  </w:pPr>
                  <w:r>
                    <w:rPr>
                      <w:rFonts w:hint="eastAsia"/>
                      <w:u w:val="none" w:color="auto"/>
                    </w:rPr>
                    <w:t>符合</w:t>
                  </w:r>
                </w:p>
              </w:tc>
            </w:tr>
          </w:tbl>
          <w:p w14:paraId="60F99036">
            <w:pPr>
              <w:pStyle w:val="35"/>
              <w:ind w:firstLine="480"/>
              <w:rPr>
                <w:b/>
                <w:bCs/>
                <w:u w:val="none" w:color="auto"/>
              </w:rPr>
            </w:pPr>
            <w:r>
              <w:rPr>
                <w:rFonts w:hint="eastAsia"/>
                <w:b/>
                <w:bCs/>
                <w:u w:val="none" w:color="auto"/>
                <w:lang w:val="en-US" w:eastAsia="zh-CN"/>
              </w:rPr>
              <w:t>8</w:t>
            </w:r>
            <w:r>
              <w:rPr>
                <w:rFonts w:hint="eastAsia"/>
                <w:b/>
                <w:bCs/>
                <w:u w:val="none" w:color="auto"/>
              </w:rPr>
              <w:t>、与《湖南省大气污染防治“守护蓝天”攻坚行动计划</w:t>
            </w:r>
            <w:r>
              <w:rPr>
                <w:rFonts w:hint="eastAsia"/>
                <w:b/>
                <w:bCs/>
                <w:u w:val="none" w:color="auto"/>
                <w:lang w:eastAsia="zh-CN"/>
              </w:rPr>
              <w:t>（</w:t>
            </w:r>
            <w:r>
              <w:rPr>
                <w:rFonts w:hint="eastAsia"/>
                <w:b/>
                <w:bCs/>
                <w:u w:val="none" w:color="auto"/>
              </w:rPr>
              <w:t>2023-2025年</w:t>
            </w:r>
            <w:r>
              <w:rPr>
                <w:rFonts w:hint="eastAsia"/>
                <w:b/>
                <w:bCs/>
                <w:u w:val="none" w:color="auto"/>
                <w:lang w:eastAsia="zh-CN"/>
              </w:rPr>
              <w:t>）</w:t>
            </w:r>
            <w:r>
              <w:rPr>
                <w:rFonts w:hint="eastAsia"/>
                <w:b/>
                <w:bCs/>
                <w:u w:val="none" w:color="auto"/>
              </w:rPr>
              <w:t>》</w:t>
            </w:r>
            <w:r>
              <w:rPr>
                <w:rFonts w:hint="eastAsia"/>
                <w:b/>
                <w:bCs/>
                <w:u w:val="none" w:color="auto"/>
                <w:lang w:eastAsia="zh-CN"/>
              </w:rPr>
              <w:t>（</w:t>
            </w:r>
            <w:r>
              <w:rPr>
                <w:rFonts w:hint="eastAsia"/>
                <w:b/>
                <w:bCs/>
                <w:u w:val="none" w:color="auto"/>
              </w:rPr>
              <w:t>湘政办发</w:t>
            </w:r>
            <w:r>
              <w:rPr>
                <w:rFonts w:hint="eastAsia" w:ascii="宋体" w:hAnsi="宋体" w:eastAsia="宋体" w:cs="宋体"/>
                <w:b/>
                <w:bCs/>
                <w:u w:val="none" w:color="auto"/>
              </w:rPr>
              <w:t>〔</w:t>
            </w:r>
            <w:r>
              <w:rPr>
                <w:rFonts w:hint="eastAsia"/>
                <w:b/>
                <w:bCs/>
                <w:u w:val="none" w:color="auto"/>
              </w:rPr>
              <w:t>2023</w:t>
            </w:r>
            <w:r>
              <w:rPr>
                <w:rFonts w:hint="eastAsia" w:ascii="宋体" w:hAnsi="宋体" w:eastAsia="宋体" w:cs="宋体"/>
                <w:b/>
                <w:bCs/>
                <w:u w:val="none" w:color="auto"/>
              </w:rPr>
              <w:t>〕</w:t>
            </w:r>
            <w:r>
              <w:rPr>
                <w:rFonts w:hint="eastAsia"/>
                <w:b/>
                <w:bCs/>
                <w:u w:val="none" w:color="auto"/>
              </w:rPr>
              <w:t>34号</w:t>
            </w:r>
            <w:r>
              <w:rPr>
                <w:rFonts w:hint="eastAsia"/>
                <w:b/>
                <w:bCs/>
                <w:u w:val="none" w:color="auto"/>
                <w:lang w:eastAsia="zh-CN"/>
              </w:rPr>
              <w:t>）</w:t>
            </w:r>
            <w:r>
              <w:rPr>
                <w:rFonts w:hint="eastAsia"/>
                <w:b/>
                <w:bCs/>
                <w:u w:val="none" w:color="auto"/>
              </w:rPr>
              <w:t>符合性分析</w:t>
            </w:r>
          </w:p>
          <w:p w14:paraId="2B5F4E12">
            <w:pPr>
              <w:pStyle w:val="35"/>
              <w:ind w:firstLine="480"/>
              <w:rPr>
                <w:rFonts w:hint="eastAsia"/>
                <w:u w:val="none" w:color="auto"/>
              </w:rPr>
            </w:pPr>
            <w:r>
              <w:rPr>
                <w:rFonts w:hint="eastAsia"/>
                <w:u w:val="none" w:color="auto"/>
              </w:rPr>
              <w:t>为深入打好蓝天保卫战，努力实现全省大气环境质量根本好转，根据《中华人民共和国大气污染防治法》《湖南省“十四五”生态环境保护规划》等法律法规和政策规定，湖南省人民政府特制定本行动计划。针对计划中有关本项目的符合性分析如下。</w:t>
            </w:r>
          </w:p>
          <w:p w14:paraId="671B6D68">
            <w:pPr>
              <w:pStyle w:val="35"/>
              <w:ind w:firstLine="480"/>
              <w:rPr>
                <w:rFonts w:hint="eastAsia"/>
                <w:u w:val="none" w:color="auto"/>
              </w:rPr>
            </w:pPr>
            <w:r>
              <w:rPr>
                <w:rFonts w:hint="eastAsia"/>
                <w:u w:val="none" w:color="auto"/>
              </w:rPr>
              <w:t>推动能源绿色低碳转型。严格落实煤炭等量、减量替代，提高电煤消费占比多渠道扩展天然气气源，扩大外受电比重，持续推进“煤改气”“煤改电”工程，大力推进使用清洁能源或电厂热力、工业余热等替代锅炉、炉窑燃料用煤，加快推动玻璃、地板砖等建材行业企业以及有色冶炼行业鼓风炉、反射炉等“煤改气”依法依规推进煤气发生炉有序退出，推动非化石能源发展。到 2025 年，煤炭消费占一次能源消费比重下降至 51%左右，电煤消费占比达到 55%以上。</w:t>
            </w:r>
          </w:p>
          <w:p w14:paraId="05F0BF02">
            <w:pPr>
              <w:pStyle w:val="35"/>
              <w:ind w:firstLine="480"/>
              <w:rPr>
                <w:rFonts w:hint="eastAsia" w:ascii="Times New Roman" w:hAnsi="Times New Roman" w:eastAsia="宋体" w:cs="Times New Roman"/>
                <w:u w:val="none" w:color="auto"/>
              </w:rPr>
            </w:pPr>
            <w:r>
              <w:rPr>
                <w:rFonts w:hint="eastAsia"/>
                <w:u w:val="none" w:color="auto"/>
              </w:rPr>
              <w:t>本项目拟新建1台2.5th的生物质蒸汽锅炉，属于“D4430热力生产和供应”，不涉及高污染燃料，不属于</w:t>
            </w:r>
            <w:r>
              <w:rPr>
                <w:rFonts w:hint="eastAsia"/>
                <w:u w:val="none" w:color="auto"/>
                <w:lang w:eastAsia="zh-CN"/>
              </w:rPr>
              <w:t>“两高”项目</w:t>
            </w:r>
            <w:r>
              <w:rPr>
                <w:rFonts w:hint="eastAsia"/>
                <w:u w:val="none" w:color="auto"/>
              </w:rPr>
              <w:t>，产生的锅炉燃烧废气经</w:t>
            </w:r>
            <w:r>
              <w:rPr>
                <w:rFonts w:hint="eastAsia"/>
                <w:u w:val="none" w:color="auto"/>
                <w:lang w:val="en-US" w:eastAsia="zh-CN"/>
              </w:rPr>
              <w:t>旋风</w:t>
            </w:r>
            <w:r>
              <w:rPr>
                <w:rFonts w:hint="eastAsia"/>
                <w:u w:val="none" w:color="auto"/>
              </w:rPr>
              <w:t>除尘+布袋除尘</w:t>
            </w:r>
            <w:r>
              <w:rPr>
                <w:rFonts w:hint="eastAsia"/>
                <w:u w:val="none" w:color="auto"/>
                <w:lang w:val="en-US" w:eastAsia="zh-CN"/>
              </w:rPr>
              <w:t>+水膜除尘</w:t>
            </w:r>
            <w:r>
              <w:rPr>
                <w:rFonts w:hint="eastAsia"/>
                <w:u w:val="none" w:color="auto"/>
              </w:rPr>
              <w:t>处理后高空排放，因此本项目建设情况符合《湖南省大气污染防治“守护蓝天”攻坚行动计划</w:t>
            </w:r>
            <w:r>
              <w:rPr>
                <w:rFonts w:hint="eastAsia"/>
                <w:u w:val="none" w:color="auto"/>
                <w:lang w:eastAsia="zh-CN"/>
              </w:rPr>
              <w:t>（</w:t>
            </w:r>
            <w:r>
              <w:rPr>
                <w:rFonts w:hint="eastAsia"/>
                <w:u w:val="none" w:color="auto"/>
              </w:rPr>
              <w:t>2023-2025年</w:t>
            </w:r>
            <w:r>
              <w:rPr>
                <w:rFonts w:hint="eastAsia"/>
                <w:u w:val="none" w:color="auto"/>
                <w:lang w:eastAsia="zh-CN"/>
              </w:rPr>
              <w:t>）</w:t>
            </w:r>
            <w:r>
              <w:rPr>
                <w:rFonts w:hint="eastAsia"/>
                <w:u w:val="none" w:color="auto"/>
              </w:rPr>
              <w:t>》中相关要求。</w:t>
            </w:r>
          </w:p>
          <w:p w14:paraId="6646D857">
            <w:pPr>
              <w:pStyle w:val="35"/>
              <w:ind w:firstLine="480"/>
              <w:rPr>
                <w:rFonts w:hint="default" w:ascii="Times New Roman" w:hAnsi="Times New Roman" w:eastAsia="宋体" w:cs="Times New Roman"/>
                <w:b/>
                <w:bCs/>
                <w:u w:val="none" w:color="auto"/>
                <w:lang w:val="en-US" w:eastAsia="zh-CN"/>
              </w:rPr>
            </w:pPr>
            <w:r>
              <w:rPr>
                <w:rFonts w:hint="eastAsia" w:cs="Times New Roman"/>
                <w:b/>
                <w:bCs/>
                <w:u w:val="none" w:color="auto"/>
                <w:lang w:val="en-US" w:eastAsia="zh-CN"/>
              </w:rPr>
              <w:t>9、</w:t>
            </w:r>
            <w:r>
              <w:rPr>
                <w:rFonts w:hint="default" w:cs="Times New Roman"/>
                <w:b/>
                <w:bCs/>
                <w:u w:val="none" w:color="auto"/>
                <w:lang w:val="en-US" w:eastAsia="zh-CN"/>
              </w:rPr>
              <w:t>项目与国务院关于印发《空气质量持续改善行动计划》的通知（国发</w:t>
            </w:r>
            <w:r>
              <w:rPr>
                <w:rFonts w:hint="default" w:ascii="Times New Roman" w:hAnsi="Times New Roman" w:eastAsia="宋体" w:cs="Times New Roman"/>
                <w:b/>
                <w:bCs/>
                <w:u w:val="none" w:color="auto"/>
                <w:lang w:val="en-US" w:eastAsia="zh-CN"/>
              </w:rPr>
              <w:t>〔2023〕24号</w:t>
            </w:r>
            <w:r>
              <w:rPr>
                <w:rFonts w:hint="default" w:cs="Times New Roman"/>
                <w:b/>
                <w:bCs/>
                <w:u w:val="none" w:color="auto"/>
                <w:lang w:val="en-US" w:eastAsia="zh-CN"/>
              </w:rPr>
              <w:t>）相符性分析</w:t>
            </w:r>
          </w:p>
          <w:p w14:paraId="55FFD0E6">
            <w:pPr>
              <w:pStyle w:val="77"/>
              <w:spacing w:line="240" w:lineRule="auto"/>
              <w:rPr>
                <w:sz w:val="21"/>
                <w:szCs w:val="20"/>
                <w:u w:val="none" w:color="auto"/>
              </w:rPr>
            </w:pPr>
            <w:r>
              <w:rPr>
                <w:rFonts w:hint="eastAsia"/>
                <w:sz w:val="21"/>
                <w:szCs w:val="20"/>
                <w:u w:val="none" w:color="auto"/>
              </w:rPr>
              <w:t>表1-</w:t>
            </w:r>
            <w:r>
              <w:rPr>
                <w:rFonts w:hint="eastAsia"/>
                <w:sz w:val="21"/>
                <w:szCs w:val="20"/>
                <w:u w:val="none" w:color="auto"/>
                <w:lang w:val="en-US" w:eastAsia="zh-CN"/>
              </w:rPr>
              <w:t>6</w:t>
            </w:r>
            <w:r>
              <w:rPr>
                <w:rFonts w:hint="eastAsia"/>
                <w:sz w:val="21"/>
                <w:szCs w:val="20"/>
                <w:u w:val="none" w:color="auto"/>
              </w:rPr>
              <w:t xml:space="preserve">  项目与</w:t>
            </w:r>
            <w:r>
              <w:rPr>
                <w:rFonts w:hint="eastAsia" w:ascii="Times New Roman" w:hAnsi="Times New Roman" w:cstheme="minorBidi"/>
                <w:b/>
                <w:bCs w:val="0"/>
                <w:sz w:val="21"/>
                <w:szCs w:val="20"/>
                <w:u w:val="none" w:color="auto"/>
                <w:lang w:val="en-US" w:eastAsia="zh-CN"/>
              </w:rPr>
              <w:t>《空气质量持续改善行动计划》</w:t>
            </w:r>
            <w:r>
              <w:rPr>
                <w:rFonts w:hint="eastAsia"/>
                <w:sz w:val="21"/>
                <w:szCs w:val="20"/>
                <w:u w:val="none" w:color="auto"/>
              </w:rPr>
              <w:t>符合性分析</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3511"/>
              <w:gridCol w:w="1979"/>
              <w:gridCol w:w="802"/>
            </w:tblGrid>
            <w:tr w14:paraId="69741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blHeader/>
                <w:jc w:val="center"/>
              </w:trPr>
              <w:tc>
                <w:tcPr>
                  <w:tcW w:w="4377" w:type="dxa"/>
                  <w:gridSpan w:val="2"/>
                  <w:shd w:val="clear" w:color="auto" w:fill="auto"/>
                  <w:vAlign w:val="center"/>
                </w:tcPr>
                <w:p w14:paraId="570EC286">
                  <w:pPr>
                    <w:pStyle w:val="57"/>
                    <w:rPr>
                      <w:rFonts w:hint="default" w:eastAsia="宋体"/>
                      <w:u w:val="none" w:color="auto"/>
                      <w:lang w:val="en-US" w:eastAsia="zh-CN"/>
                    </w:rPr>
                  </w:pPr>
                  <w:r>
                    <w:rPr>
                      <w:rFonts w:hint="eastAsia"/>
                      <w:u w:val="none" w:color="auto"/>
                      <w:lang w:val="en-US" w:eastAsia="zh-CN"/>
                    </w:rPr>
                    <w:t>意见要求</w:t>
                  </w:r>
                </w:p>
              </w:tc>
              <w:tc>
                <w:tcPr>
                  <w:tcW w:w="1979" w:type="dxa"/>
                  <w:shd w:val="clear" w:color="auto" w:fill="auto"/>
                  <w:vAlign w:val="center"/>
                </w:tcPr>
                <w:p w14:paraId="4484C2FF">
                  <w:pPr>
                    <w:pStyle w:val="57"/>
                    <w:rPr>
                      <w:u w:val="none" w:color="auto"/>
                    </w:rPr>
                  </w:pPr>
                  <w:r>
                    <w:rPr>
                      <w:rFonts w:hint="eastAsia"/>
                      <w:u w:val="none" w:color="auto"/>
                    </w:rPr>
                    <w:t>本项目情况</w:t>
                  </w:r>
                </w:p>
              </w:tc>
              <w:tc>
                <w:tcPr>
                  <w:tcW w:w="802" w:type="dxa"/>
                  <w:shd w:val="clear" w:color="auto" w:fill="auto"/>
                  <w:vAlign w:val="center"/>
                </w:tcPr>
                <w:p w14:paraId="1A7593BF">
                  <w:pPr>
                    <w:pStyle w:val="57"/>
                    <w:rPr>
                      <w:u w:val="none" w:color="auto"/>
                    </w:rPr>
                  </w:pPr>
                  <w:r>
                    <w:rPr>
                      <w:rFonts w:hint="eastAsia"/>
                      <w:u w:val="none" w:color="auto"/>
                    </w:rPr>
                    <w:t>符合性分析</w:t>
                  </w:r>
                </w:p>
              </w:tc>
            </w:tr>
            <w:tr w14:paraId="073CD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0" w:hRule="atLeast"/>
                <w:jc w:val="center"/>
              </w:trPr>
              <w:tc>
                <w:tcPr>
                  <w:tcW w:w="866" w:type="dxa"/>
                  <w:vAlign w:val="center"/>
                </w:tcPr>
                <w:p w14:paraId="2F5C736D">
                  <w:pPr>
                    <w:pStyle w:val="57"/>
                    <w:rPr>
                      <w:rFonts w:hint="default" w:eastAsia="宋体"/>
                      <w:u w:val="none" w:color="auto"/>
                      <w:lang w:val="en-US" w:eastAsia="zh-CN"/>
                    </w:rPr>
                  </w:pPr>
                  <w:r>
                    <w:rPr>
                      <w:rFonts w:hint="eastAsia"/>
                      <w:u w:val="none" w:color="auto"/>
                      <w:lang w:val="en-US" w:eastAsia="zh-CN"/>
                    </w:rPr>
                    <w:t>二、优化产业结构，促进产业产品绿色升级</w:t>
                  </w:r>
                </w:p>
              </w:tc>
              <w:tc>
                <w:tcPr>
                  <w:tcW w:w="3511" w:type="dxa"/>
                  <w:vAlign w:val="center"/>
                </w:tcPr>
                <w:p w14:paraId="29DA0B00">
                  <w:pPr>
                    <w:pStyle w:val="57"/>
                    <w:jc w:val="left"/>
                    <w:rPr>
                      <w:rFonts w:hint="eastAsia" w:ascii="Times New Roman" w:hAnsi="Times New Roman" w:eastAsia="宋体" w:cstheme="minorBidi"/>
                      <w:i w:val="0"/>
                      <w:iCs w:val="0"/>
                      <w:caps w:val="0"/>
                      <w:spacing w:val="0"/>
                      <w:sz w:val="21"/>
                      <w:szCs w:val="32"/>
                      <w:u w:val="none" w:color="auto"/>
                      <w:shd w:val="clear"/>
                    </w:rPr>
                  </w:pPr>
                  <w:r>
                    <w:rPr>
                      <w:rFonts w:hint="eastAsia" w:ascii="Times New Roman" w:hAnsi="Times New Roman" w:eastAsia="宋体" w:cstheme="minorBidi"/>
                      <w:i w:val="0"/>
                      <w:iCs w:val="0"/>
                      <w:caps w:val="0"/>
                      <w:color w:val="auto"/>
                      <w:spacing w:val="0"/>
                      <w:sz w:val="21"/>
                      <w:szCs w:val="32"/>
                      <w:u w:val="none" w:color="auto"/>
                      <w:shd w:val="clear" w:fill="auto"/>
                    </w:rPr>
                    <w:t>（四）坚决遏制高耗能、高排放、低水平项目盲目上马。新改扩建项目严格落实国家产业规划、产业政策、生态环境分区管控方案、规划环评、项目环评、节能审查、产能置换、重点污染物总量控制、污染物排放区域削减、碳排放达峰目标等相关要求，原则上采用清洁运输方式。涉及产能置换的项目，被置换产能及其配套设施关停后，新建项目方可投产。</w:t>
                  </w:r>
                </w:p>
              </w:tc>
              <w:tc>
                <w:tcPr>
                  <w:tcW w:w="1979" w:type="dxa"/>
                  <w:vAlign w:val="center"/>
                </w:tcPr>
                <w:p w14:paraId="64891A1D">
                  <w:pPr>
                    <w:pStyle w:val="57"/>
                    <w:jc w:val="both"/>
                    <w:rPr>
                      <w:rFonts w:hint="eastAsia" w:eastAsia="宋体"/>
                      <w:u w:val="none" w:color="auto"/>
                      <w:lang w:val="en-US" w:eastAsia="zh-CN"/>
                    </w:rPr>
                  </w:pPr>
                  <w:r>
                    <w:rPr>
                      <w:rFonts w:hint="eastAsia"/>
                      <w:u w:val="none" w:color="auto"/>
                      <w:lang w:val="en-US" w:eastAsia="zh-CN"/>
                    </w:rPr>
                    <w:t>本项目</w:t>
                  </w:r>
                  <w:r>
                    <w:rPr>
                      <w:rFonts w:hint="eastAsia" w:eastAsia="宋体"/>
                      <w:u w:val="none" w:color="auto"/>
                      <w:lang w:val="en-US" w:eastAsia="zh-CN"/>
                    </w:rPr>
                    <w:t>严格落实国家产业规划、产业政策、生态环境分区管控方案、规划环评、项目环评、节能审查、产能置换、重点污染物总量控制、污染物排放区域削减、碳排放达峰目标等相关要求，原则上采用清洁运输方式。</w:t>
                  </w:r>
                </w:p>
              </w:tc>
              <w:tc>
                <w:tcPr>
                  <w:tcW w:w="802" w:type="dxa"/>
                  <w:vAlign w:val="center"/>
                </w:tcPr>
                <w:p w14:paraId="066841F4">
                  <w:pPr>
                    <w:pStyle w:val="57"/>
                    <w:rPr>
                      <w:u w:val="none" w:color="auto"/>
                    </w:rPr>
                  </w:pPr>
                  <w:r>
                    <w:rPr>
                      <w:rFonts w:hint="eastAsia"/>
                      <w:u w:val="none" w:color="auto"/>
                    </w:rPr>
                    <w:t>符合</w:t>
                  </w:r>
                </w:p>
              </w:tc>
            </w:tr>
            <w:tr w14:paraId="0B3E9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866" w:type="dxa"/>
                  <w:vAlign w:val="center"/>
                </w:tcPr>
                <w:p w14:paraId="527F83DE">
                  <w:pPr>
                    <w:pStyle w:val="57"/>
                    <w:rPr>
                      <w:rFonts w:hint="eastAsia"/>
                      <w:u w:val="none" w:color="auto"/>
                    </w:rPr>
                  </w:pPr>
                  <w:r>
                    <w:rPr>
                      <w:rStyle w:val="29"/>
                      <w:rFonts w:hint="eastAsia" w:ascii="Times New Roman" w:hAnsi="Times New Roman" w:eastAsia="宋体" w:cstheme="minorBidi"/>
                      <w:i w:val="0"/>
                      <w:iCs w:val="0"/>
                      <w:caps w:val="0"/>
                      <w:color w:val="333333"/>
                      <w:spacing w:val="0"/>
                      <w:sz w:val="21"/>
                      <w:szCs w:val="32"/>
                      <w:u w:val="none" w:color="auto"/>
                      <w:shd w:val="clear" w:fill="FFFFFF"/>
                    </w:rPr>
                    <w:t>三、优化能源结构，加速能源清洁低碳高效发展</w:t>
                  </w:r>
                </w:p>
              </w:tc>
              <w:tc>
                <w:tcPr>
                  <w:tcW w:w="3511" w:type="dxa"/>
                  <w:vAlign w:val="center"/>
                </w:tcPr>
                <w:p w14:paraId="29CCB858">
                  <w:pPr>
                    <w:pStyle w:val="57"/>
                    <w:jc w:val="left"/>
                    <w:rPr>
                      <w:rFonts w:hint="eastAsia" w:ascii="Times New Roman" w:hAnsi="Times New Roman" w:eastAsia="宋体" w:cstheme="minorBidi"/>
                      <w:i w:val="0"/>
                      <w:iCs w:val="0"/>
                      <w:caps w:val="0"/>
                      <w:spacing w:val="0"/>
                      <w:sz w:val="21"/>
                      <w:szCs w:val="32"/>
                      <w:u w:val="none" w:color="auto"/>
                      <w:shd w:val="clear"/>
                    </w:rPr>
                  </w:pPr>
                  <w:r>
                    <w:rPr>
                      <w:rFonts w:hint="eastAsia" w:ascii="Times New Roman" w:hAnsi="Times New Roman" w:eastAsia="宋体" w:cstheme="minorBidi"/>
                      <w:i w:val="0"/>
                      <w:iCs w:val="0"/>
                      <w:caps w:val="0"/>
                      <w:color w:val="auto"/>
                      <w:spacing w:val="0"/>
                      <w:sz w:val="21"/>
                      <w:szCs w:val="32"/>
                      <w:u w:val="none" w:color="auto"/>
                      <w:shd w:val="clear" w:fill="auto"/>
                    </w:rPr>
                    <w:t>（十一）</w:t>
                  </w:r>
                  <w:r>
                    <w:rPr>
                      <w:rFonts w:hint="eastAsia" w:cstheme="minorBidi"/>
                      <w:i w:val="0"/>
                      <w:iCs w:val="0"/>
                      <w:caps w:val="0"/>
                      <w:spacing w:val="0"/>
                      <w:sz w:val="21"/>
                      <w:szCs w:val="32"/>
                      <w:u w:val="none" w:color="auto"/>
                      <w:shd w:val="clear"/>
                      <w:lang w:val="en-US" w:eastAsia="zh-CN"/>
                    </w:rPr>
                    <w:t xml:space="preserve"> </w:t>
                  </w:r>
                  <w:r>
                    <w:rPr>
                      <w:rFonts w:hint="eastAsia" w:ascii="Times New Roman" w:hAnsi="Times New Roman" w:eastAsia="宋体" w:cstheme="minorBidi"/>
                      <w:i w:val="0"/>
                      <w:iCs w:val="0"/>
                      <w:caps w:val="0"/>
                      <w:color w:val="auto"/>
                      <w:spacing w:val="0"/>
                      <w:sz w:val="21"/>
                      <w:szCs w:val="32"/>
                      <w:u w:val="none" w:color="auto"/>
                      <w:shd w:val="clear" w:fill="auto"/>
                    </w:rPr>
                    <w:t>积极开展燃煤锅炉关停整合。各地要将燃煤供热锅炉替代项目纳入城镇供热规划。县级及以上城市建成区原则上不再新建35蒸吨/小时及以下燃煤锅炉，重点区域原则上不再新建除集中供暖外的燃煤锅炉。加快热力管网建设，依托电厂、大型工业企业开展远距离供热示范，淘汰管网覆盖范围内的燃煤锅炉和散煤。到2025年，PM</w:t>
                  </w:r>
                  <w:r>
                    <w:rPr>
                      <w:rFonts w:hint="eastAsia" w:ascii="Times New Roman" w:hAnsi="Times New Roman" w:eastAsia="宋体" w:cstheme="minorBidi"/>
                      <w:i w:val="0"/>
                      <w:iCs w:val="0"/>
                      <w:caps w:val="0"/>
                      <w:color w:val="auto"/>
                      <w:spacing w:val="0"/>
                      <w:sz w:val="21"/>
                      <w:szCs w:val="32"/>
                      <w:u w:val="none" w:color="auto"/>
                      <w:shd w:val="clear" w:fill="auto"/>
                      <w:vertAlign w:val="baseline"/>
                    </w:rPr>
                    <w:t>2.5</w:t>
                  </w:r>
                  <w:r>
                    <w:rPr>
                      <w:rFonts w:hint="eastAsia" w:ascii="Times New Roman" w:hAnsi="Times New Roman" w:eastAsia="宋体" w:cstheme="minorBidi"/>
                      <w:i w:val="0"/>
                      <w:iCs w:val="0"/>
                      <w:caps w:val="0"/>
                      <w:color w:val="auto"/>
                      <w:spacing w:val="0"/>
                      <w:sz w:val="21"/>
                      <w:szCs w:val="32"/>
                      <w:u w:val="none" w:color="auto"/>
                      <w:shd w:val="clear" w:fill="auto"/>
                    </w:rPr>
                    <w:t>未达标城市基本淘汰10蒸吨/小时及以下燃煤锅炉；重点区域基本淘汰35蒸吨/小时及以下燃煤锅炉及茶水炉、经营性炉灶、储粮烘干设备、农产品加工等燃煤设施，充分发挥30万千瓦及以上热电联产电厂的供热能力，对其供热半径30公里范围内的燃煤锅炉和落后燃煤小热电机组（含自备电厂）进行关停或整合。</w:t>
                  </w:r>
                </w:p>
              </w:tc>
              <w:tc>
                <w:tcPr>
                  <w:tcW w:w="1979" w:type="dxa"/>
                  <w:vAlign w:val="center"/>
                </w:tcPr>
                <w:p w14:paraId="0F8EBCF1">
                  <w:pPr>
                    <w:pStyle w:val="57"/>
                    <w:rPr>
                      <w:rFonts w:hint="eastAsia" w:eastAsia="宋体"/>
                      <w:u w:val="none" w:color="auto"/>
                      <w:lang w:val="en-US" w:eastAsia="zh-CN"/>
                    </w:rPr>
                  </w:pPr>
                  <w:r>
                    <w:rPr>
                      <w:rFonts w:hint="eastAsia"/>
                      <w:u w:val="none" w:color="auto"/>
                      <w:lang w:val="en-US" w:eastAsia="zh-CN"/>
                    </w:rPr>
                    <w:t>本项目不使用燃煤锅炉，新建</w:t>
                  </w:r>
                  <w:r>
                    <w:rPr>
                      <w:rFonts w:hint="eastAsia" w:eastAsia="宋体"/>
                      <w:u w:val="none" w:color="auto"/>
                      <w:lang w:val="en-US" w:eastAsia="zh-CN"/>
                    </w:rPr>
                    <w:t>1台2.5</w:t>
                  </w:r>
                  <w:r>
                    <w:rPr>
                      <w:rFonts w:hint="default"/>
                      <w:u w:val="none" w:color="auto"/>
                      <w:lang w:val="en-US" w:eastAsia="zh-CN"/>
                    </w:rPr>
                    <w:t>t/h</w:t>
                  </w:r>
                  <w:r>
                    <w:rPr>
                      <w:rFonts w:hint="eastAsia" w:eastAsia="宋体"/>
                      <w:u w:val="none" w:color="auto"/>
                      <w:lang w:val="en-US" w:eastAsia="zh-CN"/>
                    </w:rPr>
                    <w:t>的燃生物质蒸汽锅炉，并配套高效除尘装置</w:t>
                  </w:r>
                  <w:r>
                    <w:rPr>
                      <w:rFonts w:hint="eastAsia"/>
                      <w:u w:val="none" w:color="auto"/>
                      <w:lang w:val="en-US" w:eastAsia="zh-CN"/>
                    </w:rPr>
                    <w:t>。</w:t>
                  </w:r>
                </w:p>
              </w:tc>
              <w:tc>
                <w:tcPr>
                  <w:tcW w:w="802" w:type="dxa"/>
                  <w:vAlign w:val="center"/>
                </w:tcPr>
                <w:p w14:paraId="70D3C98D">
                  <w:pPr>
                    <w:pStyle w:val="57"/>
                    <w:rPr>
                      <w:rFonts w:hint="eastAsia"/>
                      <w:u w:val="none" w:color="auto"/>
                    </w:rPr>
                  </w:pPr>
                  <w:r>
                    <w:rPr>
                      <w:rFonts w:hint="eastAsia"/>
                      <w:u w:val="none" w:color="auto"/>
                    </w:rPr>
                    <w:t>符合</w:t>
                  </w:r>
                </w:p>
              </w:tc>
            </w:tr>
            <w:tr w14:paraId="09DC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1" w:hRule="atLeast"/>
                <w:jc w:val="center"/>
              </w:trPr>
              <w:tc>
                <w:tcPr>
                  <w:tcW w:w="866" w:type="dxa"/>
                  <w:vAlign w:val="center"/>
                </w:tcPr>
                <w:p w14:paraId="6FEB03F0">
                  <w:pPr>
                    <w:pStyle w:val="57"/>
                    <w:jc w:val="left"/>
                    <w:rPr>
                      <w:rFonts w:hint="eastAsia"/>
                      <w:u w:val="none" w:color="auto"/>
                    </w:rPr>
                  </w:pPr>
                  <w:r>
                    <w:rPr>
                      <w:rStyle w:val="29"/>
                      <w:rFonts w:hint="eastAsia" w:ascii="Times New Roman" w:hAnsi="Times New Roman" w:eastAsia="宋体" w:cstheme="minorBidi"/>
                      <w:i w:val="0"/>
                      <w:iCs w:val="0"/>
                      <w:caps w:val="0"/>
                      <w:color w:val="333333"/>
                      <w:spacing w:val="0"/>
                      <w:sz w:val="21"/>
                      <w:szCs w:val="32"/>
                      <w:u w:val="none" w:color="auto"/>
                      <w:shd w:val="clear" w:fill="FFFFFF"/>
                    </w:rPr>
                    <w:t>六、强化多污染物减排，切实降低排放强度</w:t>
                  </w:r>
                </w:p>
              </w:tc>
              <w:tc>
                <w:tcPr>
                  <w:tcW w:w="3511" w:type="dxa"/>
                  <w:vAlign w:val="center"/>
                </w:tcPr>
                <w:p w14:paraId="69024B32">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right="0"/>
                    <w:jc w:val="left"/>
                    <w:rPr>
                      <w:rFonts w:hint="eastAsia" w:ascii="Times New Roman" w:hAnsi="Times New Roman" w:eastAsia="宋体" w:cstheme="minorBidi"/>
                      <w:i w:val="0"/>
                      <w:iCs w:val="0"/>
                      <w:caps w:val="0"/>
                      <w:color w:val="333333"/>
                      <w:spacing w:val="0"/>
                      <w:sz w:val="21"/>
                      <w:szCs w:val="32"/>
                      <w:u w:val="none" w:color="auto"/>
                    </w:rPr>
                  </w:pPr>
                  <w:r>
                    <w:rPr>
                      <w:rFonts w:hint="eastAsia" w:ascii="Times New Roman" w:hAnsi="Times New Roman" w:eastAsia="宋体" w:cstheme="minorBidi"/>
                      <w:i w:val="0"/>
                      <w:iCs w:val="0"/>
                      <w:caps w:val="0"/>
                      <w:color w:val="333333"/>
                      <w:spacing w:val="0"/>
                      <w:sz w:val="21"/>
                      <w:szCs w:val="32"/>
                      <w:u w:val="none" w:color="auto"/>
                      <w:shd w:val="clear" w:fill="FFFFFF"/>
                    </w:rPr>
                    <w:t>（二十二）推进重点行业污染深度治理。高质量推进钢铁、水泥、焦化等重点行业及燃煤锅炉超低排放改造。到2025年，全国80%以上的钢铁产能完成超低排放改造任务；重点区域全部实现钢铁行业超低排放，基本完成燃煤锅炉超低排放改造。</w:t>
                  </w:r>
                </w:p>
                <w:p w14:paraId="351EC0C5">
                  <w:pPr>
                    <w:pStyle w:val="57"/>
                    <w:jc w:val="left"/>
                    <w:rPr>
                      <w:rFonts w:hint="eastAsia" w:ascii="Times New Roman" w:hAnsi="Times New Roman" w:eastAsia="宋体" w:cstheme="minorBidi"/>
                      <w:i w:val="0"/>
                      <w:iCs w:val="0"/>
                      <w:caps w:val="0"/>
                      <w:spacing w:val="0"/>
                      <w:sz w:val="21"/>
                      <w:szCs w:val="32"/>
                      <w:u w:val="none" w:color="auto"/>
                      <w:shd w:val="clear"/>
                    </w:rPr>
                  </w:pPr>
                  <w:r>
                    <w:rPr>
                      <w:rFonts w:hint="eastAsia" w:ascii="Times New Roman" w:hAnsi="Times New Roman" w:eastAsia="宋体" w:cstheme="minorBidi"/>
                      <w:i w:val="0"/>
                      <w:iCs w:val="0"/>
                      <w:caps w:val="0"/>
                      <w:color w:val="auto"/>
                      <w:spacing w:val="0"/>
                      <w:sz w:val="21"/>
                      <w:szCs w:val="32"/>
                      <w:u w:val="none" w:color="auto"/>
                      <w:shd w:val="clear" w:fill="auto"/>
                    </w:rPr>
                    <w:t>确保工业企业全面稳定达标排放。推进玻璃、石灰、矿棉、有色等行业深度治理。全面开展锅炉和工业炉窑简易低效污染治理设施排查，通过清洁能源替代、升级改造、整合退出等方式实施分类处置。推进燃气锅炉低氮燃烧改造。生物质锅炉采用专用锅炉，配套布袋等高效除尘设施，禁止掺烧煤炭、生活垃圾等其他物料。推进整合小型生物质锅炉，积极引导城市建成区内生物质锅炉（含电力）超低排放改造。强化治污设施运行维护，减少非正常工况排放。重点涉气企业逐步取消烟气和含VOCs废气旁路，因安全生产需要无法取消的，安装在线监控系统及备用处置设施。</w:t>
                  </w:r>
                </w:p>
              </w:tc>
              <w:tc>
                <w:tcPr>
                  <w:tcW w:w="1979" w:type="dxa"/>
                  <w:vAlign w:val="center"/>
                </w:tcPr>
                <w:p w14:paraId="71085DF4">
                  <w:pPr>
                    <w:pStyle w:val="57"/>
                    <w:jc w:val="left"/>
                    <w:rPr>
                      <w:rFonts w:hint="default" w:eastAsia="宋体"/>
                      <w:u w:val="none" w:color="auto"/>
                      <w:lang w:val="en-US" w:eastAsia="zh-CN"/>
                    </w:rPr>
                  </w:pPr>
                  <w:r>
                    <w:rPr>
                      <w:rFonts w:hint="eastAsia"/>
                      <w:u w:val="none" w:color="auto"/>
                      <w:lang w:val="en-US" w:eastAsia="zh-CN"/>
                    </w:rPr>
                    <w:t>本项目不属于</w:t>
                  </w:r>
                  <w:r>
                    <w:rPr>
                      <w:rFonts w:hint="eastAsia" w:ascii="Times New Roman" w:hAnsi="Times New Roman" w:eastAsia="宋体" w:cstheme="minorBidi"/>
                      <w:i w:val="0"/>
                      <w:iCs w:val="0"/>
                      <w:caps w:val="0"/>
                      <w:spacing w:val="0"/>
                      <w:sz w:val="21"/>
                      <w:szCs w:val="32"/>
                      <w:u w:val="none" w:color="auto"/>
                      <w:shd w:val="clear"/>
                    </w:rPr>
                    <w:t>钢铁、水泥、焦化等重点行业</w:t>
                  </w:r>
                  <w:r>
                    <w:rPr>
                      <w:rFonts w:hint="eastAsia" w:cstheme="minorBidi"/>
                      <w:i w:val="0"/>
                      <w:iCs w:val="0"/>
                      <w:caps w:val="0"/>
                      <w:spacing w:val="0"/>
                      <w:sz w:val="21"/>
                      <w:szCs w:val="32"/>
                      <w:u w:val="none" w:color="auto"/>
                      <w:shd w:val="clear"/>
                      <w:lang w:eastAsia="zh-CN"/>
                    </w:rPr>
                    <w:t>。</w:t>
                  </w:r>
                  <w:r>
                    <w:rPr>
                      <w:rFonts w:hint="eastAsia" w:cstheme="minorBidi"/>
                      <w:i w:val="0"/>
                      <w:iCs w:val="0"/>
                      <w:caps w:val="0"/>
                      <w:spacing w:val="0"/>
                      <w:sz w:val="21"/>
                      <w:szCs w:val="32"/>
                      <w:u w:val="none" w:color="auto"/>
                      <w:shd w:val="clear"/>
                      <w:lang w:val="en-US" w:eastAsia="zh-CN"/>
                    </w:rPr>
                    <w:t>本项目使用专用</w:t>
                  </w:r>
                  <w:r>
                    <w:rPr>
                      <w:rFonts w:hint="eastAsia" w:eastAsia="宋体"/>
                      <w:u w:val="none" w:color="auto"/>
                      <w:lang w:val="en-US" w:eastAsia="zh-CN"/>
                    </w:rPr>
                    <w:t>燃生物质蒸汽锅炉，并配套高效除尘装置</w:t>
                  </w:r>
                  <w:r>
                    <w:rPr>
                      <w:rFonts w:hint="eastAsia"/>
                      <w:u w:val="none" w:color="auto"/>
                      <w:lang w:val="en-US" w:eastAsia="zh-CN"/>
                    </w:rPr>
                    <w:t>。</w:t>
                  </w:r>
                </w:p>
              </w:tc>
              <w:tc>
                <w:tcPr>
                  <w:tcW w:w="802" w:type="dxa"/>
                  <w:vAlign w:val="center"/>
                </w:tcPr>
                <w:p w14:paraId="76E797A3">
                  <w:pPr>
                    <w:pStyle w:val="57"/>
                    <w:jc w:val="left"/>
                    <w:rPr>
                      <w:rFonts w:hint="eastAsia"/>
                      <w:u w:val="none" w:color="auto"/>
                    </w:rPr>
                  </w:pPr>
                  <w:r>
                    <w:rPr>
                      <w:rFonts w:hint="eastAsia"/>
                      <w:u w:val="none" w:color="auto"/>
                      <w:lang w:val="en-US" w:eastAsia="zh-CN"/>
                    </w:rPr>
                    <w:t>符合</w:t>
                  </w:r>
                </w:p>
              </w:tc>
            </w:tr>
          </w:tbl>
          <w:p w14:paraId="12374E1F">
            <w:pPr>
              <w:pStyle w:val="35"/>
              <w:ind w:firstLine="480"/>
              <w:rPr>
                <w:rFonts w:hint="eastAsia" w:ascii="Times New Roman" w:hAnsi="Times New Roman" w:eastAsia="宋体" w:cs="Times New Roman"/>
                <w:b w:val="0"/>
                <w:bCs w:val="0"/>
                <w:u w:val="none" w:color="auto"/>
                <w:lang w:val="en-US" w:eastAsia="zh-CN"/>
              </w:rPr>
            </w:pPr>
            <w:r>
              <w:rPr>
                <w:rFonts w:hint="eastAsia" w:cs="Times New Roman"/>
                <w:b w:val="0"/>
                <w:bCs w:val="0"/>
                <w:u w:val="none" w:color="auto"/>
                <w:lang w:val="en-US" w:eastAsia="zh-CN"/>
              </w:rPr>
              <w:t>综上所述</w:t>
            </w:r>
            <w:r>
              <w:rPr>
                <w:rFonts w:hint="eastAsia" w:ascii="Times New Roman" w:hAnsi="Times New Roman" w:eastAsia="宋体" w:cs="Times New Roman"/>
                <w:b w:val="0"/>
                <w:bCs w:val="0"/>
                <w:u w:val="none" w:color="auto"/>
                <w:lang w:val="en-US" w:eastAsia="zh-CN"/>
              </w:rPr>
              <w:t>，本</w:t>
            </w:r>
            <w:r>
              <w:rPr>
                <w:rFonts w:hint="eastAsia" w:cs="Times New Roman"/>
                <w:b w:val="0"/>
                <w:bCs w:val="0"/>
                <w:u w:val="none" w:color="auto"/>
                <w:lang w:val="en-US" w:eastAsia="zh-CN"/>
              </w:rPr>
              <w:t>项目</w:t>
            </w:r>
            <w:r>
              <w:rPr>
                <w:rFonts w:hint="eastAsia" w:ascii="Times New Roman" w:hAnsi="Times New Roman" w:eastAsia="宋体" w:cs="Times New Roman"/>
                <w:b w:val="0"/>
                <w:bCs w:val="0"/>
                <w:u w:val="none" w:color="auto"/>
                <w:lang w:val="en-US" w:eastAsia="zh-CN"/>
              </w:rPr>
              <w:t>符合</w:t>
            </w:r>
            <w:r>
              <w:rPr>
                <w:rFonts w:hint="default" w:ascii="Times New Roman" w:hAnsi="Times New Roman" w:cs="Times New Roman"/>
                <w:b w:val="0"/>
                <w:bCs w:val="0"/>
                <w:u w:val="none" w:color="auto"/>
                <w:lang w:val="en-US" w:eastAsia="zh-CN"/>
              </w:rPr>
              <w:t>《空气质量持续改善行动计划》的通知（国发</w:t>
            </w:r>
            <w:r>
              <w:rPr>
                <w:rFonts w:hint="default" w:ascii="Times New Roman" w:hAnsi="Times New Roman" w:eastAsia="宋体" w:cs="Times New Roman"/>
                <w:b w:val="0"/>
                <w:bCs w:val="0"/>
                <w:u w:val="none" w:color="auto"/>
                <w:lang w:val="en-US" w:eastAsia="zh-CN"/>
              </w:rPr>
              <w:t>〔2023〕24号</w:t>
            </w:r>
            <w:r>
              <w:rPr>
                <w:rFonts w:hint="default" w:ascii="Times New Roman" w:hAnsi="Times New Roman" w:cs="Times New Roman"/>
                <w:b w:val="0"/>
                <w:bCs w:val="0"/>
                <w:u w:val="none" w:color="auto"/>
                <w:lang w:val="en-US" w:eastAsia="zh-CN"/>
              </w:rPr>
              <w:t>）</w:t>
            </w:r>
            <w:r>
              <w:rPr>
                <w:rFonts w:hint="eastAsia" w:ascii="Times New Roman" w:hAnsi="Times New Roman" w:eastAsia="宋体" w:cs="Times New Roman"/>
                <w:b w:val="0"/>
                <w:bCs w:val="0"/>
                <w:u w:val="none" w:color="auto"/>
                <w:lang w:val="en-US" w:eastAsia="zh-CN"/>
              </w:rPr>
              <w:t>的要求。</w:t>
            </w:r>
          </w:p>
          <w:p w14:paraId="40C07E82">
            <w:pPr>
              <w:pStyle w:val="35"/>
              <w:ind w:left="0" w:leftChars="0" w:firstLine="482" w:firstLineChars="200"/>
              <w:rPr>
                <w:rFonts w:hint="eastAsia" w:ascii="Times New Roman" w:hAnsi="Times New Roman" w:eastAsia="宋体" w:cs="Times New Roman"/>
                <w:b/>
                <w:bCs/>
                <w:u w:val="none" w:color="auto"/>
                <w:lang w:val="en-US" w:eastAsia="zh-CN"/>
              </w:rPr>
            </w:pPr>
            <w:r>
              <w:rPr>
                <w:rFonts w:hint="eastAsia" w:ascii="Times New Roman" w:hAnsi="Times New Roman" w:eastAsia="宋体" w:cs="Times New Roman"/>
                <w:b/>
                <w:bCs/>
                <w:u w:val="none" w:color="auto"/>
                <w:lang w:val="en-US" w:eastAsia="zh-CN"/>
              </w:rPr>
              <w:t>10、项目与益阳市人民政府《关于划定高污染燃料禁燃区范围的通知》符合性分析</w:t>
            </w:r>
          </w:p>
          <w:p w14:paraId="5245B5AE">
            <w:pPr>
              <w:pStyle w:val="35"/>
              <w:ind w:firstLine="480"/>
              <w:rPr>
                <w:rFonts w:hint="eastAsia" w:ascii="Times New Roman" w:hAnsi="Times New Roman" w:eastAsia="宋体" w:cs="Times New Roman"/>
                <w:b w:val="0"/>
                <w:bCs w:val="0"/>
                <w:u w:val="none" w:color="auto"/>
                <w:lang w:val="en-US" w:eastAsia="zh-CN"/>
              </w:rPr>
            </w:pPr>
            <w:r>
              <w:rPr>
                <w:rFonts w:hint="eastAsia" w:ascii="Times New Roman" w:hAnsi="Times New Roman" w:eastAsia="宋体" w:cs="Times New Roman"/>
                <w:b w:val="0"/>
                <w:bCs w:val="0"/>
                <w:u w:val="none" w:color="auto"/>
                <w:lang w:val="en-US" w:eastAsia="zh-CN"/>
              </w:rPr>
              <w:t>益阳市人民政府根据《中华人民共和国环境保护法》《中华人民共和国大气污染防治法》《湖南省大气污染防治条例》和《环境保护部关于发布〈高污染燃料目录〉的通知》（国环规大气〔2017〕2号）规定，划定了全市高污染燃料禁燃区（以下简称禁燃区）范围，2022年6月14日发布《关于划定高污染燃料禁燃区范围的通知》（益政通〔2022〕4号），通告自2022年7月1日起施行。</w:t>
            </w:r>
          </w:p>
          <w:p w14:paraId="77B9F740">
            <w:pPr>
              <w:overflowPunct w:val="0"/>
              <w:spacing w:line="240" w:lineRule="auto"/>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表1-</w:t>
            </w:r>
            <w:r>
              <w:rPr>
                <w:rFonts w:hint="eastAsia" w:ascii="Times New Roman" w:hAnsi="Times New Roman" w:eastAsia="宋体" w:cs="Times New Roman"/>
                <w:b/>
                <w:bCs/>
                <w:sz w:val="21"/>
                <w:szCs w:val="21"/>
                <w:lang w:val="en-US" w:eastAsia="zh-CN"/>
              </w:rPr>
              <w:t>7</w:t>
            </w:r>
            <w:r>
              <w:rPr>
                <w:rFonts w:hint="default" w:ascii="Times New Roman" w:hAnsi="Times New Roman" w:eastAsia="宋体" w:cs="Times New Roman"/>
                <w:b/>
                <w:bCs/>
                <w:sz w:val="21"/>
                <w:szCs w:val="21"/>
              </w:rPr>
              <w:t xml:space="preserve">  项目与益阳市人民政府《关于划定高污染燃料禁燃区范围的通知》符合性分析一览表</w:t>
            </w:r>
          </w:p>
          <w:tbl>
            <w:tblPr>
              <w:tblStyle w:val="27"/>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32"/>
              <w:gridCol w:w="3978"/>
              <w:gridCol w:w="1692"/>
              <w:gridCol w:w="924"/>
            </w:tblGrid>
            <w:tr w14:paraId="352B7C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2" w:type="dxa"/>
                  <w:tcBorders>
                    <w:top w:val="single" w:color="auto" w:sz="8" w:space="0"/>
                    <w:left w:val="single" w:color="auto" w:sz="0" w:space="0"/>
                  </w:tcBorders>
                  <w:noWrap w:val="0"/>
                  <w:vAlign w:val="center"/>
                </w:tcPr>
                <w:p w14:paraId="74985AF0">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序号</w:t>
                  </w:r>
                </w:p>
              </w:tc>
              <w:tc>
                <w:tcPr>
                  <w:tcW w:w="3978" w:type="dxa"/>
                  <w:tcBorders>
                    <w:top w:val="single" w:color="auto" w:sz="8" w:space="0"/>
                  </w:tcBorders>
                  <w:noWrap w:val="0"/>
                  <w:vAlign w:val="center"/>
                </w:tcPr>
                <w:p w14:paraId="1BF92CA1">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要求</w:t>
                  </w:r>
                </w:p>
              </w:tc>
              <w:tc>
                <w:tcPr>
                  <w:tcW w:w="1692" w:type="dxa"/>
                  <w:tcBorders>
                    <w:top w:val="single" w:color="auto" w:sz="8" w:space="0"/>
                  </w:tcBorders>
                  <w:noWrap w:val="0"/>
                  <w:vAlign w:val="center"/>
                </w:tcPr>
                <w:p w14:paraId="136420AB">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本项目情况</w:t>
                  </w:r>
                </w:p>
              </w:tc>
              <w:tc>
                <w:tcPr>
                  <w:tcW w:w="924" w:type="dxa"/>
                  <w:tcBorders>
                    <w:top w:val="single" w:color="auto" w:sz="8" w:space="0"/>
                    <w:right w:val="single" w:color="auto" w:sz="8" w:space="0"/>
                  </w:tcBorders>
                  <w:noWrap w:val="0"/>
                  <w:vAlign w:val="center"/>
                </w:tcPr>
                <w:p w14:paraId="79BE7E46">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是否符合</w:t>
                  </w:r>
                </w:p>
              </w:tc>
            </w:tr>
            <w:tr w14:paraId="241CFA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2" w:type="dxa"/>
                  <w:tcBorders>
                    <w:left w:val="single" w:color="auto" w:sz="4" w:space="0"/>
                  </w:tcBorders>
                  <w:noWrap w:val="0"/>
                  <w:vAlign w:val="center"/>
                </w:tcPr>
                <w:p w14:paraId="0221A5FD">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1</w:t>
                  </w:r>
                </w:p>
              </w:tc>
              <w:tc>
                <w:tcPr>
                  <w:tcW w:w="3978" w:type="dxa"/>
                  <w:noWrap w:val="0"/>
                  <w:vAlign w:val="center"/>
                </w:tcPr>
                <w:p w14:paraId="7C054343">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禁燃区范围：资阳区的长春经济开发区以及食品工业园，汽车路街道、大码头街道；赫山区的龙岭产业开发区，赫山街道、金银山街道、桃花仑街道、会龙山街道、龙光桥街道（绕城高速S7101南线以北区域）；益阳高新区的东部产业园，朝阳街道、谢林港镇（绕城高速S7101南线以东区域）。</w:t>
                  </w:r>
                </w:p>
              </w:tc>
              <w:tc>
                <w:tcPr>
                  <w:tcW w:w="1692" w:type="dxa"/>
                  <w:noWrap w:val="0"/>
                  <w:vAlign w:val="center"/>
                </w:tcPr>
                <w:p w14:paraId="0F1D961E">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本项目位于益阳市赫山区泥江口镇泥江</w:t>
                  </w:r>
                  <w:r>
                    <w:rPr>
                      <w:rFonts w:hint="eastAsia" w:ascii="Times New Roman" w:hAnsi="Times New Roman" w:eastAsia="宋体" w:cstheme="minorBidi"/>
                      <w:i w:val="0"/>
                      <w:iCs w:val="0"/>
                      <w:caps w:val="0"/>
                      <w:color w:val="333333"/>
                      <w:spacing w:val="0"/>
                      <w:sz w:val="21"/>
                      <w:szCs w:val="32"/>
                      <w:u w:val="none" w:color="auto"/>
                      <w:shd w:val="clear" w:fill="FFFFFF"/>
                      <w:lang w:val="en-US" w:eastAsia="zh-CN"/>
                    </w:rPr>
                    <w:t>水满村</w:t>
                  </w:r>
                  <w:r>
                    <w:rPr>
                      <w:rFonts w:hint="eastAsia" w:ascii="Times New Roman" w:hAnsi="Times New Roman" w:eastAsia="宋体" w:cstheme="minorBidi"/>
                      <w:i w:val="0"/>
                      <w:iCs w:val="0"/>
                      <w:caps w:val="0"/>
                      <w:color w:val="333333"/>
                      <w:spacing w:val="0"/>
                      <w:sz w:val="21"/>
                      <w:szCs w:val="32"/>
                      <w:u w:val="none" w:color="auto"/>
                      <w:shd w:val="clear" w:fill="FFFFFF"/>
                    </w:rPr>
                    <w:t>，不属于禁燃区范围。</w:t>
                  </w:r>
                </w:p>
              </w:tc>
              <w:tc>
                <w:tcPr>
                  <w:tcW w:w="924" w:type="dxa"/>
                  <w:tcBorders>
                    <w:right w:val="single" w:color="auto" w:sz="8" w:space="0"/>
                  </w:tcBorders>
                  <w:noWrap w:val="0"/>
                  <w:vAlign w:val="center"/>
                </w:tcPr>
                <w:p w14:paraId="25BEF8D3">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符合</w:t>
                  </w:r>
                </w:p>
              </w:tc>
            </w:tr>
            <w:tr w14:paraId="675E52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2" w:type="dxa"/>
                  <w:tcBorders>
                    <w:left w:val="single" w:color="auto" w:sz="4" w:space="0"/>
                  </w:tcBorders>
                  <w:noWrap w:val="0"/>
                  <w:vAlign w:val="center"/>
                </w:tcPr>
                <w:p w14:paraId="0565C6A9">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2</w:t>
                  </w:r>
                </w:p>
              </w:tc>
              <w:tc>
                <w:tcPr>
                  <w:tcW w:w="3978" w:type="dxa"/>
                  <w:noWrap w:val="0"/>
                  <w:vAlign w:val="center"/>
                </w:tcPr>
                <w:p w14:paraId="2F0CBA41">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高污染燃料种类：除单台出力大于等于35蒸吨/小时锅炉以外燃用的煤炭及其制品，包括原煤、散煤、煤矸石、煤泥、煤粉、水煤浆、型煤（蜂窝煤等）、焦炭、兰炭等；石油焦、油页岩、原油、重油、渣油、煤焦油；非专用锅炉或未配置高效除尘设施的专用锅炉燃用的生物质成型燃料；国家规定的其他高污染燃料。</w:t>
                  </w:r>
                </w:p>
              </w:tc>
              <w:tc>
                <w:tcPr>
                  <w:tcW w:w="1692" w:type="dxa"/>
                  <w:noWrap w:val="0"/>
                  <w:vAlign w:val="center"/>
                </w:tcPr>
                <w:p w14:paraId="6755B7E8">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本项目锅炉使用成型生物质颗粒为燃料，配置了</w:t>
                  </w:r>
                  <w:bookmarkStart w:id="7" w:name="OLE_LINK10"/>
                  <w:r>
                    <w:rPr>
                      <w:rFonts w:hint="eastAsia" w:ascii="Times New Roman" w:hAnsi="Times New Roman" w:eastAsia="宋体" w:cstheme="minorBidi"/>
                      <w:i w:val="0"/>
                      <w:iCs w:val="0"/>
                      <w:caps w:val="0"/>
                      <w:color w:val="333333"/>
                      <w:spacing w:val="0"/>
                      <w:sz w:val="21"/>
                      <w:szCs w:val="32"/>
                      <w:u w:val="none" w:color="auto"/>
                      <w:shd w:val="clear" w:fill="FFFFFF"/>
                    </w:rPr>
                    <w:t>旋风除尘</w:t>
                  </w:r>
                  <w:bookmarkEnd w:id="7"/>
                  <w:r>
                    <w:rPr>
                      <w:rFonts w:hint="eastAsia" w:cstheme="minorBidi"/>
                      <w:i w:val="0"/>
                      <w:iCs w:val="0"/>
                      <w:caps w:val="0"/>
                      <w:color w:val="333333"/>
                      <w:spacing w:val="0"/>
                      <w:sz w:val="21"/>
                      <w:szCs w:val="32"/>
                      <w:u w:val="none" w:color="auto"/>
                      <w:shd w:val="clear" w:fill="FFFFFF"/>
                      <w:lang w:val="en-US" w:eastAsia="zh-CN"/>
                    </w:rPr>
                    <w:t>+</w:t>
                  </w:r>
                  <w:r>
                    <w:rPr>
                      <w:rFonts w:hint="eastAsia" w:ascii="Times New Roman" w:hAnsi="Times New Roman" w:eastAsia="宋体" w:cstheme="minorBidi"/>
                      <w:i w:val="0"/>
                      <w:iCs w:val="0"/>
                      <w:caps w:val="0"/>
                      <w:color w:val="333333"/>
                      <w:spacing w:val="0"/>
                      <w:sz w:val="21"/>
                      <w:szCs w:val="32"/>
                      <w:u w:val="none" w:color="auto"/>
                      <w:shd w:val="clear" w:fill="FFFFFF"/>
                      <w:lang w:val="en-US" w:eastAsia="zh-CN"/>
                    </w:rPr>
                    <w:t>布袋除尘</w:t>
                  </w:r>
                  <w:r>
                    <w:rPr>
                      <w:rFonts w:hint="eastAsia" w:cstheme="minorBidi"/>
                      <w:i w:val="0"/>
                      <w:iCs w:val="0"/>
                      <w:caps w:val="0"/>
                      <w:color w:val="333333"/>
                      <w:spacing w:val="0"/>
                      <w:sz w:val="21"/>
                      <w:szCs w:val="32"/>
                      <w:u w:val="none" w:color="auto"/>
                      <w:shd w:val="clear" w:fill="FFFFFF"/>
                      <w:lang w:val="en-US" w:eastAsia="zh-CN"/>
                    </w:rPr>
                    <w:t>+水膜除尘</w:t>
                  </w:r>
                  <w:r>
                    <w:rPr>
                      <w:rFonts w:hint="eastAsia" w:ascii="Times New Roman" w:hAnsi="Times New Roman" w:eastAsia="宋体" w:cstheme="minorBidi"/>
                      <w:i w:val="0"/>
                      <w:iCs w:val="0"/>
                      <w:caps w:val="0"/>
                      <w:color w:val="333333"/>
                      <w:spacing w:val="0"/>
                      <w:sz w:val="21"/>
                      <w:szCs w:val="32"/>
                      <w:u w:val="none" w:color="auto"/>
                      <w:shd w:val="clear" w:fill="FFFFFF"/>
                    </w:rPr>
                    <w:t>设施，为配置了高效除尘设施的专用锅炉。</w:t>
                  </w:r>
                </w:p>
              </w:tc>
              <w:tc>
                <w:tcPr>
                  <w:tcW w:w="924" w:type="dxa"/>
                  <w:tcBorders>
                    <w:right w:val="single" w:color="auto" w:sz="8" w:space="0"/>
                  </w:tcBorders>
                  <w:noWrap w:val="0"/>
                  <w:vAlign w:val="center"/>
                </w:tcPr>
                <w:p w14:paraId="70E46AF6">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符合</w:t>
                  </w:r>
                </w:p>
              </w:tc>
            </w:tr>
            <w:tr w14:paraId="611F0D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2" w:type="dxa"/>
                  <w:tcBorders>
                    <w:left w:val="single" w:color="auto" w:sz="4" w:space="0"/>
                    <w:bottom w:val="single" w:color="auto" w:sz="8" w:space="0"/>
                  </w:tcBorders>
                  <w:noWrap w:val="0"/>
                  <w:vAlign w:val="center"/>
                </w:tcPr>
                <w:p w14:paraId="471541DC">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3</w:t>
                  </w:r>
                </w:p>
              </w:tc>
              <w:tc>
                <w:tcPr>
                  <w:tcW w:w="3978" w:type="dxa"/>
                  <w:tcBorders>
                    <w:bottom w:val="single" w:color="auto" w:sz="8" w:space="0"/>
                  </w:tcBorders>
                  <w:noWrap w:val="0"/>
                  <w:vAlign w:val="center"/>
                </w:tcPr>
                <w:p w14:paraId="0A08F20E">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禁燃区内各有关单位和个人应当使用天然气、液化石油气、轻质柴油、电、太阳能等清洁能源，禁止使用高污染燃料。</w:t>
                  </w:r>
                </w:p>
              </w:tc>
              <w:tc>
                <w:tcPr>
                  <w:tcW w:w="1692" w:type="dxa"/>
                  <w:tcBorders>
                    <w:bottom w:val="single" w:color="auto" w:sz="8" w:space="0"/>
                  </w:tcBorders>
                  <w:noWrap w:val="0"/>
                  <w:vAlign w:val="center"/>
                </w:tcPr>
                <w:p w14:paraId="00A9B450">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本项目位于益阳市赫山区泥江口镇泥江</w:t>
                  </w:r>
                  <w:r>
                    <w:rPr>
                      <w:rFonts w:hint="eastAsia" w:ascii="Times New Roman" w:hAnsi="Times New Roman" w:eastAsia="宋体" w:cstheme="minorBidi"/>
                      <w:i w:val="0"/>
                      <w:iCs w:val="0"/>
                      <w:caps w:val="0"/>
                      <w:color w:val="333333"/>
                      <w:spacing w:val="0"/>
                      <w:sz w:val="21"/>
                      <w:szCs w:val="32"/>
                      <w:u w:val="none" w:color="auto"/>
                      <w:shd w:val="clear" w:fill="FFFFFF"/>
                      <w:lang w:val="en-US" w:eastAsia="zh-CN"/>
                    </w:rPr>
                    <w:t>水满村</w:t>
                  </w:r>
                  <w:r>
                    <w:rPr>
                      <w:rFonts w:hint="eastAsia" w:ascii="Times New Roman" w:hAnsi="Times New Roman" w:eastAsia="宋体" w:cstheme="minorBidi"/>
                      <w:i w:val="0"/>
                      <w:iCs w:val="0"/>
                      <w:caps w:val="0"/>
                      <w:color w:val="333333"/>
                      <w:spacing w:val="0"/>
                      <w:sz w:val="21"/>
                      <w:szCs w:val="32"/>
                      <w:u w:val="none" w:color="auto"/>
                      <w:shd w:val="clear" w:fill="FFFFFF"/>
                    </w:rPr>
                    <w:t>，</w:t>
                  </w:r>
                  <w:r>
                    <w:rPr>
                      <w:rFonts w:hint="eastAsia" w:ascii="Times New Roman" w:hAnsi="Times New Roman" w:eastAsia="宋体" w:cstheme="minorBidi"/>
                      <w:i w:val="0"/>
                      <w:iCs w:val="0"/>
                      <w:caps w:val="0"/>
                      <w:color w:val="333333"/>
                      <w:spacing w:val="0"/>
                      <w:sz w:val="21"/>
                      <w:szCs w:val="32"/>
                      <w:u w:val="none" w:color="auto"/>
                      <w:shd w:val="clear" w:fill="FFFFFF"/>
                      <w:lang w:val="en-US" w:eastAsia="zh-CN"/>
                    </w:rPr>
                    <w:t>区域</w:t>
                  </w:r>
                  <w:r>
                    <w:rPr>
                      <w:rFonts w:hint="eastAsia" w:ascii="Times New Roman" w:hAnsi="Times New Roman" w:eastAsia="宋体" w:cstheme="minorBidi"/>
                      <w:i w:val="0"/>
                      <w:iCs w:val="0"/>
                      <w:caps w:val="0"/>
                      <w:color w:val="333333"/>
                      <w:spacing w:val="0"/>
                      <w:sz w:val="21"/>
                      <w:szCs w:val="32"/>
                      <w:u w:val="none" w:color="auto"/>
                      <w:shd w:val="clear" w:fill="FFFFFF"/>
                    </w:rPr>
                    <w:t>内暂未开通天然气，本项目锅炉使用成型生物质颗粒为燃料，项目锅炉配置了旋风除尘</w:t>
                  </w:r>
                  <w:r>
                    <w:rPr>
                      <w:rFonts w:hint="eastAsia" w:cstheme="minorBidi"/>
                      <w:i w:val="0"/>
                      <w:iCs w:val="0"/>
                      <w:caps w:val="0"/>
                      <w:color w:val="333333"/>
                      <w:spacing w:val="0"/>
                      <w:sz w:val="21"/>
                      <w:szCs w:val="32"/>
                      <w:u w:val="none" w:color="auto"/>
                      <w:shd w:val="clear" w:fill="FFFFFF"/>
                      <w:lang w:val="en-US" w:eastAsia="zh-CN"/>
                    </w:rPr>
                    <w:t>+</w:t>
                  </w:r>
                  <w:r>
                    <w:rPr>
                      <w:rFonts w:hint="eastAsia" w:ascii="Times New Roman" w:hAnsi="Times New Roman" w:eastAsia="宋体" w:cstheme="minorBidi"/>
                      <w:i w:val="0"/>
                      <w:iCs w:val="0"/>
                      <w:caps w:val="0"/>
                      <w:color w:val="333333"/>
                      <w:spacing w:val="0"/>
                      <w:sz w:val="21"/>
                      <w:szCs w:val="32"/>
                      <w:u w:val="none" w:color="auto"/>
                      <w:shd w:val="clear" w:fill="FFFFFF"/>
                      <w:lang w:val="en-US" w:eastAsia="zh-CN"/>
                    </w:rPr>
                    <w:t>布袋除尘</w:t>
                  </w:r>
                  <w:r>
                    <w:rPr>
                      <w:rFonts w:hint="eastAsia" w:cstheme="minorBidi"/>
                      <w:i w:val="0"/>
                      <w:iCs w:val="0"/>
                      <w:caps w:val="0"/>
                      <w:color w:val="333333"/>
                      <w:spacing w:val="0"/>
                      <w:sz w:val="21"/>
                      <w:szCs w:val="32"/>
                      <w:u w:val="none" w:color="auto"/>
                      <w:shd w:val="clear" w:fill="FFFFFF"/>
                      <w:lang w:val="en-US" w:eastAsia="zh-CN"/>
                    </w:rPr>
                    <w:t>+水膜除尘</w:t>
                  </w:r>
                  <w:r>
                    <w:rPr>
                      <w:rFonts w:hint="eastAsia" w:ascii="Times New Roman" w:hAnsi="Times New Roman" w:eastAsia="宋体" w:cstheme="minorBidi"/>
                      <w:i w:val="0"/>
                      <w:iCs w:val="0"/>
                      <w:caps w:val="0"/>
                      <w:color w:val="333333"/>
                      <w:spacing w:val="0"/>
                      <w:sz w:val="21"/>
                      <w:szCs w:val="32"/>
                      <w:u w:val="none" w:color="auto"/>
                      <w:shd w:val="clear" w:fill="FFFFFF"/>
                    </w:rPr>
                    <w:t>设施，为配置了高效除尘设施的专用锅炉。</w:t>
                  </w:r>
                </w:p>
              </w:tc>
              <w:tc>
                <w:tcPr>
                  <w:tcW w:w="924" w:type="dxa"/>
                  <w:tcBorders>
                    <w:bottom w:val="single" w:color="auto" w:sz="8" w:space="0"/>
                    <w:right w:val="single" w:color="auto" w:sz="8" w:space="0"/>
                  </w:tcBorders>
                  <w:noWrap w:val="0"/>
                  <w:vAlign w:val="center"/>
                </w:tcPr>
                <w:p w14:paraId="40AC4AAA">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符合</w:t>
                  </w:r>
                </w:p>
              </w:tc>
            </w:tr>
          </w:tbl>
          <w:p w14:paraId="612AEE8A">
            <w:pPr>
              <w:pStyle w:val="35"/>
              <w:ind w:left="0" w:leftChars="0" w:firstLine="482" w:firstLineChars="200"/>
              <w:rPr>
                <w:rFonts w:hint="eastAsia" w:ascii="Times New Roman" w:hAnsi="Times New Roman" w:eastAsia="宋体" w:cs="Times New Roman"/>
                <w:b/>
                <w:bCs/>
                <w:u w:val="single" w:color="auto"/>
                <w:lang w:val="en-US" w:eastAsia="zh-CN"/>
              </w:rPr>
            </w:pPr>
            <w:r>
              <w:rPr>
                <w:rFonts w:hint="eastAsia" w:ascii="Times New Roman" w:hAnsi="Times New Roman" w:eastAsia="宋体" w:cs="Times New Roman"/>
                <w:b/>
                <w:bCs/>
                <w:u w:val="single" w:color="auto"/>
                <w:lang w:val="en-US" w:eastAsia="zh-CN"/>
              </w:rPr>
              <w:t>11、项目与《益阳市中心城区生物质锅炉整治工作方案》益环发 2024【5 号】符合性分析</w:t>
            </w:r>
          </w:p>
          <w:p w14:paraId="64271F82">
            <w:pPr>
              <w:overflowPunct w:val="0"/>
              <w:spacing w:line="240" w:lineRule="auto"/>
              <w:jc w:val="center"/>
              <w:rPr>
                <w:rFonts w:hint="default" w:ascii="Times New Roman" w:hAnsi="Times New Roman" w:eastAsia="宋体" w:cs="Times New Roman"/>
                <w:b/>
                <w:bCs/>
                <w:sz w:val="21"/>
                <w:szCs w:val="21"/>
                <w:u w:val="single" w:color="auto"/>
              </w:rPr>
            </w:pPr>
            <w:r>
              <w:rPr>
                <w:rFonts w:hint="eastAsia" w:ascii="Times New Roman" w:hAnsi="Times New Roman" w:eastAsia="宋体" w:cs="Times New Roman"/>
                <w:b/>
                <w:bCs/>
                <w:sz w:val="21"/>
                <w:szCs w:val="21"/>
                <w:u w:val="single" w:color="auto"/>
              </w:rPr>
              <w:t>表1-</w:t>
            </w:r>
            <w:r>
              <w:rPr>
                <w:rFonts w:hint="eastAsia" w:ascii="Times New Roman" w:hAnsi="Times New Roman" w:eastAsia="宋体" w:cs="Times New Roman"/>
                <w:b/>
                <w:bCs/>
                <w:sz w:val="21"/>
                <w:szCs w:val="21"/>
                <w:u w:val="single" w:color="auto"/>
                <w:lang w:val="en-US" w:eastAsia="zh-CN"/>
              </w:rPr>
              <w:t>8</w:t>
            </w:r>
            <w:r>
              <w:rPr>
                <w:rFonts w:hint="eastAsia" w:ascii="Times New Roman" w:hAnsi="Times New Roman" w:eastAsia="宋体" w:cs="Times New Roman"/>
                <w:b/>
                <w:bCs/>
                <w:sz w:val="21"/>
                <w:szCs w:val="21"/>
                <w:u w:val="single" w:color="auto"/>
              </w:rPr>
              <w:t xml:space="preserve">  与益环发2024【5号】符合性分析一览表</w:t>
            </w:r>
          </w:p>
          <w:tbl>
            <w:tblPr>
              <w:tblStyle w:val="27"/>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71"/>
              <w:gridCol w:w="3986"/>
              <w:gridCol w:w="1845"/>
              <w:gridCol w:w="706"/>
            </w:tblGrid>
            <w:tr w14:paraId="3EF7DD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71" w:type="dxa"/>
                  <w:tcBorders>
                    <w:top w:val="single" w:color="auto" w:sz="8" w:space="0"/>
                    <w:left w:val="single" w:color="auto" w:sz="0" w:space="0"/>
                  </w:tcBorders>
                  <w:noWrap w:val="0"/>
                  <w:vAlign w:val="center"/>
                </w:tcPr>
                <w:p w14:paraId="7BBD2D06">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序号</w:t>
                  </w:r>
                </w:p>
              </w:tc>
              <w:tc>
                <w:tcPr>
                  <w:tcW w:w="3986" w:type="dxa"/>
                  <w:tcBorders>
                    <w:top w:val="single" w:color="auto" w:sz="8" w:space="0"/>
                  </w:tcBorders>
                  <w:noWrap w:val="0"/>
                  <w:vAlign w:val="center"/>
                </w:tcPr>
                <w:p w14:paraId="4EBF1226">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要求</w:t>
                  </w:r>
                </w:p>
              </w:tc>
              <w:tc>
                <w:tcPr>
                  <w:tcW w:w="1845" w:type="dxa"/>
                  <w:tcBorders>
                    <w:top w:val="single" w:color="auto" w:sz="8" w:space="0"/>
                  </w:tcBorders>
                  <w:noWrap w:val="0"/>
                  <w:vAlign w:val="center"/>
                </w:tcPr>
                <w:p w14:paraId="2C2438D6">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本项目情况</w:t>
                  </w:r>
                </w:p>
              </w:tc>
              <w:tc>
                <w:tcPr>
                  <w:tcW w:w="706" w:type="dxa"/>
                  <w:tcBorders>
                    <w:top w:val="single" w:color="auto" w:sz="8" w:space="0"/>
                    <w:right w:val="single" w:color="auto" w:sz="8" w:space="0"/>
                  </w:tcBorders>
                  <w:noWrap w:val="0"/>
                  <w:vAlign w:val="center"/>
                </w:tcPr>
                <w:p w14:paraId="1D193EBE">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是否符合</w:t>
                  </w:r>
                </w:p>
              </w:tc>
            </w:tr>
            <w:tr w14:paraId="22C308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71" w:type="dxa"/>
                  <w:tcBorders>
                    <w:left w:val="single" w:color="auto" w:sz="4" w:space="0"/>
                  </w:tcBorders>
                  <w:noWrap w:val="0"/>
                  <w:vAlign w:val="center"/>
                </w:tcPr>
                <w:p w14:paraId="450D6784">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1</w:t>
                  </w:r>
                </w:p>
              </w:tc>
              <w:tc>
                <w:tcPr>
                  <w:tcW w:w="3986" w:type="dxa"/>
                  <w:noWrap w:val="0"/>
                  <w:vAlign w:val="center"/>
                </w:tcPr>
                <w:p w14:paraId="23F184CE">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严格按照《产业结构调整指导目录（2024 年本）》要求，全面淘汰2蒸吨/小时及以下生物质锅炉。</w:t>
                  </w:r>
                </w:p>
              </w:tc>
              <w:tc>
                <w:tcPr>
                  <w:tcW w:w="1845" w:type="dxa"/>
                  <w:noWrap w:val="0"/>
                  <w:vAlign w:val="center"/>
                </w:tcPr>
                <w:p w14:paraId="5EB74078">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本项目锅炉为</w:t>
                  </w:r>
                  <w:r>
                    <w:rPr>
                      <w:rFonts w:hint="eastAsia" w:cstheme="minorBidi"/>
                      <w:i w:val="0"/>
                      <w:iCs w:val="0"/>
                      <w:caps w:val="0"/>
                      <w:color w:val="333333"/>
                      <w:spacing w:val="0"/>
                      <w:sz w:val="21"/>
                      <w:szCs w:val="32"/>
                      <w:u w:val="single" w:color="auto"/>
                      <w:shd w:val="clear" w:fill="FFFFFF"/>
                      <w:lang w:val="en-US" w:eastAsia="zh-CN"/>
                    </w:rPr>
                    <w:t>2.5</w:t>
                  </w:r>
                  <w:r>
                    <w:rPr>
                      <w:rFonts w:hint="eastAsia" w:ascii="Times New Roman" w:hAnsi="Times New Roman" w:eastAsia="宋体" w:cstheme="minorBidi"/>
                      <w:i w:val="0"/>
                      <w:iCs w:val="0"/>
                      <w:caps w:val="0"/>
                      <w:color w:val="333333"/>
                      <w:spacing w:val="0"/>
                      <w:sz w:val="21"/>
                      <w:szCs w:val="32"/>
                      <w:u w:val="single" w:color="auto"/>
                      <w:shd w:val="clear" w:fill="FFFFFF"/>
                    </w:rPr>
                    <w:t>蒸吨</w:t>
                  </w:r>
                  <w:r>
                    <w:rPr>
                      <w:rFonts w:hint="eastAsia" w:cstheme="minorBidi"/>
                      <w:i w:val="0"/>
                      <w:iCs w:val="0"/>
                      <w:caps w:val="0"/>
                      <w:color w:val="333333"/>
                      <w:spacing w:val="0"/>
                      <w:sz w:val="21"/>
                      <w:szCs w:val="32"/>
                      <w:u w:val="single" w:color="auto"/>
                      <w:shd w:val="clear" w:fill="FFFFFF"/>
                      <w:lang w:val="en-US" w:eastAsia="zh-CN"/>
                    </w:rPr>
                    <w:t>/小时</w:t>
                  </w:r>
                  <w:r>
                    <w:rPr>
                      <w:rFonts w:hint="eastAsia" w:ascii="Times New Roman" w:hAnsi="Times New Roman" w:eastAsia="宋体" w:cstheme="minorBidi"/>
                      <w:i w:val="0"/>
                      <w:iCs w:val="0"/>
                      <w:caps w:val="0"/>
                      <w:color w:val="333333"/>
                      <w:spacing w:val="0"/>
                      <w:sz w:val="21"/>
                      <w:szCs w:val="32"/>
                      <w:u w:val="single" w:color="auto"/>
                      <w:shd w:val="clear" w:fill="FFFFFF"/>
                    </w:rPr>
                    <w:t>燃生物质锅炉。</w:t>
                  </w:r>
                </w:p>
              </w:tc>
              <w:tc>
                <w:tcPr>
                  <w:tcW w:w="706" w:type="dxa"/>
                  <w:tcBorders>
                    <w:right w:val="single" w:color="auto" w:sz="8" w:space="0"/>
                  </w:tcBorders>
                  <w:noWrap w:val="0"/>
                  <w:vAlign w:val="center"/>
                </w:tcPr>
                <w:p w14:paraId="10693E1C">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符合</w:t>
                  </w:r>
                </w:p>
              </w:tc>
            </w:tr>
            <w:tr w14:paraId="020295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71" w:type="dxa"/>
                  <w:tcBorders>
                    <w:left w:val="single" w:color="auto" w:sz="4" w:space="0"/>
                  </w:tcBorders>
                  <w:noWrap w:val="0"/>
                  <w:vAlign w:val="center"/>
                </w:tcPr>
                <w:p w14:paraId="42609533">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2</w:t>
                  </w:r>
                </w:p>
              </w:tc>
              <w:tc>
                <w:tcPr>
                  <w:tcW w:w="3986" w:type="dxa"/>
                  <w:noWrap w:val="0"/>
                  <w:vAlign w:val="center"/>
                </w:tcPr>
                <w:p w14:paraId="5876F6FA">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2 蒸吨/小时以上的生物质锅炉原则上应采用天然气、电力等清洁能源进行替代，采取 SNCR或者SCR脱硝措施，新建燃气锅炉全部采用低氮燃烧器，NOx排放浓度控制在 50mg/m</w:t>
                  </w:r>
                  <w:r>
                    <w:rPr>
                      <w:rFonts w:hint="eastAsia" w:cstheme="minorBidi"/>
                      <w:i w:val="0"/>
                      <w:iCs w:val="0"/>
                      <w:caps w:val="0"/>
                      <w:color w:val="333333"/>
                      <w:spacing w:val="0"/>
                      <w:sz w:val="21"/>
                      <w:szCs w:val="32"/>
                      <w:u w:val="single" w:color="auto"/>
                      <w:shd w:val="clear" w:fill="FFFFFF"/>
                      <w:vertAlign w:val="superscript"/>
                      <w:lang w:val="en-US" w:eastAsia="zh-CN"/>
                    </w:rPr>
                    <w:t xml:space="preserve"> ·</w:t>
                  </w:r>
                  <w:r>
                    <w:rPr>
                      <w:rFonts w:hint="eastAsia" w:ascii="Times New Roman" w:hAnsi="Times New Roman" w:eastAsia="宋体" w:cstheme="minorBidi"/>
                      <w:i w:val="0"/>
                      <w:iCs w:val="0"/>
                      <w:caps w:val="0"/>
                      <w:color w:val="333333"/>
                      <w:spacing w:val="0"/>
                      <w:sz w:val="21"/>
                      <w:szCs w:val="32"/>
                      <w:u w:val="single" w:color="auto"/>
                      <w:shd w:val="clear" w:fill="FFFFFF"/>
                    </w:rPr>
                    <w:t>以内。集中供热覆盖区域全面停用生物质锅炉，优先使用集中供热。确因所在区域天然气管网未铺设、生产工艺不适合用电或未集中供热等条件受限，无法改用清洁能源的生物质锅炉，应使用专用炉具和成型生物质燃料，禁止掺烧其他燃料，并对锅炉废气处理设施进行升级改造，根据实际需要，采用旋风除尘+布袋除尘+水膜除尘或水膜除尘+湿电除尘等高效处理方式进行处理。</w:t>
                  </w:r>
                </w:p>
              </w:tc>
              <w:tc>
                <w:tcPr>
                  <w:tcW w:w="1845" w:type="dxa"/>
                  <w:noWrap w:val="0"/>
                  <w:vAlign w:val="center"/>
                </w:tcPr>
                <w:p w14:paraId="37545A1D">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项目位于泥江口镇，暂未开通天然气，锅炉使用成型生物质颗粒作为燃料，配套SNCR脱硝技术及旋风除尘</w:t>
                  </w:r>
                  <w:r>
                    <w:rPr>
                      <w:rFonts w:hint="eastAsia" w:cstheme="minorBidi"/>
                      <w:i w:val="0"/>
                      <w:iCs w:val="0"/>
                      <w:caps w:val="0"/>
                      <w:color w:val="333333"/>
                      <w:spacing w:val="0"/>
                      <w:sz w:val="21"/>
                      <w:szCs w:val="32"/>
                      <w:u w:val="single" w:color="auto"/>
                      <w:shd w:val="clear" w:fill="FFFFFF"/>
                      <w:lang w:val="en-US" w:eastAsia="zh-CN"/>
                    </w:rPr>
                    <w:t>+</w:t>
                  </w:r>
                  <w:r>
                    <w:rPr>
                      <w:rFonts w:hint="eastAsia" w:ascii="Times New Roman" w:hAnsi="Times New Roman" w:eastAsia="宋体" w:cstheme="minorBidi"/>
                      <w:i w:val="0"/>
                      <w:iCs w:val="0"/>
                      <w:caps w:val="0"/>
                      <w:color w:val="333333"/>
                      <w:spacing w:val="0"/>
                      <w:sz w:val="21"/>
                      <w:szCs w:val="32"/>
                      <w:u w:val="single" w:color="auto"/>
                      <w:shd w:val="clear" w:fill="FFFFFF"/>
                      <w:lang w:val="en-US" w:eastAsia="zh-CN"/>
                    </w:rPr>
                    <w:t>布袋除尘</w:t>
                  </w:r>
                  <w:r>
                    <w:rPr>
                      <w:rFonts w:hint="eastAsia" w:cstheme="minorBidi"/>
                      <w:i w:val="0"/>
                      <w:iCs w:val="0"/>
                      <w:caps w:val="0"/>
                      <w:color w:val="333333"/>
                      <w:spacing w:val="0"/>
                      <w:sz w:val="21"/>
                      <w:szCs w:val="32"/>
                      <w:u w:val="single" w:color="auto"/>
                      <w:shd w:val="clear" w:fill="FFFFFF"/>
                      <w:lang w:val="en-US" w:eastAsia="zh-CN"/>
                    </w:rPr>
                    <w:t>+水膜除尘</w:t>
                  </w:r>
                  <w:r>
                    <w:rPr>
                      <w:rFonts w:hint="eastAsia" w:ascii="Times New Roman" w:hAnsi="Times New Roman" w:eastAsia="宋体" w:cstheme="minorBidi"/>
                      <w:i w:val="0"/>
                      <w:iCs w:val="0"/>
                      <w:caps w:val="0"/>
                      <w:color w:val="333333"/>
                      <w:spacing w:val="0"/>
                      <w:sz w:val="21"/>
                      <w:szCs w:val="32"/>
                      <w:u w:val="single" w:color="auto"/>
                      <w:shd w:val="clear" w:fill="FFFFFF"/>
                    </w:rPr>
                    <w:t>设施，可稳定达标排放。</w:t>
                  </w:r>
                </w:p>
              </w:tc>
              <w:tc>
                <w:tcPr>
                  <w:tcW w:w="706" w:type="dxa"/>
                  <w:tcBorders>
                    <w:right w:val="single" w:color="auto" w:sz="8" w:space="0"/>
                  </w:tcBorders>
                  <w:noWrap w:val="0"/>
                  <w:vAlign w:val="center"/>
                </w:tcPr>
                <w:p w14:paraId="732F1BA6">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符合</w:t>
                  </w:r>
                </w:p>
              </w:tc>
            </w:tr>
            <w:tr w14:paraId="4F6C5B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71" w:type="dxa"/>
                  <w:tcBorders>
                    <w:left w:val="single" w:color="auto" w:sz="4" w:space="0"/>
                    <w:bottom w:val="single" w:color="auto" w:sz="8" w:space="0"/>
                  </w:tcBorders>
                  <w:noWrap w:val="0"/>
                  <w:vAlign w:val="center"/>
                </w:tcPr>
                <w:p w14:paraId="4464C335">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3</w:t>
                  </w:r>
                </w:p>
              </w:tc>
              <w:tc>
                <w:tcPr>
                  <w:tcW w:w="3986" w:type="dxa"/>
                  <w:tcBorders>
                    <w:bottom w:val="single" w:color="auto" w:sz="8" w:space="0"/>
                  </w:tcBorders>
                  <w:noWrap w:val="0"/>
                  <w:vAlign w:val="center"/>
                </w:tcPr>
                <w:p w14:paraId="2D7A005E">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生态环境部门在环评方面严格控制为规避淘汰进行生物质锅炉扩容的行为，修改完善应急减排清单，加强对纳入整治计划的2蒸吨/小时以上及因各种原因予以保留的生物质锅炉的日常监管，安装烟气在线监控设施并与生态环境部门联网，列入市级重点监管单位名录，大气应急管控期间</w:t>
                  </w:r>
                  <w:r>
                    <w:rPr>
                      <w:rFonts w:hint="eastAsia" w:ascii="Times New Roman" w:hAnsi="Times New Roman" w:eastAsia="宋体"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黄色及以上预警</w:t>
                  </w:r>
                  <w:r>
                    <w:rPr>
                      <w:rFonts w:hint="eastAsia" w:ascii="Times New Roman" w:hAnsi="Times New Roman" w:eastAsia="宋体"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实施停产限产措施，对违法排污行为严管重罚。</w:t>
                  </w:r>
                </w:p>
              </w:tc>
              <w:tc>
                <w:tcPr>
                  <w:tcW w:w="1845" w:type="dxa"/>
                  <w:tcBorders>
                    <w:bottom w:val="single" w:color="auto" w:sz="8" w:space="0"/>
                  </w:tcBorders>
                  <w:noWrap w:val="0"/>
                  <w:vAlign w:val="center"/>
                </w:tcPr>
                <w:p w14:paraId="24A74937">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default" w:ascii="Times New Roman" w:hAnsi="Times New Roman" w:eastAsia="宋体" w:cstheme="minorBidi"/>
                      <w:i w:val="0"/>
                      <w:iCs w:val="0"/>
                      <w:caps w:val="0"/>
                      <w:color w:val="333333"/>
                      <w:spacing w:val="0"/>
                      <w:sz w:val="21"/>
                      <w:szCs w:val="32"/>
                      <w:u w:val="single" w:color="auto"/>
                      <w:shd w:val="clear" w:fill="FFFFFF"/>
                      <w:lang w:val="en-US" w:eastAsia="zh-CN"/>
                    </w:rPr>
                  </w:pPr>
                  <w:r>
                    <w:rPr>
                      <w:rFonts w:hint="eastAsia" w:ascii="Times New Roman" w:hAnsi="Times New Roman" w:eastAsia="宋体" w:cstheme="minorBidi"/>
                      <w:i w:val="0"/>
                      <w:iCs w:val="0"/>
                      <w:caps w:val="0"/>
                      <w:color w:val="333333"/>
                      <w:spacing w:val="0"/>
                      <w:sz w:val="21"/>
                      <w:szCs w:val="32"/>
                      <w:u w:val="single" w:color="auto"/>
                      <w:shd w:val="clear" w:fill="FFFFFF"/>
                    </w:rPr>
                    <w:t>本项目生物质锅炉为2.5t/h，但其配套排气筒烟囱直径小于1m，依据环办环监〔2017〕61号中污染源自动监测设备安装技术豁免规定，烟道直径不足1m不满足在线监测布设条件，可暂不安装烟气自动监控设施。项目运营期将严格执行方案其余全部管控要求：规范燃料管理、落实重污染天气应急停产限产、定期开展废气手工监测、常态化维护废气治理设施，确保稳定达标排放</w:t>
                  </w:r>
                </w:p>
              </w:tc>
              <w:tc>
                <w:tcPr>
                  <w:tcW w:w="706" w:type="dxa"/>
                  <w:tcBorders>
                    <w:bottom w:val="single" w:color="auto" w:sz="8" w:space="0"/>
                    <w:right w:val="single" w:color="auto" w:sz="8" w:space="0"/>
                  </w:tcBorders>
                  <w:noWrap w:val="0"/>
                  <w:vAlign w:val="center"/>
                </w:tcPr>
                <w:p w14:paraId="45FEA235">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符合</w:t>
                  </w:r>
                </w:p>
              </w:tc>
            </w:tr>
          </w:tbl>
          <w:p w14:paraId="439D736B">
            <w:pPr>
              <w:pStyle w:val="35"/>
              <w:ind w:left="0" w:leftChars="0" w:firstLine="482" w:firstLineChars="200"/>
              <w:rPr>
                <w:rFonts w:hint="default" w:cs="Times New Roman"/>
                <w:b/>
                <w:bCs/>
                <w:u w:val="single" w:color="auto"/>
                <w:lang w:val="en-US" w:eastAsia="zh-CN"/>
              </w:rPr>
            </w:pPr>
            <w:r>
              <w:rPr>
                <w:rFonts w:hint="eastAsia" w:cs="Times New Roman"/>
                <w:b/>
                <w:bCs/>
                <w:u w:val="single" w:color="auto"/>
                <w:lang w:val="en-US" w:eastAsia="zh-CN"/>
              </w:rPr>
              <w:t>12、项目与《湖南省大气污染防治攻坚三年行动实施方案（2026-2028年）》（湘生环委办</w:t>
            </w:r>
            <w:r>
              <w:rPr>
                <w:rFonts w:hint="eastAsia" w:ascii="宋体" w:hAnsi="宋体" w:eastAsia="宋体" w:cs="宋体"/>
                <w:b/>
                <w:bCs/>
                <w:u w:val="single" w:color="auto"/>
                <w:lang w:val="en-US" w:eastAsia="zh-CN"/>
              </w:rPr>
              <w:t>〔</w:t>
            </w:r>
            <w:r>
              <w:rPr>
                <w:rFonts w:hint="eastAsia" w:cs="Times New Roman"/>
                <w:b/>
                <w:bCs/>
                <w:u w:val="single" w:color="auto"/>
                <w:lang w:val="en-US" w:eastAsia="zh-CN"/>
              </w:rPr>
              <w:t>2026</w:t>
            </w:r>
            <w:r>
              <w:rPr>
                <w:rFonts w:hint="eastAsia" w:ascii="宋体" w:hAnsi="宋体" w:eastAsia="宋体" w:cs="宋体"/>
                <w:b/>
                <w:bCs/>
                <w:u w:val="single" w:color="auto"/>
                <w:lang w:val="en-US" w:eastAsia="zh-CN"/>
              </w:rPr>
              <w:t>〕</w:t>
            </w:r>
            <w:r>
              <w:rPr>
                <w:rFonts w:hint="eastAsia" w:cs="Times New Roman"/>
                <w:b/>
                <w:bCs/>
                <w:u w:val="single" w:color="auto"/>
                <w:lang w:val="en-US" w:eastAsia="zh-CN"/>
              </w:rPr>
              <w:t>2号）符合性分析</w:t>
            </w:r>
          </w:p>
          <w:p w14:paraId="782EF902">
            <w:pPr>
              <w:overflowPunct w:val="0"/>
              <w:spacing w:line="240" w:lineRule="auto"/>
              <w:jc w:val="center"/>
              <w:rPr>
                <w:rFonts w:hint="eastAsia" w:ascii="Times New Roman" w:hAnsi="Times New Roman" w:eastAsia="宋体" w:cs="Times New Roman"/>
                <w:b/>
                <w:bCs/>
                <w:sz w:val="21"/>
                <w:szCs w:val="21"/>
                <w:u w:val="single" w:color="auto"/>
              </w:rPr>
            </w:pPr>
            <w:r>
              <w:rPr>
                <w:rFonts w:hint="eastAsia" w:ascii="Times New Roman" w:hAnsi="Times New Roman" w:eastAsia="宋体" w:cs="Times New Roman"/>
                <w:b/>
                <w:bCs/>
                <w:sz w:val="21"/>
                <w:szCs w:val="21"/>
                <w:u w:val="single" w:color="auto"/>
              </w:rPr>
              <w:t>表1-</w:t>
            </w:r>
            <w:r>
              <w:rPr>
                <w:rFonts w:hint="eastAsia" w:ascii="Times New Roman" w:hAnsi="Times New Roman" w:eastAsia="宋体" w:cs="Times New Roman"/>
                <w:b/>
                <w:bCs/>
                <w:sz w:val="21"/>
                <w:szCs w:val="21"/>
                <w:u w:val="single" w:color="auto"/>
                <w:lang w:val="en-US" w:eastAsia="zh-CN"/>
              </w:rPr>
              <w:t>9</w:t>
            </w:r>
            <w:r>
              <w:rPr>
                <w:rFonts w:hint="eastAsia" w:ascii="Times New Roman" w:hAnsi="Times New Roman" w:eastAsia="宋体" w:cs="Times New Roman"/>
                <w:b/>
                <w:bCs/>
                <w:sz w:val="21"/>
                <w:szCs w:val="21"/>
                <w:u w:val="single" w:color="auto"/>
              </w:rPr>
              <w:t xml:space="preserve">  项目与</w:t>
            </w:r>
            <w:r>
              <w:rPr>
                <w:rFonts w:hint="eastAsia" w:ascii="Times New Roman" w:hAnsi="Times New Roman" w:eastAsia="宋体" w:cs="Times New Roman"/>
                <w:b/>
                <w:bCs/>
                <w:sz w:val="21"/>
                <w:szCs w:val="21"/>
                <w:u w:val="single" w:color="auto"/>
                <w:lang w:val="en-US" w:eastAsia="zh-CN"/>
              </w:rPr>
              <w:t>湘生环委办〔2026〕2号</w:t>
            </w:r>
            <w:r>
              <w:rPr>
                <w:rFonts w:hint="eastAsia" w:ascii="Times New Roman" w:hAnsi="Times New Roman" w:eastAsia="宋体" w:cs="Times New Roman"/>
                <w:b/>
                <w:bCs/>
                <w:sz w:val="21"/>
                <w:szCs w:val="21"/>
                <w:u w:val="single" w:color="auto"/>
              </w:rPr>
              <w:t>符合性分析一览表</w:t>
            </w:r>
          </w:p>
          <w:tbl>
            <w:tblPr>
              <w:tblStyle w:val="27"/>
              <w:tblW w:w="0" w:type="auto"/>
              <w:tblInd w:w="-1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71"/>
              <w:gridCol w:w="4413"/>
              <w:gridCol w:w="1559"/>
              <w:gridCol w:w="764"/>
            </w:tblGrid>
            <w:tr w14:paraId="6E047D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71" w:type="dxa"/>
                  <w:tcBorders>
                    <w:tl2br w:val="nil"/>
                    <w:tr2bl w:val="nil"/>
                  </w:tcBorders>
                  <w:noWrap w:val="0"/>
                  <w:vAlign w:val="center"/>
                </w:tcPr>
                <w:p w14:paraId="2E58DCD5">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序号</w:t>
                  </w:r>
                </w:p>
              </w:tc>
              <w:tc>
                <w:tcPr>
                  <w:tcW w:w="4413" w:type="dxa"/>
                  <w:tcBorders>
                    <w:tl2br w:val="nil"/>
                    <w:tr2bl w:val="nil"/>
                  </w:tcBorders>
                  <w:noWrap w:val="0"/>
                  <w:vAlign w:val="center"/>
                </w:tcPr>
                <w:p w14:paraId="2402256E">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要求</w:t>
                  </w:r>
                </w:p>
              </w:tc>
              <w:tc>
                <w:tcPr>
                  <w:tcW w:w="1559" w:type="dxa"/>
                  <w:tcBorders>
                    <w:tl2br w:val="nil"/>
                    <w:tr2bl w:val="nil"/>
                  </w:tcBorders>
                  <w:noWrap w:val="0"/>
                  <w:vAlign w:val="center"/>
                </w:tcPr>
                <w:p w14:paraId="1BC7192B">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本项目情况</w:t>
                  </w:r>
                </w:p>
              </w:tc>
              <w:tc>
                <w:tcPr>
                  <w:tcW w:w="764" w:type="dxa"/>
                  <w:tcBorders>
                    <w:tl2br w:val="nil"/>
                    <w:tr2bl w:val="nil"/>
                  </w:tcBorders>
                  <w:noWrap w:val="0"/>
                  <w:vAlign w:val="center"/>
                </w:tcPr>
                <w:p w14:paraId="64192854">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是否符合</w:t>
                  </w:r>
                </w:p>
              </w:tc>
            </w:tr>
            <w:tr w14:paraId="1B1FBE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71" w:type="dxa"/>
                  <w:tcBorders>
                    <w:tl2br w:val="nil"/>
                    <w:tr2bl w:val="nil"/>
                  </w:tcBorders>
                  <w:noWrap w:val="0"/>
                  <w:vAlign w:val="center"/>
                </w:tcPr>
                <w:p w14:paraId="45C86935">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lang w:val="en-US" w:eastAsia="zh-CN"/>
                    </w:rPr>
                  </w:pPr>
                  <w:r>
                    <w:rPr>
                      <w:rFonts w:hint="eastAsia" w:cstheme="minorBidi"/>
                      <w:i w:val="0"/>
                      <w:iCs w:val="0"/>
                      <w:caps w:val="0"/>
                      <w:color w:val="333333"/>
                      <w:spacing w:val="0"/>
                      <w:sz w:val="21"/>
                      <w:szCs w:val="32"/>
                      <w:u w:val="single" w:color="auto"/>
                      <w:shd w:val="clear" w:fill="FFFFFF"/>
                      <w:lang w:val="en-US" w:eastAsia="zh-CN"/>
                    </w:rPr>
                    <w:t>1</w:t>
                  </w:r>
                </w:p>
              </w:tc>
              <w:tc>
                <w:tcPr>
                  <w:tcW w:w="4413" w:type="dxa"/>
                  <w:tcBorders>
                    <w:tl2br w:val="nil"/>
                    <w:tr2bl w:val="nil"/>
                  </w:tcBorders>
                  <w:noWrap w:val="0"/>
                  <w:vAlign w:val="center"/>
                </w:tcPr>
                <w:p w14:paraId="34B262D8">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严守准入门槛，严禁不符合国家产业政策的项目盲目发展和低水平转入。加强对湘北</w:t>
                  </w:r>
                  <w:r>
                    <w:rPr>
                      <w:rFonts w:hint="eastAsia"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上风口</w:t>
                  </w:r>
                  <w:r>
                    <w:rPr>
                      <w:rFonts w:hint="eastAsia"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大气污染物排放项目的准入管控。严禁新增钢铁、焦化、水泥熟料、平板玻璃、电解铝、氧化铝、煤化工产能，严控新增炼油、磷铵、铜冶炼、铅锌冶炼产能。推进新改扩建</w:t>
                  </w:r>
                  <w:r>
                    <w:rPr>
                      <w:rFonts w:hint="eastAsia"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两高</w:t>
                  </w:r>
                  <w:r>
                    <w:rPr>
                      <w:rFonts w:hint="eastAsia"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项目能效达到标杆水平，环保绩效达到A级水平</w:t>
                  </w:r>
                  <w:r>
                    <w:rPr>
                      <w:rFonts w:hint="eastAsia"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其他新建项目原则上达到B级及以上绩效水平</w:t>
                  </w:r>
                  <w:r>
                    <w:rPr>
                      <w:rFonts w:hint="eastAsia"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涉及含挥发性有机物</w:t>
                  </w:r>
                  <w:r>
                    <w:rPr>
                      <w:rFonts w:hint="eastAsia"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VOCs</w:t>
                  </w:r>
                  <w:r>
                    <w:rPr>
                      <w:rFonts w:hint="eastAsia"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原辅材料的新改扩建项目，技术可行的应使用低</w:t>
                  </w:r>
                  <w:r>
                    <w:rPr>
                      <w:rFonts w:hint="eastAsia"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无</w:t>
                  </w:r>
                  <w:r>
                    <w:rPr>
                      <w:rFonts w:hint="eastAsia"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VOCs含量产品。</w:t>
                  </w:r>
                </w:p>
              </w:tc>
              <w:tc>
                <w:tcPr>
                  <w:tcW w:w="1559" w:type="dxa"/>
                  <w:tcBorders>
                    <w:tl2br w:val="nil"/>
                    <w:tr2bl w:val="nil"/>
                  </w:tcBorders>
                  <w:noWrap w:val="0"/>
                  <w:vAlign w:val="center"/>
                </w:tcPr>
                <w:p w14:paraId="4BB753CB">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default" w:ascii="Times New Roman" w:hAnsi="Times New Roman" w:eastAsia="宋体" w:cstheme="minorBidi"/>
                      <w:i w:val="0"/>
                      <w:iCs w:val="0"/>
                      <w:caps w:val="0"/>
                      <w:color w:val="333333"/>
                      <w:spacing w:val="0"/>
                      <w:sz w:val="21"/>
                      <w:szCs w:val="32"/>
                      <w:u w:val="single" w:color="auto"/>
                      <w:shd w:val="clear" w:fill="FFFFFF"/>
                      <w:lang w:val="en-US" w:eastAsia="zh-CN"/>
                    </w:rPr>
                  </w:pPr>
                  <w:r>
                    <w:rPr>
                      <w:rFonts w:hint="eastAsia" w:cstheme="minorBidi"/>
                      <w:i w:val="0"/>
                      <w:iCs w:val="0"/>
                      <w:caps w:val="0"/>
                      <w:color w:val="333333"/>
                      <w:spacing w:val="0"/>
                      <w:sz w:val="21"/>
                      <w:szCs w:val="32"/>
                      <w:u w:val="single" w:color="auto"/>
                      <w:shd w:val="clear" w:fill="FFFFFF"/>
                      <w:lang w:val="en-US" w:eastAsia="zh-CN"/>
                    </w:rPr>
                    <w:t>本项目符合国家产业政策，不属于</w:t>
                  </w:r>
                  <w:r>
                    <w:rPr>
                      <w:rFonts w:hint="eastAsia" w:ascii="Times New Roman" w:hAnsi="Times New Roman" w:eastAsia="宋体" w:cstheme="minorBidi"/>
                      <w:i w:val="0"/>
                      <w:iCs w:val="0"/>
                      <w:caps w:val="0"/>
                      <w:color w:val="333333"/>
                      <w:spacing w:val="0"/>
                      <w:sz w:val="21"/>
                      <w:szCs w:val="32"/>
                      <w:u w:val="single" w:color="auto"/>
                      <w:shd w:val="clear" w:fill="FFFFFF"/>
                    </w:rPr>
                    <w:t>钢铁、焦化、水泥熟料、平板玻璃、电解铝、氧化铝、煤化工</w:t>
                  </w:r>
                  <w:r>
                    <w:rPr>
                      <w:rFonts w:hint="eastAsia" w:cstheme="minorBidi"/>
                      <w:i w:val="0"/>
                      <w:iCs w:val="0"/>
                      <w:caps w:val="0"/>
                      <w:color w:val="333333"/>
                      <w:spacing w:val="0"/>
                      <w:sz w:val="21"/>
                      <w:szCs w:val="32"/>
                      <w:u w:val="single" w:color="auto"/>
                      <w:shd w:val="clear" w:fill="FFFFFF"/>
                      <w:lang w:val="en-US" w:eastAsia="zh-CN"/>
                    </w:rPr>
                    <w:t>等行业。不涉及VOCs原辅材料的使用。</w:t>
                  </w:r>
                </w:p>
              </w:tc>
              <w:tc>
                <w:tcPr>
                  <w:tcW w:w="764" w:type="dxa"/>
                  <w:tcBorders>
                    <w:tl2br w:val="nil"/>
                    <w:tr2bl w:val="nil"/>
                  </w:tcBorders>
                  <w:noWrap w:val="0"/>
                  <w:vAlign w:val="center"/>
                </w:tcPr>
                <w:p w14:paraId="6DCAC874">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符合</w:t>
                  </w:r>
                </w:p>
              </w:tc>
            </w:tr>
            <w:tr w14:paraId="324B46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71" w:type="dxa"/>
                  <w:tcBorders>
                    <w:tl2br w:val="nil"/>
                    <w:tr2bl w:val="nil"/>
                  </w:tcBorders>
                  <w:noWrap w:val="0"/>
                  <w:vAlign w:val="center"/>
                </w:tcPr>
                <w:p w14:paraId="3C3778F4">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lang w:val="en-US" w:eastAsia="zh-CN"/>
                    </w:rPr>
                  </w:pPr>
                  <w:r>
                    <w:rPr>
                      <w:rFonts w:hint="eastAsia" w:cstheme="minorBidi"/>
                      <w:i w:val="0"/>
                      <w:iCs w:val="0"/>
                      <w:caps w:val="0"/>
                      <w:color w:val="333333"/>
                      <w:spacing w:val="0"/>
                      <w:sz w:val="21"/>
                      <w:szCs w:val="32"/>
                      <w:u w:val="single" w:color="auto"/>
                      <w:shd w:val="clear" w:fill="FFFFFF"/>
                      <w:lang w:val="en-US" w:eastAsia="zh-CN"/>
                    </w:rPr>
                    <w:t>2</w:t>
                  </w:r>
                </w:p>
              </w:tc>
              <w:tc>
                <w:tcPr>
                  <w:tcW w:w="4413" w:type="dxa"/>
                  <w:tcBorders>
                    <w:tl2br w:val="nil"/>
                    <w:tr2bl w:val="nil"/>
                  </w:tcBorders>
                  <w:noWrap w:val="0"/>
                  <w:vAlign w:val="center"/>
                </w:tcPr>
                <w:p w14:paraId="15EB147D">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严格落实污染物区域削减替代要求。对不能稳定达到空气质量二级标准的城市，其重点行业新改扩建项目实施主要污染物排放量倍量削减替代，所需替代量在本市范围内统筹。建立省市两级环评审批项目区域削减和总量跟踪管理台账。科学</w:t>
                  </w:r>
                  <w:r>
                    <w:rPr>
                      <w:rFonts w:hint="eastAsia" w:cstheme="minorBidi"/>
                      <w:i w:val="0"/>
                      <w:iCs w:val="0"/>
                      <w:caps w:val="0"/>
                      <w:color w:val="333333"/>
                      <w:spacing w:val="0"/>
                      <w:sz w:val="21"/>
                      <w:szCs w:val="32"/>
                      <w:u w:val="single" w:color="auto"/>
                      <w:shd w:val="clear" w:fill="FFFFFF"/>
                      <w:lang w:eastAsia="zh-CN"/>
                    </w:rPr>
                    <w:t>谋划“十五五”</w:t>
                  </w:r>
                  <w:r>
                    <w:rPr>
                      <w:rFonts w:hint="eastAsia" w:ascii="Times New Roman" w:hAnsi="Times New Roman" w:eastAsia="宋体" w:cstheme="minorBidi"/>
                      <w:i w:val="0"/>
                      <w:iCs w:val="0"/>
                      <w:caps w:val="0"/>
                      <w:color w:val="333333"/>
                      <w:spacing w:val="0"/>
                      <w:sz w:val="21"/>
                      <w:szCs w:val="32"/>
                      <w:u w:val="single" w:color="auto"/>
                      <w:shd w:val="clear" w:fill="FFFFFF"/>
                    </w:rPr>
                    <w:t>产业布局，对重点规划和产业园区依法开展规划环评</w:t>
                  </w:r>
                </w:p>
              </w:tc>
              <w:tc>
                <w:tcPr>
                  <w:tcW w:w="1559" w:type="dxa"/>
                  <w:tcBorders>
                    <w:tl2br w:val="nil"/>
                    <w:tr2bl w:val="nil"/>
                  </w:tcBorders>
                  <w:noWrap w:val="0"/>
                  <w:vAlign w:val="center"/>
                </w:tcPr>
                <w:p w14:paraId="0B63A0E2">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本项目所在区域执行《环境空气质量标准》</w:t>
                  </w:r>
                  <w:r>
                    <w:rPr>
                      <w:rFonts w:hint="eastAsia"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GB3095-2026</w:t>
                  </w:r>
                  <w:r>
                    <w:rPr>
                      <w:rFonts w:hint="eastAsia"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二级标准，项目所在区域为不达标区，本项目</w:t>
                  </w:r>
                  <w:r>
                    <w:rPr>
                      <w:rFonts w:hint="eastAsia" w:cstheme="minorBidi"/>
                      <w:i w:val="0"/>
                      <w:iCs w:val="0"/>
                      <w:caps w:val="0"/>
                      <w:color w:val="333333"/>
                      <w:spacing w:val="0"/>
                      <w:sz w:val="21"/>
                      <w:szCs w:val="32"/>
                      <w:u w:val="single" w:color="auto"/>
                      <w:shd w:val="clear" w:fill="FFFFFF"/>
                      <w:lang w:val="en-US" w:eastAsia="zh-CN"/>
                    </w:rPr>
                    <w:t>为</w:t>
                  </w:r>
                  <w:r>
                    <w:rPr>
                      <w:rFonts w:hint="eastAsia"/>
                      <w:u w:val="single" w:color="auto"/>
                    </w:rPr>
                    <w:t>C2041竹制品制造、D4430热力生产和供应业</w:t>
                  </w:r>
                  <w:r>
                    <w:rPr>
                      <w:rFonts w:hint="eastAsia" w:ascii="Times New Roman" w:hAnsi="Times New Roman" w:eastAsia="宋体" w:cstheme="minorBidi"/>
                      <w:i w:val="0"/>
                      <w:iCs w:val="0"/>
                      <w:caps w:val="0"/>
                      <w:color w:val="333333"/>
                      <w:spacing w:val="0"/>
                      <w:sz w:val="21"/>
                      <w:szCs w:val="32"/>
                      <w:u w:val="single" w:color="auto"/>
                      <w:shd w:val="clear" w:fill="FFFFFF"/>
                    </w:rPr>
                    <w:t>，不属于重点行业。</w:t>
                  </w:r>
                </w:p>
              </w:tc>
              <w:tc>
                <w:tcPr>
                  <w:tcW w:w="764" w:type="dxa"/>
                  <w:tcBorders>
                    <w:tl2br w:val="nil"/>
                    <w:tr2bl w:val="nil"/>
                  </w:tcBorders>
                  <w:noWrap w:val="0"/>
                  <w:vAlign w:val="center"/>
                </w:tcPr>
                <w:p w14:paraId="3264870C">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lang w:val="en-US" w:eastAsia="zh-CN"/>
                    </w:rPr>
                  </w:pPr>
                  <w:r>
                    <w:rPr>
                      <w:rFonts w:hint="eastAsia" w:cstheme="minorBidi"/>
                      <w:i w:val="0"/>
                      <w:iCs w:val="0"/>
                      <w:caps w:val="0"/>
                      <w:color w:val="333333"/>
                      <w:spacing w:val="0"/>
                      <w:sz w:val="21"/>
                      <w:szCs w:val="32"/>
                      <w:u w:val="single" w:color="auto"/>
                      <w:shd w:val="clear" w:fill="FFFFFF"/>
                      <w:lang w:val="en-US" w:eastAsia="zh-CN"/>
                    </w:rPr>
                    <w:t>符合</w:t>
                  </w:r>
                </w:p>
              </w:tc>
            </w:tr>
            <w:tr w14:paraId="4E8CE7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71" w:type="dxa"/>
                  <w:tcBorders>
                    <w:tl2br w:val="nil"/>
                    <w:tr2bl w:val="nil"/>
                  </w:tcBorders>
                  <w:noWrap w:val="0"/>
                  <w:vAlign w:val="center"/>
                </w:tcPr>
                <w:p w14:paraId="53A3029C">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lang w:val="en-US" w:eastAsia="zh-CN"/>
                    </w:rPr>
                  </w:pPr>
                  <w:r>
                    <w:rPr>
                      <w:rFonts w:hint="eastAsia" w:cstheme="minorBidi"/>
                      <w:i w:val="0"/>
                      <w:iCs w:val="0"/>
                      <w:caps w:val="0"/>
                      <w:color w:val="333333"/>
                      <w:spacing w:val="0"/>
                      <w:sz w:val="21"/>
                      <w:szCs w:val="32"/>
                      <w:u w:val="single" w:color="auto"/>
                      <w:shd w:val="clear" w:fill="FFFFFF"/>
                      <w:lang w:val="en-US" w:eastAsia="zh-CN"/>
                    </w:rPr>
                    <w:t>3</w:t>
                  </w:r>
                </w:p>
              </w:tc>
              <w:tc>
                <w:tcPr>
                  <w:tcW w:w="4413" w:type="dxa"/>
                  <w:tcBorders>
                    <w:tl2br w:val="nil"/>
                    <w:tr2bl w:val="nil"/>
                  </w:tcBorders>
                  <w:noWrap w:val="0"/>
                  <w:vAlign w:val="center"/>
                </w:tcPr>
                <w:p w14:paraId="154D7442">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协同推进锅炉集中供热和关停整合。原则上不再新建除集中供热外的燃煤锅炉和保障电力、热力安全支撑必要外的燃煤机组。推动分散低效生物质锅炉整合升级，推进在用生物质锅炉开展治理设施提标改造，新建生物质锅炉达到超低排放水平。充分挖掘30万千瓦及以上燃煤机组供热能力，整合替代其供热半径30公里范围内的燃煤锅炉、燃煤小热电</w:t>
                  </w:r>
                  <w:r>
                    <w:rPr>
                      <w:rFonts w:hint="eastAsia"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含自备电厂</w:t>
                  </w:r>
                  <w:r>
                    <w:rPr>
                      <w:rFonts w:hint="eastAsia"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和生物质锅炉。退出服役期满30年的30万千瓦以下燃煤机组，有序退出落实接续电源的10万千瓦及以下燃煤机组。2026年底前，淘汰52台35蒸吨/小时及以下燃煤锅炉。</w:t>
                  </w:r>
                </w:p>
              </w:tc>
              <w:tc>
                <w:tcPr>
                  <w:tcW w:w="1559" w:type="dxa"/>
                  <w:tcBorders>
                    <w:tl2br w:val="nil"/>
                    <w:tr2bl w:val="nil"/>
                  </w:tcBorders>
                  <w:noWrap w:val="0"/>
                  <w:vAlign w:val="center"/>
                </w:tcPr>
                <w:p w14:paraId="2E69E15C">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default" w:ascii="Times New Roman" w:hAnsi="Times New Roman" w:eastAsia="宋体" w:cstheme="minorBidi"/>
                      <w:i w:val="0"/>
                      <w:iCs w:val="0"/>
                      <w:caps w:val="0"/>
                      <w:color w:val="333333"/>
                      <w:spacing w:val="0"/>
                      <w:sz w:val="21"/>
                      <w:szCs w:val="32"/>
                      <w:u w:val="single" w:color="auto"/>
                      <w:shd w:val="clear" w:fill="FFFFFF"/>
                      <w:lang w:val="en-US" w:eastAsia="zh-CN"/>
                    </w:rPr>
                    <w:t>本项目不使用燃煤锅炉，采用2.5蒸吨燃生物质锅炉，使用成型生物质颗粒作为燃料</w:t>
                  </w:r>
                  <w:r>
                    <w:rPr>
                      <w:rFonts w:hint="eastAsia" w:ascii="Times New Roman" w:hAnsi="Times New Roman" w:eastAsia="宋体" w:cstheme="minorBidi"/>
                      <w:i w:val="0"/>
                      <w:iCs w:val="0"/>
                      <w:caps w:val="0"/>
                      <w:color w:val="333333"/>
                      <w:spacing w:val="0"/>
                      <w:sz w:val="21"/>
                      <w:szCs w:val="32"/>
                      <w:u w:val="single" w:color="auto"/>
                      <w:shd w:val="clear" w:fill="FFFFFF"/>
                      <w:lang w:val="en-US" w:eastAsia="zh-CN"/>
                    </w:rPr>
                    <w:t>，</w:t>
                  </w:r>
                  <w:r>
                    <w:rPr>
                      <w:rFonts w:hint="default" w:ascii="Times New Roman" w:hAnsi="Times New Roman" w:eastAsia="宋体" w:cstheme="minorBidi"/>
                      <w:i w:val="0"/>
                      <w:iCs w:val="0"/>
                      <w:caps w:val="0"/>
                      <w:color w:val="333333"/>
                      <w:spacing w:val="0"/>
                      <w:sz w:val="21"/>
                      <w:szCs w:val="32"/>
                      <w:u w:val="single" w:color="auto"/>
                      <w:shd w:val="clear" w:fill="FFFFFF"/>
                      <w:lang w:val="en-US" w:eastAsia="zh-CN"/>
                    </w:rPr>
                    <w:t>配套SNCR脱硝技术及高效除尘设备</w:t>
                  </w:r>
                  <w:r>
                    <w:rPr>
                      <w:rFonts w:hint="eastAsia" w:cstheme="minorBidi"/>
                      <w:i w:val="0"/>
                      <w:iCs w:val="0"/>
                      <w:caps w:val="0"/>
                      <w:color w:val="333333"/>
                      <w:spacing w:val="0"/>
                      <w:sz w:val="21"/>
                      <w:szCs w:val="32"/>
                      <w:u w:val="single" w:color="auto"/>
                      <w:shd w:val="clear" w:fill="FFFFFF"/>
                      <w:lang w:val="en-US" w:eastAsia="zh-CN"/>
                    </w:rPr>
                    <w:t>。</w:t>
                  </w:r>
                </w:p>
              </w:tc>
              <w:tc>
                <w:tcPr>
                  <w:tcW w:w="764" w:type="dxa"/>
                  <w:tcBorders>
                    <w:tl2br w:val="nil"/>
                    <w:tr2bl w:val="nil"/>
                  </w:tcBorders>
                  <w:noWrap w:val="0"/>
                  <w:vAlign w:val="center"/>
                </w:tcPr>
                <w:p w14:paraId="7C3769DC">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cstheme="minorBidi"/>
                      <w:i w:val="0"/>
                      <w:iCs w:val="0"/>
                      <w:caps w:val="0"/>
                      <w:color w:val="333333"/>
                      <w:spacing w:val="0"/>
                      <w:sz w:val="21"/>
                      <w:szCs w:val="32"/>
                      <w:u w:val="single" w:color="auto"/>
                      <w:shd w:val="clear" w:fill="FFFFFF"/>
                      <w:lang w:val="en-US" w:eastAsia="zh-CN"/>
                    </w:rPr>
                    <w:t>符合</w:t>
                  </w:r>
                </w:p>
              </w:tc>
            </w:tr>
          </w:tbl>
          <w:p w14:paraId="01FA733D">
            <w:pPr>
              <w:pStyle w:val="35"/>
              <w:ind w:left="0" w:leftChars="0" w:firstLine="482" w:firstLineChars="200"/>
              <w:rPr>
                <w:rFonts w:hint="eastAsia" w:ascii="Times New Roman" w:hAnsi="Times New Roman" w:eastAsia="宋体" w:cs="Times New Roman"/>
                <w:b/>
                <w:bCs/>
                <w:u w:val="single" w:color="auto"/>
                <w:lang w:val="en-US" w:eastAsia="zh-CN"/>
              </w:rPr>
            </w:pPr>
            <w:r>
              <w:rPr>
                <w:rFonts w:hint="eastAsia" w:cs="Times New Roman"/>
                <w:b/>
                <w:bCs/>
                <w:u w:val="single" w:color="auto"/>
                <w:lang w:val="en-US" w:eastAsia="zh-CN"/>
              </w:rPr>
              <w:t>13、</w:t>
            </w:r>
            <w:r>
              <w:rPr>
                <w:rFonts w:hint="eastAsia" w:ascii="Times New Roman" w:hAnsi="Times New Roman" w:eastAsia="宋体" w:cs="Times New Roman"/>
                <w:b/>
                <w:bCs/>
                <w:u w:val="single" w:color="auto"/>
                <w:lang w:val="en-US" w:eastAsia="zh-CN"/>
              </w:rPr>
              <w:t>项目与《湖南省工业治理领域大气污染防治攻坚实施方案》（湘环发〔2023〕63号）符合性分析</w:t>
            </w:r>
          </w:p>
          <w:p w14:paraId="2EADFA93">
            <w:pPr>
              <w:overflowPunct w:val="0"/>
              <w:spacing w:line="240" w:lineRule="auto"/>
              <w:jc w:val="center"/>
              <w:rPr>
                <w:rFonts w:hint="eastAsia" w:ascii="Times New Roman" w:hAnsi="Times New Roman" w:eastAsia="宋体" w:cs="Times New Roman"/>
                <w:b/>
                <w:bCs/>
                <w:sz w:val="21"/>
                <w:szCs w:val="21"/>
                <w:u w:val="single" w:color="auto"/>
              </w:rPr>
            </w:pPr>
            <w:r>
              <w:rPr>
                <w:rFonts w:hint="eastAsia" w:ascii="Times New Roman" w:hAnsi="Times New Roman" w:eastAsia="宋体" w:cs="Times New Roman"/>
                <w:b/>
                <w:bCs/>
                <w:sz w:val="21"/>
                <w:szCs w:val="21"/>
                <w:u w:val="single" w:color="auto"/>
              </w:rPr>
              <w:t>表1-</w:t>
            </w:r>
            <w:r>
              <w:rPr>
                <w:rFonts w:hint="eastAsia" w:ascii="Times New Roman" w:hAnsi="Times New Roman" w:eastAsia="宋体" w:cs="Times New Roman"/>
                <w:b/>
                <w:bCs/>
                <w:sz w:val="21"/>
                <w:szCs w:val="21"/>
                <w:u w:val="single" w:color="auto"/>
                <w:lang w:val="en-US" w:eastAsia="zh-CN"/>
              </w:rPr>
              <w:t>10</w:t>
            </w:r>
            <w:r>
              <w:rPr>
                <w:rFonts w:hint="eastAsia" w:ascii="Times New Roman" w:hAnsi="Times New Roman" w:eastAsia="宋体" w:cs="Times New Roman"/>
                <w:b/>
                <w:bCs/>
                <w:sz w:val="21"/>
                <w:szCs w:val="21"/>
                <w:u w:val="single" w:color="auto"/>
              </w:rPr>
              <w:t xml:space="preserve">  项目与湘环发〔2023〕63号符合性分析一览表</w:t>
            </w:r>
          </w:p>
          <w:tbl>
            <w:tblPr>
              <w:tblStyle w:val="27"/>
              <w:tblW w:w="0" w:type="auto"/>
              <w:tblInd w:w="-1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71"/>
              <w:gridCol w:w="4413"/>
              <w:gridCol w:w="1559"/>
              <w:gridCol w:w="764"/>
            </w:tblGrid>
            <w:tr w14:paraId="1A441F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71" w:type="dxa"/>
                  <w:tcBorders>
                    <w:tl2br w:val="nil"/>
                    <w:tr2bl w:val="nil"/>
                  </w:tcBorders>
                  <w:noWrap w:val="0"/>
                  <w:vAlign w:val="center"/>
                </w:tcPr>
                <w:p w14:paraId="39073122">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序号</w:t>
                  </w:r>
                </w:p>
              </w:tc>
              <w:tc>
                <w:tcPr>
                  <w:tcW w:w="4413" w:type="dxa"/>
                  <w:tcBorders>
                    <w:tl2br w:val="nil"/>
                    <w:tr2bl w:val="nil"/>
                  </w:tcBorders>
                  <w:noWrap w:val="0"/>
                  <w:vAlign w:val="center"/>
                </w:tcPr>
                <w:p w14:paraId="2C15970E">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要求</w:t>
                  </w:r>
                </w:p>
              </w:tc>
              <w:tc>
                <w:tcPr>
                  <w:tcW w:w="1559" w:type="dxa"/>
                  <w:tcBorders>
                    <w:tl2br w:val="nil"/>
                    <w:tr2bl w:val="nil"/>
                  </w:tcBorders>
                  <w:noWrap w:val="0"/>
                  <w:vAlign w:val="center"/>
                </w:tcPr>
                <w:p w14:paraId="12D8664E">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本项目情况</w:t>
                  </w:r>
                </w:p>
              </w:tc>
              <w:tc>
                <w:tcPr>
                  <w:tcW w:w="764" w:type="dxa"/>
                  <w:tcBorders>
                    <w:tl2br w:val="nil"/>
                    <w:tr2bl w:val="nil"/>
                  </w:tcBorders>
                  <w:noWrap w:val="0"/>
                  <w:vAlign w:val="center"/>
                </w:tcPr>
                <w:p w14:paraId="04D9C5E6">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是否符合</w:t>
                  </w:r>
                </w:p>
              </w:tc>
            </w:tr>
            <w:tr w14:paraId="02CD5C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71" w:type="dxa"/>
                  <w:tcBorders>
                    <w:tl2br w:val="nil"/>
                    <w:tr2bl w:val="nil"/>
                  </w:tcBorders>
                  <w:noWrap w:val="0"/>
                  <w:vAlign w:val="center"/>
                </w:tcPr>
                <w:p w14:paraId="5D6AE18C">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1</w:t>
                  </w:r>
                </w:p>
              </w:tc>
              <w:tc>
                <w:tcPr>
                  <w:tcW w:w="4413" w:type="dxa"/>
                  <w:tcBorders>
                    <w:tl2br w:val="nil"/>
                    <w:tr2bl w:val="nil"/>
                  </w:tcBorders>
                  <w:noWrap w:val="0"/>
                  <w:vAlign w:val="center"/>
                </w:tcPr>
                <w:p w14:paraId="2CC3EF1E">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全面开展简易低效处理设施排查与升级改造，推动低效除尘、脱硫、脱硝等治理设施提升改造。各地对采用脱硫脱硝一体化、湿法脱硝、微生物法脱硝等治理工艺的炉窑进行排查抽测，督促不能稳定达标的整改，推动达标无望或治理难度大的改用电能。督促脱硝工程建设较早、技术水平偏低、氨逃逸率较高的炉窑开展脱硝系统升级优化。指导督促企业严格控制氨逃逸，坚决查处脱硝设施擅自停喷氨水、尿素等还原剂的行为；禁止过度喷氨，脱硝设施氨逃逸浓度原则上控制在8毫克/立方米以下。鼓励采用低氮燃烧、选择性催化还原（SCR）、选择性非催化还原（SNCR）等成熟技术。</w:t>
                  </w:r>
                </w:p>
              </w:tc>
              <w:tc>
                <w:tcPr>
                  <w:tcW w:w="1559" w:type="dxa"/>
                  <w:tcBorders>
                    <w:tl2br w:val="nil"/>
                    <w:tr2bl w:val="nil"/>
                  </w:tcBorders>
                  <w:noWrap w:val="0"/>
                  <w:vAlign w:val="center"/>
                </w:tcPr>
                <w:p w14:paraId="2D65601A">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项目燃生物质锅炉采取SNCR脱硝技术。</w:t>
                  </w:r>
                </w:p>
              </w:tc>
              <w:tc>
                <w:tcPr>
                  <w:tcW w:w="764" w:type="dxa"/>
                  <w:tcBorders>
                    <w:tl2br w:val="nil"/>
                    <w:tr2bl w:val="nil"/>
                  </w:tcBorders>
                  <w:noWrap w:val="0"/>
                  <w:vAlign w:val="center"/>
                </w:tcPr>
                <w:p w14:paraId="60D0A0A0">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符合</w:t>
                  </w:r>
                </w:p>
              </w:tc>
            </w:tr>
            <w:tr w14:paraId="6A0B36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71" w:type="dxa"/>
                  <w:tcBorders>
                    <w:tl2br w:val="nil"/>
                    <w:tr2bl w:val="nil"/>
                  </w:tcBorders>
                  <w:noWrap w:val="0"/>
                  <w:vAlign w:val="center"/>
                </w:tcPr>
                <w:p w14:paraId="029C16BE">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2</w:t>
                  </w:r>
                </w:p>
              </w:tc>
              <w:tc>
                <w:tcPr>
                  <w:tcW w:w="4413" w:type="dxa"/>
                  <w:tcBorders>
                    <w:tl2br w:val="nil"/>
                    <w:tr2bl w:val="nil"/>
                  </w:tcBorders>
                  <w:noWrap w:val="0"/>
                  <w:vAlign w:val="center"/>
                </w:tcPr>
                <w:p w14:paraId="67AD14C2">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县级及以上城市建成区原则上不再新建35蒸吨及以下的燃煤锅炉，大力推进使用清洁能源或电厂热力、工业余热等替代锅炉用煤，逐步淘汰热力、燃气管网覆盖范围内的燃煤和生物质锅炉。生物质锅炉使用专用炉具和成型燃料，禁止掺烧其他燃料，配套高效除尘设施，对未纳入淘汰计划的4蒸吨及以上生物质锅炉安装烟气在线监控设施。2023年起，新建燃气锅炉全部采用低氮燃烧器，推进现有燃气锅炉实施低氮燃烧改造，到2025年底，城区燃气锅炉全部完成低氮燃烧改造，NOx 排放浓度控制在50mg/m</w:t>
                  </w:r>
                  <w:r>
                    <w:rPr>
                      <w:rFonts w:hint="eastAsia" w:ascii="Times New Roman" w:hAnsi="Times New Roman" w:eastAsia="宋体" w:cstheme="minorBidi"/>
                      <w:i w:val="0"/>
                      <w:iCs w:val="0"/>
                      <w:caps w:val="0"/>
                      <w:color w:val="333333"/>
                      <w:spacing w:val="0"/>
                      <w:sz w:val="21"/>
                      <w:szCs w:val="32"/>
                      <w:u w:val="single" w:color="auto"/>
                      <w:shd w:val="clear" w:fill="FFFFFF"/>
                      <w:vertAlign w:val="superscript"/>
                    </w:rPr>
                    <w:t>3</w:t>
                  </w:r>
                  <w:r>
                    <w:rPr>
                      <w:rFonts w:hint="eastAsia" w:ascii="Times New Roman" w:hAnsi="Times New Roman" w:eastAsia="宋体" w:cstheme="minorBidi"/>
                      <w:i w:val="0"/>
                      <w:iCs w:val="0"/>
                      <w:caps w:val="0"/>
                      <w:color w:val="333333"/>
                      <w:spacing w:val="0"/>
                      <w:sz w:val="21"/>
                      <w:szCs w:val="32"/>
                      <w:u w:val="single" w:color="auto"/>
                      <w:shd w:val="clear" w:fill="FFFFFF"/>
                    </w:rPr>
                    <w:t>以内；65蒸吨以上的燃煤锅炉全部完成超低排放改造，NOx、SO</w:t>
                  </w:r>
                  <w:r>
                    <w:rPr>
                      <w:rFonts w:hint="eastAsia" w:ascii="Times New Roman" w:hAnsi="Times New Roman" w:eastAsia="宋体" w:cstheme="minorBidi"/>
                      <w:i w:val="0"/>
                      <w:iCs w:val="0"/>
                      <w:caps w:val="0"/>
                      <w:color w:val="333333"/>
                      <w:spacing w:val="0"/>
                      <w:sz w:val="21"/>
                      <w:szCs w:val="32"/>
                      <w:u w:val="single" w:color="auto"/>
                      <w:shd w:val="clear" w:fill="FFFFFF"/>
                      <w:vertAlign w:val="subscript"/>
                    </w:rPr>
                    <w:t>2</w:t>
                  </w:r>
                  <w:r>
                    <w:rPr>
                      <w:rFonts w:hint="eastAsia" w:ascii="Times New Roman" w:hAnsi="Times New Roman" w:eastAsia="宋体" w:cstheme="minorBidi"/>
                      <w:i w:val="0"/>
                      <w:iCs w:val="0"/>
                      <w:caps w:val="0"/>
                      <w:color w:val="333333"/>
                      <w:spacing w:val="0"/>
                      <w:sz w:val="21"/>
                      <w:szCs w:val="32"/>
                      <w:u w:val="single" w:color="auto"/>
                      <w:shd w:val="clear" w:fill="FFFFFF"/>
                    </w:rPr>
                    <w:t>、颗粒物排放浓度分别控制在50、35、10mg/m</w:t>
                  </w:r>
                  <w:r>
                    <w:rPr>
                      <w:rFonts w:hint="eastAsia" w:ascii="Times New Roman" w:hAnsi="Times New Roman" w:eastAsia="宋体" w:cstheme="minorBidi"/>
                      <w:i w:val="0"/>
                      <w:iCs w:val="0"/>
                      <w:caps w:val="0"/>
                      <w:color w:val="333333"/>
                      <w:spacing w:val="0"/>
                      <w:sz w:val="21"/>
                      <w:szCs w:val="32"/>
                      <w:u w:val="single" w:color="auto"/>
                      <w:shd w:val="clear" w:fill="FFFFFF"/>
                      <w:vertAlign w:val="superscript"/>
                    </w:rPr>
                    <w:t>3</w:t>
                  </w:r>
                  <w:r>
                    <w:rPr>
                      <w:rFonts w:hint="eastAsia" w:ascii="Times New Roman" w:hAnsi="Times New Roman" w:eastAsia="宋体" w:cstheme="minorBidi"/>
                      <w:i w:val="0"/>
                      <w:iCs w:val="0"/>
                      <w:caps w:val="0"/>
                      <w:color w:val="333333"/>
                      <w:spacing w:val="0"/>
                      <w:sz w:val="21"/>
                      <w:szCs w:val="32"/>
                      <w:u w:val="single" w:color="auto"/>
                      <w:shd w:val="clear" w:fill="FFFFFF"/>
                    </w:rPr>
                    <w:t>以内。</w:t>
                  </w:r>
                </w:p>
              </w:tc>
              <w:tc>
                <w:tcPr>
                  <w:tcW w:w="1559" w:type="dxa"/>
                  <w:tcBorders>
                    <w:tl2br w:val="nil"/>
                    <w:tr2bl w:val="nil"/>
                  </w:tcBorders>
                  <w:noWrap w:val="0"/>
                  <w:vAlign w:val="center"/>
                </w:tcPr>
                <w:p w14:paraId="15E0FBBE">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项目位于泥江口镇，镇区暂未开通天然气，本项目锅炉为</w:t>
                  </w:r>
                  <w:r>
                    <w:rPr>
                      <w:rFonts w:hint="eastAsia" w:cstheme="minorBidi"/>
                      <w:i w:val="0"/>
                      <w:iCs w:val="0"/>
                      <w:caps w:val="0"/>
                      <w:color w:val="333333"/>
                      <w:spacing w:val="0"/>
                      <w:sz w:val="21"/>
                      <w:szCs w:val="32"/>
                      <w:u w:val="single" w:color="auto"/>
                      <w:shd w:val="clear" w:fill="FFFFFF"/>
                      <w:lang w:val="en-US" w:eastAsia="zh-CN"/>
                    </w:rPr>
                    <w:t>2.5</w:t>
                  </w:r>
                  <w:r>
                    <w:rPr>
                      <w:rFonts w:hint="eastAsia" w:ascii="Times New Roman" w:hAnsi="Times New Roman" w:eastAsia="宋体" w:cstheme="minorBidi"/>
                      <w:i w:val="0"/>
                      <w:iCs w:val="0"/>
                      <w:caps w:val="0"/>
                      <w:color w:val="333333"/>
                      <w:spacing w:val="0"/>
                      <w:sz w:val="21"/>
                      <w:szCs w:val="32"/>
                      <w:u w:val="single" w:color="auto"/>
                      <w:shd w:val="clear" w:fill="FFFFFF"/>
                    </w:rPr>
                    <w:t>蒸吨锅炉，不使用燃煤锅炉，采用燃生物质锅炉，使用成型生物质颗粒作为燃料。</w:t>
                  </w:r>
                  <w:bookmarkStart w:id="8" w:name="OLE_LINK24"/>
                  <w:r>
                    <w:rPr>
                      <w:rFonts w:hint="eastAsia" w:ascii="Times New Roman" w:hAnsi="Times New Roman" w:eastAsia="宋体" w:cstheme="minorBidi"/>
                      <w:i w:val="0"/>
                      <w:iCs w:val="0"/>
                      <w:caps w:val="0"/>
                      <w:color w:val="333333"/>
                      <w:spacing w:val="0"/>
                      <w:sz w:val="21"/>
                      <w:szCs w:val="32"/>
                      <w:u w:val="single" w:color="auto"/>
                      <w:shd w:val="clear" w:fill="FFFFFF"/>
                    </w:rPr>
                    <w:t>配套SNCR脱硝技术及高效除尘设备</w:t>
                  </w:r>
                  <w:bookmarkEnd w:id="8"/>
                  <w:r>
                    <w:rPr>
                      <w:rFonts w:hint="eastAsia" w:ascii="Times New Roman" w:hAnsi="Times New Roman" w:eastAsia="宋体" w:cstheme="minorBidi"/>
                      <w:i w:val="0"/>
                      <w:iCs w:val="0"/>
                      <w:caps w:val="0"/>
                      <w:color w:val="333333"/>
                      <w:spacing w:val="0"/>
                      <w:sz w:val="21"/>
                      <w:szCs w:val="32"/>
                      <w:u w:val="single" w:color="auto"/>
                      <w:shd w:val="clear" w:fill="FFFFFF"/>
                    </w:rPr>
                    <w:t>。</w:t>
                  </w:r>
                </w:p>
              </w:tc>
              <w:tc>
                <w:tcPr>
                  <w:tcW w:w="764" w:type="dxa"/>
                  <w:tcBorders>
                    <w:tl2br w:val="nil"/>
                    <w:tr2bl w:val="nil"/>
                  </w:tcBorders>
                  <w:noWrap w:val="0"/>
                  <w:vAlign w:val="center"/>
                </w:tcPr>
                <w:p w14:paraId="691D5ADA">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符合</w:t>
                  </w:r>
                </w:p>
              </w:tc>
            </w:tr>
          </w:tbl>
          <w:p w14:paraId="445719ED">
            <w:pPr>
              <w:pStyle w:val="35"/>
              <w:ind w:firstLine="480"/>
              <w:rPr>
                <w:rFonts w:hint="default" w:ascii="Times New Roman" w:hAnsi="Times New Roman" w:eastAsia="宋体" w:cs="Times New Roman"/>
                <w:b/>
                <w:bCs/>
                <w:color w:val="auto"/>
                <w:u w:val="single" w:color="auto"/>
                <w:lang w:val="en-US" w:eastAsia="zh-CN"/>
              </w:rPr>
            </w:pPr>
            <w:r>
              <w:rPr>
                <w:rFonts w:hint="eastAsia" w:cs="Times New Roman"/>
                <w:b/>
                <w:bCs/>
                <w:color w:val="auto"/>
                <w:u w:val="single" w:color="auto"/>
                <w:lang w:val="en-US" w:eastAsia="zh-CN"/>
              </w:rPr>
              <w:t>14、项目与《关于加强重点城市大气污染联防联控的若干措施》的符合性分析</w:t>
            </w:r>
          </w:p>
          <w:p w14:paraId="4A4396B5">
            <w:pPr>
              <w:pStyle w:val="35"/>
              <w:ind w:firstLine="480"/>
              <w:rPr>
                <w:rFonts w:hint="default" w:ascii="Times New Roman" w:hAnsi="Times New Roman" w:eastAsia="宋体" w:cs="Times New Roman"/>
                <w:b w:val="0"/>
                <w:bCs w:val="0"/>
                <w:color w:val="auto"/>
                <w:u w:val="single" w:color="auto"/>
                <w:lang w:val="en-US" w:eastAsia="zh-CN"/>
              </w:rPr>
            </w:pPr>
            <w:r>
              <w:rPr>
                <w:rFonts w:hint="eastAsia" w:ascii="Times New Roman" w:hAnsi="Times New Roman" w:eastAsia="宋体" w:cs="Times New Roman"/>
                <w:b w:val="0"/>
                <w:bCs w:val="0"/>
                <w:color w:val="auto"/>
                <w:u w:val="single" w:color="auto"/>
                <w:lang w:val="en-US" w:eastAsia="zh-CN"/>
              </w:rPr>
              <w:t>《关于加强重点城市大气污染联防联控的若干措施》中的“</w:t>
            </w:r>
            <w:r>
              <w:rPr>
                <w:rFonts w:hint="eastAsia" w:cs="Times New Roman"/>
                <w:b w:val="0"/>
                <w:bCs w:val="0"/>
                <w:color w:val="auto"/>
                <w:u w:val="single" w:color="auto"/>
                <w:lang w:val="en-US" w:eastAsia="zh-CN"/>
              </w:rPr>
              <w:t>二</w:t>
            </w:r>
            <w:r>
              <w:rPr>
                <w:rFonts w:hint="eastAsia" w:ascii="Times New Roman" w:hAnsi="Times New Roman" w:eastAsia="宋体" w:cs="Times New Roman"/>
                <w:b w:val="0"/>
                <w:bCs w:val="0"/>
                <w:color w:val="auto"/>
                <w:u w:val="single" w:color="auto"/>
                <w:lang w:val="en-US" w:eastAsia="zh-CN"/>
              </w:rPr>
              <w:t>、</w:t>
            </w:r>
            <w:r>
              <w:rPr>
                <w:rFonts w:hint="eastAsia" w:cs="Times New Roman"/>
                <w:b w:val="0"/>
                <w:bCs w:val="0"/>
                <w:color w:val="auto"/>
                <w:u w:val="single" w:color="auto"/>
                <w:lang w:val="en-US" w:eastAsia="zh-CN"/>
              </w:rPr>
              <w:t>能源结构联优</w:t>
            </w:r>
          </w:p>
          <w:p w14:paraId="4179BA49">
            <w:pPr>
              <w:pStyle w:val="35"/>
              <w:numPr>
                <w:ilvl w:val="0"/>
                <w:numId w:val="0"/>
              </w:numPr>
              <w:ind w:firstLine="480" w:firstLineChars="200"/>
              <w:rPr>
                <w:rFonts w:hint="default" w:ascii="Times New Roman" w:hAnsi="Times New Roman" w:eastAsia="宋体" w:cs="Times New Roman"/>
                <w:kern w:val="0"/>
                <w:sz w:val="24"/>
                <w:szCs w:val="24"/>
                <w:u w:val="single" w:color="auto"/>
                <w:lang w:val="en-US" w:eastAsia="zh-CN" w:bidi="ar"/>
              </w:rPr>
            </w:pPr>
            <w:r>
              <w:rPr>
                <w:rFonts w:hint="eastAsia" w:ascii="宋体" w:hAnsi="宋体" w:cs="宋体"/>
                <w:kern w:val="0"/>
                <w:sz w:val="24"/>
                <w:szCs w:val="24"/>
                <w:u w:val="single" w:color="auto"/>
                <w:lang w:val="en-US" w:eastAsia="zh-CN" w:bidi="ar"/>
              </w:rPr>
              <w:t>（四）</w:t>
            </w:r>
            <w:r>
              <w:rPr>
                <w:rFonts w:hint="eastAsia" w:ascii="宋体" w:hAnsi="宋体" w:eastAsia="宋体" w:cs="宋体"/>
                <w:kern w:val="0"/>
                <w:sz w:val="24"/>
                <w:szCs w:val="24"/>
                <w:u w:val="single" w:color="auto"/>
                <w:lang w:val="en-US" w:eastAsia="zh-CN" w:bidi="ar"/>
              </w:rPr>
              <w:t>加强锅炉综合整治</w:t>
            </w:r>
            <w:r>
              <w:rPr>
                <w:rFonts w:hint="eastAsia" w:ascii="宋体" w:hAnsi="宋体" w:cs="宋体"/>
                <w:kern w:val="0"/>
                <w:sz w:val="24"/>
                <w:szCs w:val="24"/>
                <w:u w:val="single" w:color="auto"/>
                <w:lang w:val="en-US" w:eastAsia="zh-CN" w:bidi="ar"/>
              </w:rPr>
              <w:t>。</w:t>
            </w:r>
            <w:r>
              <w:rPr>
                <w:rFonts w:hint="eastAsia" w:ascii="宋体" w:hAnsi="宋体" w:eastAsia="宋体" w:cs="宋体"/>
                <w:kern w:val="0"/>
                <w:sz w:val="24"/>
                <w:szCs w:val="24"/>
                <w:u w:val="single" w:color="auto"/>
                <w:lang w:val="en-US" w:eastAsia="zh-CN" w:bidi="ar"/>
              </w:rPr>
              <w:t>建立“清洁发电、绿色调度”机制，提高高效清洁煤电机组负荷率。提</w:t>
            </w:r>
            <w:r>
              <w:rPr>
                <w:rFonts w:hint="default" w:ascii="Times New Roman" w:hAnsi="Times New Roman" w:eastAsia="宋体" w:cs="Times New Roman"/>
                <w:kern w:val="0"/>
                <w:sz w:val="24"/>
                <w:szCs w:val="24"/>
                <w:u w:val="single" w:color="auto"/>
                <w:lang w:val="en-US" w:eastAsia="zh-CN" w:bidi="ar"/>
              </w:rPr>
              <w:t>升电力用煤绩效，支持符合全省电力系统需要、服役30年以上、供电煤耗300克/千瓦时以上的30万千瓦老旧煤电机组“上大压小”建设超超临界机组。燃气管网覆盖范围内不再新建生物质锅炉，支持城镇开发边界内的生物质锅</w:t>
            </w:r>
            <w:r>
              <w:rPr>
                <w:rFonts w:hint="eastAsia" w:ascii="宋体" w:hAnsi="宋体" w:eastAsia="宋体" w:cs="宋体"/>
                <w:kern w:val="0"/>
                <w:sz w:val="24"/>
                <w:szCs w:val="24"/>
                <w:u w:val="single" w:color="auto"/>
                <w:lang w:val="en-US" w:eastAsia="zh-CN" w:bidi="ar"/>
              </w:rPr>
              <w:t>炉开展超低排放改造。供热需求量大、小锅炉集中的园区规划建设集中供热设施，充分</w:t>
            </w:r>
            <w:r>
              <w:rPr>
                <w:rFonts w:hint="default" w:ascii="Times New Roman" w:hAnsi="Times New Roman" w:eastAsia="宋体" w:cs="Times New Roman"/>
                <w:kern w:val="0"/>
                <w:sz w:val="24"/>
                <w:szCs w:val="24"/>
                <w:u w:val="single" w:color="auto"/>
                <w:lang w:val="en-US" w:eastAsia="zh-CN" w:bidi="ar"/>
              </w:rPr>
              <w:t>发挥30万千瓦及以上热电联产电厂供热能力，加快供热半径30公里范围内管网建设。到2027年，35蒸吨/小时及以下燃煤锅炉和供热管网覆盖范围内未达到超低排放要求的生物质锅炉应关停或整合。</w:t>
            </w:r>
          </w:p>
          <w:p w14:paraId="0BE3BD70">
            <w:pPr>
              <w:pStyle w:val="35"/>
              <w:numPr>
                <w:ilvl w:val="0"/>
                <w:numId w:val="0"/>
              </w:numPr>
              <w:ind w:firstLine="480" w:firstLineChars="200"/>
              <w:rPr>
                <w:rFonts w:hint="default" w:ascii="Times New Roman" w:hAnsi="Times New Roman" w:eastAsia="宋体" w:cs="Times New Roman"/>
                <w:kern w:val="0"/>
                <w:sz w:val="24"/>
                <w:szCs w:val="24"/>
                <w:u w:val="single" w:color="auto"/>
                <w:lang w:val="en-US" w:eastAsia="zh-CN" w:bidi="ar"/>
              </w:rPr>
            </w:pPr>
            <w:r>
              <w:rPr>
                <w:rFonts w:hint="default" w:ascii="Times New Roman" w:hAnsi="Times New Roman" w:eastAsia="宋体" w:cs="Times New Roman"/>
                <w:kern w:val="0"/>
                <w:sz w:val="24"/>
                <w:szCs w:val="24"/>
                <w:u w:val="single" w:color="auto"/>
                <w:lang w:val="en-US" w:eastAsia="zh-CN" w:bidi="ar"/>
              </w:rPr>
              <w:t>项目位于泥江口镇，镇区暂未开通天然气，本项目锅炉为2.5蒸吨锅炉，不使用燃煤锅炉，采用燃生物质锅炉，使用成型生物质颗粒作为燃料</w:t>
            </w:r>
            <w:r>
              <w:rPr>
                <w:rFonts w:hint="eastAsia" w:ascii="Times New Roman" w:hAnsi="Times New Roman" w:cs="Times New Roman"/>
                <w:kern w:val="0"/>
                <w:sz w:val="24"/>
                <w:szCs w:val="24"/>
                <w:u w:val="single" w:color="auto"/>
                <w:lang w:val="en-US" w:eastAsia="zh-CN" w:bidi="ar"/>
              </w:rPr>
              <w:t>，</w:t>
            </w:r>
            <w:r>
              <w:rPr>
                <w:rFonts w:hint="default" w:ascii="Times New Roman" w:hAnsi="Times New Roman" w:eastAsia="宋体" w:cs="Times New Roman"/>
                <w:kern w:val="0"/>
                <w:sz w:val="24"/>
                <w:szCs w:val="24"/>
                <w:u w:val="single" w:color="auto"/>
                <w:lang w:val="en-US" w:eastAsia="zh-CN" w:bidi="ar"/>
              </w:rPr>
              <w:t>配套SNCR脱硝技术及高效除尘设备</w:t>
            </w:r>
            <w:r>
              <w:rPr>
                <w:rFonts w:hint="eastAsia" w:ascii="Times New Roman" w:hAnsi="Times New Roman" w:cs="Times New Roman"/>
                <w:kern w:val="0"/>
                <w:sz w:val="24"/>
                <w:szCs w:val="24"/>
                <w:u w:val="single" w:color="auto"/>
                <w:lang w:val="en-US" w:eastAsia="zh-CN" w:bidi="ar"/>
              </w:rPr>
              <w:t>，</w:t>
            </w:r>
            <w:r>
              <w:rPr>
                <w:rFonts w:hint="default" w:ascii="Times New Roman" w:hAnsi="Times New Roman" w:eastAsia="宋体" w:cs="Times New Roman"/>
                <w:kern w:val="0"/>
                <w:sz w:val="24"/>
                <w:szCs w:val="24"/>
                <w:u w:val="single" w:color="auto"/>
                <w:lang w:val="en-US" w:eastAsia="zh-CN" w:bidi="ar"/>
              </w:rPr>
              <w:t>与《关于加强重点城市大气污染联防联控的若干措施》相符。</w:t>
            </w:r>
          </w:p>
          <w:p w14:paraId="257E6DF5">
            <w:pPr>
              <w:pStyle w:val="35"/>
              <w:ind w:firstLine="480"/>
              <w:rPr>
                <w:rFonts w:hint="eastAsia" w:ascii="Times New Roman" w:hAnsi="Times New Roman" w:eastAsia="宋体" w:cs="Times New Roman"/>
                <w:b/>
                <w:bCs/>
                <w:color w:val="auto"/>
                <w:u w:val="none" w:color="auto"/>
                <w:lang w:val="en-US" w:eastAsia="zh-CN"/>
              </w:rPr>
            </w:pPr>
            <w:r>
              <w:rPr>
                <w:rFonts w:hint="eastAsia" w:ascii="Times New Roman" w:hAnsi="Times New Roman" w:eastAsia="宋体" w:cs="Times New Roman"/>
                <w:b/>
                <w:bCs/>
                <w:color w:val="auto"/>
                <w:u w:val="none" w:color="auto"/>
                <w:lang w:val="en-US" w:eastAsia="zh-CN"/>
              </w:rPr>
              <w:t>1</w:t>
            </w:r>
            <w:r>
              <w:rPr>
                <w:rFonts w:hint="eastAsia" w:cs="Times New Roman"/>
                <w:b/>
                <w:bCs/>
                <w:color w:val="auto"/>
                <w:u w:val="none" w:color="auto"/>
                <w:lang w:val="en-US" w:eastAsia="zh-CN"/>
              </w:rPr>
              <w:t>5</w:t>
            </w:r>
            <w:r>
              <w:rPr>
                <w:rFonts w:hint="eastAsia" w:ascii="Times New Roman" w:hAnsi="Times New Roman" w:eastAsia="宋体" w:cs="Times New Roman"/>
                <w:b/>
                <w:bCs/>
                <w:color w:val="auto"/>
                <w:u w:val="none" w:color="auto"/>
                <w:lang w:val="en-US" w:eastAsia="zh-CN"/>
              </w:rPr>
              <w:t>、项目选址合理性分析</w:t>
            </w:r>
          </w:p>
          <w:p w14:paraId="36B8B366">
            <w:pPr>
              <w:keepNext w:val="0"/>
              <w:keepLines w:val="0"/>
              <w:widowControl/>
              <w:suppressLineNumbers w:val="0"/>
              <w:spacing w:line="360" w:lineRule="auto"/>
              <w:ind w:firstLine="480" w:firstLineChars="20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本项目选址于湖南省益阳市赫山区泥江口镇水满村，用地</w:t>
            </w:r>
            <w:r>
              <w:rPr>
                <w:rFonts w:hint="eastAsia" w:ascii="宋体" w:hAnsi="宋体" w:eastAsia="宋体" w:cs="宋体"/>
                <w:kern w:val="0"/>
                <w:sz w:val="24"/>
                <w:szCs w:val="24"/>
                <w:lang w:val="en-US" w:eastAsia="zh-CN" w:bidi="ar"/>
              </w:rPr>
              <w:t>性质</w:t>
            </w:r>
            <w:r>
              <w:rPr>
                <w:rFonts w:ascii="宋体" w:hAnsi="宋体" w:eastAsia="宋体" w:cs="宋体"/>
                <w:kern w:val="0"/>
                <w:sz w:val="24"/>
                <w:szCs w:val="24"/>
                <w:lang w:val="en-US" w:eastAsia="zh-CN" w:bidi="ar"/>
              </w:rPr>
              <w:t>为工业用地，符合当地国土空间及土地利用相关规划，用地合法合规且能够满足项目生产及配套设施建设需求；项目所在地泥江口镇竹林资源储量丰富、楠竹品质优异，作为湖南省重要楠竹主产区，可为本项目提供稳定优质的原材料，就近取材不仅保障生产需求，还能节约运输成本、减少运输污染。同时区域地表水、空气、声环境质量均满足对应功能区管控要求，具备相应的环境承载能力，且周边未涉及饮用水水源保护区、风景名胜区等特殊敏感目标。</w:t>
            </w:r>
          </w:p>
          <w:p w14:paraId="0F75F9C5">
            <w:pPr>
              <w:keepNext w:val="0"/>
              <w:keepLines w:val="0"/>
              <w:widowControl/>
              <w:suppressLineNumbers w:val="0"/>
              <w:spacing w:line="360" w:lineRule="auto"/>
              <w:ind w:firstLine="480" w:firstLineChars="200"/>
              <w:jc w:val="left"/>
            </w:pPr>
            <w:r>
              <w:rPr>
                <w:rFonts w:ascii="宋体" w:hAnsi="宋体" w:eastAsia="宋体" w:cs="宋体"/>
                <w:kern w:val="0"/>
                <w:sz w:val="24"/>
                <w:szCs w:val="24"/>
                <w:lang w:val="en-US" w:eastAsia="zh-CN" w:bidi="ar"/>
              </w:rPr>
              <w:t>项目生产工艺简单，运营过程中产生的废水、废气、噪声及固废均可采取成熟有效的环保治理措施，在落实本环评及工程设计提出的各项污染防治措施后，各类污染物可稳定达标排放，固体废物可得到综合利用与妥善处置，项目建设运营对周边生态环境及敏感保护目标影响较小，整体影响处于可接受范围。</w:t>
            </w:r>
            <w:r>
              <w:rPr>
                <w:rFonts w:hint="eastAsia" w:ascii="宋体" w:hAnsi="宋体" w:eastAsia="宋体" w:cs="宋体"/>
                <w:kern w:val="0"/>
                <w:sz w:val="24"/>
                <w:szCs w:val="24"/>
                <w:lang w:val="en-US" w:eastAsia="zh-CN" w:bidi="ar"/>
              </w:rPr>
              <w:t>因此，</w:t>
            </w:r>
            <w:r>
              <w:rPr>
                <w:rFonts w:ascii="宋体" w:hAnsi="宋体" w:eastAsia="宋体" w:cs="宋体"/>
                <w:kern w:val="0"/>
                <w:sz w:val="24"/>
                <w:szCs w:val="24"/>
                <w:lang w:val="en-US" w:eastAsia="zh-CN" w:bidi="ar"/>
              </w:rPr>
              <w:t>本项目选址</w:t>
            </w:r>
            <w:r>
              <w:rPr>
                <w:rFonts w:hint="eastAsia" w:ascii="宋体" w:hAnsi="宋体" w:eastAsia="宋体" w:cs="宋体"/>
                <w:kern w:val="0"/>
                <w:sz w:val="24"/>
                <w:szCs w:val="24"/>
                <w:lang w:val="en-US" w:eastAsia="zh-CN" w:bidi="ar"/>
              </w:rPr>
              <w:t>可行</w:t>
            </w:r>
            <w:r>
              <w:rPr>
                <w:rFonts w:ascii="宋体" w:hAnsi="宋体" w:eastAsia="宋体" w:cs="宋体"/>
                <w:kern w:val="0"/>
                <w:sz w:val="24"/>
                <w:szCs w:val="24"/>
                <w:lang w:val="en-US" w:eastAsia="zh-CN" w:bidi="ar"/>
              </w:rPr>
              <w:t>。</w:t>
            </w:r>
          </w:p>
          <w:p w14:paraId="04CD2A3D">
            <w:pPr>
              <w:keepNext w:val="0"/>
              <w:keepLines w:val="0"/>
              <w:widowControl/>
              <w:suppressLineNumbers w:val="0"/>
              <w:ind w:firstLine="420" w:firstLineChars="200"/>
              <w:jc w:val="left"/>
            </w:pPr>
          </w:p>
          <w:p w14:paraId="7A83A34B">
            <w:pPr>
              <w:keepNext w:val="0"/>
              <w:keepLines w:val="0"/>
              <w:widowControl/>
              <w:suppressLineNumbers w:val="0"/>
              <w:jc w:val="left"/>
            </w:pPr>
          </w:p>
          <w:p w14:paraId="50322591">
            <w:pPr>
              <w:pStyle w:val="35"/>
              <w:ind w:left="0" w:leftChars="0" w:firstLine="0" w:firstLineChars="0"/>
              <w:rPr>
                <w:rFonts w:hint="default" w:ascii="Times New Roman" w:hAnsi="Times New Roman" w:eastAsia="宋体" w:cs="Times New Roman"/>
                <w:u w:val="none" w:color="auto"/>
                <w:lang w:val="en-US" w:eastAsia="zh-CN"/>
              </w:rPr>
            </w:pPr>
          </w:p>
        </w:tc>
      </w:tr>
    </w:tbl>
    <w:p w14:paraId="218DF333">
      <w:pPr>
        <w:pStyle w:val="35"/>
        <w:ind w:firstLine="0" w:firstLineChars="0"/>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768A7D74">
      <w:pPr>
        <w:pStyle w:val="39"/>
        <w:ind w:left="0" w:leftChars="0" w:right="0" w:rightChars="0" w:firstLine="0" w:firstLineChars="0"/>
        <w:jc w:val="center"/>
      </w:pPr>
      <w:bookmarkStart w:id="9" w:name="_Toc12040"/>
      <w:bookmarkStart w:id="10" w:name="_Toc9313"/>
      <w:bookmarkStart w:id="11" w:name="_Toc4554"/>
      <w:bookmarkStart w:id="12" w:name="_Toc29345"/>
      <w:bookmarkStart w:id="13" w:name="_Toc14486"/>
      <w:bookmarkStart w:id="14" w:name="_Toc8611"/>
      <w:bookmarkStart w:id="15" w:name="_Toc4831"/>
      <w:r>
        <w:rPr>
          <w:rFonts w:hint="eastAsia"/>
        </w:rPr>
        <w:t>二、建设项目工程分析</w:t>
      </w:r>
      <w:bookmarkEnd w:id="9"/>
      <w:bookmarkEnd w:id="10"/>
      <w:bookmarkEnd w:id="11"/>
      <w:bookmarkEnd w:id="12"/>
      <w:bookmarkEnd w:id="13"/>
      <w:bookmarkEnd w:id="14"/>
      <w:bookmarkEnd w:id="15"/>
    </w:p>
    <w:tbl>
      <w:tblPr>
        <w:tblStyle w:val="28"/>
        <w:tblW w:w="885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8074"/>
      </w:tblGrid>
      <w:tr w14:paraId="65240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0" w:hRule="atLeast"/>
        </w:trPr>
        <w:tc>
          <w:tcPr>
            <w:tcW w:w="777" w:type="dxa"/>
            <w:vAlign w:val="center"/>
          </w:tcPr>
          <w:p w14:paraId="39FBC307">
            <w:pPr>
              <w:pStyle w:val="36"/>
              <w:rPr>
                <w:u w:val="none" w:color="auto"/>
              </w:rPr>
            </w:pPr>
            <w:r>
              <w:rPr>
                <w:rFonts w:hint="eastAsia"/>
                <w:u w:val="none" w:color="auto"/>
              </w:rPr>
              <w:t>建设内容</w:t>
            </w:r>
          </w:p>
        </w:tc>
        <w:tc>
          <w:tcPr>
            <w:tcW w:w="8074" w:type="dxa"/>
          </w:tcPr>
          <w:p w14:paraId="0A75AF00">
            <w:pPr>
              <w:pStyle w:val="35"/>
              <w:ind w:firstLine="482"/>
              <w:rPr>
                <w:b/>
                <w:bCs/>
                <w:u w:val="none" w:color="auto"/>
              </w:rPr>
            </w:pPr>
            <w:r>
              <w:rPr>
                <w:rFonts w:hint="eastAsia"/>
                <w:b/>
                <w:bCs/>
                <w:u w:val="none" w:color="auto"/>
              </w:rPr>
              <w:t>1、项目由来</w:t>
            </w:r>
          </w:p>
          <w:p w14:paraId="5FA4759F">
            <w:pPr>
              <w:pStyle w:val="35"/>
              <w:ind w:firstLine="482"/>
              <w:rPr>
                <w:rFonts w:hint="eastAsia" w:ascii="Times New Roman" w:hAnsi="Times New Roman" w:eastAsia="宋体" w:cs="Times New Roman"/>
                <w:kern w:val="2"/>
                <w:sz w:val="24"/>
                <w:szCs w:val="24"/>
                <w:u w:val="none" w:color="auto"/>
                <w:lang w:val="en-US" w:eastAsia="zh-CN" w:bidi="ar-SA"/>
              </w:rPr>
            </w:pPr>
            <w:r>
              <w:rPr>
                <w:rFonts w:hint="eastAsia" w:ascii="Times New Roman" w:hAnsi="Times New Roman" w:eastAsia="宋体" w:cs="Times New Roman"/>
                <w:kern w:val="2"/>
                <w:sz w:val="24"/>
                <w:szCs w:val="24"/>
                <w:u w:val="none" w:color="auto"/>
                <w:lang w:val="en-US" w:eastAsia="zh-CN" w:bidi="ar-SA"/>
              </w:rPr>
              <w:t>益阳市赫山区泥江口镇区域林业资源得天独厚，境内竹林资源储量丰富，楠竹品质优良、取材便捷，是湖南省重要的楠竹主产区。依托丰富的竹木原材料资源、优越的地理位置及成熟的竹木加工产业基础，当地竹木加工行业已形成完整产业链，产业发展优势显著。随着国民消费水平不断提升，一次性竹制餐具凭借绿色环保、天然健康、性价比高等优势，广泛应用于餐饮行业、家庭日常消费、外卖配送等多个领域，市场需求量逐年稳步增长，行业发展前景广阔。</w:t>
            </w:r>
          </w:p>
          <w:p w14:paraId="15B723C6">
            <w:pPr>
              <w:pStyle w:val="35"/>
              <w:ind w:firstLine="482"/>
            </w:pPr>
            <w:r>
              <w:rPr>
                <w:rFonts w:hint="eastAsia" w:ascii="Times New Roman" w:hAnsi="Times New Roman" w:eastAsia="宋体" w:cs="Times New Roman"/>
                <w:kern w:val="2"/>
                <w:sz w:val="24"/>
                <w:szCs w:val="24"/>
                <w:u w:val="none" w:color="auto"/>
                <w:lang w:val="en-US" w:eastAsia="zh-CN" w:bidi="ar-SA"/>
              </w:rPr>
              <w:t>为充分盘活区域优质楠竹资源，深度挖掘竹制品行业市场潜力，延伸本地竹木加工产业链条，同时满足市场对于高品质竹筷产品的供需缺口，益阳市赫山区湘泰竹木制品有限公司紧抓行业发展机遇，结合企业自身发展规划，拟投资200万元，于湖南省益阳市赫山区泥江口镇水满村新建年产2000吨竹筷生产项目。项目生产配套设备主要包含断料机、开片机、拉丝机、成型机、烘干机、</w:t>
            </w:r>
            <w:r>
              <w:rPr>
                <w:rFonts w:hint="eastAsia" w:ascii="Times New Roman" w:hAnsi="Times New Roman" w:cs="Times New Roman"/>
                <w:kern w:val="2"/>
                <w:sz w:val="24"/>
                <w:szCs w:val="24"/>
                <w:u w:val="none" w:color="auto"/>
                <w:lang w:val="en-US" w:eastAsia="zh-CN" w:bidi="ar-SA"/>
              </w:rPr>
              <w:t>蒸汽杀菌锅</w:t>
            </w:r>
            <w:r>
              <w:rPr>
                <w:rFonts w:hint="eastAsia" w:ascii="Times New Roman" w:hAnsi="Times New Roman" w:eastAsia="宋体" w:cs="Times New Roman"/>
                <w:kern w:val="2"/>
                <w:sz w:val="24"/>
                <w:szCs w:val="24"/>
                <w:u w:val="none" w:color="auto"/>
                <w:lang w:val="en-US" w:eastAsia="zh-CN" w:bidi="ar-SA"/>
              </w:rPr>
              <w:t>等生产设备，并配置1台2.5t/h生物质蒸汽锅炉，为项目</w:t>
            </w:r>
            <w:r>
              <w:rPr>
                <w:rFonts w:hint="eastAsia" w:cs="Times New Roman"/>
                <w:kern w:val="2"/>
                <w:sz w:val="24"/>
                <w:szCs w:val="24"/>
                <w:u w:val="none" w:color="auto"/>
                <w:lang w:val="en-US" w:eastAsia="zh-CN" w:bidi="ar-SA"/>
              </w:rPr>
              <w:t>杀菌</w:t>
            </w:r>
            <w:r>
              <w:rPr>
                <w:rFonts w:hint="eastAsia" w:ascii="Times New Roman" w:hAnsi="Times New Roman" w:eastAsia="宋体" w:cs="Times New Roman"/>
                <w:kern w:val="2"/>
                <w:sz w:val="24"/>
                <w:szCs w:val="24"/>
                <w:u w:val="none" w:color="auto"/>
                <w:lang w:val="en-US" w:eastAsia="zh-CN" w:bidi="ar-SA"/>
              </w:rPr>
              <w:t>、烘干等生产工序提供热源。</w:t>
            </w:r>
          </w:p>
          <w:p w14:paraId="1E44D2DC">
            <w:pPr>
              <w:pStyle w:val="35"/>
              <w:ind w:firstLine="482"/>
              <w:rPr>
                <w:u w:val="none" w:color="auto"/>
              </w:rPr>
            </w:pPr>
            <w:r>
              <w:rPr>
                <w:rFonts w:hint="eastAsia" w:ascii="Times New Roman" w:hAnsi="Times New Roman" w:eastAsia="宋体" w:cs="Times New Roman"/>
                <w:kern w:val="2"/>
                <w:sz w:val="24"/>
                <w:szCs w:val="24"/>
                <w:u w:val="none" w:color="auto"/>
                <w:lang w:val="en-US" w:eastAsia="zh-CN" w:bidi="ar-SA"/>
              </w:rPr>
              <w:t>根据《中华</w:t>
            </w:r>
            <w:r>
              <w:rPr>
                <w:rFonts w:hint="eastAsia"/>
                <w:u w:val="none" w:color="auto"/>
              </w:rPr>
              <w:t>人民共和国环境保护法》《中华人民共和国环境影响评价法》《建设</w:t>
            </w:r>
            <w:r>
              <w:rPr>
                <w:rFonts w:hint="eastAsia"/>
                <w:u w:val="none" w:color="auto"/>
                <w:lang w:eastAsia="zh-CN"/>
              </w:rPr>
              <w:t>项目环</w:t>
            </w:r>
            <w:r>
              <w:rPr>
                <w:rFonts w:hint="eastAsia"/>
                <w:u w:val="none" w:color="auto"/>
              </w:rPr>
              <w:t>境影响评价手续，根据《建设项目环境影响评价</w:t>
            </w:r>
            <w:r>
              <w:rPr>
                <w:rFonts w:hint="eastAsia"/>
                <w:u w:val="none" w:color="auto"/>
                <w:lang w:val="en-US" w:eastAsia="zh-CN"/>
              </w:rPr>
              <w:t>分类</w:t>
            </w:r>
            <w:r>
              <w:rPr>
                <w:rFonts w:hint="eastAsia"/>
                <w:u w:val="none" w:color="auto"/>
              </w:rPr>
              <w:t>管理名录（2021年版）》，本项目属于“四十一、电力、热力生产和供应业，91、热力生产和供应工程-</w:t>
            </w:r>
            <w:r>
              <w:rPr>
                <w:u w:val="none" w:color="auto"/>
              </w:rPr>
              <w:t>燃煤、燃油锅炉总容量65吨/小时（45.5兆瓦）及以下</w:t>
            </w:r>
            <w:r>
              <w:rPr>
                <w:rFonts w:hint="eastAsia"/>
                <w:u w:val="none" w:color="auto"/>
              </w:rPr>
              <w:t>”，需要编制环境影响报告表，因此建设单位委托</w:t>
            </w:r>
            <w:r>
              <w:rPr>
                <w:rFonts w:hint="eastAsia" w:ascii="Times New Roman" w:hAnsi="Times New Roman" w:eastAsia="宋体" w:cs="Times New Roman"/>
              </w:rPr>
              <w:t>湖南</w:t>
            </w:r>
            <w:r>
              <w:rPr>
                <w:rFonts w:hint="eastAsia" w:cs="Times New Roman"/>
                <w:lang w:val="en-US" w:eastAsia="zh-CN"/>
              </w:rPr>
              <w:t>易恒</w:t>
            </w:r>
            <w:r>
              <w:rPr>
                <w:rFonts w:hint="eastAsia" w:ascii="Times New Roman" w:hAnsi="Times New Roman" w:eastAsia="宋体" w:cs="Times New Roman"/>
              </w:rPr>
              <w:t>环保科技有限公司</w:t>
            </w:r>
            <w:r>
              <w:rPr>
                <w:rFonts w:hint="eastAsia"/>
                <w:u w:val="none" w:color="auto"/>
              </w:rPr>
              <w:t>（以下简称“我公司”）承担项目环评文件的编制工作，我公司在承接项目后，成立项目小组，对现场情况进行踏勘，依据相关法律法规和技术规范编制完成《</w:t>
            </w:r>
            <w:r>
              <w:rPr>
                <w:rFonts w:hint="eastAsia" w:ascii="Times New Roman" w:hAnsi="Times New Roman" w:eastAsia="宋体" w:cs="Times New Roman"/>
                <w:kern w:val="2"/>
                <w:sz w:val="24"/>
                <w:szCs w:val="24"/>
                <w:u w:val="none" w:color="auto"/>
                <w:lang w:val="en-US" w:eastAsia="zh-CN" w:bidi="ar-SA"/>
              </w:rPr>
              <w:t>益阳市赫山区湘泰竹木制品有限公司年产2000吨竹筷</w:t>
            </w:r>
            <w:r>
              <w:rPr>
                <w:rFonts w:hint="eastAsia" w:ascii="Times New Roman" w:hAnsi="Times New Roman" w:cs="Times New Roman"/>
                <w:kern w:val="2"/>
                <w:sz w:val="24"/>
                <w:szCs w:val="24"/>
                <w:u w:val="none" w:color="auto"/>
                <w:lang w:val="en-US" w:eastAsia="zh-CN" w:bidi="ar-SA"/>
              </w:rPr>
              <w:t>建设</w:t>
            </w:r>
            <w:r>
              <w:rPr>
                <w:rFonts w:hint="eastAsia" w:ascii="Times New Roman" w:hAnsi="Times New Roman" w:eastAsia="宋体" w:cs="Times New Roman"/>
                <w:kern w:val="2"/>
                <w:sz w:val="24"/>
                <w:szCs w:val="24"/>
                <w:u w:val="none" w:color="auto"/>
                <w:lang w:val="en-US" w:eastAsia="zh-CN" w:bidi="ar-SA"/>
              </w:rPr>
              <w:t>项目</w:t>
            </w:r>
            <w:r>
              <w:rPr>
                <w:rFonts w:hint="eastAsia"/>
                <w:szCs w:val="32"/>
                <w:u w:val="none" w:color="auto"/>
              </w:rPr>
              <w:t>环境影响报告表</w:t>
            </w:r>
            <w:r>
              <w:rPr>
                <w:rFonts w:hint="eastAsia"/>
                <w:u w:val="none" w:color="auto"/>
              </w:rPr>
              <w:t>》。</w:t>
            </w:r>
          </w:p>
          <w:p w14:paraId="60B2EB99">
            <w:pPr>
              <w:pStyle w:val="35"/>
              <w:ind w:firstLine="482"/>
              <w:rPr>
                <w:rFonts w:hint="default" w:ascii="Times New Roman" w:hAnsi="Times New Roman" w:eastAsia="宋体" w:cs="Times New Roman"/>
                <w:b/>
                <w:bCs/>
                <w:u w:val="none" w:color="auto"/>
                <w:lang w:val="en-US" w:eastAsia="zh-CN"/>
              </w:rPr>
            </w:pPr>
            <w:r>
              <w:rPr>
                <w:rFonts w:hint="eastAsia" w:ascii="Times New Roman" w:hAnsi="Times New Roman" w:eastAsia="宋体" w:cs="Times New Roman"/>
                <w:b/>
                <w:bCs/>
                <w:u w:val="none" w:color="auto"/>
                <w:lang w:val="en-US" w:eastAsia="zh-CN"/>
              </w:rPr>
              <w:t>2</w:t>
            </w:r>
            <w:r>
              <w:rPr>
                <w:rFonts w:hint="eastAsia" w:ascii="Times New Roman" w:hAnsi="Times New Roman" w:eastAsia="宋体" w:cs="Times New Roman"/>
                <w:b/>
                <w:bCs/>
                <w:u w:val="none" w:color="auto"/>
              </w:rPr>
              <w:t>、项目</w:t>
            </w:r>
            <w:r>
              <w:rPr>
                <w:rFonts w:hint="eastAsia" w:ascii="Times New Roman" w:hAnsi="Times New Roman" w:eastAsia="宋体" w:cs="Times New Roman"/>
                <w:b/>
                <w:bCs/>
                <w:u w:val="none" w:color="auto"/>
                <w:lang w:val="en-US" w:eastAsia="zh-CN"/>
              </w:rPr>
              <w:t>建设内容</w:t>
            </w:r>
          </w:p>
          <w:p w14:paraId="4B05454B">
            <w:pPr>
              <w:keepNext w:val="0"/>
              <w:keepLines w:val="0"/>
              <w:pageBreakBefore w:val="0"/>
              <w:widowControl w:val="0"/>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2"/>
                <w:sz w:val="24"/>
                <w:szCs w:val="24"/>
                <w:u w:val="none" w:color="auto"/>
                <w:lang w:val="en-US" w:eastAsia="zh-CN" w:bidi="ar-SA"/>
              </w:rPr>
            </w:pPr>
            <w:r>
              <w:rPr>
                <w:rFonts w:hint="default" w:ascii="Times New Roman" w:hAnsi="Times New Roman" w:eastAsia="宋体" w:cs="Times New Roman"/>
                <w:bCs/>
                <w:color w:val="auto"/>
                <w:kern w:val="2"/>
                <w:sz w:val="24"/>
                <w:szCs w:val="24"/>
                <w:u w:val="none" w:color="auto"/>
                <w:lang w:val="en-US" w:eastAsia="zh-CN" w:bidi="ar-SA"/>
              </w:rPr>
              <w:t>项目名称：</w:t>
            </w:r>
            <w:r>
              <w:rPr>
                <w:rFonts w:hint="eastAsia" w:ascii="Times New Roman" w:hAnsi="Times New Roman" w:eastAsia="宋体" w:cs="Times New Roman"/>
                <w:kern w:val="2"/>
                <w:sz w:val="24"/>
                <w:szCs w:val="24"/>
                <w:u w:val="none" w:color="auto"/>
                <w:lang w:val="en-US" w:eastAsia="zh-CN" w:bidi="ar-SA"/>
              </w:rPr>
              <w:t>益阳市赫山区湘泰竹木制品有限公司年产2000吨竹筷建设项目</w:t>
            </w:r>
          </w:p>
          <w:p w14:paraId="244019A0">
            <w:pPr>
              <w:keepNext w:val="0"/>
              <w:keepLines w:val="0"/>
              <w:pageBreakBefore w:val="0"/>
              <w:widowControl w:val="0"/>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2"/>
                <w:sz w:val="24"/>
                <w:szCs w:val="24"/>
                <w:u w:val="none" w:color="auto"/>
                <w:lang w:val="en-US" w:eastAsia="zh-CN" w:bidi="ar-SA"/>
              </w:rPr>
            </w:pPr>
            <w:r>
              <w:rPr>
                <w:rFonts w:hint="default" w:ascii="Times New Roman" w:hAnsi="Times New Roman" w:eastAsia="宋体" w:cs="Times New Roman"/>
                <w:bCs/>
                <w:color w:val="auto"/>
                <w:kern w:val="2"/>
                <w:sz w:val="24"/>
                <w:szCs w:val="24"/>
                <w:u w:val="none" w:color="auto"/>
                <w:lang w:val="en-US" w:eastAsia="zh-CN" w:bidi="ar-SA"/>
              </w:rPr>
              <w:t>建设单</w:t>
            </w:r>
            <w:r>
              <w:rPr>
                <w:rFonts w:hint="eastAsia" w:ascii="Times New Roman" w:hAnsi="Times New Roman" w:eastAsia="宋体" w:cs="Times New Roman"/>
                <w:bCs/>
                <w:color w:val="auto"/>
                <w:kern w:val="2"/>
                <w:sz w:val="24"/>
                <w:szCs w:val="24"/>
                <w:u w:val="none" w:color="auto"/>
                <w:lang w:val="en-US" w:eastAsia="zh-CN" w:bidi="ar-SA"/>
              </w:rPr>
              <w:t>位：</w:t>
            </w:r>
            <w:r>
              <w:rPr>
                <w:rFonts w:hint="eastAsia" w:ascii="Times New Roman" w:hAnsi="Times New Roman" w:eastAsia="宋体" w:cs="Times New Roman"/>
                <w:kern w:val="2"/>
                <w:sz w:val="24"/>
                <w:szCs w:val="24"/>
                <w:u w:val="none" w:color="auto"/>
                <w:lang w:val="en-US" w:eastAsia="zh-CN" w:bidi="ar-SA"/>
              </w:rPr>
              <w:t>益阳市赫山区湘泰竹木制品有限公司</w:t>
            </w:r>
          </w:p>
          <w:p w14:paraId="4A23DEA0">
            <w:pPr>
              <w:keepNext w:val="0"/>
              <w:keepLines w:val="0"/>
              <w:pageBreakBefore w:val="0"/>
              <w:widowControl w:val="0"/>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2"/>
                <w:sz w:val="24"/>
                <w:szCs w:val="24"/>
                <w:u w:val="none" w:color="auto"/>
                <w:lang w:val="en-US" w:eastAsia="zh-CN" w:bidi="ar-SA"/>
              </w:rPr>
            </w:pPr>
            <w:r>
              <w:rPr>
                <w:rFonts w:hint="default" w:ascii="Times New Roman" w:hAnsi="Times New Roman" w:eastAsia="宋体" w:cs="Times New Roman"/>
                <w:bCs/>
                <w:color w:val="auto"/>
                <w:kern w:val="2"/>
                <w:sz w:val="24"/>
                <w:szCs w:val="24"/>
                <w:u w:val="none" w:color="auto"/>
                <w:lang w:val="en-US" w:eastAsia="zh-CN" w:bidi="ar-SA"/>
              </w:rPr>
              <w:t>建设性质：</w:t>
            </w:r>
            <w:r>
              <w:rPr>
                <w:rFonts w:hint="eastAsia" w:ascii="Times New Roman" w:hAnsi="Times New Roman" w:eastAsia="宋体" w:cs="Times New Roman"/>
                <w:bCs/>
                <w:color w:val="auto"/>
                <w:kern w:val="2"/>
                <w:sz w:val="24"/>
                <w:szCs w:val="24"/>
                <w:u w:val="none" w:color="auto"/>
                <w:lang w:val="en-US" w:eastAsia="zh-CN" w:bidi="ar-SA"/>
              </w:rPr>
              <w:t>新建</w:t>
            </w:r>
          </w:p>
          <w:p w14:paraId="5D206F3F">
            <w:pPr>
              <w:keepNext w:val="0"/>
              <w:keepLines w:val="0"/>
              <w:pageBreakBefore w:val="0"/>
              <w:widowControl w:val="0"/>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2"/>
                <w:sz w:val="24"/>
                <w:szCs w:val="24"/>
                <w:u w:val="none" w:color="auto"/>
                <w:lang w:val="en-US" w:eastAsia="zh-CN" w:bidi="ar-SA"/>
              </w:rPr>
            </w:pPr>
            <w:r>
              <w:rPr>
                <w:rFonts w:hint="eastAsia" w:ascii="Times New Roman" w:hAnsi="Times New Roman" w:eastAsia="宋体" w:cs="Times New Roman"/>
                <w:bCs/>
                <w:color w:val="auto"/>
                <w:kern w:val="2"/>
                <w:sz w:val="24"/>
                <w:szCs w:val="24"/>
                <w:u w:val="none" w:color="auto"/>
                <w:lang w:val="en-US" w:eastAsia="zh-CN" w:bidi="ar-SA"/>
              </w:rPr>
              <w:t>投资总额：总投</w:t>
            </w:r>
            <w:r>
              <w:rPr>
                <w:rFonts w:hint="eastAsia" w:ascii="Times New Roman" w:hAnsi="Times New Roman" w:eastAsia="宋体" w:cs="Times New Roman"/>
                <w:bCs/>
                <w:color w:val="000000" w:themeColor="text1"/>
                <w:kern w:val="2"/>
                <w:sz w:val="24"/>
                <w:szCs w:val="24"/>
                <w:u w:val="none" w:color="auto"/>
                <w:lang w:val="en-US" w:eastAsia="zh-CN" w:bidi="ar-SA"/>
                <w14:textFill>
                  <w14:solidFill>
                    <w14:schemeClr w14:val="tx1"/>
                  </w14:solidFill>
                </w14:textFill>
              </w:rPr>
              <w:t>资200万元，其中环保投资41.5万元，占总投资的20.75%</w:t>
            </w:r>
          </w:p>
          <w:p w14:paraId="4058BCE5">
            <w:pPr>
              <w:keepNext w:val="0"/>
              <w:keepLines w:val="0"/>
              <w:pageBreakBefore w:val="0"/>
              <w:widowControl w:val="0"/>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Cs/>
                <w:color w:val="auto"/>
                <w:kern w:val="2"/>
                <w:sz w:val="24"/>
                <w:szCs w:val="24"/>
                <w:u w:val="none" w:color="auto"/>
                <w:lang w:val="en-US" w:eastAsia="zh-CN" w:bidi="ar-SA"/>
              </w:rPr>
            </w:pPr>
            <w:r>
              <w:rPr>
                <w:rFonts w:hint="default" w:ascii="Times New Roman" w:hAnsi="Times New Roman" w:eastAsia="宋体" w:cs="Times New Roman"/>
                <w:bCs/>
                <w:color w:val="auto"/>
                <w:kern w:val="2"/>
                <w:sz w:val="24"/>
                <w:szCs w:val="24"/>
                <w:u w:val="none" w:color="auto"/>
                <w:lang w:val="en-US" w:eastAsia="zh-CN" w:bidi="ar-SA"/>
              </w:rPr>
              <w:t>建设地点：</w:t>
            </w:r>
            <w:r>
              <w:rPr>
                <w:rFonts w:hint="eastAsia" w:ascii="Times New Roman" w:hAnsi="Times New Roman" w:eastAsia="宋体" w:cs="Times New Roman"/>
                <w:kern w:val="2"/>
                <w:sz w:val="24"/>
                <w:szCs w:val="24"/>
                <w:u w:val="none" w:color="auto"/>
                <w:lang w:val="en-US" w:eastAsia="zh-CN" w:bidi="ar-SA"/>
              </w:rPr>
              <w:t>湖南省益阳市赫山区泥江口镇水满村</w:t>
            </w:r>
            <w:r>
              <w:rPr>
                <w:rFonts w:hint="eastAsia" w:ascii="Times New Roman" w:hAnsi="Times New Roman" w:eastAsia="宋体" w:cs="Times New Roman"/>
                <w:bCs/>
                <w:color w:val="auto"/>
                <w:kern w:val="2"/>
                <w:sz w:val="24"/>
                <w:szCs w:val="24"/>
                <w:u w:val="none" w:color="auto"/>
                <w:lang w:val="en-US" w:eastAsia="zh-CN" w:bidi="ar-SA"/>
              </w:rPr>
              <w:t>；</w:t>
            </w:r>
            <w:r>
              <w:rPr>
                <w:rFonts w:hint="default" w:ascii="Times New Roman" w:hAnsi="Times New Roman" w:eastAsia="宋体" w:cs="Times New Roman"/>
                <w:bCs/>
                <w:color w:val="auto"/>
                <w:kern w:val="2"/>
                <w:sz w:val="24"/>
                <w:szCs w:val="24"/>
                <w:u w:val="none" w:color="auto"/>
                <w:lang w:val="en-US" w:eastAsia="zh-CN" w:bidi="ar-SA"/>
              </w:rPr>
              <w:t>中心地理坐标：</w:t>
            </w:r>
            <w:r>
              <w:rPr>
                <w:rFonts w:hint="default" w:ascii="Times New Roman" w:hAnsi="Times New Roman" w:eastAsia="宋体" w:cs="Times New Roman"/>
                <w:sz w:val="24"/>
                <w:szCs w:val="24"/>
              </w:rPr>
              <w:t>112°20′27.757″</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28°23′23.772″</w:t>
            </w:r>
          </w:p>
          <w:p w14:paraId="27538472">
            <w:pPr>
              <w:keepNext w:val="0"/>
              <w:keepLines w:val="0"/>
              <w:pageBreakBefore w:val="0"/>
              <w:widowControl w:val="0"/>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2"/>
                <w:sz w:val="24"/>
                <w:szCs w:val="24"/>
                <w:u w:val="none" w:color="auto"/>
                <w:lang w:val="en-US" w:eastAsia="zh-CN" w:bidi="ar-SA"/>
              </w:rPr>
            </w:pPr>
            <w:r>
              <w:rPr>
                <w:rFonts w:hint="eastAsia" w:ascii="Times New Roman" w:hAnsi="Times New Roman" w:eastAsia="宋体" w:cs="Times New Roman"/>
                <w:bCs/>
                <w:color w:val="auto"/>
                <w:kern w:val="2"/>
                <w:sz w:val="24"/>
                <w:szCs w:val="24"/>
                <w:u w:val="none" w:color="auto"/>
                <w:lang w:val="en-US" w:eastAsia="zh-CN" w:bidi="ar-SA"/>
              </w:rPr>
              <w:t>建设内容：项目总占地面积为</w:t>
            </w:r>
            <w:r>
              <w:rPr>
                <w:rFonts w:hint="default" w:ascii="Times New Roman" w:hAnsi="Times New Roman" w:eastAsia="宋体" w:cs="Times New Roman"/>
                <w:sz w:val="24"/>
                <w:szCs w:val="24"/>
                <w:u w:val="none" w:color="auto"/>
                <w:lang w:val="en-US" w:eastAsia="zh-CN"/>
              </w:rPr>
              <w:t>6086.7</w:t>
            </w:r>
            <w:r>
              <w:rPr>
                <w:rFonts w:hint="default" w:ascii="Times New Roman" w:hAnsi="Times New Roman" w:eastAsia="宋体" w:cs="Times New Roman"/>
                <w:sz w:val="24"/>
                <w:szCs w:val="24"/>
                <w:u w:val="none" w:color="auto"/>
              </w:rPr>
              <w:t>m</w:t>
            </w:r>
            <w:r>
              <w:rPr>
                <w:rFonts w:hint="default" w:ascii="Times New Roman" w:hAnsi="Times New Roman" w:eastAsia="宋体" w:cs="Times New Roman"/>
                <w:sz w:val="24"/>
                <w:szCs w:val="24"/>
                <w:u w:val="none" w:color="auto"/>
                <w:vertAlign w:val="superscript"/>
              </w:rPr>
              <w:t>2</w:t>
            </w:r>
            <w:r>
              <w:rPr>
                <w:rFonts w:hint="eastAsia" w:ascii="Times New Roman" w:hAnsi="Times New Roman" w:eastAsia="宋体" w:cs="Times New Roman"/>
                <w:sz w:val="24"/>
                <w:szCs w:val="24"/>
                <w:u w:val="none" w:color="auto"/>
                <w:vertAlign w:val="baseline"/>
                <w:lang w:eastAsia="zh-CN"/>
              </w:rPr>
              <w:t>，</w:t>
            </w:r>
            <w:r>
              <w:rPr>
                <w:rFonts w:hint="eastAsia" w:ascii="Times New Roman" w:hAnsi="Times New Roman" w:eastAsia="宋体" w:cs="Times New Roman"/>
                <w:sz w:val="24"/>
                <w:szCs w:val="24"/>
                <w:u w:val="none" w:color="auto"/>
                <w:vertAlign w:val="baseline"/>
                <w:lang w:val="en-US" w:eastAsia="zh-CN"/>
              </w:rPr>
              <w:t>主要建设一条竹筷生产线，建成后年产2000吨竹筷，配套</w:t>
            </w:r>
            <w:r>
              <w:rPr>
                <w:rFonts w:hint="eastAsia" w:ascii="Times New Roman" w:hAnsi="Times New Roman" w:eastAsia="宋体" w:cs="Times New Roman"/>
                <w:kern w:val="2"/>
                <w:sz w:val="24"/>
                <w:szCs w:val="24"/>
                <w:u w:val="none" w:color="auto"/>
                <w:lang w:val="en-US" w:eastAsia="zh-CN" w:bidi="ar-SA"/>
              </w:rPr>
              <w:t>断料机、开片机、拉丝机、成型机、烘干机、蒸汽杀菌锅等生产设备，并配置1台2.5t/h生物质蒸汽锅炉，为项目杀菌、烘干等生产工序提供热源。</w:t>
            </w:r>
          </w:p>
          <w:p w14:paraId="5F052499">
            <w:pPr>
              <w:pStyle w:val="35"/>
              <w:ind w:firstLine="480"/>
              <w:rPr>
                <w:u w:val="none" w:color="auto"/>
              </w:rPr>
            </w:pPr>
            <w:r>
              <w:rPr>
                <w:rFonts w:hint="eastAsia"/>
                <w:u w:val="none" w:color="auto"/>
              </w:rPr>
              <w:t>项目建设内容详见表2-1。</w:t>
            </w:r>
          </w:p>
          <w:p w14:paraId="6359E54F">
            <w:pPr>
              <w:pStyle w:val="34"/>
              <w:keepNext w:val="0"/>
              <w:keepLines w:val="0"/>
              <w:pageBreakBefore w:val="0"/>
              <w:widowControl w:val="0"/>
              <w:kinsoku/>
              <w:wordWrap/>
              <w:overflowPunct/>
              <w:topLinePunct w:val="0"/>
              <w:autoSpaceDE/>
              <w:autoSpaceDN/>
              <w:bidi w:val="0"/>
              <w:adjustRightInd/>
              <w:snapToGrid/>
              <w:spacing w:before="0" w:beforeLines="0"/>
              <w:textAlignment w:val="auto"/>
              <w:rPr>
                <w:sz w:val="21"/>
                <w:szCs w:val="21"/>
                <w:u w:val="none" w:color="auto"/>
              </w:rPr>
            </w:pPr>
            <w:r>
              <w:rPr>
                <w:rFonts w:hint="eastAsia"/>
                <w:sz w:val="21"/>
                <w:szCs w:val="21"/>
                <w:u w:val="none" w:color="auto"/>
              </w:rPr>
              <w:t>表2-1  项目建设内容一览表</w:t>
            </w:r>
          </w:p>
          <w:tbl>
            <w:tblPr>
              <w:tblStyle w:val="28"/>
              <w:tblW w:w="78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551"/>
              <w:gridCol w:w="995"/>
              <w:gridCol w:w="5636"/>
            </w:tblGrid>
            <w:tr w14:paraId="5BF60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Align w:val="center"/>
                </w:tcPr>
                <w:p w14:paraId="24F52B3B">
                  <w:pPr>
                    <w:pStyle w:val="57"/>
                    <w:rPr>
                      <w:u w:val="none" w:color="auto"/>
                    </w:rPr>
                  </w:pPr>
                  <w:r>
                    <w:rPr>
                      <w:rFonts w:hint="eastAsia"/>
                      <w:u w:val="none" w:color="auto"/>
                    </w:rPr>
                    <w:t>工程类型</w:t>
                  </w:r>
                </w:p>
              </w:tc>
              <w:tc>
                <w:tcPr>
                  <w:tcW w:w="1546" w:type="dxa"/>
                  <w:gridSpan w:val="2"/>
                  <w:vAlign w:val="center"/>
                </w:tcPr>
                <w:p w14:paraId="6C884B53">
                  <w:pPr>
                    <w:pStyle w:val="57"/>
                    <w:rPr>
                      <w:rFonts w:hint="default" w:eastAsia="宋体"/>
                      <w:u w:val="none" w:color="auto"/>
                      <w:lang w:val="en-US" w:eastAsia="zh-CN"/>
                    </w:rPr>
                  </w:pPr>
                  <w:r>
                    <w:rPr>
                      <w:rFonts w:hint="eastAsia"/>
                      <w:u w:val="none" w:color="auto"/>
                      <w:lang w:val="en-US" w:eastAsia="zh-CN"/>
                    </w:rPr>
                    <w:t>工程名称</w:t>
                  </w:r>
                </w:p>
              </w:tc>
              <w:tc>
                <w:tcPr>
                  <w:tcW w:w="5636" w:type="dxa"/>
                  <w:vAlign w:val="center"/>
                </w:tcPr>
                <w:p w14:paraId="734F4C38">
                  <w:pPr>
                    <w:pStyle w:val="57"/>
                    <w:rPr>
                      <w:rFonts w:hint="default" w:ascii="Times New Roman" w:hAnsi="Times New Roman" w:eastAsia="宋体" w:cstheme="minorBidi"/>
                      <w:kern w:val="2"/>
                      <w:sz w:val="21"/>
                      <w:szCs w:val="32"/>
                      <w:u w:val="none" w:color="auto"/>
                      <w:lang w:val="en-US" w:eastAsia="zh-CN" w:bidi="ar-SA"/>
                    </w:rPr>
                  </w:pPr>
                  <w:r>
                    <w:rPr>
                      <w:rFonts w:hint="eastAsia"/>
                      <w:u w:val="none" w:color="auto"/>
                      <w:lang w:val="en-US" w:eastAsia="zh-CN"/>
                    </w:rPr>
                    <w:t>建设内容</w:t>
                  </w:r>
                </w:p>
              </w:tc>
            </w:tr>
            <w:tr w14:paraId="033C9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restart"/>
                  <w:vAlign w:val="center"/>
                </w:tcPr>
                <w:p w14:paraId="1A327B7F">
                  <w:pPr>
                    <w:pStyle w:val="57"/>
                    <w:rPr>
                      <w:u w:val="none" w:color="auto"/>
                    </w:rPr>
                  </w:pPr>
                  <w:r>
                    <w:rPr>
                      <w:rFonts w:hint="eastAsia"/>
                      <w:u w:val="none" w:color="auto"/>
                    </w:rPr>
                    <w:t>主体工程</w:t>
                  </w:r>
                </w:p>
              </w:tc>
              <w:tc>
                <w:tcPr>
                  <w:tcW w:w="1546" w:type="dxa"/>
                  <w:gridSpan w:val="2"/>
                  <w:vAlign w:val="center"/>
                </w:tcPr>
                <w:p w14:paraId="1DB86DFD">
                  <w:pPr>
                    <w:pStyle w:val="57"/>
                    <w:rPr>
                      <w:rFonts w:hint="default" w:eastAsia="宋体"/>
                      <w:u w:val="none" w:color="auto"/>
                      <w:lang w:val="en-US" w:eastAsia="zh-CN"/>
                    </w:rPr>
                  </w:pPr>
                  <w:r>
                    <w:rPr>
                      <w:rFonts w:hint="eastAsia"/>
                      <w:u w:val="none" w:color="auto"/>
                      <w:lang w:val="en-US" w:eastAsia="zh-CN"/>
                    </w:rPr>
                    <w:t>竹筷生产车间</w:t>
                  </w:r>
                </w:p>
              </w:tc>
              <w:tc>
                <w:tcPr>
                  <w:tcW w:w="5636" w:type="dxa"/>
                  <w:vAlign w:val="center"/>
                </w:tcPr>
                <w:p w14:paraId="64472873">
                  <w:pPr>
                    <w:pStyle w:val="57"/>
                    <w:rPr>
                      <w:rFonts w:hint="default" w:ascii="Times New Roman" w:hAnsi="Times New Roman" w:eastAsia="宋体" w:cstheme="minorBidi"/>
                      <w:kern w:val="2"/>
                      <w:sz w:val="21"/>
                      <w:szCs w:val="32"/>
                      <w:u w:val="none" w:color="auto"/>
                      <w:lang w:val="en-US" w:eastAsia="zh-CN" w:bidi="ar-SA"/>
                    </w:rPr>
                  </w:pPr>
                  <w:r>
                    <w:rPr>
                      <w:rFonts w:hint="eastAsia" w:cstheme="minorBidi"/>
                      <w:kern w:val="2"/>
                      <w:sz w:val="21"/>
                      <w:szCs w:val="32"/>
                      <w:u w:val="none" w:color="auto"/>
                      <w:lang w:val="en-US" w:eastAsia="zh-CN" w:bidi="ar-SA"/>
                    </w:rPr>
                    <w:t>2000</w:t>
                  </w:r>
                  <w:r>
                    <w:rPr>
                      <w:rFonts w:hint="eastAsia" w:eastAsia="宋体"/>
                      <w:szCs w:val="21"/>
                      <w:u w:val="none" w:color="auto"/>
                      <w:lang w:val="en-US" w:eastAsia="zh-CN"/>
                    </w:rPr>
                    <w:t>m</w:t>
                  </w:r>
                  <w:r>
                    <w:rPr>
                      <w:rFonts w:hint="eastAsia" w:eastAsia="宋体"/>
                      <w:szCs w:val="21"/>
                      <w:u w:val="none" w:color="auto"/>
                      <w:vertAlign w:val="superscript"/>
                      <w:lang w:val="en-US" w:eastAsia="zh-CN"/>
                    </w:rPr>
                    <w:t>2</w:t>
                  </w:r>
                  <w:r>
                    <w:rPr>
                      <w:rFonts w:hint="eastAsia" w:cstheme="minorBidi"/>
                      <w:kern w:val="2"/>
                      <w:sz w:val="21"/>
                      <w:szCs w:val="32"/>
                      <w:u w:val="none" w:color="auto"/>
                      <w:lang w:val="en-US" w:eastAsia="zh-CN" w:bidi="ar-SA"/>
                    </w:rPr>
                    <w:t>，位于厂区东南侧，主要布设开片区、拉丝区、成型区、烘干区、蒸汽杀菌区等</w:t>
                  </w:r>
                </w:p>
              </w:tc>
            </w:tr>
            <w:tr w14:paraId="7084D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continue"/>
                  <w:vAlign w:val="center"/>
                </w:tcPr>
                <w:p w14:paraId="7DF35E3D">
                  <w:pPr>
                    <w:pStyle w:val="57"/>
                    <w:rPr>
                      <w:rFonts w:hint="eastAsia"/>
                      <w:u w:val="none" w:color="auto"/>
                    </w:rPr>
                  </w:pPr>
                </w:p>
              </w:tc>
              <w:tc>
                <w:tcPr>
                  <w:tcW w:w="1546" w:type="dxa"/>
                  <w:gridSpan w:val="2"/>
                  <w:vAlign w:val="center"/>
                </w:tcPr>
                <w:p w14:paraId="79182C37">
                  <w:pPr>
                    <w:pStyle w:val="57"/>
                    <w:rPr>
                      <w:rFonts w:hint="eastAsia"/>
                      <w:u w:val="none" w:color="auto"/>
                      <w:lang w:val="en-US" w:eastAsia="zh-CN"/>
                    </w:rPr>
                  </w:pPr>
                  <w:r>
                    <w:rPr>
                      <w:rFonts w:hint="eastAsia"/>
                      <w:u w:val="none" w:color="auto"/>
                      <w:lang w:val="en-US" w:eastAsia="zh-CN"/>
                    </w:rPr>
                    <w:t>竹条粗加工车间</w:t>
                  </w:r>
                </w:p>
              </w:tc>
              <w:tc>
                <w:tcPr>
                  <w:tcW w:w="5636" w:type="dxa"/>
                  <w:vAlign w:val="center"/>
                </w:tcPr>
                <w:p w14:paraId="68881EF2">
                  <w:pPr>
                    <w:pStyle w:val="57"/>
                    <w:rPr>
                      <w:rFonts w:hint="default" w:ascii="Times New Roman" w:hAnsi="Times New Roman" w:eastAsia="宋体" w:cstheme="minorBidi"/>
                      <w:kern w:val="2"/>
                      <w:sz w:val="21"/>
                      <w:szCs w:val="32"/>
                      <w:u w:val="none" w:color="auto"/>
                      <w:lang w:val="en-US" w:eastAsia="zh-CN" w:bidi="ar-SA"/>
                    </w:rPr>
                  </w:pPr>
                  <w:r>
                    <w:rPr>
                      <w:rFonts w:hint="eastAsia" w:cstheme="minorBidi"/>
                      <w:kern w:val="2"/>
                      <w:sz w:val="21"/>
                      <w:szCs w:val="32"/>
                      <w:u w:val="none" w:color="auto"/>
                      <w:lang w:val="en-US" w:eastAsia="zh-CN" w:bidi="ar-SA"/>
                    </w:rPr>
                    <w:t>550</w:t>
                  </w:r>
                  <w:r>
                    <w:rPr>
                      <w:rFonts w:hint="eastAsia" w:eastAsia="宋体"/>
                      <w:szCs w:val="21"/>
                      <w:u w:val="none" w:color="auto"/>
                      <w:lang w:val="en-US" w:eastAsia="zh-CN"/>
                    </w:rPr>
                    <w:t>m</w:t>
                  </w:r>
                  <w:r>
                    <w:rPr>
                      <w:rFonts w:hint="eastAsia" w:eastAsia="宋体"/>
                      <w:szCs w:val="21"/>
                      <w:u w:val="none" w:color="auto"/>
                      <w:vertAlign w:val="superscript"/>
                      <w:lang w:val="en-US" w:eastAsia="zh-CN"/>
                    </w:rPr>
                    <w:t>2</w:t>
                  </w:r>
                  <w:r>
                    <w:rPr>
                      <w:rFonts w:hint="eastAsia" w:cstheme="minorBidi"/>
                      <w:kern w:val="2"/>
                      <w:sz w:val="21"/>
                      <w:szCs w:val="32"/>
                      <w:u w:val="none" w:color="auto"/>
                      <w:lang w:val="en-US" w:eastAsia="zh-CN" w:bidi="ar-SA"/>
                    </w:rPr>
                    <w:t>，位于厂区西北侧，主要布设断料工序</w:t>
                  </w:r>
                </w:p>
              </w:tc>
            </w:tr>
            <w:tr w14:paraId="5B06D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restart"/>
                  <w:vAlign w:val="center"/>
                </w:tcPr>
                <w:p w14:paraId="1B2E5F7B">
                  <w:pPr>
                    <w:pStyle w:val="57"/>
                    <w:rPr>
                      <w:u w:val="none" w:color="auto"/>
                    </w:rPr>
                  </w:pPr>
                  <w:r>
                    <w:rPr>
                      <w:rFonts w:hint="eastAsia"/>
                      <w:u w:val="none" w:color="auto"/>
                    </w:rPr>
                    <w:t>辅助工程</w:t>
                  </w:r>
                </w:p>
              </w:tc>
              <w:tc>
                <w:tcPr>
                  <w:tcW w:w="1546" w:type="dxa"/>
                  <w:gridSpan w:val="2"/>
                  <w:vAlign w:val="center"/>
                </w:tcPr>
                <w:p w14:paraId="5D11B724">
                  <w:pPr>
                    <w:pStyle w:val="57"/>
                    <w:rPr>
                      <w:rFonts w:hint="default" w:eastAsia="宋体"/>
                      <w:u w:val="none" w:color="auto"/>
                      <w:lang w:val="en-US" w:eastAsia="zh-CN"/>
                    </w:rPr>
                  </w:pPr>
                  <w:r>
                    <w:rPr>
                      <w:rFonts w:hint="eastAsia"/>
                      <w:u w:val="none" w:color="auto"/>
                      <w:lang w:val="en-US" w:eastAsia="zh-CN"/>
                    </w:rPr>
                    <w:t>办公区</w:t>
                  </w:r>
                </w:p>
              </w:tc>
              <w:tc>
                <w:tcPr>
                  <w:tcW w:w="5636" w:type="dxa"/>
                  <w:vAlign w:val="center"/>
                </w:tcPr>
                <w:p w14:paraId="69290AFF">
                  <w:pPr>
                    <w:pStyle w:val="57"/>
                    <w:rPr>
                      <w:rFonts w:hint="default" w:ascii="Times New Roman" w:hAnsi="Times New Roman" w:eastAsia="宋体" w:cstheme="minorBidi"/>
                      <w:kern w:val="2"/>
                      <w:sz w:val="21"/>
                      <w:szCs w:val="32"/>
                      <w:u w:val="none" w:color="auto"/>
                      <w:lang w:val="en-US" w:eastAsia="zh-CN" w:bidi="ar-SA"/>
                    </w:rPr>
                  </w:pPr>
                  <w:r>
                    <w:rPr>
                      <w:rFonts w:hint="eastAsia" w:cstheme="minorBidi"/>
                      <w:kern w:val="2"/>
                      <w:sz w:val="21"/>
                      <w:szCs w:val="32"/>
                      <w:u w:val="none" w:color="auto"/>
                      <w:lang w:val="en-US" w:eastAsia="zh-CN" w:bidi="ar-SA"/>
                    </w:rPr>
                    <w:t>位于厂区西北</w:t>
                  </w:r>
                  <w:r>
                    <w:rPr>
                      <w:rFonts w:hint="eastAsia" w:ascii="Times New Roman" w:hAnsi="Times New Roman" w:eastAsia="宋体" w:cstheme="minorBidi"/>
                      <w:kern w:val="2"/>
                      <w:sz w:val="21"/>
                      <w:szCs w:val="32"/>
                      <w:u w:val="none" w:color="auto"/>
                      <w:lang w:val="en-US" w:eastAsia="zh-CN" w:bidi="ar-SA"/>
                    </w:rPr>
                    <w:t>侧，办公设施依托现有民房</w:t>
                  </w:r>
                </w:p>
              </w:tc>
            </w:tr>
            <w:tr w14:paraId="04161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continue"/>
                  <w:vAlign w:val="center"/>
                </w:tcPr>
                <w:p w14:paraId="6E3E7F37">
                  <w:pPr>
                    <w:pStyle w:val="57"/>
                    <w:rPr>
                      <w:rFonts w:hint="eastAsia"/>
                      <w:u w:val="none" w:color="auto"/>
                    </w:rPr>
                  </w:pPr>
                </w:p>
              </w:tc>
              <w:tc>
                <w:tcPr>
                  <w:tcW w:w="1546" w:type="dxa"/>
                  <w:gridSpan w:val="2"/>
                  <w:vAlign w:val="center"/>
                </w:tcPr>
                <w:p w14:paraId="3B4CF42C">
                  <w:pPr>
                    <w:pStyle w:val="57"/>
                    <w:rPr>
                      <w:rFonts w:hint="default"/>
                      <w:u w:val="none" w:color="auto"/>
                      <w:lang w:val="en-US" w:eastAsia="zh-CN"/>
                    </w:rPr>
                  </w:pPr>
                  <w:r>
                    <w:rPr>
                      <w:rFonts w:hint="eastAsia"/>
                      <w:u w:val="none" w:color="auto"/>
                      <w:lang w:val="en-US" w:eastAsia="zh-CN"/>
                    </w:rPr>
                    <w:t>锅炉房</w:t>
                  </w:r>
                </w:p>
              </w:tc>
              <w:tc>
                <w:tcPr>
                  <w:tcW w:w="5636" w:type="dxa"/>
                  <w:vAlign w:val="center"/>
                </w:tcPr>
                <w:p w14:paraId="28BEFB10">
                  <w:pPr>
                    <w:pStyle w:val="57"/>
                    <w:rPr>
                      <w:rFonts w:hint="default" w:cstheme="minorBidi"/>
                      <w:kern w:val="2"/>
                      <w:sz w:val="21"/>
                      <w:szCs w:val="32"/>
                      <w:u w:val="none" w:color="auto"/>
                      <w:lang w:val="en-US" w:eastAsia="zh-CN" w:bidi="ar-SA"/>
                    </w:rPr>
                  </w:pPr>
                  <w:r>
                    <w:rPr>
                      <w:rFonts w:hint="eastAsia" w:cstheme="minorBidi"/>
                      <w:kern w:val="2"/>
                      <w:sz w:val="21"/>
                      <w:szCs w:val="32"/>
                      <w:u w:val="none" w:color="auto"/>
                      <w:lang w:val="en-US" w:eastAsia="zh-CN" w:bidi="ar-SA"/>
                    </w:rPr>
                    <w:t>位于</w:t>
                  </w:r>
                  <w:r>
                    <w:rPr>
                      <w:rFonts w:hint="eastAsia"/>
                      <w:u w:val="none" w:color="auto"/>
                      <w:lang w:val="en-US" w:eastAsia="zh-CN"/>
                    </w:rPr>
                    <w:t>竹筷生产车间，</w:t>
                  </w:r>
                  <w:r>
                    <w:rPr>
                      <w:rFonts w:hint="eastAsia"/>
                    </w:rPr>
                    <w:t>设置1台</w:t>
                  </w:r>
                  <w:r>
                    <w:rPr>
                      <w:rFonts w:hint="eastAsia"/>
                      <w:lang w:val="en-US" w:eastAsia="zh-CN"/>
                    </w:rPr>
                    <w:t>2.5</w:t>
                  </w:r>
                  <w:r>
                    <w:rPr>
                      <w:rFonts w:hint="eastAsia"/>
                    </w:rPr>
                    <w:t>t/h的生物质锅炉供热</w:t>
                  </w:r>
                </w:p>
              </w:tc>
            </w:tr>
            <w:tr w14:paraId="72F9A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continue"/>
                  <w:vAlign w:val="center"/>
                </w:tcPr>
                <w:p w14:paraId="67830CEA">
                  <w:pPr>
                    <w:pStyle w:val="57"/>
                    <w:rPr>
                      <w:rFonts w:hint="eastAsia"/>
                      <w:u w:val="none" w:color="auto"/>
                    </w:rPr>
                  </w:pPr>
                </w:p>
              </w:tc>
              <w:tc>
                <w:tcPr>
                  <w:tcW w:w="1546" w:type="dxa"/>
                  <w:gridSpan w:val="2"/>
                  <w:vAlign w:val="center"/>
                </w:tcPr>
                <w:p w14:paraId="0229D958">
                  <w:pPr>
                    <w:pStyle w:val="57"/>
                    <w:rPr>
                      <w:rFonts w:hint="eastAsia"/>
                      <w:u w:val="none" w:color="auto"/>
                      <w:lang w:val="en-US" w:eastAsia="zh-CN"/>
                    </w:rPr>
                  </w:pPr>
                  <w:r>
                    <w:rPr>
                      <w:rFonts w:hint="eastAsia"/>
                      <w:szCs w:val="21"/>
                    </w:rPr>
                    <w:t>软水制备系统</w:t>
                  </w:r>
                </w:p>
              </w:tc>
              <w:tc>
                <w:tcPr>
                  <w:tcW w:w="5636" w:type="dxa"/>
                  <w:vAlign w:val="center"/>
                </w:tcPr>
                <w:p w14:paraId="16118F01">
                  <w:pPr>
                    <w:pStyle w:val="57"/>
                    <w:rPr>
                      <w:rFonts w:hint="eastAsia" w:cstheme="minorBidi"/>
                      <w:kern w:val="2"/>
                      <w:sz w:val="21"/>
                      <w:szCs w:val="32"/>
                      <w:u w:val="none" w:color="auto"/>
                      <w:lang w:val="en-US" w:eastAsia="zh-CN" w:bidi="ar-SA"/>
                    </w:rPr>
                  </w:pPr>
                  <w:r>
                    <w:rPr>
                      <w:rFonts w:hint="eastAsia" w:cstheme="minorBidi"/>
                      <w:kern w:val="2"/>
                      <w:sz w:val="21"/>
                      <w:szCs w:val="32"/>
                      <w:u w:val="none" w:color="auto"/>
                      <w:lang w:val="en-US" w:eastAsia="zh-CN" w:bidi="ar-SA"/>
                    </w:rPr>
                    <w:t>位于</w:t>
                  </w:r>
                  <w:r>
                    <w:rPr>
                      <w:rFonts w:hint="eastAsia"/>
                      <w:u w:val="none" w:color="auto"/>
                      <w:lang w:val="en-US" w:eastAsia="zh-CN"/>
                    </w:rPr>
                    <w:t>竹筷生产车间，</w:t>
                  </w:r>
                  <w:r>
                    <w:rPr>
                      <w:rFonts w:hint="eastAsia"/>
                      <w:szCs w:val="21"/>
                    </w:rPr>
                    <w:t>1套，制备能力为</w:t>
                  </w:r>
                  <w:r>
                    <w:rPr>
                      <w:rFonts w:hint="eastAsia"/>
                      <w:lang w:val="en-US" w:eastAsia="zh-CN"/>
                    </w:rPr>
                    <w:t>2.5</w:t>
                  </w:r>
                  <w:r>
                    <w:rPr>
                      <w:rFonts w:hint="eastAsia"/>
                    </w:rPr>
                    <w:t>t/h</w:t>
                  </w:r>
                </w:p>
              </w:tc>
            </w:tr>
            <w:tr w14:paraId="75F7A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restart"/>
                  <w:vAlign w:val="center"/>
                </w:tcPr>
                <w:p w14:paraId="671B8D67">
                  <w:pPr>
                    <w:pStyle w:val="57"/>
                    <w:rPr>
                      <w:u w:val="none" w:color="auto"/>
                    </w:rPr>
                  </w:pPr>
                  <w:r>
                    <w:rPr>
                      <w:rFonts w:hint="eastAsia"/>
                      <w:u w:val="none" w:color="auto"/>
                    </w:rPr>
                    <w:t>仓储工程</w:t>
                  </w:r>
                </w:p>
              </w:tc>
              <w:tc>
                <w:tcPr>
                  <w:tcW w:w="1546" w:type="dxa"/>
                  <w:gridSpan w:val="2"/>
                  <w:vAlign w:val="center"/>
                </w:tcPr>
                <w:p w14:paraId="270C9524">
                  <w:pPr>
                    <w:pStyle w:val="57"/>
                    <w:rPr>
                      <w:rFonts w:hint="default" w:eastAsia="宋体"/>
                      <w:u w:val="none" w:color="auto"/>
                      <w:lang w:val="en-US" w:eastAsia="zh-CN"/>
                    </w:rPr>
                  </w:pPr>
                  <w:r>
                    <w:rPr>
                      <w:rFonts w:hint="eastAsia"/>
                      <w:u w:val="none" w:color="auto"/>
                      <w:lang w:val="en-US" w:eastAsia="zh-CN"/>
                    </w:rPr>
                    <w:t>原料堆放区</w:t>
                  </w:r>
                </w:p>
              </w:tc>
              <w:tc>
                <w:tcPr>
                  <w:tcW w:w="5636" w:type="dxa"/>
                  <w:vAlign w:val="center"/>
                </w:tcPr>
                <w:p w14:paraId="232E0C33">
                  <w:pPr>
                    <w:pStyle w:val="57"/>
                    <w:rPr>
                      <w:rFonts w:hint="default" w:ascii="Times New Roman" w:hAnsi="Times New Roman" w:eastAsia="宋体" w:cstheme="minorBidi"/>
                      <w:kern w:val="2"/>
                      <w:sz w:val="21"/>
                      <w:szCs w:val="32"/>
                      <w:u w:val="none" w:color="auto"/>
                      <w:lang w:val="en-US" w:eastAsia="zh-CN" w:bidi="ar-SA"/>
                    </w:rPr>
                  </w:pPr>
                  <w:r>
                    <w:rPr>
                      <w:rFonts w:hint="eastAsia" w:cstheme="minorBidi"/>
                      <w:kern w:val="2"/>
                      <w:sz w:val="21"/>
                      <w:szCs w:val="32"/>
                      <w:u w:val="none" w:color="auto"/>
                      <w:lang w:val="en-US" w:eastAsia="zh-CN" w:bidi="ar-SA"/>
                    </w:rPr>
                    <w:t>1000</w:t>
                  </w:r>
                  <w:r>
                    <w:rPr>
                      <w:rFonts w:hint="eastAsia" w:eastAsia="宋体"/>
                      <w:szCs w:val="21"/>
                      <w:u w:val="none" w:color="auto"/>
                      <w:lang w:val="en-US" w:eastAsia="zh-CN"/>
                    </w:rPr>
                    <w:t>m</w:t>
                  </w:r>
                  <w:r>
                    <w:rPr>
                      <w:rFonts w:hint="eastAsia" w:eastAsia="宋体"/>
                      <w:szCs w:val="21"/>
                      <w:u w:val="none" w:color="auto"/>
                      <w:vertAlign w:val="superscript"/>
                      <w:lang w:val="en-US" w:eastAsia="zh-CN"/>
                    </w:rPr>
                    <w:t>2</w:t>
                  </w:r>
                  <w:r>
                    <w:rPr>
                      <w:rFonts w:hint="eastAsia" w:cstheme="minorBidi"/>
                      <w:kern w:val="2"/>
                      <w:sz w:val="21"/>
                      <w:szCs w:val="32"/>
                      <w:u w:val="none" w:color="auto"/>
                      <w:lang w:val="en-US" w:eastAsia="zh-CN" w:bidi="ar-SA"/>
                    </w:rPr>
                    <w:t>，位于厂区中部，用于暂存原料楠竹</w:t>
                  </w:r>
                </w:p>
              </w:tc>
            </w:tr>
            <w:tr w14:paraId="3D9DB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continue"/>
                  <w:vAlign w:val="center"/>
                </w:tcPr>
                <w:p w14:paraId="77F4E9FA">
                  <w:pPr>
                    <w:pStyle w:val="57"/>
                    <w:rPr>
                      <w:rFonts w:hint="eastAsia"/>
                      <w:u w:val="none" w:color="auto"/>
                    </w:rPr>
                  </w:pPr>
                </w:p>
              </w:tc>
              <w:tc>
                <w:tcPr>
                  <w:tcW w:w="1546" w:type="dxa"/>
                  <w:gridSpan w:val="2"/>
                  <w:vAlign w:val="center"/>
                </w:tcPr>
                <w:p w14:paraId="1624741D">
                  <w:pPr>
                    <w:pStyle w:val="57"/>
                    <w:rPr>
                      <w:rFonts w:hint="default"/>
                      <w:u w:val="none" w:color="auto"/>
                      <w:lang w:val="en-US" w:eastAsia="zh-CN"/>
                    </w:rPr>
                  </w:pPr>
                  <w:r>
                    <w:rPr>
                      <w:rFonts w:hint="eastAsia"/>
                      <w:u w:val="none" w:color="auto"/>
                      <w:lang w:val="en-US" w:eastAsia="zh-CN"/>
                    </w:rPr>
                    <w:t>成品堆放区</w:t>
                  </w:r>
                </w:p>
              </w:tc>
              <w:tc>
                <w:tcPr>
                  <w:tcW w:w="5636" w:type="dxa"/>
                  <w:vAlign w:val="center"/>
                </w:tcPr>
                <w:p w14:paraId="4B2D3729">
                  <w:pPr>
                    <w:pStyle w:val="57"/>
                    <w:rPr>
                      <w:rFonts w:hint="default" w:ascii="Times New Roman" w:hAnsi="Times New Roman" w:eastAsia="宋体" w:cstheme="minorBidi"/>
                      <w:kern w:val="2"/>
                      <w:sz w:val="21"/>
                      <w:szCs w:val="32"/>
                      <w:u w:val="none" w:color="auto"/>
                      <w:lang w:val="en-US" w:eastAsia="zh-CN" w:bidi="ar-SA"/>
                    </w:rPr>
                  </w:pPr>
                  <w:r>
                    <w:rPr>
                      <w:rFonts w:hint="eastAsia" w:cstheme="minorBidi"/>
                      <w:kern w:val="2"/>
                      <w:sz w:val="21"/>
                      <w:szCs w:val="32"/>
                      <w:u w:val="none" w:color="auto"/>
                      <w:lang w:val="en-US" w:eastAsia="zh-CN" w:bidi="ar-SA"/>
                    </w:rPr>
                    <w:t>200</w:t>
                  </w:r>
                  <w:r>
                    <w:rPr>
                      <w:rFonts w:hint="eastAsia" w:eastAsia="宋体"/>
                      <w:szCs w:val="21"/>
                      <w:u w:val="none" w:color="auto"/>
                      <w:lang w:val="en-US" w:eastAsia="zh-CN"/>
                    </w:rPr>
                    <w:t>m</w:t>
                  </w:r>
                  <w:r>
                    <w:rPr>
                      <w:rFonts w:hint="eastAsia" w:eastAsia="宋体"/>
                      <w:szCs w:val="21"/>
                      <w:u w:val="none" w:color="auto"/>
                      <w:vertAlign w:val="superscript"/>
                      <w:lang w:val="en-US" w:eastAsia="zh-CN"/>
                    </w:rPr>
                    <w:t>2</w:t>
                  </w:r>
                  <w:r>
                    <w:rPr>
                      <w:rFonts w:hint="eastAsia" w:cstheme="minorBidi"/>
                      <w:kern w:val="2"/>
                      <w:sz w:val="21"/>
                      <w:szCs w:val="32"/>
                      <w:u w:val="none" w:color="auto"/>
                      <w:lang w:val="en-US" w:eastAsia="zh-CN" w:bidi="ar-SA"/>
                    </w:rPr>
                    <w:t>，位于厂区中部，用于暂存竹筷</w:t>
                  </w:r>
                </w:p>
              </w:tc>
            </w:tr>
            <w:tr w14:paraId="374F7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restart"/>
                  <w:vAlign w:val="center"/>
                </w:tcPr>
                <w:p w14:paraId="754466B4">
                  <w:pPr>
                    <w:pStyle w:val="57"/>
                    <w:rPr>
                      <w:u w:val="none" w:color="auto"/>
                    </w:rPr>
                  </w:pPr>
                  <w:r>
                    <w:rPr>
                      <w:rFonts w:hint="eastAsia"/>
                      <w:u w:val="none" w:color="auto"/>
                    </w:rPr>
                    <w:t>公用工程</w:t>
                  </w:r>
                </w:p>
              </w:tc>
              <w:tc>
                <w:tcPr>
                  <w:tcW w:w="1546" w:type="dxa"/>
                  <w:gridSpan w:val="2"/>
                  <w:vAlign w:val="center"/>
                </w:tcPr>
                <w:p w14:paraId="5C2506EB">
                  <w:pPr>
                    <w:pStyle w:val="57"/>
                    <w:rPr>
                      <w:u w:val="none" w:color="auto"/>
                    </w:rPr>
                  </w:pPr>
                  <w:r>
                    <w:rPr>
                      <w:rFonts w:hint="eastAsia"/>
                      <w:u w:val="none" w:color="auto"/>
                    </w:rPr>
                    <w:t>给水</w:t>
                  </w:r>
                </w:p>
              </w:tc>
              <w:tc>
                <w:tcPr>
                  <w:tcW w:w="5636" w:type="dxa"/>
                  <w:vAlign w:val="center"/>
                </w:tcPr>
                <w:p w14:paraId="189E4719">
                  <w:pPr>
                    <w:pStyle w:val="57"/>
                    <w:rPr>
                      <w:rFonts w:hint="eastAsia" w:ascii="Times New Roman" w:hAnsi="Times New Roman" w:eastAsia="宋体" w:cstheme="minorBidi"/>
                      <w:kern w:val="2"/>
                      <w:sz w:val="21"/>
                      <w:szCs w:val="32"/>
                      <w:u w:val="none" w:color="auto"/>
                      <w:lang w:val="en-US" w:eastAsia="zh-CN" w:bidi="ar-SA"/>
                    </w:rPr>
                  </w:pPr>
                  <w:r>
                    <w:rPr>
                      <w:rFonts w:hint="eastAsia"/>
                      <w:szCs w:val="21"/>
                    </w:rPr>
                    <w:t>由乡镇自来水供水管网统一供水</w:t>
                  </w:r>
                </w:p>
              </w:tc>
            </w:tr>
            <w:tr w14:paraId="7B093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continue"/>
                  <w:vAlign w:val="center"/>
                </w:tcPr>
                <w:p w14:paraId="0A8EB7E1">
                  <w:pPr>
                    <w:pStyle w:val="57"/>
                    <w:rPr>
                      <w:u w:val="none" w:color="auto"/>
                    </w:rPr>
                  </w:pPr>
                </w:p>
              </w:tc>
              <w:tc>
                <w:tcPr>
                  <w:tcW w:w="1546" w:type="dxa"/>
                  <w:gridSpan w:val="2"/>
                  <w:vAlign w:val="center"/>
                </w:tcPr>
                <w:p w14:paraId="2030F14E">
                  <w:pPr>
                    <w:pStyle w:val="57"/>
                    <w:rPr>
                      <w:u w:val="none" w:color="auto"/>
                    </w:rPr>
                  </w:pPr>
                  <w:r>
                    <w:rPr>
                      <w:rFonts w:hint="eastAsia"/>
                      <w:u w:val="none" w:color="auto"/>
                    </w:rPr>
                    <w:t>排水</w:t>
                  </w:r>
                </w:p>
              </w:tc>
              <w:tc>
                <w:tcPr>
                  <w:tcW w:w="5636" w:type="dxa"/>
                  <w:vAlign w:val="center"/>
                </w:tcPr>
                <w:p w14:paraId="2D904A8D">
                  <w:pPr>
                    <w:pStyle w:val="57"/>
                    <w:rPr>
                      <w:rFonts w:hint="default" w:ascii="Times New Roman" w:hAnsi="Times New Roman" w:eastAsia="宋体" w:cstheme="minorBidi"/>
                      <w:kern w:val="2"/>
                      <w:sz w:val="21"/>
                      <w:szCs w:val="32"/>
                      <w:u w:val="none" w:color="auto"/>
                      <w:lang w:val="en-US" w:eastAsia="zh-CN" w:bidi="ar-SA"/>
                    </w:rPr>
                  </w:pPr>
                  <w:r>
                    <w:rPr>
                      <w:rFonts w:hint="eastAsia"/>
                      <w:szCs w:val="21"/>
                    </w:rPr>
                    <w:t>排水采用雨污分流制，</w:t>
                  </w:r>
                  <w:r>
                    <w:rPr>
                      <w:rFonts w:hint="eastAsia"/>
                    </w:rPr>
                    <w:t>雨水经过厂内雨水沟排入周边沟渠</w:t>
                  </w:r>
                  <w:r>
                    <w:rPr>
                      <w:rFonts w:hint="eastAsia"/>
                      <w:lang w:eastAsia="zh-CN"/>
                    </w:rPr>
                    <w:t>；</w:t>
                  </w:r>
                  <w:r>
                    <w:rPr>
                      <w:rFonts w:hint="eastAsia"/>
                      <w:szCs w:val="21"/>
                      <w:lang w:val="en-US" w:eastAsia="zh-CN"/>
                    </w:rPr>
                    <w:t>生活污水经化粪池处理后用于菜地</w:t>
                  </w:r>
                  <w:r>
                    <w:rPr>
                      <w:rFonts w:hint="eastAsia"/>
                      <w:color w:val="000000" w:themeColor="text1"/>
                      <w:szCs w:val="21"/>
                      <w:lang w:val="en-US" w:eastAsia="zh-CN"/>
                      <w14:textFill>
                        <w14:solidFill>
                          <w14:schemeClr w14:val="tx1"/>
                        </w14:solidFill>
                      </w14:textFill>
                    </w:rPr>
                    <w:t>施肥；</w:t>
                  </w:r>
                  <w:r>
                    <w:rPr>
                      <w:rFonts w:hint="eastAsia"/>
                      <w:color w:val="000000" w:themeColor="text1"/>
                      <w:u w:val="none" w:color="auto"/>
                      <w14:textFill>
                        <w14:solidFill>
                          <w14:schemeClr w14:val="tx1"/>
                        </w14:solidFill>
                      </w14:textFill>
                    </w:rPr>
                    <w:t>锅炉排污水和软水制备废水</w:t>
                  </w:r>
                  <w:r>
                    <w:rPr>
                      <w:rFonts w:hint="eastAsia"/>
                      <w:color w:val="000000" w:themeColor="text1"/>
                      <w:u w:val="none" w:color="auto"/>
                      <w:lang w:val="en-US" w:eastAsia="zh-CN"/>
                      <w14:textFill>
                        <w14:solidFill>
                          <w14:schemeClr w14:val="tx1"/>
                        </w14:solidFill>
                      </w14:textFill>
                    </w:rPr>
                    <w:t>收集后用于水膜除尘补充用水；蒸汽杀菌锅冷凝水收集后部分用于水膜除尘补充用水，部分用于厂区洒水降尘。</w:t>
                  </w:r>
                </w:p>
              </w:tc>
            </w:tr>
            <w:tr w14:paraId="2B4B0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continue"/>
                  <w:vAlign w:val="center"/>
                </w:tcPr>
                <w:p w14:paraId="743CE535">
                  <w:pPr>
                    <w:pStyle w:val="57"/>
                    <w:rPr>
                      <w:u w:val="none" w:color="auto"/>
                    </w:rPr>
                  </w:pPr>
                </w:p>
              </w:tc>
              <w:tc>
                <w:tcPr>
                  <w:tcW w:w="1546" w:type="dxa"/>
                  <w:gridSpan w:val="2"/>
                  <w:vAlign w:val="center"/>
                </w:tcPr>
                <w:p w14:paraId="5F322813">
                  <w:pPr>
                    <w:pStyle w:val="57"/>
                    <w:rPr>
                      <w:u w:val="none" w:color="auto"/>
                    </w:rPr>
                  </w:pPr>
                  <w:r>
                    <w:rPr>
                      <w:rFonts w:hint="eastAsia"/>
                      <w:u w:val="none" w:color="auto"/>
                    </w:rPr>
                    <w:t>供热</w:t>
                  </w:r>
                </w:p>
              </w:tc>
              <w:tc>
                <w:tcPr>
                  <w:tcW w:w="5636" w:type="dxa"/>
                  <w:vAlign w:val="center"/>
                </w:tcPr>
                <w:p w14:paraId="11391D2A">
                  <w:pPr>
                    <w:pStyle w:val="57"/>
                    <w:rPr>
                      <w:rFonts w:hint="eastAsia" w:ascii="Times New Roman" w:hAnsi="Times New Roman" w:eastAsia="宋体" w:cstheme="minorBidi"/>
                      <w:kern w:val="2"/>
                      <w:sz w:val="21"/>
                      <w:szCs w:val="32"/>
                      <w:u w:val="none" w:color="auto"/>
                      <w:lang w:val="en-US" w:eastAsia="zh-CN" w:bidi="ar-SA"/>
                    </w:rPr>
                  </w:pPr>
                  <w:r>
                    <w:rPr>
                      <w:rFonts w:hint="eastAsia"/>
                    </w:rPr>
                    <w:t>设置1台</w:t>
                  </w:r>
                  <w:r>
                    <w:rPr>
                      <w:rFonts w:hint="eastAsia"/>
                      <w:lang w:val="en-US" w:eastAsia="zh-CN"/>
                    </w:rPr>
                    <w:t>2.5</w:t>
                  </w:r>
                  <w:r>
                    <w:rPr>
                      <w:rFonts w:hint="eastAsia"/>
                    </w:rPr>
                    <w:t>t/h的生物质锅炉供热</w:t>
                  </w:r>
                </w:p>
              </w:tc>
            </w:tr>
            <w:tr w14:paraId="73625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continue"/>
                  <w:vAlign w:val="center"/>
                </w:tcPr>
                <w:p w14:paraId="7CF73C4B">
                  <w:pPr>
                    <w:pStyle w:val="57"/>
                    <w:rPr>
                      <w:u w:val="none" w:color="auto"/>
                    </w:rPr>
                  </w:pPr>
                </w:p>
              </w:tc>
              <w:tc>
                <w:tcPr>
                  <w:tcW w:w="1546" w:type="dxa"/>
                  <w:gridSpan w:val="2"/>
                  <w:vAlign w:val="center"/>
                </w:tcPr>
                <w:p w14:paraId="33D1100B">
                  <w:pPr>
                    <w:pStyle w:val="57"/>
                    <w:rPr>
                      <w:u w:val="none" w:color="auto"/>
                    </w:rPr>
                  </w:pPr>
                  <w:r>
                    <w:rPr>
                      <w:rFonts w:hint="eastAsia"/>
                      <w:u w:val="none" w:color="auto"/>
                    </w:rPr>
                    <w:t>供电</w:t>
                  </w:r>
                </w:p>
              </w:tc>
              <w:tc>
                <w:tcPr>
                  <w:tcW w:w="5636" w:type="dxa"/>
                  <w:vAlign w:val="center"/>
                </w:tcPr>
                <w:p w14:paraId="04A57086">
                  <w:pPr>
                    <w:pStyle w:val="57"/>
                    <w:rPr>
                      <w:rFonts w:hint="eastAsia" w:ascii="Times New Roman" w:hAnsi="Times New Roman" w:eastAsia="宋体" w:cstheme="minorBidi"/>
                      <w:kern w:val="2"/>
                      <w:sz w:val="21"/>
                      <w:szCs w:val="32"/>
                      <w:u w:val="none" w:color="auto"/>
                      <w:lang w:val="en-US" w:eastAsia="zh-CN" w:bidi="ar-SA"/>
                    </w:rPr>
                  </w:pPr>
                  <w:r>
                    <w:rPr>
                      <w:rFonts w:hint="eastAsia"/>
                      <w:szCs w:val="21"/>
                    </w:rPr>
                    <w:t>由乡镇供电系统供电</w:t>
                  </w:r>
                </w:p>
              </w:tc>
            </w:tr>
            <w:tr w14:paraId="3E05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restart"/>
                  <w:vAlign w:val="center"/>
                </w:tcPr>
                <w:p w14:paraId="03466301">
                  <w:pPr>
                    <w:pStyle w:val="57"/>
                    <w:rPr>
                      <w:u w:val="none" w:color="auto"/>
                    </w:rPr>
                  </w:pPr>
                  <w:r>
                    <w:rPr>
                      <w:rFonts w:hint="eastAsia"/>
                      <w:u w:val="none" w:color="auto"/>
                    </w:rPr>
                    <w:t>环保工程</w:t>
                  </w:r>
                </w:p>
              </w:tc>
              <w:tc>
                <w:tcPr>
                  <w:tcW w:w="1546" w:type="dxa"/>
                  <w:gridSpan w:val="2"/>
                  <w:vMerge w:val="restart"/>
                  <w:vAlign w:val="center"/>
                </w:tcPr>
                <w:p w14:paraId="3E50D363">
                  <w:pPr>
                    <w:pStyle w:val="57"/>
                    <w:rPr>
                      <w:u w:val="none" w:color="auto"/>
                    </w:rPr>
                  </w:pPr>
                  <w:r>
                    <w:rPr>
                      <w:rFonts w:hint="eastAsia"/>
                      <w:u w:val="none" w:color="auto"/>
                    </w:rPr>
                    <w:t>废水</w:t>
                  </w:r>
                </w:p>
              </w:tc>
              <w:tc>
                <w:tcPr>
                  <w:tcW w:w="5636" w:type="dxa"/>
                  <w:vAlign w:val="center"/>
                </w:tcPr>
                <w:p w14:paraId="0A37470F">
                  <w:pPr>
                    <w:pStyle w:val="57"/>
                    <w:rPr>
                      <w:rFonts w:hint="eastAsia"/>
                      <w:szCs w:val="21"/>
                      <w:lang w:val="en-US" w:eastAsia="zh-CN"/>
                    </w:rPr>
                  </w:pPr>
                  <w:r>
                    <w:rPr>
                      <w:rFonts w:hint="eastAsia"/>
                      <w:szCs w:val="21"/>
                      <w:lang w:val="en-US" w:eastAsia="zh-CN"/>
                    </w:rPr>
                    <w:t>生活污水经化粪池处理后用于菜地施肥</w:t>
                  </w:r>
                </w:p>
              </w:tc>
            </w:tr>
            <w:tr w14:paraId="22BBB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continue"/>
                  <w:vAlign w:val="center"/>
                </w:tcPr>
                <w:p w14:paraId="06FA61DF">
                  <w:pPr>
                    <w:pStyle w:val="57"/>
                    <w:rPr>
                      <w:rFonts w:hint="eastAsia"/>
                      <w:u w:val="none" w:color="auto"/>
                    </w:rPr>
                  </w:pPr>
                </w:p>
              </w:tc>
              <w:tc>
                <w:tcPr>
                  <w:tcW w:w="1546" w:type="dxa"/>
                  <w:gridSpan w:val="2"/>
                  <w:vMerge w:val="continue"/>
                  <w:vAlign w:val="center"/>
                </w:tcPr>
                <w:p w14:paraId="313946C7">
                  <w:pPr>
                    <w:pStyle w:val="57"/>
                    <w:rPr>
                      <w:rFonts w:hint="eastAsia"/>
                      <w:u w:val="none" w:color="auto"/>
                    </w:rPr>
                  </w:pPr>
                </w:p>
              </w:tc>
              <w:tc>
                <w:tcPr>
                  <w:tcW w:w="5636" w:type="dxa"/>
                  <w:vAlign w:val="center"/>
                </w:tcPr>
                <w:p w14:paraId="33789D49">
                  <w:pPr>
                    <w:pStyle w:val="57"/>
                    <w:rPr>
                      <w:rFonts w:hint="default"/>
                      <w:szCs w:val="21"/>
                      <w:lang w:val="en-US" w:eastAsia="zh-CN"/>
                    </w:rPr>
                  </w:pPr>
                  <w:r>
                    <w:rPr>
                      <w:rFonts w:hint="eastAsia"/>
                      <w:szCs w:val="21"/>
                    </w:rPr>
                    <w:t>锅炉排污水和软水制备废水</w:t>
                  </w:r>
                  <w:r>
                    <w:rPr>
                      <w:rFonts w:hint="eastAsia"/>
                      <w:szCs w:val="21"/>
                      <w:lang w:val="en-US" w:eastAsia="zh-CN"/>
                    </w:rPr>
                    <w:t>收集后用于水膜除尘补充用水</w:t>
                  </w:r>
                </w:p>
              </w:tc>
            </w:tr>
            <w:tr w14:paraId="21A1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continue"/>
                  <w:vAlign w:val="center"/>
                </w:tcPr>
                <w:p w14:paraId="0AE7D322">
                  <w:pPr>
                    <w:pStyle w:val="57"/>
                    <w:rPr>
                      <w:rFonts w:hint="eastAsia"/>
                      <w:u w:val="none" w:color="auto"/>
                    </w:rPr>
                  </w:pPr>
                </w:p>
              </w:tc>
              <w:tc>
                <w:tcPr>
                  <w:tcW w:w="1546" w:type="dxa"/>
                  <w:gridSpan w:val="2"/>
                  <w:vMerge w:val="continue"/>
                  <w:vAlign w:val="center"/>
                </w:tcPr>
                <w:p w14:paraId="512FB70D">
                  <w:pPr>
                    <w:pStyle w:val="57"/>
                    <w:rPr>
                      <w:rFonts w:hint="eastAsia"/>
                      <w:u w:val="none" w:color="auto"/>
                    </w:rPr>
                  </w:pPr>
                </w:p>
              </w:tc>
              <w:tc>
                <w:tcPr>
                  <w:tcW w:w="5636" w:type="dxa"/>
                  <w:vAlign w:val="center"/>
                </w:tcPr>
                <w:p w14:paraId="40E96200">
                  <w:pPr>
                    <w:pStyle w:val="57"/>
                    <w:rPr>
                      <w:rFonts w:hint="eastAsia"/>
                      <w:color w:val="0000FF"/>
                      <w:u w:val="none" w:color="auto"/>
                    </w:rPr>
                  </w:pPr>
                  <w:r>
                    <w:rPr>
                      <w:rFonts w:hint="eastAsia"/>
                      <w:color w:val="000000" w:themeColor="text1"/>
                      <w:u w:val="none" w:color="auto"/>
                      <w:lang w:val="en-US" w:eastAsia="zh-CN"/>
                      <w14:textFill>
                        <w14:solidFill>
                          <w14:schemeClr w14:val="tx1"/>
                        </w14:solidFill>
                      </w14:textFill>
                    </w:rPr>
                    <w:t>蒸汽杀菌锅冷凝水收集后部分用于水膜除尘补充用水，部分用于厂区洒水降尘</w:t>
                  </w:r>
                </w:p>
              </w:tc>
            </w:tr>
            <w:tr w14:paraId="3705A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continue"/>
                  <w:vAlign w:val="center"/>
                </w:tcPr>
                <w:p w14:paraId="08420524">
                  <w:pPr>
                    <w:pStyle w:val="57"/>
                    <w:rPr>
                      <w:u w:val="none" w:color="auto"/>
                    </w:rPr>
                  </w:pPr>
                </w:p>
              </w:tc>
              <w:tc>
                <w:tcPr>
                  <w:tcW w:w="1546" w:type="dxa"/>
                  <w:gridSpan w:val="2"/>
                  <w:vMerge w:val="restart"/>
                  <w:vAlign w:val="center"/>
                </w:tcPr>
                <w:p w14:paraId="6F8E9D5E">
                  <w:pPr>
                    <w:pStyle w:val="57"/>
                    <w:rPr>
                      <w:u w:val="none" w:color="auto"/>
                    </w:rPr>
                  </w:pPr>
                  <w:r>
                    <w:rPr>
                      <w:rFonts w:hint="eastAsia"/>
                      <w:u w:val="none" w:color="auto"/>
                    </w:rPr>
                    <w:t>废气</w:t>
                  </w:r>
                </w:p>
              </w:tc>
              <w:tc>
                <w:tcPr>
                  <w:tcW w:w="5636" w:type="dxa"/>
                  <w:vAlign w:val="center"/>
                </w:tcPr>
                <w:p w14:paraId="4440A83D">
                  <w:pPr>
                    <w:pStyle w:val="57"/>
                    <w:rPr>
                      <w:rFonts w:hint="default"/>
                      <w:szCs w:val="21"/>
                      <w:lang w:val="en-US" w:eastAsia="zh-CN"/>
                    </w:rPr>
                  </w:pPr>
                  <w:r>
                    <w:rPr>
                      <w:rFonts w:hint="eastAsia"/>
                      <w:szCs w:val="21"/>
                      <w:lang w:val="en-US" w:eastAsia="zh-CN"/>
                    </w:rPr>
                    <w:t>断料、开片、成型工序粉尘</w:t>
                  </w:r>
                  <w:r>
                    <w:rPr>
                      <w:rFonts w:hint="eastAsia"/>
                      <w:szCs w:val="21"/>
                    </w:rPr>
                    <w:t>在车间内无组织排放</w:t>
                  </w:r>
                  <w:r>
                    <w:rPr>
                      <w:rFonts w:hint="eastAsia"/>
                      <w:szCs w:val="21"/>
                      <w:lang w:eastAsia="zh-CN"/>
                    </w:rPr>
                    <w:t>；</w:t>
                  </w:r>
                  <w:r>
                    <w:rPr>
                      <w:rFonts w:hint="eastAsia"/>
                      <w:szCs w:val="21"/>
                    </w:rPr>
                    <w:t>加强管理，洒水降尘，地面及时清扫</w:t>
                  </w:r>
                </w:p>
              </w:tc>
            </w:tr>
            <w:tr w14:paraId="74029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continue"/>
                  <w:vAlign w:val="center"/>
                </w:tcPr>
                <w:p w14:paraId="1D2C18D5">
                  <w:pPr>
                    <w:pStyle w:val="57"/>
                    <w:rPr>
                      <w:u w:val="none" w:color="auto"/>
                    </w:rPr>
                  </w:pPr>
                </w:p>
              </w:tc>
              <w:tc>
                <w:tcPr>
                  <w:tcW w:w="1546" w:type="dxa"/>
                  <w:gridSpan w:val="2"/>
                  <w:vMerge w:val="continue"/>
                  <w:vAlign w:val="center"/>
                </w:tcPr>
                <w:p w14:paraId="2874B8B0">
                  <w:pPr>
                    <w:pStyle w:val="57"/>
                    <w:rPr>
                      <w:rFonts w:hint="eastAsia"/>
                      <w:u w:val="none" w:color="auto"/>
                    </w:rPr>
                  </w:pPr>
                </w:p>
              </w:tc>
              <w:tc>
                <w:tcPr>
                  <w:tcW w:w="5636" w:type="dxa"/>
                  <w:vAlign w:val="center"/>
                </w:tcPr>
                <w:p w14:paraId="736B9649">
                  <w:pPr>
                    <w:pStyle w:val="57"/>
                    <w:rPr>
                      <w:rFonts w:hint="default"/>
                      <w:szCs w:val="21"/>
                      <w:lang w:val="en-US" w:eastAsia="zh-CN"/>
                    </w:rPr>
                  </w:pPr>
                  <w:r>
                    <w:rPr>
                      <w:rFonts w:hint="eastAsia"/>
                      <w:szCs w:val="21"/>
                      <w:lang w:val="en-US" w:eastAsia="zh-CN"/>
                    </w:rPr>
                    <w:t>拉丝工序粉尘经集气罩收集后经布袋除尘器处理后</w:t>
                  </w:r>
                  <w:r>
                    <w:rPr>
                      <w:rFonts w:hint="eastAsia"/>
                      <w:szCs w:val="21"/>
                    </w:rPr>
                    <w:t>通过1根</w:t>
                  </w:r>
                  <w:r>
                    <w:rPr>
                      <w:rFonts w:hint="eastAsia"/>
                      <w:szCs w:val="21"/>
                      <w:lang w:val="en-US" w:eastAsia="zh-CN"/>
                    </w:rPr>
                    <w:t>15</w:t>
                  </w:r>
                  <w:r>
                    <w:rPr>
                      <w:rFonts w:hint="eastAsia"/>
                      <w:szCs w:val="21"/>
                    </w:rPr>
                    <w:t>m高排气筒（DA001）排放</w:t>
                  </w:r>
                </w:p>
              </w:tc>
            </w:tr>
            <w:tr w14:paraId="17927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continue"/>
                  <w:vAlign w:val="center"/>
                </w:tcPr>
                <w:p w14:paraId="4E8AE40C">
                  <w:pPr>
                    <w:pStyle w:val="57"/>
                    <w:rPr>
                      <w:u w:val="none" w:color="auto"/>
                    </w:rPr>
                  </w:pPr>
                </w:p>
              </w:tc>
              <w:tc>
                <w:tcPr>
                  <w:tcW w:w="1546" w:type="dxa"/>
                  <w:gridSpan w:val="2"/>
                  <w:vMerge w:val="continue"/>
                  <w:vAlign w:val="center"/>
                </w:tcPr>
                <w:p w14:paraId="4EAF96C3">
                  <w:pPr>
                    <w:pStyle w:val="57"/>
                    <w:rPr>
                      <w:rFonts w:hint="eastAsia"/>
                      <w:u w:val="none" w:color="auto"/>
                    </w:rPr>
                  </w:pPr>
                </w:p>
              </w:tc>
              <w:tc>
                <w:tcPr>
                  <w:tcW w:w="5636" w:type="dxa"/>
                  <w:vAlign w:val="center"/>
                </w:tcPr>
                <w:p w14:paraId="14A30BB4">
                  <w:pPr>
                    <w:pStyle w:val="57"/>
                    <w:rPr>
                      <w:rFonts w:hint="default" w:ascii="Times New Roman" w:hAnsi="Times New Roman" w:eastAsia="宋体" w:cstheme="minorBidi"/>
                      <w:kern w:val="2"/>
                      <w:sz w:val="21"/>
                      <w:szCs w:val="32"/>
                      <w:u w:val="none" w:color="auto"/>
                      <w:lang w:val="en-US" w:eastAsia="zh-CN" w:bidi="ar-SA"/>
                    </w:rPr>
                  </w:pPr>
                  <w:r>
                    <w:rPr>
                      <w:rFonts w:hint="eastAsia"/>
                      <w:szCs w:val="21"/>
                    </w:rPr>
                    <w:t>燃生物质锅炉废气采取SNCR脱硝技术，经旋风除尘+</w:t>
                  </w:r>
                  <w:r>
                    <w:rPr>
                      <w:rFonts w:hint="eastAsia"/>
                      <w:szCs w:val="21"/>
                      <w:lang w:val="en-US" w:eastAsia="zh-CN"/>
                    </w:rPr>
                    <w:t>布袋</w:t>
                  </w:r>
                  <w:r>
                    <w:rPr>
                      <w:rFonts w:hint="eastAsia"/>
                      <w:szCs w:val="21"/>
                    </w:rPr>
                    <w:t>除尘</w:t>
                  </w:r>
                  <w:r>
                    <w:rPr>
                      <w:rFonts w:hint="eastAsia"/>
                      <w:szCs w:val="21"/>
                      <w:lang w:val="en-US" w:eastAsia="zh-CN"/>
                    </w:rPr>
                    <w:t>+水膜除尘</w:t>
                  </w:r>
                  <w:r>
                    <w:rPr>
                      <w:rFonts w:hint="eastAsia"/>
                      <w:szCs w:val="21"/>
                    </w:rPr>
                    <w:t>处理后通过1根3</w:t>
                  </w:r>
                  <w:r>
                    <w:rPr>
                      <w:rFonts w:hint="eastAsia"/>
                      <w:szCs w:val="21"/>
                      <w:lang w:val="en-US" w:eastAsia="zh-CN"/>
                    </w:rPr>
                    <w:t>0</w:t>
                  </w:r>
                  <w:r>
                    <w:rPr>
                      <w:rFonts w:hint="eastAsia"/>
                      <w:szCs w:val="21"/>
                    </w:rPr>
                    <w:t>m高排气筒（DA00</w:t>
                  </w:r>
                  <w:r>
                    <w:rPr>
                      <w:rFonts w:hint="eastAsia"/>
                      <w:szCs w:val="21"/>
                      <w:lang w:val="en-US" w:eastAsia="zh-CN"/>
                    </w:rPr>
                    <w:t>2</w:t>
                  </w:r>
                  <w:r>
                    <w:rPr>
                      <w:rFonts w:hint="eastAsia"/>
                      <w:szCs w:val="21"/>
                    </w:rPr>
                    <w:t>）排放</w:t>
                  </w:r>
                </w:p>
              </w:tc>
            </w:tr>
            <w:tr w14:paraId="3FF10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continue"/>
                  <w:vAlign w:val="center"/>
                </w:tcPr>
                <w:p w14:paraId="524F58ED">
                  <w:pPr>
                    <w:pStyle w:val="57"/>
                    <w:rPr>
                      <w:u w:val="none" w:color="auto"/>
                    </w:rPr>
                  </w:pPr>
                </w:p>
              </w:tc>
              <w:tc>
                <w:tcPr>
                  <w:tcW w:w="1546" w:type="dxa"/>
                  <w:gridSpan w:val="2"/>
                  <w:vAlign w:val="center"/>
                </w:tcPr>
                <w:p w14:paraId="284F6148">
                  <w:pPr>
                    <w:pStyle w:val="57"/>
                    <w:rPr>
                      <w:u w:val="none" w:color="auto"/>
                    </w:rPr>
                  </w:pPr>
                  <w:r>
                    <w:rPr>
                      <w:rFonts w:hint="eastAsia"/>
                      <w:u w:val="none" w:color="auto"/>
                    </w:rPr>
                    <w:t>噪声</w:t>
                  </w:r>
                </w:p>
              </w:tc>
              <w:tc>
                <w:tcPr>
                  <w:tcW w:w="5636" w:type="dxa"/>
                  <w:vAlign w:val="center"/>
                </w:tcPr>
                <w:p w14:paraId="75667F2A">
                  <w:pPr>
                    <w:pStyle w:val="57"/>
                    <w:rPr>
                      <w:rFonts w:hint="eastAsia" w:ascii="Times New Roman" w:hAnsi="Times New Roman" w:eastAsia="宋体" w:cstheme="minorBidi"/>
                      <w:kern w:val="2"/>
                      <w:sz w:val="21"/>
                      <w:szCs w:val="32"/>
                      <w:u w:val="none" w:color="auto"/>
                      <w:lang w:val="en-US" w:eastAsia="zh-CN" w:bidi="ar-SA"/>
                    </w:rPr>
                  </w:pPr>
                  <w:r>
                    <w:rPr>
                      <w:rFonts w:hint="eastAsia"/>
                      <w:szCs w:val="21"/>
                    </w:rPr>
                    <w:t>选用低噪声设备，并采取减振、隔声等降噪措施</w:t>
                  </w:r>
                </w:p>
              </w:tc>
            </w:tr>
            <w:tr w14:paraId="72F0D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continue"/>
                  <w:vAlign w:val="center"/>
                </w:tcPr>
                <w:p w14:paraId="004E49FC">
                  <w:pPr>
                    <w:pStyle w:val="57"/>
                    <w:rPr>
                      <w:u w:val="none" w:color="auto"/>
                    </w:rPr>
                  </w:pPr>
                </w:p>
              </w:tc>
              <w:tc>
                <w:tcPr>
                  <w:tcW w:w="551" w:type="dxa"/>
                  <w:vMerge w:val="restart"/>
                  <w:vAlign w:val="center"/>
                </w:tcPr>
                <w:p w14:paraId="56790550">
                  <w:pPr>
                    <w:pStyle w:val="57"/>
                    <w:rPr>
                      <w:u w:val="none" w:color="auto"/>
                    </w:rPr>
                  </w:pPr>
                  <w:r>
                    <w:rPr>
                      <w:rFonts w:hint="eastAsia"/>
                      <w:u w:val="none" w:color="auto"/>
                    </w:rPr>
                    <w:t>固体废物</w:t>
                  </w:r>
                </w:p>
              </w:tc>
              <w:tc>
                <w:tcPr>
                  <w:tcW w:w="995" w:type="dxa"/>
                  <w:vAlign w:val="center"/>
                </w:tcPr>
                <w:p w14:paraId="47C3765E">
                  <w:pPr>
                    <w:pStyle w:val="57"/>
                    <w:rPr>
                      <w:rFonts w:hint="default" w:eastAsia="宋体"/>
                      <w:u w:val="none" w:color="auto"/>
                      <w:lang w:val="en-US" w:eastAsia="zh-CN"/>
                    </w:rPr>
                  </w:pPr>
                  <w:r>
                    <w:rPr>
                      <w:rFonts w:hint="eastAsia"/>
                      <w:u w:val="none" w:color="auto"/>
                      <w:lang w:val="en-US" w:eastAsia="zh-CN"/>
                    </w:rPr>
                    <w:t>生活垃圾</w:t>
                  </w:r>
                </w:p>
              </w:tc>
              <w:tc>
                <w:tcPr>
                  <w:tcW w:w="5636" w:type="dxa"/>
                  <w:vAlign w:val="center"/>
                </w:tcPr>
                <w:p w14:paraId="0842A915">
                  <w:pPr>
                    <w:pStyle w:val="57"/>
                    <w:rPr>
                      <w:rFonts w:hint="eastAsia" w:ascii="Times New Roman" w:hAnsi="Times New Roman" w:eastAsia="宋体" w:cstheme="minorBidi"/>
                      <w:kern w:val="2"/>
                      <w:sz w:val="21"/>
                      <w:szCs w:val="32"/>
                      <w:u w:val="none" w:color="auto"/>
                      <w:lang w:val="en-US" w:eastAsia="zh-CN" w:bidi="ar-SA"/>
                    </w:rPr>
                  </w:pPr>
                  <w:r>
                    <w:rPr>
                      <w:rFonts w:hint="eastAsia"/>
                      <w:szCs w:val="21"/>
                    </w:rPr>
                    <w:t>由环卫部门统一清运</w:t>
                  </w:r>
                </w:p>
              </w:tc>
            </w:tr>
            <w:tr w14:paraId="64425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continue"/>
                  <w:vAlign w:val="center"/>
                </w:tcPr>
                <w:p w14:paraId="74A4225E">
                  <w:pPr>
                    <w:pStyle w:val="57"/>
                    <w:rPr>
                      <w:u w:val="none" w:color="auto"/>
                    </w:rPr>
                  </w:pPr>
                </w:p>
              </w:tc>
              <w:tc>
                <w:tcPr>
                  <w:tcW w:w="551" w:type="dxa"/>
                  <w:vMerge w:val="continue"/>
                  <w:vAlign w:val="center"/>
                </w:tcPr>
                <w:p w14:paraId="2F26C044">
                  <w:pPr>
                    <w:pStyle w:val="57"/>
                    <w:rPr>
                      <w:rFonts w:hint="eastAsia"/>
                      <w:u w:val="none" w:color="auto"/>
                    </w:rPr>
                  </w:pPr>
                </w:p>
              </w:tc>
              <w:tc>
                <w:tcPr>
                  <w:tcW w:w="995" w:type="dxa"/>
                  <w:shd w:val="clear" w:color="auto" w:fill="auto"/>
                  <w:vAlign w:val="center"/>
                </w:tcPr>
                <w:p w14:paraId="5E3B58D2">
                  <w:pPr>
                    <w:pStyle w:val="57"/>
                    <w:rPr>
                      <w:rFonts w:hint="eastAsia" w:ascii="Times New Roman" w:hAnsi="Times New Roman" w:eastAsia="宋体" w:cstheme="minorBidi"/>
                      <w:kern w:val="2"/>
                      <w:sz w:val="21"/>
                      <w:szCs w:val="32"/>
                      <w:u w:val="none" w:color="auto"/>
                      <w:lang w:val="en-US" w:eastAsia="zh-CN" w:bidi="ar-SA"/>
                    </w:rPr>
                  </w:pPr>
                  <w:r>
                    <w:rPr>
                      <w:rFonts w:hint="eastAsia"/>
                      <w:u w:val="none" w:color="auto"/>
                      <w:lang w:val="en-US" w:eastAsia="zh-CN"/>
                    </w:rPr>
                    <w:t>一般固废</w:t>
                  </w:r>
                </w:p>
              </w:tc>
              <w:tc>
                <w:tcPr>
                  <w:tcW w:w="5636" w:type="dxa"/>
                  <w:shd w:val="clear" w:color="auto" w:fill="auto"/>
                  <w:vAlign w:val="center"/>
                </w:tcPr>
                <w:p w14:paraId="571FB4A3">
                  <w:pPr>
                    <w:pStyle w:val="57"/>
                    <w:rPr>
                      <w:rFonts w:hint="eastAsia" w:ascii="Times New Roman" w:hAnsi="Times New Roman" w:eastAsia="宋体" w:cstheme="minorBidi"/>
                      <w:kern w:val="2"/>
                      <w:sz w:val="21"/>
                      <w:szCs w:val="32"/>
                      <w:u w:val="none" w:color="auto"/>
                      <w:lang w:val="en-US" w:eastAsia="zh-CN" w:bidi="ar-SA"/>
                    </w:rPr>
                  </w:pPr>
                  <w:r>
                    <w:rPr>
                      <w:rFonts w:hint="eastAsia"/>
                      <w:szCs w:val="21"/>
                      <w:u w:val="none" w:color="auto"/>
                    </w:rPr>
                    <w:t>在生产厂房内</w:t>
                  </w:r>
                  <w:r>
                    <w:rPr>
                      <w:rFonts w:hint="eastAsia"/>
                      <w:szCs w:val="21"/>
                      <w:u w:val="none" w:color="auto"/>
                      <w:lang w:val="en-US" w:eastAsia="zh-CN"/>
                    </w:rPr>
                    <w:t>北</w:t>
                  </w:r>
                  <w:r>
                    <w:rPr>
                      <w:rFonts w:hint="eastAsia"/>
                      <w:szCs w:val="21"/>
                      <w:u w:val="none" w:color="auto"/>
                    </w:rPr>
                    <w:t>侧设一般固废暂存间</w:t>
                  </w:r>
                  <w:r>
                    <w:rPr>
                      <w:rFonts w:hint="eastAsia"/>
                      <w:szCs w:val="21"/>
                      <w:u w:val="none" w:color="auto"/>
                      <w:lang w:eastAsia="zh-CN"/>
                    </w:rPr>
                    <w:t>（</w:t>
                  </w:r>
                  <w:r>
                    <w:rPr>
                      <w:rFonts w:hint="eastAsia"/>
                      <w:szCs w:val="21"/>
                      <w:u w:val="none" w:color="auto"/>
                      <w:lang w:val="en-US" w:eastAsia="zh-CN"/>
                    </w:rPr>
                    <w:t>2</w:t>
                  </w:r>
                  <w:r>
                    <w:rPr>
                      <w:rFonts w:hint="eastAsia"/>
                      <w:szCs w:val="21"/>
                      <w:u w:val="none" w:color="auto"/>
                    </w:rPr>
                    <w:t>0m</w:t>
                  </w:r>
                  <w:r>
                    <w:rPr>
                      <w:rFonts w:hint="eastAsia"/>
                      <w:szCs w:val="21"/>
                      <w:u w:val="none" w:color="auto"/>
                      <w:vertAlign w:val="superscript"/>
                    </w:rPr>
                    <w:t>2</w:t>
                  </w:r>
                  <w:r>
                    <w:rPr>
                      <w:rFonts w:hint="eastAsia"/>
                      <w:szCs w:val="21"/>
                      <w:u w:val="none" w:color="auto"/>
                      <w:lang w:eastAsia="zh-CN"/>
                    </w:rPr>
                    <w:t>）</w:t>
                  </w:r>
                  <w:r>
                    <w:rPr>
                      <w:rFonts w:hint="eastAsia"/>
                      <w:lang w:val="en-US" w:eastAsia="zh-CN"/>
                    </w:rPr>
                    <w:t>用</w:t>
                  </w:r>
                  <w:r>
                    <w:rPr>
                      <w:rFonts w:hint="eastAsia"/>
                      <w:szCs w:val="21"/>
                      <w:u w:val="none" w:color="auto"/>
                    </w:rPr>
                    <w:t>于暂存一般固废，废包装材料、收集尘、灰渣、不合格品收集后外售综合利用</w:t>
                  </w:r>
                  <w:r>
                    <w:rPr>
                      <w:rFonts w:hint="eastAsia"/>
                      <w:szCs w:val="21"/>
                      <w:u w:val="none" w:color="auto"/>
                      <w:lang w:eastAsia="zh-CN"/>
                    </w:rPr>
                    <w:t>；</w:t>
                  </w:r>
                  <w:r>
                    <w:rPr>
                      <w:rFonts w:hint="eastAsia"/>
                    </w:rPr>
                    <w:t>废树脂</w:t>
                  </w:r>
                  <w:r>
                    <w:rPr>
                      <w:rFonts w:hint="eastAsia"/>
                      <w:lang w:eastAsia="zh-CN"/>
                    </w:rPr>
                    <w:t>、</w:t>
                  </w:r>
                  <w:r>
                    <w:rPr>
                      <w:rFonts w:hint="eastAsia" w:ascii="Times New Roman" w:hAnsi="Times New Roman" w:eastAsia="宋体" w:cs="Times New Roman"/>
                      <w:szCs w:val="22"/>
                      <w:u w:val="none"/>
                      <w:lang w:val="en-US" w:eastAsia="zh-CN"/>
                    </w:rPr>
                    <w:t>废活性炭、废石英砂、</w:t>
                  </w:r>
                  <w:r>
                    <w:rPr>
                      <w:rFonts w:hint="eastAsia"/>
                      <w:lang w:val="en-US" w:eastAsia="zh-CN"/>
                    </w:rPr>
                    <w:t>废滤膜</w:t>
                  </w:r>
                  <w:r>
                    <w:rPr>
                      <w:rFonts w:hint="eastAsia"/>
                      <w:szCs w:val="21"/>
                    </w:rPr>
                    <w:t>由厂家进行更换回收</w:t>
                  </w:r>
                </w:p>
              </w:tc>
            </w:tr>
            <w:tr w14:paraId="42645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696" w:type="dxa"/>
                  <w:vMerge w:val="continue"/>
                  <w:vAlign w:val="center"/>
                </w:tcPr>
                <w:p w14:paraId="4104D6E0">
                  <w:pPr>
                    <w:pStyle w:val="57"/>
                    <w:rPr>
                      <w:u w:val="none" w:color="auto"/>
                    </w:rPr>
                  </w:pPr>
                </w:p>
              </w:tc>
              <w:tc>
                <w:tcPr>
                  <w:tcW w:w="551" w:type="dxa"/>
                  <w:vMerge w:val="continue"/>
                  <w:vAlign w:val="center"/>
                </w:tcPr>
                <w:p w14:paraId="0C268894">
                  <w:pPr>
                    <w:pStyle w:val="57"/>
                    <w:rPr>
                      <w:rFonts w:hint="eastAsia"/>
                      <w:u w:val="none" w:color="auto"/>
                    </w:rPr>
                  </w:pPr>
                </w:p>
              </w:tc>
              <w:tc>
                <w:tcPr>
                  <w:tcW w:w="995" w:type="dxa"/>
                  <w:vAlign w:val="center"/>
                </w:tcPr>
                <w:p w14:paraId="11810D2F">
                  <w:pPr>
                    <w:pStyle w:val="57"/>
                    <w:rPr>
                      <w:rFonts w:hint="default" w:eastAsia="宋体"/>
                      <w:u w:val="none" w:color="auto"/>
                      <w:lang w:val="en-US" w:eastAsia="zh-CN"/>
                    </w:rPr>
                  </w:pPr>
                  <w:r>
                    <w:rPr>
                      <w:rFonts w:hint="eastAsia"/>
                      <w:u w:val="none" w:color="auto"/>
                      <w:lang w:val="en-US" w:eastAsia="zh-CN"/>
                    </w:rPr>
                    <w:t>危险废物</w:t>
                  </w:r>
                </w:p>
              </w:tc>
              <w:tc>
                <w:tcPr>
                  <w:tcW w:w="5636" w:type="dxa"/>
                  <w:vAlign w:val="center"/>
                </w:tcPr>
                <w:p w14:paraId="26A84FD3">
                  <w:pPr>
                    <w:pStyle w:val="57"/>
                    <w:rPr>
                      <w:rFonts w:hint="eastAsia" w:eastAsia="宋体"/>
                      <w:u w:val="none" w:color="auto"/>
                      <w:lang w:val="en-US" w:eastAsia="zh-CN"/>
                    </w:rPr>
                  </w:pPr>
                  <w:r>
                    <w:rPr>
                      <w:rFonts w:hint="eastAsia" w:eastAsia="宋体"/>
                      <w:szCs w:val="21"/>
                      <w:u w:val="none" w:color="auto"/>
                      <w:lang w:val="en-US" w:eastAsia="zh-CN"/>
                    </w:rPr>
                    <w:t>在生产车间内</w:t>
                  </w:r>
                  <w:r>
                    <w:rPr>
                      <w:rFonts w:hint="eastAsia"/>
                      <w:szCs w:val="21"/>
                      <w:u w:val="none" w:color="auto"/>
                      <w:lang w:val="en-US" w:eastAsia="zh-CN"/>
                    </w:rPr>
                    <w:t>北</w:t>
                  </w:r>
                  <w:r>
                    <w:rPr>
                      <w:rFonts w:hint="eastAsia" w:eastAsia="宋体"/>
                      <w:szCs w:val="21"/>
                      <w:u w:val="none" w:color="auto"/>
                      <w:lang w:val="en-US" w:eastAsia="zh-CN"/>
                    </w:rPr>
                    <w:t>侧设危废间</w:t>
                  </w:r>
                  <w:r>
                    <w:rPr>
                      <w:rFonts w:hint="eastAsia"/>
                      <w:szCs w:val="21"/>
                      <w:u w:val="none" w:color="auto"/>
                      <w:lang w:val="en-US" w:eastAsia="zh-CN"/>
                    </w:rPr>
                    <w:t>（5</w:t>
                  </w:r>
                  <w:r>
                    <w:rPr>
                      <w:rFonts w:hint="eastAsia" w:eastAsia="宋体"/>
                      <w:szCs w:val="21"/>
                      <w:u w:val="none" w:color="auto"/>
                      <w:lang w:val="en-US" w:eastAsia="zh-CN"/>
                    </w:rPr>
                    <w:t>m</w:t>
                  </w:r>
                  <w:r>
                    <w:rPr>
                      <w:rFonts w:hint="eastAsia" w:eastAsia="宋体"/>
                      <w:szCs w:val="21"/>
                      <w:u w:val="none" w:color="auto"/>
                      <w:vertAlign w:val="superscript"/>
                      <w:lang w:val="en-US" w:eastAsia="zh-CN"/>
                    </w:rPr>
                    <w:t>2</w:t>
                  </w:r>
                  <w:r>
                    <w:rPr>
                      <w:rFonts w:hint="eastAsia"/>
                      <w:szCs w:val="21"/>
                      <w:u w:val="none" w:color="auto"/>
                      <w:lang w:val="en-US" w:eastAsia="zh-CN"/>
                    </w:rPr>
                    <w:t>）</w:t>
                  </w:r>
                  <w:r>
                    <w:rPr>
                      <w:rFonts w:hint="eastAsia" w:eastAsia="宋体"/>
                      <w:szCs w:val="21"/>
                      <w:u w:val="none" w:color="auto"/>
                      <w:lang w:val="en-US" w:eastAsia="zh-CN"/>
                    </w:rPr>
                    <w:t>用于暂存危险废物，废机油、废油桶、废含油抹布和手套委托有资质单位处置</w:t>
                  </w:r>
                </w:p>
              </w:tc>
            </w:tr>
            <w:tr w14:paraId="315B2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242" w:type="dxa"/>
                  <w:gridSpan w:val="3"/>
                  <w:vAlign w:val="center"/>
                </w:tcPr>
                <w:p w14:paraId="4F753BD9">
                  <w:pPr>
                    <w:pStyle w:val="57"/>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环境风险</w:t>
                  </w:r>
                </w:p>
              </w:tc>
              <w:tc>
                <w:tcPr>
                  <w:tcW w:w="5636" w:type="dxa"/>
                  <w:vAlign w:val="center"/>
                </w:tcPr>
                <w:p w14:paraId="57AA55B5">
                  <w:pPr>
                    <w:pStyle w:val="57"/>
                    <w:rPr>
                      <w:rFonts w:hint="eastAsia" w:eastAsia="宋体"/>
                      <w:color w:val="000000" w:themeColor="text1"/>
                      <w:szCs w:val="21"/>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t>配套建设有效容积30m</w:t>
                  </w:r>
                  <w:r>
                    <w:rPr>
                      <w:rFonts w:hint="eastAsia" w:ascii="Times New Roman" w:hAnsi="Times New Roman" w:eastAsia="宋体" w:cs="Times New Roman"/>
                      <w:color w:val="000000" w:themeColor="text1"/>
                      <w:sz w:val="21"/>
                      <w:szCs w:val="21"/>
                      <w:u w:val="none" w:color="auto"/>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t>的消防事故应急池。池体采用地下封闭式防渗结构，整体防渗、防腐、防冲刷，池体渗透系数≤10</w:t>
                  </w:r>
                  <w:r>
                    <w:rPr>
                      <w:rFonts w:hint="eastAsia" w:ascii="Times New Roman" w:hAnsi="Times New Roman" w:eastAsia="宋体" w:cs="Times New Roman"/>
                      <w:color w:val="000000" w:themeColor="text1"/>
                      <w:sz w:val="21"/>
                      <w:szCs w:val="21"/>
                      <w:u w:val="none" w:color="auto"/>
                      <w:vertAlign w:val="superscript"/>
                      <w:lang w:val="en-US" w:eastAsia="zh-CN"/>
                      <w14:textFill>
                        <w14:solidFill>
                          <w14:schemeClr w14:val="tx1"/>
                        </w14:solidFill>
                      </w14:textFill>
                    </w:rPr>
                    <w:t>-10</w:t>
                  </w:r>
                  <w:r>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t>cm/s，耐受消防废水冲刷浸泡，无渗漏隐患</w:t>
                  </w:r>
                </w:p>
              </w:tc>
            </w:tr>
          </w:tbl>
          <w:p w14:paraId="2CCBAED8">
            <w:pPr>
              <w:pStyle w:val="35"/>
              <w:ind w:firstLine="482"/>
              <w:rPr>
                <w:b/>
                <w:bCs/>
                <w:u w:val="none" w:color="auto"/>
              </w:rPr>
            </w:pPr>
            <w:r>
              <w:rPr>
                <w:rFonts w:hint="eastAsia"/>
                <w:b/>
                <w:bCs/>
                <w:u w:val="none" w:color="auto"/>
                <w:lang w:val="en-US" w:eastAsia="zh-CN"/>
              </w:rPr>
              <w:t>3</w:t>
            </w:r>
            <w:r>
              <w:rPr>
                <w:rFonts w:hint="eastAsia"/>
                <w:b/>
                <w:bCs/>
                <w:u w:val="none" w:color="auto"/>
              </w:rPr>
              <w:t>、主要生产设备</w:t>
            </w:r>
          </w:p>
          <w:p w14:paraId="6E9AE8DF">
            <w:pPr>
              <w:pStyle w:val="75"/>
              <w:ind w:firstLine="480"/>
              <w:rPr>
                <w:rFonts w:hint="eastAsia" w:ascii="Times New Roman" w:hAnsi="Times New Roman" w:eastAsia="宋体"/>
                <w:u w:val="none" w:color="auto"/>
                <w:lang w:val="en-US" w:eastAsia="zh-CN"/>
              </w:rPr>
            </w:pPr>
            <w:r>
              <w:rPr>
                <w:rFonts w:hint="eastAsia" w:ascii="Times New Roman" w:hAnsi="Times New Roman" w:eastAsia="宋体"/>
                <w:u w:val="none" w:color="auto"/>
                <w:lang w:val="en-US" w:eastAsia="zh-CN"/>
              </w:rPr>
              <w:t>根据《产业结构调整指导目录》（2024年本），项目所使用的生产设备不属于指导目录中淘汰设备，主要生产设备详见下表。</w:t>
            </w:r>
          </w:p>
          <w:p w14:paraId="0F248A0A">
            <w:pPr>
              <w:jc w:val="center"/>
              <w:rPr>
                <w:rFonts w:hint="default" w:ascii="Times New Roman" w:hAnsi="Times New Roman" w:eastAsia="宋体" w:cs="Times New Roman"/>
                <w:b/>
                <w:bCs/>
                <w:color w:val="auto"/>
                <w:sz w:val="21"/>
                <w:szCs w:val="20"/>
                <w:u w:val="none" w:color="auto"/>
              </w:rPr>
            </w:pPr>
            <w:r>
              <w:rPr>
                <w:rFonts w:hint="default" w:ascii="Times New Roman" w:hAnsi="Times New Roman" w:eastAsia="宋体" w:cs="Times New Roman"/>
                <w:b/>
                <w:bCs/>
                <w:color w:val="auto"/>
                <w:sz w:val="21"/>
                <w:szCs w:val="20"/>
                <w:u w:val="none" w:color="auto"/>
              </w:rPr>
              <w:t>表2-</w:t>
            </w:r>
            <w:r>
              <w:rPr>
                <w:rFonts w:hint="eastAsia" w:ascii="Times New Roman" w:hAnsi="Times New Roman" w:eastAsia="宋体" w:cs="Times New Roman"/>
                <w:b/>
                <w:bCs/>
                <w:color w:val="auto"/>
                <w:sz w:val="21"/>
                <w:szCs w:val="20"/>
                <w:u w:val="none" w:color="auto"/>
                <w:lang w:val="en-US" w:eastAsia="zh-CN"/>
              </w:rPr>
              <w:t xml:space="preserve">2  </w:t>
            </w:r>
            <w:r>
              <w:rPr>
                <w:rFonts w:hint="default" w:ascii="Times New Roman" w:hAnsi="Times New Roman" w:eastAsia="宋体" w:cs="Times New Roman"/>
                <w:b/>
                <w:bCs/>
                <w:color w:val="auto"/>
                <w:sz w:val="21"/>
                <w:szCs w:val="20"/>
                <w:u w:val="none" w:color="auto"/>
              </w:rPr>
              <w:t>项目主要设备一览表</w:t>
            </w:r>
          </w:p>
          <w:tbl>
            <w:tblPr>
              <w:tblStyle w:val="28"/>
              <w:tblW w:w="4987" w:type="pct"/>
              <w:tblInd w:w="-1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62"/>
              <w:gridCol w:w="2238"/>
              <w:gridCol w:w="1989"/>
              <w:gridCol w:w="1580"/>
              <w:gridCol w:w="1249"/>
            </w:tblGrid>
            <w:tr w14:paraId="498D9F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7" w:type="pct"/>
                  <w:tcBorders>
                    <w:tl2br w:val="nil"/>
                    <w:tr2bl w:val="nil"/>
                  </w:tcBorders>
                  <w:vAlign w:val="center"/>
                </w:tcPr>
                <w:p w14:paraId="7F9C5248">
                  <w:pPr>
                    <w:pStyle w:val="57"/>
                    <w:rPr>
                      <w:rFonts w:hint="eastAsia" w:ascii="Times New Roman" w:hAnsi="Times New Roman" w:eastAsia="宋体"/>
                      <w:u w:val="none" w:color="auto"/>
                    </w:rPr>
                  </w:pPr>
                  <w:r>
                    <w:rPr>
                      <w:rFonts w:hint="eastAsia" w:ascii="Times New Roman" w:hAnsi="Times New Roman" w:eastAsia="宋体"/>
                      <w:u w:val="none" w:color="auto"/>
                    </w:rPr>
                    <w:t>序号</w:t>
                  </w:r>
                </w:p>
              </w:tc>
              <w:tc>
                <w:tcPr>
                  <w:tcW w:w="1431" w:type="pct"/>
                  <w:tcBorders>
                    <w:tl2br w:val="nil"/>
                    <w:tr2bl w:val="nil"/>
                  </w:tcBorders>
                  <w:vAlign w:val="center"/>
                </w:tcPr>
                <w:p w14:paraId="5228BED3">
                  <w:pPr>
                    <w:pStyle w:val="57"/>
                    <w:rPr>
                      <w:rFonts w:hint="eastAsia" w:ascii="Times New Roman" w:hAnsi="Times New Roman" w:eastAsia="宋体"/>
                      <w:u w:val="none" w:color="auto"/>
                    </w:rPr>
                  </w:pPr>
                  <w:r>
                    <w:rPr>
                      <w:rFonts w:hint="eastAsia" w:ascii="Times New Roman" w:hAnsi="Times New Roman" w:eastAsia="宋体"/>
                      <w:u w:val="none" w:color="auto"/>
                    </w:rPr>
                    <w:t>设备名称</w:t>
                  </w:r>
                </w:p>
              </w:tc>
              <w:tc>
                <w:tcPr>
                  <w:tcW w:w="1272" w:type="pct"/>
                  <w:tcBorders>
                    <w:tl2br w:val="nil"/>
                    <w:tr2bl w:val="nil"/>
                  </w:tcBorders>
                  <w:vAlign w:val="center"/>
                </w:tcPr>
                <w:p w14:paraId="62D6CFBA">
                  <w:pPr>
                    <w:pStyle w:val="57"/>
                    <w:rPr>
                      <w:rFonts w:hint="eastAsia" w:ascii="Times New Roman" w:hAnsi="Times New Roman" w:eastAsia="宋体"/>
                      <w:u w:val="none" w:color="auto"/>
                    </w:rPr>
                  </w:pPr>
                  <w:r>
                    <w:rPr>
                      <w:rFonts w:hint="eastAsia" w:ascii="Times New Roman" w:hAnsi="Times New Roman" w:eastAsia="宋体"/>
                      <w:u w:val="none" w:color="auto"/>
                    </w:rPr>
                    <w:t>规格</w:t>
                  </w:r>
                </w:p>
              </w:tc>
              <w:tc>
                <w:tcPr>
                  <w:tcW w:w="1010" w:type="pct"/>
                  <w:tcBorders>
                    <w:tl2br w:val="nil"/>
                    <w:tr2bl w:val="nil"/>
                  </w:tcBorders>
                  <w:vAlign w:val="center"/>
                </w:tcPr>
                <w:p w14:paraId="60B4014F">
                  <w:pPr>
                    <w:pStyle w:val="57"/>
                    <w:rPr>
                      <w:rFonts w:hint="eastAsia" w:ascii="Times New Roman" w:hAnsi="Times New Roman" w:eastAsia="宋体"/>
                      <w:u w:val="none" w:color="auto"/>
                    </w:rPr>
                  </w:pPr>
                  <w:r>
                    <w:rPr>
                      <w:rFonts w:hint="eastAsia" w:ascii="Times New Roman" w:hAnsi="Times New Roman" w:eastAsia="宋体"/>
                      <w:u w:val="none" w:color="auto"/>
                    </w:rPr>
                    <w:t>数量</w:t>
                  </w:r>
                </w:p>
              </w:tc>
              <w:tc>
                <w:tcPr>
                  <w:tcW w:w="798" w:type="pct"/>
                  <w:tcBorders>
                    <w:tl2br w:val="nil"/>
                    <w:tr2bl w:val="nil"/>
                  </w:tcBorders>
                  <w:vAlign w:val="center"/>
                </w:tcPr>
                <w:p w14:paraId="0441A259">
                  <w:pPr>
                    <w:pStyle w:val="57"/>
                    <w:rPr>
                      <w:rFonts w:hint="eastAsia" w:ascii="Times New Roman" w:hAnsi="Times New Roman" w:eastAsia="宋体"/>
                      <w:u w:val="none" w:color="auto"/>
                    </w:rPr>
                  </w:pPr>
                  <w:r>
                    <w:rPr>
                      <w:rFonts w:hint="eastAsia" w:ascii="Times New Roman" w:hAnsi="Times New Roman" w:eastAsia="宋体"/>
                      <w:u w:val="none" w:color="auto"/>
                    </w:rPr>
                    <w:t>单位</w:t>
                  </w:r>
                </w:p>
              </w:tc>
            </w:tr>
            <w:tr w14:paraId="2494A9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7" w:type="pct"/>
                  <w:tcBorders>
                    <w:tl2br w:val="nil"/>
                    <w:tr2bl w:val="nil"/>
                  </w:tcBorders>
                  <w:vAlign w:val="center"/>
                </w:tcPr>
                <w:p w14:paraId="7DF89B61">
                  <w:pPr>
                    <w:pStyle w:val="57"/>
                    <w:rPr>
                      <w:rFonts w:hint="eastAsia" w:ascii="Times New Roman" w:hAnsi="Times New Roman" w:eastAsia="宋体"/>
                      <w:u w:val="none" w:color="auto"/>
                    </w:rPr>
                  </w:pPr>
                  <w:r>
                    <w:rPr>
                      <w:rFonts w:hint="eastAsia" w:ascii="Times New Roman" w:hAnsi="Times New Roman" w:eastAsia="宋体"/>
                      <w:u w:val="none" w:color="auto"/>
                    </w:rPr>
                    <w:t>1</w:t>
                  </w:r>
                </w:p>
              </w:tc>
              <w:tc>
                <w:tcPr>
                  <w:tcW w:w="1431" w:type="pct"/>
                  <w:tcBorders>
                    <w:tl2br w:val="nil"/>
                    <w:tr2bl w:val="nil"/>
                  </w:tcBorders>
                  <w:vAlign w:val="center"/>
                </w:tcPr>
                <w:p w14:paraId="0981F8AB">
                  <w:pPr>
                    <w:pStyle w:val="57"/>
                    <w:rPr>
                      <w:rFonts w:hint="default" w:ascii="Times New Roman" w:hAnsi="Times New Roman" w:eastAsia="宋体"/>
                      <w:u w:val="none" w:color="auto"/>
                      <w:lang w:val="en-US" w:eastAsia="zh-CN"/>
                    </w:rPr>
                  </w:pPr>
                  <w:r>
                    <w:rPr>
                      <w:rFonts w:hint="eastAsia"/>
                      <w:u w:val="none" w:color="auto"/>
                      <w:lang w:val="en-US" w:eastAsia="zh-CN"/>
                    </w:rPr>
                    <w:t>断料机</w:t>
                  </w:r>
                </w:p>
              </w:tc>
              <w:tc>
                <w:tcPr>
                  <w:tcW w:w="1272" w:type="pct"/>
                  <w:tcBorders>
                    <w:tl2br w:val="nil"/>
                    <w:tr2bl w:val="nil"/>
                  </w:tcBorders>
                  <w:vAlign w:val="center"/>
                </w:tcPr>
                <w:p w14:paraId="0385C202">
                  <w:pPr>
                    <w:pStyle w:val="57"/>
                    <w:rPr>
                      <w:rFonts w:hint="eastAsia" w:ascii="Times New Roman" w:hAnsi="Times New Roman" w:eastAsia="宋体" w:cs="Times New Roman"/>
                      <w:u w:val="none" w:color="auto"/>
                      <w:lang w:val="en-US" w:eastAsia="zh-CN"/>
                    </w:rPr>
                  </w:pPr>
                  <w:r>
                    <w:rPr>
                      <w:rFonts w:hint="eastAsia" w:cs="Times New Roman"/>
                      <w:u w:val="none" w:color="auto"/>
                      <w:lang w:val="en-US" w:eastAsia="zh-CN"/>
                    </w:rPr>
                    <w:t>/</w:t>
                  </w:r>
                </w:p>
              </w:tc>
              <w:tc>
                <w:tcPr>
                  <w:tcW w:w="1010" w:type="pct"/>
                  <w:tcBorders>
                    <w:tl2br w:val="nil"/>
                    <w:tr2bl w:val="nil"/>
                  </w:tcBorders>
                  <w:vAlign w:val="center"/>
                </w:tcPr>
                <w:p w14:paraId="68AB3AEF">
                  <w:pPr>
                    <w:pStyle w:val="57"/>
                    <w:rPr>
                      <w:rFonts w:hint="eastAsia" w:ascii="Times New Roman" w:hAnsi="Times New Roman" w:eastAsia="宋体"/>
                      <w:u w:val="none" w:color="auto"/>
                    </w:rPr>
                  </w:pPr>
                  <w:r>
                    <w:rPr>
                      <w:rFonts w:hint="eastAsia" w:ascii="Times New Roman" w:hAnsi="Times New Roman" w:eastAsia="宋体"/>
                      <w:u w:val="none" w:color="auto"/>
                    </w:rPr>
                    <w:t>1</w:t>
                  </w:r>
                </w:p>
              </w:tc>
              <w:tc>
                <w:tcPr>
                  <w:tcW w:w="798" w:type="pct"/>
                  <w:tcBorders>
                    <w:tl2br w:val="nil"/>
                    <w:tr2bl w:val="nil"/>
                  </w:tcBorders>
                  <w:vAlign w:val="center"/>
                </w:tcPr>
                <w:p w14:paraId="5EAA5E98">
                  <w:pPr>
                    <w:pStyle w:val="57"/>
                    <w:rPr>
                      <w:rFonts w:hint="eastAsia" w:ascii="Times New Roman" w:hAnsi="Times New Roman" w:eastAsia="宋体"/>
                      <w:u w:val="none" w:color="auto"/>
                    </w:rPr>
                  </w:pPr>
                  <w:r>
                    <w:rPr>
                      <w:rFonts w:hint="eastAsia" w:ascii="Times New Roman" w:hAnsi="Times New Roman" w:eastAsia="宋体"/>
                      <w:u w:val="none" w:color="auto"/>
                    </w:rPr>
                    <w:t>台</w:t>
                  </w:r>
                </w:p>
              </w:tc>
            </w:tr>
            <w:tr w14:paraId="719182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7" w:type="pct"/>
                  <w:tcBorders>
                    <w:tl2br w:val="nil"/>
                    <w:tr2bl w:val="nil"/>
                  </w:tcBorders>
                  <w:vAlign w:val="center"/>
                </w:tcPr>
                <w:p w14:paraId="6465927F">
                  <w:pPr>
                    <w:pStyle w:val="57"/>
                    <w:rPr>
                      <w:rFonts w:hint="eastAsia" w:ascii="Times New Roman" w:hAnsi="Times New Roman" w:eastAsia="宋体"/>
                      <w:u w:val="none" w:color="auto"/>
                      <w:lang w:val="en-US" w:eastAsia="zh-CN"/>
                    </w:rPr>
                  </w:pPr>
                  <w:r>
                    <w:rPr>
                      <w:rFonts w:hint="eastAsia" w:ascii="Times New Roman" w:hAnsi="Times New Roman" w:eastAsia="宋体"/>
                      <w:u w:val="none" w:color="auto"/>
                      <w:lang w:val="en-US" w:eastAsia="zh-CN"/>
                    </w:rPr>
                    <w:t>2</w:t>
                  </w:r>
                </w:p>
              </w:tc>
              <w:tc>
                <w:tcPr>
                  <w:tcW w:w="1431" w:type="pct"/>
                  <w:tcBorders>
                    <w:tl2br w:val="nil"/>
                    <w:tr2bl w:val="nil"/>
                  </w:tcBorders>
                  <w:shd w:val="clear" w:color="auto" w:fill="auto"/>
                  <w:vAlign w:val="center"/>
                </w:tcPr>
                <w:p w14:paraId="1D753917">
                  <w:pPr>
                    <w:pStyle w:val="57"/>
                    <w:rPr>
                      <w:rFonts w:hint="default" w:ascii="Times New Roman" w:hAnsi="Times New Roman" w:eastAsia="宋体" w:cstheme="minorBidi"/>
                      <w:kern w:val="2"/>
                      <w:sz w:val="21"/>
                      <w:szCs w:val="32"/>
                      <w:u w:val="none" w:color="auto"/>
                      <w:lang w:val="en-US" w:eastAsia="zh-CN" w:bidi="ar-SA"/>
                    </w:rPr>
                  </w:pPr>
                  <w:r>
                    <w:rPr>
                      <w:rFonts w:hint="eastAsia" w:cstheme="minorBidi"/>
                      <w:kern w:val="2"/>
                      <w:sz w:val="21"/>
                      <w:szCs w:val="32"/>
                      <w:u w:val="none" w:color="auto"/>
                      <w:lang w:val="en-US" w:eastAsia="zh-CN" w:bidi="ar-SA"/>
                    </w:rPr>
                    <w:t>开片机</w:t>
                  </w:r>
                </w:p>
              </w:tc>
              <w:tc>
                <w:tcPr>
                  <w:tcW w:w="1272" w:type="pct"/>
                  <w:tcBorders>
                    <w:tl2br w:val="nil"/>
                    <w:tr2bl w:val="nil"/>
                  </w:tcBorders>
                  <w:shd w:val="clear" w:color="auto" w:fill="auto"/>
                  <w:vAlign w:val="center"/>
                </w:tcPr>
                <w:p w14:paraId="66B276F6">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eastAsia="宋体" w:cs="Times New Roman"/>
                      <w:kern w:val="2"/>
                      <w:sz w:val="21"/>
                      <w:szCs w:val="32"/>
                      <w:u w:val="none" w:color="auto"/>
                      <w:lang w:val="en-US" w:eastAsia="zh-CN" w:bidi="ar-SA"/>
                    </w:rPr>
                    <w:t>CXDP-10-2100-Y-Z-FL-22</w:t>
                  </w:r>
                </w:p>
              </w:tc>
              <w:tc>
                <w:tcPr>
                  <w:tcW w:w="1010" w:type="pct"/>
                  <w:tcBorders>
                    <w:tl2br w:val="nil"/>
                    <w:tr2bl w:val="nil"/>
                  </w:tcBorders>
                  <w:shd w:val="clear" w:color="auto" w:fill="auto"/>
                  <w:vAlign w:val="center"/>
                </w:tcPr>
                <w:p w14:paraId="05BF9887">
                  <w:pPr>
                    <w:pStyle w:val="57"/>
                    <w:rPr>
                      <w:rFonts w:hint="eastAsia" w:ascii="Times New Roman" w:hAnsi="Times New Roman" w:eastAsia="宋体" w:cstheme="minorBidi"/>
                      <w:kern w:val="2"/>
                      <w:sz w:val="21"/>
                      <w:szCs w:val="32"/>
                      <w:u w:val="none" w:color="auto"/>
                      <w:lang w:val="en-US" w:eastAsia="zh-CN" w:bidi="ar-SA"/>
                    </w:rPr>
                  </w:pPr>
                  <w:r>
                    <w:rPr>
                      <w:rFonts w:hint="eastAsia" w:ascii="Times New Roman" w:hAnsi="Times New Roman" w:eastAsia="宋体"/>
                      <w:u w:val="none" w:color="auto"/>
                    </w:rPr>
                    <w:t>1</w:t>
                  </w:r>
                </w:p>
              </w:tc>
              <w:tc>
                <w:tcPr>
                  <w:tcW w:w="798" w:type="pct"/>
                  <w:tcBorders>
                    <w:tl2br w:val="nil"/>
                    <w:tr2bl w:val="nil"/>
                  </w:tcBorders>
                  <w:shd w:val="clear" w:color="auto" w:fill="auto"/>
                  <w:vAlign w:val="center"/>
                </w:tcPr>
                <w:p w14:paraId="6FAFF6D4">
                  <w:pPr>
                    <w:ind w:left="0" w:leftChars="0" w:right="0" w:rightChars="0" w:firstLine="0" w:firstLineChars="0"/>
                    <w:jc w:val="center"/>
                    <w:rPr>
                      <w:rFonts w:hint="eastAsia" w:ascii="Times New Roman" w:hAnsi="Times New Roman" w:eastAsia="宋体" w:cstheme="minorBidi"/>
                      <w:kern w:val="2"/>
                      <w:sz w:val="21"/>
                      <w:szCs w:val="32"/>
                      <w:u w:val="none" w:color="auto"/>
                      <w:lang w:val="en-US" w:eastAsia="zh-CN" w:bidi="ar-SA"/>
                    </w:rPr>
                  </w:pPr>
                  <w:r>
                    <w:rPr>
                      <w:rFonts w:hint="eastAsia" w:ascii="Times New Roman" w:hAnsi="Times New Roman" w:eastAsia="宋体"/>
                      <w:u w:val="none" w:color="auto"/>
                    </w:rPr>
                    <w:t>台</w:t>
                  </w:r>
                </w:p>
              </w:tc>
            </w:tr>
            <w:tr w14:paraId="77BE4C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7" w:type="pct"/>
                  <w:tcBorders>
                    <w:tl2br w:val="nil"/>
                    <w:tr2bl w:val="nil"/>
                  </w:tcBorders>
                  <w:vAlign w:val="center"/>
                </w:tcPr>
                <w:p w14:paraId="31DBD078">
                  <w:pPr>
                    <w:pStyle w:val="57"/>
                    <w:rPr>
                      <w:rFonts w:hint="eastAsia" w:ascii="Times New Roman" w:hAnsi="Times New Roman" w:eastAsia="宋体"/>
                      <w:u w:val="none" w:color="auto"/>
                      <w:lang w:eastAsia="zh-CN"/>
                    </w:rPr>
                  </w:pPr>
                  <w:r>
                    <w:rPr>
                      <w:rFonts w:hint="eastAsia" w:ascii="Times New Roman" w:hAnsi="Times New Roman" w:eastAsia="宋体"/>
                      <w:u w:val="none" w:color="auto"/>
                      <w:lang w:val="en-US" w:eastAsia="zh-CN"/>
                    </w:rPr>
                    <w:t>3</w:t>
                  </w:r>
                </w:p>
              </w:tc>
              <w:tc>
                <w:tcPr>
                  <w:tcW w:w="1431" w:type="pct"/>
                  <w:tcBorders>
                    <w:tl2br w:val="nil"/>
                    <w:tr2bl w:val="nil"/>
                  </w:tcBorders>
                  <w:vAlign w:val="center"/>
                </w:tcPr>
                <w:p w14:paraId="1B613442">
                  <w:pPr>
                    <w:pStyle w:val="57"/>
                    <w:rPr>
                      <w:rFonts w:hint="eastAsia" w:ascii="Times New Roman" w:hAnsi="Times New Roman" w:eastAsia="宋体"/>
                      <w:u w:val="none" w:color="auto"/>
                      <w:lang w:val="en-US" w:eastAsia="zh-CN"/>
                    </w:rPr>
                  </w:pPr>
                  <w:r>
                    <w:rPr>
                      <w:rFonts w:hint="eastAsia"/>
                      <w:u w:val="none" w:color="auto"/>
                      <w:lang w:val="en-US" w:eastAsia="zh-CN"/>
                    </w:rPr>
                    <w:t>拉丝机</w:t>
                  </w:r>
                </w:p>
              </w:tc>
              <w:tc>
                <w:tcPr>
                  <w:tcW w:w="1272" w:type="pct"/>
                  <w:tcBorders>
                    <w:tl2br w:val="nil"/>
                    <w:tr2bl w:val="nil"/>
                  </w:tcBorders>
                  <w:vAlign w:val="center"/>
                </w:tcPr>
                <w:p w14:paraId="21E7B8EB">
                  <w:pPr>
                    <w:pStyle w:val="57"/>
                    <w:rPr>
                      <w:rFonts w:hint="eastAsia" w:ascii="Times New Roman" w:hAnsi="Times New Roman" w:eastAsia="宋体" w:cs="Times New Roman"/>
                      <w:u w:val="none" w:color="auto"/>
                      <w:lang w:val="en-US" w:eastAsia="zh-CN"/>
                    </w:rPr>
                  </w:pPr>
                  <w:r>
                    <w:rPr>
                      <w:rFonts w:hint="eastAsia" w:cs="Times New Roman"/>
                      <w:u w:val="none" w:color="auto"/>
                      <w:lang w:val="en-US" w:eastAsia="zh-CN"/>
                    </w:rPr>
                    <w:t>/</w:t>
                  </w:r>
                </w:p>
              </w:tc>
              <w:tc>
                <w:tcPr>
                  <w:tcW w:w="1010" w:type="pct"/>
                  <w:tcBorders>
                    <w:tl2br w:val="nil"/>
                    <w:tr2bl w:val="nil"/>
                  </w:tcBorders>
                  <w:vAlign w:val="center"/>
                </w:tcPr>
                <w:p w14:paraId="146B265B">
                  <w:pPr>
                    <w:pStyle w:val="57"/>
                    <w:rPr>
                      <w:rFonts w:hint="eastAsia" w:ascii="Times New Roman" w:hAnsi="Times New Roman" w:eastAsia="宋体"/>
                      <w:u w:val="none" w:color="auto"/>
                      <w:lang w:eastAsia="zh-CN"/>
                    </w:rPr>
                  </w:pPr>
                  <w:r>
                    <w:rPr>
                      <w:rFonts w:hint="eastAsia" w:ascii="Times New Roman" w:hAnsi="Times New Roman" w:eastAsia="宋体"/>
                      <w:u w:val="none" w:color="auto"/>
                      <w:lang w:val="en-US" w:eastAsia="zh-CN"/>
                    </w:rPr>
                    <w:t>5</w:t>
                  </w:r>
                </w:p>
              </w:tc>
              <w:tc>
                <w:tcPr>
                  <w:tcW w:w="798" w:type="pct"/>
                  <w:tcBorders>
                    <w:tl2br w:val="nil"/>
                    <w:tr2bl w:val="nil"/>
                  </w:tcBorders>
                  <w:vAlign w:val="center"/>
                </w:tcPr>
                <w:p w14:paraId="5DF5B1D3">
                  <w:pPr>
                    <w:pStyle w:val="57"/>
                    <w:rPr>
                      <w:rFonts w:hint="eastAsia" w:ascii="Times New Roman" w:hAnsi="Times New Roman" w:eastAsia="宋体"/>
                      <w:u w:val="none" w:color="auto"/>
                    </w:rPr>
                  </w:pPr>
                  <w:r>
                    <w:rPr>
                      <w:rFonts w:hint="eastAsia" w:ascii="Times New Roman" w:hAnsi="Times New Roman" w:eastAsia="宋体"/>
                      <w:u w:val="none" w:color="auto"/>
                    </w:rPr>
                    <w:t>台</w:t>
                  </w:r>
                </w:p>
              </w:tc>
            </w:tr>
            <w:tr w14:paraId="1E329F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7" w:type="pct"/>
                  <w:tcBorders>
                    <w:tl2br w:val="nil"/>
                    <w:tr2bl w:val="nil"/>
                  </w:tcBorders>
                  <w:vAlign w:val="center"/>
                </w:tcPr>
                <w:p w14:paraId="3C171B4A">
                  <w:pPr>
                    <w:pStyle w:val="57"/>
                    <w:rPr>
                      <w:rFonts w:hint="eastAsia" w:ascii="Times New Roman" w:hAnsi="Times New Roman" w:eastAsia="宋体"/>
                      <w:color w:val="000000" w:themeColor="text1"/>
                      <w:u w:val="none" w:color="auto"/>
                      <w:lang w:eastAsia="zh-CN"/>
                      <w14:textFill>
                        <w14:solidFill>
                          <w14:schemeClr w14:val="tx1"/>
                        </w14:solidFill>
                      </w14:textFill>
                    </w:rPr>
                  </w:pPr>
                  <w:r>
                    <w:rPr>
                      <w:rFonts w:hint="eastAsia" w:ascii="Times New Roman" w:hAnsi="Times New Roman" w:eastAsia="宋体"/>
                      <w:color w:val="000000" w:themeColor="text1"/>
                      <w:u w:val="none" w:color="auto"/>
                      <w:lang w:val="en-US" w:eastAsia="zh-CN"/>
                      <w14:textFill>
                        <w14:solidFill>
                          <w14:schemeClr w14:val="tx1"/>
                        </w14:solidFill>
                      </w14:textFill>
                    </w:rPr>
                    <w:t>4</w:t>
                  </w:r>
                </w:p>
              </w:tc>
              <w:tc>
                <w:tcPr>
                  <w:tcW w:w="1431" w:type="pct"/>
                  <w:tcBorders>
                    <w:tl2br w:val="nil"/>
                    <w:tr2bl w:val="nil"/>
                  </w:tcBorders>
                  <w:vAlign w:val="center"/>
                </w:tcPr>
                <w:p w14:paraId="575FC895">
                  <w:pPr>
                    <w:pStyle w:val="57"/>
                    <w:rPr>
                      <w:rFonts w:hint="default" w:ascii="Times New Roman" w:hAnsi="Times New Roman"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成型机</w:t>
                  </w:r>
                </w:p>
              </w:tc>
              <w:tc>
                <w:tcPr>
                  <w:tcW w:w="1272" w:type="pct"/>
                  <w:tcBorders>
                    <w:tl2br w:val="nil"/>
                    <w:tr2bl w:val="nil"/>
                  </w:tcBorders>
                  <w:vAlign w:val="center"/>
                </w:tcPr>
                <w:p w14:paraId="36463A21">
                  <w:pPr>
                    <w:pStyle w:val="57"/>
                    <w:rPr>
                      <w:rFonts w:hint="default" w:ascii="Times New Roman" w:hAnsi="Times New Roman" w:eastAsia="宋体" w:cs="Times New Roman"/>
                      <w:color w:val="000000" w:themeColor="text1"/>
                      <w:u w:val="none" w:color="auto"/>
                      <w:lang w:val="en-US"/>
                      <w14:textFill>
                        <w14:solidFill>
                          <w14:schemeClr w14:val="tx1"/>
                        </w14:solidFill>
                      </w14:textFill>
                    </w:rPr>
                  </w:pPr>
                  <w:r>
                    <w:rPr>
                      <w:rFonts w:hint="eastAsia" w:cs="Times New Roman"/>
                      <w:color w:val="000000" w:themeColor="text1"/>
                      <w:kern w:val="2"/>
                      <w:sz w:val="20"/>
                      <w:szCs w:val="20"/>
                      <w:highlight w:val="none"/>
                      <w:u w:val="none" w:color="auto"/>
                      <w:lang w:val="en-US" w:eastAsia="zh-CN" w:bidi="ar-SA"/>
                      <w14:textFill>
                        <w14:solidFill>
                          <w14:schemeClr w14:val="tx1"/>
                        </w14:solidFill>
                      </w14:textFill>
                    </w:rPr>
                    <w:t>JLQ-6</w:t>
                  </w:r>
                </w:p>
              </w:tc>
              <w:tc>
                <w:tcPr>
                  <w:tcW w:w="1010" w:type="pct"/>
                  <w:tcBorders>
                    <w:tl2br w:val="nil"/>
                    <w:tr2bl w:val="nil"/>
                  </w:tcBorders>
                  <w:vAlign w:val="center"/>
                </w:tcPr>
                <w:p w14:paraId="1D919EA6">
                  <w:pPr>
                    <w:pStyle w:val="57"/>
                    <w:rPr>
                      <w:rFonts w:hint="eastAsia" w:ascii="Times New Roman" w:hAnsi="Times New Roman" w:eastAsia="宋体"/>
                      <w:color w:val="000000" w:themeColor="text1"/>
                      <w:u w:val="none" w:color="auto"/>
                      <w:lang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5</w:t>
                  </w:r>
                </w:p>
              </w:tc>
              <w:tc>
                <w:tcPr>
                  <w:tcW w:w="798" w:type="pct"/>
                  <w:tcBorders>
                    <w:tl2br w:val="nil"/>
                    <w:tr2bl w:val="nil"/>
                  </w:tcBorders>
                  <w:vAlign w:val="center"/>
                </w:tcPr>
                <w:p w14:paraId="1F634006">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台</w:t>
                  </w:r>
                </w:p>
              </w:tc>
            </w:tr>
            <w:tr w14:paraId="042D60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7" w:type="pct"/>
                  <w:tcBorders>
                    <w:tl2br w:val="nil"/>
                    <w:tr2bl w:val="nil"/>
                  </w:tcBorders>
                  <w:vAlign w:val="center"/>
                </w:tcPr>
                <w:p w14:paraId="02F8E7CC">
                  <w:pPr>
                    <w:pStyle w:val="57"/>
                    <w:rPr>
                      <w:rFonts w:hint="eastAsia" w:ascii="Times New Roman" w:hAnsi="Times New Roman" w:eastAsia="宋体"/>
                      <w:color w:val="000000" w:themeColor="text1"/>
                      <w:u w:val="none" w:color="auto"/>
                      <w:lang w:eastAsia="zh-CN"/>
                      <w14:textFill>
                        <w14:solidFill>
                          <w14:schemeClr w14:val="tx1"/>
                        </w14:solidFill>
                      </w14:textFill>
                    </w:rPr>
                  </w:pPr>
                  <w:r>
                    <w:rPr>
                      <w:rFonts w:hint="eastAsia" w:ascii="Times New Roman" w:hAnsi="Times New Roman" w:eastAsia="宋体"/>
                      <w:color w:val="000000" w:themeColor="text1"/>
                      <w:u w:val="none" w:color="auto"/>
                      <w:lang w:val="en-US" w:eastAsia="zh-CN"/>
                      <w14:textFill>
                        <w14:solidFill>
                          <w14:schemeClr w14:val="tx1"/>
                        </w14:solidFill>
                      </w14:textFill>
                    </w:rPr>
                    <w:t>5</w:t>
                  </w:r>
                </w:p>
              </w:tc>
              <w:tc>
                <w:tcPr>
                  <w:tcW w:w="1431" w:type="pct"/>
                  <w:tcBorders>
                    <w:tl2br w:val="nil"/>
                    <w:tr2bl w:val="nil"/>
                  </w:tcBorders>
                  <w:vAlign w:val="center"/>
                </w:tcPr>
                <w:p w14:paraId="3F20BE58">
                  <w:pPr>
                    <w:pStyle w:val="57"/>
                    <w:rPr>
                      <w:rFonts w:hint="default" w:ascii="Times New Roman" w:hAnsi="Times New Roman"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烘干房</w:t>
                  </w:r>
                </w:p>
              </w:tc>
              <w:tc>
                <w:tcPr>
                  <w:tcW w:w="1272" w:type="pct"/>
                  <w:tcBorders>
                    <w:tl2br w:val="nil"/>
                    <w:tr2bl w:val="nil"/>
                  </w:tcBorders>
                  <w:vAlign w:val="center"/>
                </w:tcPr>
                <w:p w14:paraId="7117EDE1">
                  <w:pPr>
                    <w:pStyle w:val="57"/>
                    <w:rPr>
                      <w:rFonts w:hint="default" w:ascii="Times New Roman" w:hAnsi="Times New Roman" w:eastAsia="宋体" w:cs="Times New Roman"/>
                      <w:color w:val="000000" w:themeColor="text1"/>
                      <w:u w:val="none" w:color="auto"/>
                      <w:lang w:val="en-US"/>
                      <w14:textFill>
                        <w14:solidFill>
                          <w14:schemeClr w14:val="tx1"/>
                        </w14:solidFill>
                      </w14:textFill>
                    </w:rPr>
                  </w:pPr>
                  <w:r>
                    <w:rPr>
                      <w:rFonts w:hint="eastAsia" w:cs="Times New Roman"/>
                      <w:color w:val="000000" w:themeColor="text1"/>
                      <w:kern w:val="2"/>
                      <w:sz w:val="20"/>
                      <w:szCs w:val="20"/>
                      <w:highlight w:val="none"/>
                      <w:u w:val="none" w:color="auto"/>
                      <w:lang w:val="en-US" w:eastAsia="zh-CN" w:bidi="ar-SA"/>
                      <w14:textFill>
                        <w14:solidFill>
                          <w14:schemeClr w14:val="tx1"/>
                        </w14:solidFill>
                      </w14:textFill>
                    </w:rPr>
                    <w:t>单间规格为5m*3m*3m</w:t>
                  </w:r>
                </w:p>
              </w:tc>
              <w:tc>
                <w:tcPr>
                  <w:tcW w:w="1010" w:type="pct"/>
                  <w:tcBorders>
                    <w:tl2br w:val="nil"/>
                    <w:tr2bl w:val="nil"/>
                  </w:tcBorders>
                  <w:vAlign w:val="center"/>
                </w:tcPr>
                <w:p w14:paraId="61C1508C">
                  <w:pPr>
                    <w:pStyle w:val="57"/>
                    <w:rPr>
                      <w:rFonts w:hint="eastAsia" w:ascii="Times New Roman" w:hAnsi="Times New Roman" w:eastAsia="宋体"/>
                      <w:color w:val="000000" w:themeColor="text1"/>
                      <w:u w:val="none" w:color="auto"/>
                      <w:lang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6</w:t>
                  </w:r>
                </w:p>
              </w:tc>
              <w:tc>
                <w:tcPr>
                  <w:tcW w:w="798" w:type="pct"/>
                  <w:tcBorders>
                    <w:tl2br w:val="nil"/>
                    <w:tr2bl w:val="nil"/>
                  </w:tcBorders>
                  <w:vAlign w:val="center"/>
                </w:tcPr>
                <w:p w14:paraId="70F3917E">
                  <w:pPr>
                    <w:pStyle w:val="57"/>
                    <w:rPr>
                      <w:rFonts w:hint="eastAsia" w:ascii="Times New Roman" w:hAnsi="Times New Roman"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间</w:t>
                  </w:r>
                </w:p>
              </w:tc>
            </w:tr>
            <w:tr w14:paraId="6BF24A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7" w:type="pct"/>
                  <w:tcBorders>
                    <w:tl2br w:val="nil"/>
                    <w:tr2bl w:val="nil"/>
                  </w:tcBorders>
                  <w:vAlign w:val="center"/>
                </w:tcPr>
                <w:p w14:paraId="4D6FD22D">
                  <w:pPr>
                    <w:pStyle w:val="57"/>
                    <w:rPr>
                      <w:rFonts w:hint="eastAsia" w:ascii="Times New Roman" w:hAnsi="Times New Roman" w:eastAsia="宋体"/>
                      <w:u w:val="none" w:color="auto"/>
                      <w:lang w:eastAsia="zh-CN"/>
                    </w:rPr>
                  </w:pPr>
                  <w:r>
                    <w:rPr>
                      <w:rFonts w:hint="eastAsia" w:ascii="Times New Roman" w:hAnsi="Times New Roman" w:eastAsia="宋体"/>
                      <w:u w:val="none" w:color="auto"/>
                      <w:lang w:val="en-US" w:eastAsia="zh-CN"/>
                    </w:rPr>
                    <w:t>6</w:t>
                  </w:r>
                </w:p>
              </w:tc>
              <w:tc>
                <w:tcPr>
                  <w:tcW w:w="1431" w:type="pct"/>
                  <w:tcBorders>
                    <w:tl2br w:val="nil"/>
                    <w:tr2bl w:val="nil"/>
                  </w:tcBorders>
                  <w:vAlign w:val="center"/>
                </w:tcPr>
                <w:p w14:paraId="68230C85">
                  <w:pPr>
                    <w:pStyle w:val="57"/>
                    <w:rPr>
                      <w:rFonts w:hint="default" w:ascii="Times New Roman" w:hAnsi="Times New Roman" w:eastAsia="宋体"/>
                      <w:u w:val="none" w:color="auto"/>
                      <w:lang w:val="en-US" w:eastAsia="zh-CN"/>
                    </w:rPr>
                  </w:pPr>
                  <w:r>
                    <w:rPr>
                      <w:rFonts w:hint="eastAsia"/>
                      <w:u w:val="none" w:color="auto"/>
                      <w:lang w:val="en-US" w:eastAsia="zh-CN"/>
                    </w:rPr>
                    <w:t>蒸汽杀菌锅</w:t>
                  </w:r>
                </w:p>
              </w:tc>
              <w:tc>
                <w:tcPr>
                  <w:tcW w:w="1272" w:type="pct"/>
                  <w:tcBorders>
                    <w:tl2br w:val="nil"/>
                    <w:tr2bl w:val="nil"/>
                  </w:tcBorders>
                  <w:vAlign w:val="center"/>
                </w:tcPr>
                <w:p w14:paraId="2C5C39EB">
                  <w:pPr>
                    <w:pStyle w:val="57"/>
                    <w:rPr>
                      <w:rFonts w:hint="default" w:ascii="Times New Roman" w:hAnsi="Times New Roman" w:eastAsia="宋体" w:cs="Times New Roman"/>
                      <w:u w:val="none" w:color="auto"/>
                      <w:lang w:val="en-US" w:eastAsia="zh-CN"/>
                    </w:rPr>
                  </w:pPr>
                  <w:r>
                    <w:rPr>
                      <w:rFonts w:hint="eastAsia" w:cs="Times New Roman"/>
                      <w:u w:val="none" w:color="auto"/>
                      <w:lang w:val="en-US" w:eastAsia="zh-CN"/>
                    </w:rPr>
                    <w:t>容积8.9m</w:t>
                  </w:r>
                  <w:r>
                    <w:rPr>
                      <w:rFonts w:hint="eastAsia" w:cs="Times New Roman"/>
                      <w:u w:val="none" w:color="auto"/>
                      <w:vertAlign w:val="superscript"/>
                      <w:lang w:val="en-US" w:eastAsia="zh-CN"/>
                    </w:rPr>
                    <w:t>3</w:t>
                  </w:r>
                </w:p>
              </w:tc>
              <w:tc>
                <w:tcPr>
                  <w:tcW w:w="1010" w:type="pct"/>
                  <w:tcBorders>
                    <w:tl2br w:val="nil"/>
                    <w:tr2bl w:val="nil"/>
                  </w:tcBorders>
                  <w:vAlign w:val="center"/>
                </w:tcPr>
                <w:p w14:paraId="20957DF2">
                  <w:pPr>
                    <w:pStyle w:val="57"/>
                    <w:rPr>
                      <w:rFonts w:hint="eastAsia" w:ascii="Times New Roman" w:hAnsi="Times New Roman" w:eastAsia="宋体"/>
                      <w:u w:val="none" w:color="auto"/>
                    </w:rPr>
                  </w:pPr>
                  <w:r>
                    <w:rPr>
                      <w:rFonts w:hint="eastAsia" w:ascii="Times New Roman" w:hAnsi="Times New Roman" w:eastAsia="宋体"/>
                      <w:u w:val="none" w:color="auto"/>
                    </w:rPr>
                    <w:t>1</w:t>
                  </w:r>
                </w:p>
              </w:tc>
              <w:tc>
                <w:tcPr>
                  <w:tcW w:w="798" w:type="pct"/>
                  <w:tcBorders>
                    <w:tl2br w:val="nil"/>
                    <w:tr2bl w:val="nil"/>
                  </w:tcBorders>
                  <w:vAlign w:val="center"/>
                </w:tcPr>
                <w:p w14:paraId="346834A6">
                  <w:pPr>
                    <w:pStyle w:val="57"/>
                    <w:rPr>
                      <w:rFonts w:hint="eastAsia" w:ascii="Times New Roman" w:hAnsi="Times New Roman" w:eastAsia="宋体"/>
                      <w:u w:val="none" w:color="auto"/>
                    </w:rPr>
                  </w:pPr>
                  <w:r>
                    <w:rPr>
                      <w:rFonts w:hint="eastAsia" w:ascii="Times New Roman" w:hAnsi="Times New Roman" w:eastAsia="宋体"/>
                      <w:u w:val="none" w:color="auto"/>
                    </w:rPr>
                    <w:t>台</w:t>
                  </w:r>
                </w:p>
              </w:tc>
            </w:tr>
            <w:tr w14:paraId="2937B9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7" w:type="pct"/>
                  <w:tcBorders>
                    <w:tl2br w:val="nil"/>
                    <w:tr2bl w:val="nil"/>
                  </w:tcBorders>
                  <w:vAlign w:val="center"/>
                </w:tcPr>
                <w:p w14:paraId="4066DEB6">
                  <w:pPr>
                    <w:pStyle w:val="57"/>
                    <w:rPr>
                      <w:rFonts w:hint="eastAsia" w:ascii="Times New Roman" w:hAnsi="Times New Roman" w:eastAsia="宋体"/>
                      <w:u w:val="none" w:color="auto"/>
                      <w:lang w:eastAsia="zh-CN"/>
                    </w:rPr>
                  </w:pPr>
                  <w:r>
                    <w:rPr>
                      <w:rFonts w:hint="eastAsia" w:ascii="Times New Roman" w:hAnsi="Times New Roman" w:eastAsia="宋体"/>
                      <w:u w:val="none" w:color="auto"/>
                      <w:lang w:val="en-US" w:eastAsia="zh-CN"/>
                    </w:rPr>
                    <w:t>7</w:t>
                  </w:r>
                </w:p>
              </w:tc>
              <w:tc>
                <w:tcPr>
                  <w:tcW w:w="1431" w:type="pct"/>
                  <w:tcBorders>
                    <w:tl2br w:val="nil"/>
                    <w:tr2bl w:val="nil"/>
                  </w:tcBorders>
                  <w:vAlign w:val="center"/>
                </w:tcPr>
                <w:p w14:paraId="33C98C2B">
                  <w:pPr>
                    <w:pStyle w:val="57"/>
                    <w:rPr>
                      <w:rFonts w:hint="eastAsia" w:ascii="Times New Roman" w:hAnsi="Times New Roman" w:eastAsia="宋体"/>
                      <w:szCs w:val="21"/>
                      <w:u w:val="none" w:color="auto"/>
                    </w:rPr>
                  </w:pPr>
                  <w:r>
                    <w:rPr>
                      <w:rFonts w:hint="eastAsia"/>
                      <w:szCs w:val="21"/>
                    </w:rPr>
                    <w:t>生物质锅炉</w:t>
                  </w:r>
                </w:p>
              </w:tc>
              <w:tc>
                <w:tcPr>
                  <w:tcW w:w="1272" w:type="pct"/>
                  <w:tcBorders>
                    <w:tl2br w:val="nil"/>
                    <w:tr2bl w:val="nil"/>
                  </w:tcBorders>
                  <w:vAlign w:val="center"/>
                </w:tcPr>
                <w:p w14:paraId="6D2C47EF">
                  <w:pPr>
                    <w:pStyle w:val="57"/>
                    <w:rPr>
                      <w:rFonts w:hint="default" w:ascii="Times New Roman" w:hAnsi="Times New Roman" w:eastAsia="宋体" w:cs="Times New Roman"/>
                      <w:u w:val="none" w:color="auto"/>
                    </w:rPr>
                  </w:pPr>
                  <w:r>
                    <w:rPr>
                      <w:rFonts w:hint="default" w:ascii="Times New Roman" w:hAnsi="Times New Roman" w:cs="Times New Roman"/>
                      <w:sz w:val="20"/>
                      <w:szCs w:val="20"/>
                      <w:highlight w:val="none"/>
                      <w:u w:val="none" w:color="auto"/>
                      <w:lang w:val="en-US" w:eastAsia="zh-CN"/>
                    </w:rPr>
                    <w:t>2.5t/h</w:t>
                  </w:r>
                </w:p>
              </w:tc>
              <w:tc>
                <w:tcPr>
                  <w:tcW w:w="1010" w:type="pct"/>
                  <w:tcBorders>
                    <w:tl2br w:val="nil"/>
                    <w:tr2bl w:val="nil"/>
                  </w:tcBorders>
                  <w:vAlign w:val="center"/>
                </w:tcPr>
                <w:p w14:paraId="49C5B52B">
                  <w:pPr>
                    <w:pStyle w:val="57"/>
                    <w:rPr>
                      <w:rFonts w:hint="eastAsia" w:ascii="Times New Roman" w:hAnsi="Times New Roman" w:eastAsia="宋体"/>
                      <w:u w:val="none" w:color="auto"/>
                    </w:rPr>
                  </w:pPr>
                  <w:r>
                    <w:rPr>
                      <w:rFonts w:hint="eastAsia" w:ascii="Times New Roman" w:hAnsi="Times New Roman" w:eastAsia="宋体"/>
                      <w:u w:val="none" w:color="auto"/>
                    </w:rPr>
                    <w:t>1</w:t>
                  </w:r>
                </w:p>
              </w:tc>
              <w:tc>
                <w:tcPr>
                  <w:tcW w:w="798" w:type="pct"/>
                  <w:tcBorders>
                    <w:tl2br w:val="nil"/>
                    <w:tr2bl w:val="nil"/>
                  </w:tcBorders>
                  <w:vAlign w:val="center"/>
                </w:tcPr>
                <w:p w14:paraId="2C64BC43">
                  <w:pPr>
                    <w:pStyle w:val="57"/>
                    <w:rPr>
                      <w:rFonts w:hint="eastAsia" w:ascii="Times New Roman" w:hAnsi="Times New Roman" w:eastAsia="宋体"/>
                      <w:u w:val="none" w:color="auto"/>
                    </w:rPr>
                  </w:pPr>
                  <w:r>
                    <w:rPr>
                      <w:rFonts w:hint="eastAsia" w:ascii="Times New Roman" w:hAnsi="Times New Roman" w:eastAsia="宋体"/>
                      <w:u w:val="none" w:color="auto"/>
                    </w:rPr>
                    <w:t>台</w:t>
                  </w:r>
                </w:p>
              </w:tc>
            </w:tr>
            <w:tr w14:paraId="15B6E4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7" w:type="pct"/>
                  <w:tcBorders>
                    <w:tl2br w:val="nil"/>
                    <w:tr2bl w:val="nil"/>
                  </w:tcBorders>
                  <w:vAlign w:val="center"/>
                </w:tcPr>
                <w:p w14:paraId="48D3F458">
                  <w:pPr>
                    <w:pStyle w:val="57"/>
                    <w:rPr>
                      <w:rFonts w:hint="eastAsia" w:ascii="Times New Roman" w:hAnsi="Times New Roman" w:eastAsia="宋体"/>
                      <w:u w:val="none" w:color="auto"/>
                      <w:lang w:eastAsia="zh-CN"/>
                    </w:rPr>
                  </w:pPr>
                  <w:r>
                    <w:rPr>
                      <w:rFonts w:hint="eastAsia" w:ascii="Times New Roman" w:hAnsi="Times New Roman" w:eastAsia="宋体"/>
                      <w:u w:val="none" w:color="auto"/>
                      <w:lang w:val="en-US" w:eastAsia="zh-CN"/>
                    </w:rPr>
                    <w:t>8</w:t>
                  </w:r>
                </w:p>
              </w:tc>
              <w:tc>
                <w:tcPr>
                  <w:tcW w:w="1431" w:type="pct"/>
                  <w:tcBorders>
                    <w:tl2br w:val="nil"/>
                    <w:tr2bl w:val="nil"/>
                  </w:tcBorders>
                  <w:vAlign w:val="center"/>
                </w:tcPr>
                <w:p w14:paraId="4B9BD712">
                  <w:pPr>
                    <w:pStyle w:val="57"/>
                    <w:rPr>
                      <w:rFonts w:hint="eastAsia" w:ascii="Times New Roman" w:hAnsi="Times New Roman" w:eastAsia="宋体"/>
                      <w:szCs w:val="21"/>
                      <w:u w:val="none" w:color="auto"/>
                    </w:rPr>
                  </w:pPr>
                  <w:r>
                    <w:rPr>
                      <w:rFonts w:hint="eastAsia"/>
                      <w:szCs w:val="21"/>
                    </w:rPr>
                    <w:t>全自动软水处理装置</w:t>
                  </w:r>
                </w:p>
              </w:tc>
              <w:tc>
                <w:tcPr>
                  <w:tcW w:w="1272" w:type="pct"/>
                  <w:tcBorders>
                    <w:tl2br w:val="nil"/>
                    <w:tr2bl w:val="nil"/>
                  </w:tcBorders>
                  <w:vAlign w:val="center"/>
                </w:tcPr>
                <w:p w14:paraId="1D15EEBF">
                  <w:pPr>
                    <w:pStyle w:val="57"/>
                    <w:rPr>
                      <w:rFonts w:hint="default" w:ascii="Times New Roman" w:hAnsi="Times New Roman" w:eastAsia="宋体" w:cs="Times New Roman"/>
                      <w:u w:val="none" w:color="auto"/>
                    </w:rPr>
                  </w:pPr>
                  <w:r>
                    <w:rPr>
                      <w:rFonts w:hint="eastAsia"/>
                      <w:szCs w:val="21"/>
                    </w:rPr>
                    <w:t>处理量</w:t>
                  </w:r>
                  <w:r>
                    <w:rPr>
                      <w:rFonts w:hint="default" w:ascii="Times New Roman" w:hAnsi="Times New Roman" w:cs="Times New Roman"/>
                      <w:sz w:val="20"/>
                      <w:szCs w:val="20"/>
                      <w:highlight w:val="none"/>
                      <w:u w:val="none" w:color="auto"/>
                      <w:lang w:val="en-US" w:eastAsia="zh-CN"/>
                    </w:rPr>
                    <w:t>2.5t/h</w:t>
                  </w:r>
                </w:p>
              </w:tc>
              <w:tc>
                <w:tcPr>
                  <w:tcW w:w="1010" w:type="pct"/>
                  <w:tcBorders>
                    <w:tl2br w:val="nil"/>
                    <w:tr2bl w:val="nil"/>
                  </w:tcBorders>
                  <w:shd w:val="clear" w:color="auto" w:fill="auto"/>
                  <w:vAlign w:val="center"/>
                </w:tcPr>
                <w:p w14:paraId="277B0DEE">
                  <w:pPr>
                    <w:pStyle w:val="57"/>
                    <w:rPr>
                      <w:rFonts w:hint="eastAsia" w:ascii="Times New Roman" w:hAnsi="Times New Roman" w:eastAsia="宋体" w:cstheme="minorBidi"/>
                      <w:kern w:val="2"/>
                      <w:sz w:val="21"/>
                      <w:szCs w:val="32"/>
                      <w:u w:val="none" w:color="auto"/>
                      <w:lang w:val="en-US" w:eastAsia="zh-CN" w:bidi="ar-SA"/>
                    </w:rPr>
                  </w:pPr>
                  <w:r>
                    <w:rPr>
                      <w:rFonts w:hint="eastAsia" w:ascii="Times New Roman" w:hAnsi="Times New Roman" w:eastAsia="宋体"/>
                      <w:u w:val="none" w:color="auto"/>
                    </w:rPr>
                    <w:t>1</w:t>
                  </w:r>
                </w:p>
              </w:tc>
              <w:tc>
                <w:tcPr>
                  <w:tcW w:w="798" w:type="pct"/>
                  <w:tcBorders>
                    <w:tl2br w:val="nil"/>
                    <w:tr2bl w:val="nil"/>
                  </w:tcBorders>
                  <w:shd w:val="clear" w:color="auto" w:fill="auto"/>
                  <w:vAlign w:val="center"/>
                </w:tcPr>
                <w:p w14:paraId="12408DF8">
                  <w:pPr>
                    <w:pStyle w:val="57"/>
                    <w:rPr>
                      <w:rFonts w:hint="eastAsia" w:ascii="Times New Roman" w:hAnsi="Times New Roman" w:eastAsia="宋体" w:cstheme="minorBidi"/>
                      <w:kern w:val="2"/>
                      <w:sz w:val="21"/>
                      <w:szCs w:val="32"/>
                      <w:u w:val="none" w:color="auto"/>
                      <w:lang w:val="en-US" w:eastAsia="zh-CN" w:bidi="ar-SA"/>
                    </w:rPr>
                  </w:pPr>
                  <w:r>
                    <w:rPr>
                      <w:rFonts w:hint="eastAsia"/>
                      <w:u w:val="none" w:color="auto"/>
                      <w:lang w:val="en-US" w:eastAsia="zh-CN"/>
                    </w:rPr>
                    <w:t>套</w:t>
                  </w:r>
                </w:p>
              </w:tc>
            </w:tr>
            <w:tr w14:paraId="24AEA0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7" w:type="pct"/>
                  <w:tcBorders>
                    <w:tl2br w:val="nil"/>
                    <w:tr2bl w:val="nil"/>
                  </w:tcBorders>
                  <w:vAlign w:val="center"/>
                </w:tcPr>
                <w:p w14:paraId="59EE091B">
                  <w:pPr>
                    <w:pStyle w:val="57"/>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9</w:t>
                  </w:r>
                </w:p>
              </w:tc>
              <w:tc>
                <w:tcPr>
                  <w:tcW w:w="1431" w:type="pct"/>
                  <w:tcBorders>
                    <w:tl2br w:val="nil"/>
                    <w:tr2bl w:val="nil"/>
                  </w:tcBorders>
                  <w:vAlign w:val="center"/>
                </w:tcPr>
                <w:p w14:paraId="3D431484">
                  <w:pPr>
                    <w:pStyle w:val="57"/>
                    <w:rPr>
                      <w:rFonts w:hint="eastAsia" w:ascii="Times New Roman" w:hAnsi="Times New Roman" w:eastAsia="宋体"/>
                      <w:u w:val="none" w:color="auto"/>
                      <w:lang w:val="zh-CN"/>
                    </w:rPr>
                  </w:pPr>
                  <w:r>
                    <w:rPr>
                      <w:szCs w:val="21"/>
                    </w:rPr>
                    <w:t>SNCR</w:t>
                  </w:r>
                  <w:r>
                    <w:rPr>
                      <w:rFonts w:hint="eastAsia"/>
                      <w:szCs w:val="21"/>
                    </w:rPr>
                    <w:t>脱硝系统</w:t>
                  </w:r>
                </w:p>
              </w:tc>
              <w:tc>
                <w:tcPr>
                  <w:tcW w:w="1272" w:type="pct"/>
                  <w:tcBorders>
                    <w:tl2br w:val="nil"/>
                    <w:tr2bl w:val="nil"/>
                  </w:tcBorders>
                  <w:vAlign w:val="center"/>
                </w:tcPr>
                <w:p w14:paraId="6D80BE32">
                  <w:pPr>
                    <w:pStyle w:val="57"/>
                    <w:rPr>
                      <w:rFonts w:hint="default" w:ascii="Times New Roman" w:hAnsi="Times New Roman" w:eastAsia="宋体" w:cs="Times New Roman"/>
                      <w:u w:val="none" w:color="auto"/>
                      <w:lang w:val="en-US" w:eastAsia="zh-CN"/>
                    </w:rPr>
                  </w:pPr>
                  <w:r>
                    <w:rPr>
                      <w:rFonts w:hint="eastAsia" w:cs="Times New Roman"/>
                      <w:u w:val="none" w:color="auto"/>
                      <w:lang w:val="en-US" w:eastAsia="zh-CN"/>
                    </w:rPr>
                    <w:t>/</w:t>
                  </w:r>
                </w:p>
              </w:tc>
              <w:tc>
                <w:tcPr>
                  <w:tcW w:w="1010" w:type="pct"/>
                  <w:tcBorders>
                    <w:tl2br w:val="nil"/>
                    <w:tr2bl w:val="nil"/>
                  </w:tcBorders>
                  <w:vAlign w:val="center"/>
                </w:tcPr>
                <w:p w14:paraId="34BC8579">
                  <w:pPr>
                    <w:pStyle w:val="57"/>
                    <w:rPr>
                      <w:rFonts w:hint="eastAsia" w:ascii="Times New Roman" w:hAnsi="Times New Roman" w:eastAsia="宋体"/>
                      <w:u w:val="none" w:color="auto"/>
                      <w:lang w:val="en-US" w:eastAsia="zh-CN"/>
                    </w:rPr>
                  </w:pPr>
                  <w:r>
                    <w:rPr>
                      <w:rFonts w:hint="eastAsia" w:ascii="Times New Roman" w:hAnsi="Times New Roman" w:eastAsia="宋体"/>
                      <w:u w:val="none" w:color="auto"/>
                      <w:lang w:val="en-US" w:eastAsia="zh-CN"/>
                    </w:rPr>
                    <w:t>1</w:t>
                  </w:r>
                </w:p>
              </w:tc>
              <w:tc>
                <w:tcPr>
                  <w:tcW w:w="798" w:type="pct"/>
                  <w:tcBorders>
                    <w:tl2br w:val="nil"/>
                    <w:tr2bl w:val="nil"/>
                  </w:tcBorders>
                  <w:vAlign w:val="center"/>
                </w:tcPr>
                <w:p w14:paraId="744D5B2B">
                  <w:pPr>
                    <w:pStyle w:val="57"/>
                    <w:rPr>
                      <w:rFonts w:hint="default" w:ascii="Times New Roman" w:hAnsi="Times New Roman" w:eastAsia="宋体"/>
                      <w:u w:val="none" w:color="auto"/>
                      <w:lang w:val="en-US" w:eastAsia="zh-CN"/>
                    </w:rPr>
                  </w:pPr>
                  <w:r>
                    <w:rPr>
                      <w:rFonts w:hint="eastAsia"/>
                      <w:u w:val="none" w:color="auto"/>
                      <w:lang w:val="en-US" w:eastAsia="zh-CN"/>
                    </w:rPr>
                    <w:t>套</w:t>
                  </w:r>
                </w:p>
              </w:tc>
            </w:tr>
            <w:tr w14:paraId="2FF373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7" w:type="pct"/>
                  <w:tcBorders>
                    <w:tl2br w:val="nil"/>
                    <w:tr2bl w:val="nil"/>
                  </w:tcBorders>
                  <w:vAlign w:val="center"/>
                </w:tcPr>
                <w:p w14:paraId="7DA038D4">
                  <w:pPr>
                    <w:pStyle w:val="57"/>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10</w:t>
                  </w:r>
                </w:p>
              </w:tc>
              <w:tc>
                <w:tcPr>
                  <w:tcW w:w="1431" w:type="pct"/>
                  <w:tcBorders>
                    <w:tl2br w:val="nil"/>
                    <w:tr2bl w:val="nil"/>
                  </w:tcBorders>
                  <w:vAlign w:val="center"/>
                </w:tcPr>
                <w:p w14:paraId="5BF44874">
                  <w:pPr>
                    <w:pStyle w:val="57"/>
                    <w:rPr>
                      <w:rFonts w:hint="default" w:ascii="Times New Roman" w:hAnsi="Times New Roman" w:eastAsia="宋体"/>
                      <w:u w:val="none" w:color="auto"/>
                      <w:lang w:val="en-US" w:eastAsia="zh-CN"/>
                    </w:rPr>
                  </w:pPr>
                  <w:r>
                    <w:rPr>
                      <w:rFonts w:hint="eastAsia"/>
                      <w:szCs w:val="21"/>
                    </w:rPr>
                    <w:t>旋风除尘+</w:t>
                  </w:r>
                  <w:r>
                    <w:rPr>
                      <w:rFonts w:hint="eastAsia"/>
                      <w:szCs w:val="21"/>
                      <w:lang w:val="en-US" w:eastAsia="zh-CN"/>
                    </w:rPr>
                    <w:t>布袋除尘+水膜除尘</w:t>
                  </w:r>
                </w:p>
              </w:tc>
              <w:tc>
                <w:tcPr>
                  <w:tcW w:w="1272" w:type="pct"/>
                  <w:tcBorders>
                    <w:tl2br w:val="nil"/>
                    <w:tr2bl w:val="nil"/>
                  </w:tcBorders>
                  <w:vAlign w:val="center"/>
                </w:tcPr>
                <w:p w14:paraId="282D8EB1">
                  <w:pPr>
                    <w:pStyle w:val="57"/>
                    <w:rPr>
                      <w:rFonts w:hint="default" w:ascii="Times New Roman" w:hAnsi="Times New Roman" w:eastAsia="宋体" w:cs="Times New Roman"/>
                      <w:u w:val="none" w:color="auto"/>
                      <w:lang w:val="en-US" w:eastAsia="zh-CN"/>
                    </w:rPr>
                  </w:pPr>
                  <w:r>
                    <w:rPr>
                      <w:rFonts w:hint="eastAsia" w:ascii="Times New Roman" w:hAnsi="Times New Roman" w:cs="Times New Roman"/>
                      <w:kern w:val="2"/>
                      <w:sz w:val="20"/>
                      <w:szCs w:val="20"/>
                      <w:highlight w:val="none"/>
                      <w:u w:val="none" w:color="auto"/>
                      <w:lang w:val="en-US" w:eastAsia="zh-CN" w:bidi="ar-SA"/>
                    </w:rPr>
                    <w:t>/</w:t>
                  </w:r>
                </w:p>
              </w:tc>
              <w:tc>
                <w:tcPr>
                  <w:tcW w:w="1010" w:type="pct"/>
                  <w:tcBorders>
                    <w:tl2br w:val="nil"/>
                    <w:tr2bl w:val="nil"/>
                  </w:tcBorders>
                  <w:vAlign w:val="center"/>
                </w:tcPr>
                <w:p w14:paraId="01A6D5EA">
                  <w:pPr>
                    <w:pStyle w:val="57"/>
                    <w:rPr>
                      <w:rFonts w:hint="eastAsia" w:ascii="Times New Roman" w:hAnsi="Times New Roman" w:eastAsia="宋体"/>
                      <w:u w:val="none" w:color="auto"/>
                      <w:lang w:val="en-US" w:eastAsia="zh-CN"/>
                    </w:rPr>
                  </w:pPr>
                  <w:r>
                    <w:rPr>
                      <w:rFonts w:hint="eastAsia" w:ascii="Times New Roman" w:hAnsi="Times New Roman" w:eastAsia="宋体"/>
                      <w:u w:val="none" w:color="auto"/>
                      <w:lang w:val="en-US" w:eastAsia="zh-CN"/>
                    </w:rPr>
                    <w:t>1</w:t>
                  </w:r>
                </w:p>
              </w:tc>
              <w:tc>
                <w:tcPr>
                  <w:tcW w:w="798" w:type="pct"/>
                  <w:tcBorders>
                    <w:tl2br w:val="nil"/>
                    <w:tr2bl w:val="nil"/>
                  </w:tcBorders>
                  <w:vAlign w:val="center"/>
                </w:tcPr>
                <w:p w14:paraId="711E19F2">
                  <w:pPr>
                    <w:pStyle w:val="57"/>
                    <w:rPr>
                      <w:rFonts w:hint="eastAsia" w:ascii="Times New Roman" w:hAnsi="Times New Roman" w:eastAsia="宋体"/>
                      <w:u w:val="none" w:color="auto"/>
                      <w:lang w:eastAsia="zh-CN"/>
                    </w:rPr>
                  </w:pPr>
                  <w:r>
                    <w:rPr>
                      <w:rFonts w:hint="eastAsia"/>
                      <w:u w:val="none" w:color="auto"/>
                      <w:lang w:val="en-US" w:eastAsia="zh-CN"/>
                    </w:rPr>
                    <w:t>套</w:t>
                  </w:r>
                </w:p>
              </w:tc>
            </w:tr>
          </w:tbl>
          <w:p w14:paraId="3AAA34E9">
            <w:pPr>
              <w:pStyle w:val="35"/>
              <w:ind w:firstLine="482"/>
              <w:rPr>
                <w:rFonts w:hint="eastAsia"/>
                <w:b/>
                <w:bCs/>
                <w:u w:val="none" w:color="auto"/>
              </w:rPr>
            </w:pPr>
          </w:p>
          <w:p w14:paraId="4AA3C497">
            <w:pPr>
              <w:pStyle w:val="35"/>
              <w:ind w:firstLine="482"/>
              <w:rPr>
                <w:b/>
                <w:bCs/>
                <w:u w:val="none" w:color="auto"/>
              </w:rPr>
            </w:pPr>
            <w:r>
              <w:rPr>
                <w:rFonts w:hint="eastAsia"/>
                <w:b/>
                <w:bCs/>
                <w:u w:val="none" w:color="auto"/>
                <w:lang w:val="en-US" w:eastAsia="zh-CN"/>
              </w:rPr>
              <w:t>4</w:t>
            </w:r>
            <w:r>
              <w:rPr>
                <w:rFonts w:hint="eastAsia"/>
                <w:b/>
                <w:bCs/>
                <w:u w:val="none" w:color="auto"/>
              </w:rPr>
              <w:t>、产品方案</w:t>
            </w:r>
          </w:p>
          <w:p w14:paraId="3F61A77F">
            <w:pPr>
              <w:pStyle w:val="75"/>
              <w:ind w:firstLine="480"/>
              <w:rPr>
                <w:u w:val="none" w:color="auto"/>
              </w:rPr>
            </w:pPr>
            <w:r>
              <w:rPr>
                <w:rFonts w:hint="eastAsia"/>
                <w:u w:val="none" w:color="auto"/>
              </w:rPr>
              <w:t>本项目</w:t>
            </w:r>
            <w:r>
              <w:rPr>
                <w:rFonts w:hint="eastAsia"/>
                <w:u w:val="none" w:color="auto"/>
                <w:lang w:val="en-US" w:eastAsia="zh-CN"/>
              </w:rPr>
              <w:t>产品为竹筷</w:t>
            </w:r>
            <w:r>
              <w:rPr>
                <w:rFonts w:hint="eastAsia"/>
                <w:u w:val="none" w:color="auto"/>
              </w:rPr>
              <w:t>，</w:t>
            </w:r>
            <w:r>
              <w:rPr>
                <w:rFonts w:hint="eastAsia"/>
                <w:u w:val="none" w:color="auto"/>
                <w:lang w:val="en-US" w:eastAsia="zh-CN"/>
              </w:rPr>
              <w:t>产品方案详见下表</w:t>
            </w:r>
            <w:r>
              <w:rPr>
                <w:rFonts w:hint="eastAsia"/>
                <w:u w:val="none" w:color="auto"/>
              </w:rPr>
              <w:t>：</w:t>
            </w:r>
          </w:p>
          <w:p w14:paraId="1296256C">
            <w:pPr>
              <w:pStyle w:val="77"/>
              <w:spacing w:line="240" w:lineRule="auto"/>
              <w:rPr>
                <w:rFonts w:hint="default" w:eastAsia="宋体"/>
                <w:sz w:val="21"/>
                <w:szCs w:val="20"/>
                <w:u w:val="none" w:color="auto"/>
                <w:lang w:val="en-US" w:eastAsia="zh-CN"/>
              </w:rPr>
            </w:pPr>
            <w:r>
              <w:rPr>
                <w:rFonts w:hint="eastAsia"/>
                <w:sz w:val="21"/>
                <w:szCs w:val="20"/>
                <w:u w:val="none" w:color="auto"/>
              </w:rPr>
              <w:t>表2-</w:t>
            </w:r>
            <w:r>
              <w:rPr>
                <w:rFonts w:hint="eastAsia"/>
                <w:sz w:val="21"/>
                <w:szCs w:val="20"/>
                <w:u w:val="none" w:color="auto"/>
                <w:lang w:val="en-US" w:eastAsia="zh-CN"/>
              </w:rPr>
              <w:t>3</w:t>
            </w:r>
            <w:r>
              <w:rPr>
                <w:rFonts w:hint="eastAsia"/>
                <w:sz w:val="21"/>
                <w:szCs w:val="20"/>
                <w:u w:val="none" w:color="auto"/>
              </w:rPr>
              <w:t xml:space="preserve">  </w:t>
            </w:r>
            <w:r>
              <w:rPr>
                <w:rFonts w:hint="eastAsia"/>
                <w:sz w:val="21"/>
                <w:szCs w:val="20"/>
                <w:u w:val="none" w:color="auto"/>
                <w:lang w:val="en-US" w:eastAsia="zh-CN"/>
              </w:rPr>
              <w:t>项目产品方案一览表</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6"/>
              <w:gridCol w:w="1623"/>
              <w:gridCol w:w="2182"/>
              <w:gridCol w:w="1886"/>
            </w:tblGrid>
            <w:tr w14:paraId="4396B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46" w:type="dxa"/>
                  <w:vAlign w:val="center"/>
                </w:tcPr>
                <w:p w14:paraId="6016A546">
                  <w:pPr>
                    <w:pStyle w:val="57"/>
                    <w:ind w:left="0" w:leftChars="0" w:right="0" w:rightChars="0" w:firstLine="0" w:firstLineChars="0"/>
                    <w:rPr>
                      <w:u w:val="none" w:color="auto"/>
                    </w:rPr>
                  </w:pPr>
                  <w:r>
                    <w:rPr>
                      <w:rFonts w:hint="eastAsia"/>
                      <w:u w:val="none" w:color="auto"/>
                    </w:rPr>
                    <w:t>产品名称</w:t>
                  </w:r>
                </w:p>
              </w:tc>
              <w:tc>
                <w:tcPr>
                  <w:tcW w:w="1623" w:type="dxa"/>
                  <w:vAlign w:val="center"/>
                </w:tcPr>
                <w:p w14:paraId="5FCF52D5">
                  <w:pPr>
                    <w:pStyle w:val="57"/>
                    <w:ind w:left="0" w:leftChars="0" w:right="0" w:rightChars="0" w:firstLine="0" w:firstLineChars="0"/>
                    <w:rPr>
                      <w:u w:val="none" w:color="auto"/>
                    </w:rPr>
                  </w:pPr>
                  <w:r>
                    <w:rPr>
                      <w:rFonts w:hint="eastAsia"/>
                      <w:u w:val="none" w:color="auto"/>
                    </w:rPr>
                    <w:t>单位</w:t>
                  </w:r>
                </w:p>
              </w:tc>
              <w:tc>
                <w:tcPr>
                  <w:tcW w:w="2182" w:type="dxa"/>
                  <w:vAlign w:val="center"/>
                </w:tcPr>
                <w:p w14:paraId="2FA99E81">
                  <w:pPr>
                    <w:pStyle w:val="57"/>
                    <w:ind w:left="0" w:leftChars="0" w:right="0" w:rightChars="0" w:firstLine="0" w:firstLineChars="0"/>
                    <w:rPr>
                      <w:rFonts w:hint="eastAsia" w:eastAsia="宋体"/>
                      <w:u w:val="none" w:color="auto"/>
                      <w:lang w:val="en-US" w:eastAsia="zh-CN"/>
                    </w:rPr>
                  </w:pPr>
                  <w:r>
                    <w:rPr>
                      <w:rFonts w:hint="eastAsia"/>
                      <w:u w:val="none" w:color="auto"/>
                      <w:lang w:val="en-US" w:eastAsia="zh-CN"/>
                    </w:rPr>
                    <w:t>产量</w:t>
                  </w:r>
                </w:p>
              </w:tc>
              <w:tc>
                <w:tcPr>
                  <w:tcW w:w="1886" w:type="dxa"/>
                  <w:shd w:val="clear" w:color="auto" w:fill="auto"/>
                  <w:vAlign w:val="center"/>
                </w:tcPr>
                <w:p w14:paraId="19328EA3">
                  <w:pPr>
                    <w:pStyle w:val="57"/>
                    <w:ind w:left="0" w:leftChars="0" w:right="0" w:rightChars="0" w:firstLine="0" w:firstLineChars="0"/>
                    <w:rPr>
                      <w:rFonts w:hint="default" w:ascii="Times New Roman" w:hAnsi="Times New Roman" w:eastAsia="宋体" w:cstheme="minorBidi"/>
                      <w:kern w:val="2"/>
                      <w:sz w:val="21"/>
                      <w:szCs w:val="32"/>
                      <w:u w:val="none" w:color="auto"/>
                      <w:lang w:val="en-US" w:eastAsia="zh-CN" w:bidi="ar-SA"/>
                    </w:rPr>
                  </w:pPr>
                  <w:r>
                    <w:rPr>
                      <w:rFonts w:hint="eastAsia"/>
                      <w:u w:val="none" w:color="auto"/>
                      <w:lang w:val="en-US" w:eastAsia="zh-CN"/>
                    </w:rPr>
                    <w:t>含水率</w:t>
                  </w:r>
                </w:p>
              </w:tc>
            </w:tr>
            <w:tr w14:paraId="7A89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46" w:type="dxa"/>
                  <w:vAlign w:val="center"/>
                </w:tcPr>
                <w:p w14:paraId="0858B110">
                  <w:pPr>
                    <w:pStyle w:val="57"/>
                    <w:ind w:left="0" w:leftChars="0" w:right="0" w:rightChars="0" w:firstLine="0" w:firstLineChars="0"/>
                    <w:rPr>
                      <w:rFonts w:hint="eastAsia" w:eastAsia="宋体"/>
                      <w:u w:val="none" w:color="auto"/>
                      <w:lang w:eastAsia="zh-CN"/>
                    </w:rPr>
                  </w:pPr>
                  <w:r>
                    <w:rPr>
                      <w:rFonts w:hint="eastAsia"/>
                      <w:u w:val="none" w:color="auto"/>
                      <w:lang w:val="en-US" w:eastAsia="zh-CN"/>
                    </w:rPr>
                    <w:t>竹筷</w:t>
                  </w:r>
                </w:p>
              </w:tc>
              <w:tc>
                <w:tcPr>
                  <w:tcW w:w="1623" w:type="dxa"/>
                  <w:vAlign w:val="center"/>
                </w:tcPr>
                <w:p w14:paraId="4D8D62B1">
                  <w:pPr>
                    <w:pStyle w:val="57"/>
                    <w:ind w:left="0" w:leftChars="0" w:right="0" w:rightChars="0" w:firstLine="0" w:firstLineChars="0"/>
                    <w:rPr>
                      <w:rFonts w:hint="default" w:eastAsia="宋体"/>
                      <w:u w:val="none" w:color="auto"/>
                      <w:lang w:val="en-US" w:eastAsia="zh-CN"/>
                    </w:rPr>
                  </w:pPr>
                  <w:r>
                    <w:rPr>
                      <w:rFonts w:hint="eastAsia"/>
                      <w:u w:val="none" w:color="auto"/>
                      <w:lang w:val="en-US" w:eastAsia="zh-CN"/>
                    </w:rPr>
                    <w:t>t/a</w:t>
                  </w:r>
                </w:p>
              </w:tc>
              <w:tc>
                <w:tcPr>
                  <w:tcW w:w="2182" w:type="dxa"/>
                  <w:vAlign w:val="center"/>
                </w:tcPr>
                <w:p w14:paraId="440FFCC3">
                  <w:pPr>
                    <w:pStyle w:val="57"/>
                    <w:ind w:left="0" w:leftChars="0" w:right="0" w:rightChars="0" w:firstLine="0" w:firstLineChars="0"/>
                    <w:rPr>
                      <w:rFonts w:hint="default" w:eastAsia="宋体"/>
                      <w:u w:val="none" w:color="auto"/>
                      <w:lang w:val="en-US" w:eastAsia="zh-CN"/>
                    </w:rPr>
                  </w:pPr>
                  <w:r>
                    <w:rPr>
                      <w:rFonts w:hint="eastAsia"/>
                      <w:u w:val="none" w:color="auto"/>
                      <w:lang w:val="en-US" w:eastAsia="zh-CN"/>
                    </w:rPr>
                    <w:t>2000</w:t>
                  </w:r>
                </w:p>
              </w:tc>
              <w:tc>
                <w:tcPr>
                  <w:tcW w:w="1886" w:type="dxa"/>
                  <w:shd w:val="clear" w:color="auto" w:fill="auto"/>
                  <w:vAlign w:val="center"/>
                </w:tcPr>
                <w:p w14:paraId="3460A439">
                  <w:pPr>
                    <w:pStyle w:val="57"/>
                    <w:ind w:left="0" w:leftChars="0" w:right="0" w:rightChars="0" w:firstLine="0" w:firstLineChars="0"/>
                    <w:rPr>
                      <w:rFonts w:hint="default" w:ascii="Times New Roman" w:hAnsi="Times New Roman" w:eastAsia="宋体" w:cstheme="minorBidi"/>
                      <w:kern w:val="2"/>
                      <w:sz w:val="21"/>
                      <w:szCs w:val="32"/>
                      <w:u w:val="none" w:color="auto"/>
                      <w:lang w:val="en-US" w:eastAsia="zh-CN" w:bidi="ar-SA"/>
                    </w:rPr>
                  </w:pPr>
                  <w:r>
                    <w:rPr>
                      <w:rFonts w:hint="eastAsia"/>
                      <w:u w:val="none" w:color="auto"/>
                      <w:lang w:val="en-US" w:eastAsia="zh-CN"/>
                    </w:rPr>
                    <w:t>约8%</w:t>
                  </w:r>
                </w:p>
              </w:tc>
            </w:tr>
          </w:tbl>
          <w:p w14:paraId="1A5E3C96">
            <w:pPr>
              <w:pStyle w:val="35"/>
              <w:keepNext w:val="0"/>
              <w:keepLines w:val="0"/>
              <w:pageBreakBefore w:val="0"/>
              <w:widowControl w:val="0"/>
              <w:tabs>
                <w:tab w:val="left" w:pos="399"/>
              </w:tabs>
              <w:kinsoku/>
              <w:wordWrap/>
              <w:overflowPunct/>
              <w:topLinePunct w:val="0"/>
              <w:autoSpaceDE/>
              <w:autoSpaceDN/>
              <w:bidi w:val="0"/>
              <w:adjustRightInd/>
              <w:snapToGrid/>
              <w:spacing w:before="0" w:beforeLines="0"/>
              <w:ind w:firstLine="482"/>
              <w:textAlignment w:val="auto"/>
              <w:rPr>
                <w:b/>
                <w:bCs/>
                <w:u w:val="none" w:color="auto"/>
              </w:rPr>
            </w:pPr>
            <w:r>
              <w:rPr>
                <w:rFonts w:hint="eastAsia"/>
                <w:b/>
                <w:bCs/>
                <w:u w:val="none" w:color="auto"/>
                <w:lang w:val="en-US" w:eastAsia="zh-CN"/>
              </w:rPr>
              <w:t>5</w:t>
            </w:r>
            <w:r>
              <w:rPr>
                <w:rFonts w:hint="eastAsia"/>
                <w:b/>
                <w:bCs/>
                <w:u w:val="none" w:color="auto"/>
              </w:rPr>
              <w:t>、主要原辅材料及能耗情况</w:t>
            </w:r>
          </w:p>
          <w:p w14:paraId="59EF9798">
            <w:pPr>
              <w:pStyle w:val="35"/>
              <w:ind w:firstLine="480"/>
              <w:rPr>
                <w:u w:val="none" w:color="auto"/>
              </w:rPr>
            </w:pPr>
            <w:r>
              <w:rPr>
                <w:rFonts w:hint="eastAsia"/>
                <w:u w:val="none" w:color="auto"/>
                <w:lang w:val="en-US" w:eastAsia="zh-CN"/>
              </w:rPr>
              <w:t>本项目原料楠竹来源于泥江口镇范围内的合规竹林基地，泥江口镇为竹产业重点发展区，区域内竹林资源丰富，具备稳定的竹材供应基础。根据建设单位提供资料，本项目原辅材料及资源能源消耗情况详见下表：</w:t>
            </w:r>
          </w:p>
          <w:p w14:paraId="5797874C">
            <w:pPr>
              <w:pStyle w:val="34"/>
              <w:keepNext w:val="0"/>
              <w:keepLines w:val="0"/>
              <w:pageBreakBefore w:val="0"/>
              <w:widowControl w:val="0"/>
              <w:kinsoku/>
              <w:wordWrap/>
              <w:overflowPunct/>
              <w:topLinePunct w:val="0"/>
              <w:autoSpaceDE/>
              <w:autoSpaceDN/>
              <w:bidi w:val="0"/>
              <w:adjustRightInd/>
              <w:snapToGrid/>
              <w:spacing w:before="0" w:beforeLines="0"/>
              <w:textAlignment w:val="auto"/>
              <w:rPr>
                <w:sz w:val="21"/>
                <w:szCs w:val="21"/>
                <w:u w:val="none" w:color="auto"/>
              </w:rPr>
            </w:pPr>
            <w:r>
              <w:rPr>
                <w:rFonts w:hint="eastAsia"/>
                <w:sz w:val="21"/>
                <w:szCs w:val="21"/>
                <w:u w:val="none" w:color="auto"/>
              </w:rPr>
              <w:t>表2-</w:t>
            </w:r>
            <w:r>
              <w:rPr>
                <w:rFonts w:hint="eastAsia"/>
                <w:sz w:val="21"/>
                <w:szCs w:val="21"/>
                <w:u w:val="none" w:color="auto"/>
                <w:lang w:val="en-US" w:eastAsia="zh-CN"/>
              </w:rPr>
              <w:t>4</w:t>
            </w:r>
            <w:r>
              <w:rPr>
                <w:rFonts w:hint="eastAsia"/>
                <w:sz w:val="21"/>
                <w:szCs w:val="21"/>
                <w:u w:val="none" w:color="auto"/>
              </w:rPr>
              <w:t xml:space="preserve">  原辅材料消耗及能耗情况表</w:t>
            </w:r>
          </w:p>
          <w:tbl>
            <w:tblPr>
              <w:tblStyle w:val="28"/>
              <w:tblW w:w="4985" w:type="pct"/>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38"/>
              <w:gridCol w:w="1304"/>
              <w:gridCol w:w="1226"/>
              <w:gridCol w:w="1384"/>
              <w:gridCol w:w="1441"/>
              <w:gridCol w:w="1831"/>
            </w:tblGrid>
            <w:tr w14:paraId="56085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07" w:type="pct"/>
                  <w:vAlign w:val="center"/>
                </w:tcPr>
                <w:p w14:paraId="6B2E49B8">
                  <w:pPr>
                    <w:pStyle w:val="57"/>
                    <w:ind w:left="0" w:leftChars="0" w:right="0" w:rightChars="0" w:firstLine="0" w:firstLineChars="0"/>
                    <w:jc w:val="center"/>
                    <w:rPr>
                      <w:u w:val="none" w:color="auto"/>
                    </w:rPr>
                  </w:pPr>
                  <w:r>
                    <w:rPr>
                      <w:rFonts w:hint="eastAsia"/>
                      <w:u w:val="none" w:color="auto"/>
                    </w:rPr>
                    <w:t>序号</w:t>
                  </w:r>
                </w:p>
              </w:tc>
              <w:tc>
                <w:tcPr>
                  <w:tcW w:w="833" w:type="pct"/>
                  <w:vAlign w:val="center"/>
                </w:tcPr>
                <w:p w14:paraId="69CF1340">
                  <w:pPr>
                    <w:pStyle w:val="57"/>
                    <w:ind w:left="0" w:leftChars="0" w:right="0" w:rightChars="0" w:firstLine="0" w:firstLineChars="0"/>
                    <w:jc w:val="center"/>
                    <w:rPr>
                      <w:u w:val="none" w:color="auto"/>
                    </w:rPr>
                  </w:pPr>
                  <w:r>
                    <w:rPr>
                      <w:rFonts w:hint="eastAsia"/>
                      <w:u w:val="none" w:color="auto"/>
                    </w:rPr>
                    <w:t>名称</w:t>
                  </w:r>
                </w:p>
              </w:tc>
              <w:tc>
                <w:tcPr>
                  <w:tcW w:w="783" w:type="pct"/>
                  <w:vAlign w:val="center"/>
                </w:tcPr>
                <w:p w14:paraId="48225E62">
                  <w:pPr>
                    <w:pStyle w:val="57"/>
                    <w:ind w:left="0" w:leftChars="0" w:right="0" w:rightChars="0" w:firstLine="0" w:firstLineChars="0"/>
                    <w:jc w:val="center"/>
                    <w:rPr>
                      <w:u w:val="none" w:color="auto"/>
                    </w:rPr>
                  </w:pPr>
                  <w:r>
                    <w:rPr>
                      <w:rFonts w:hint="eastAsia"/>
                      <w:u w:val="none" w:color="auto"/>
                    </w:rPr>
                    <w:t>单位</w:t>
                  </w:r>
                </w:p>
              </w:tc>
              <w:tc>
                <w:tcPr>
                  <w:tcW w:w="884" w:type="pct"/>
                  <w:vAlign w:val="center"/>
                </w:tcPr>
                <w:p w14:paraId="698BB129">
                  <w:pPr>
                    <w:pStyle w:val="57"/>
                    <w:ind w:left="0" w:leftChars="0" w:right="0" w:rightChars="0" w:firstLine="0" w:firstLineChars="0"/>
                    <w:jc w:val="center"/>
                    <w:rPr>
                      <w:rFonts w:hint="eastAsia" w:eastAsia="宋体"/>
                      <w:u w:val="none" w:color="auto"/>
                      <w:lang w:val="en-US" w:eastAsia="zh-CN"/>
                    </w:rPr>
                  </w:pPr>
                  <w:r>
                    <w:rPr>
                      <w:rFonts w:hint="eastAsia"/>
                      <w:u w:val="none" w:color="auto"/>
                      <w:lang w:val="en-US" w:eastAsia="zh-CN"/>
                    </w:rPr>
                    <w:t>年用量</w:t>
                  </w:r>
                </w:p>
              </w:tc>
              <w:tc>
                <w:tcPr>
                  <w:tcW w:w="920" w:type="pct"/>
                  <w:vAlign w:val="center"/>
                </w:tcPr>
                <w:p w14:paraId="57AA3D15">
                  <w:pPr>
                    <w:pStyle w:val="57"/>
                    <w:ind w:left="0" w:leftChars="0" w:right="0" w:rightChars="0" w:firstLine="0" w:firstLineChars="0"/>
                    <w:jc w:val="center"/>
                    <w:rPr>
                      <w:rFonts w:hint="default" w:eastAsia="宋体"/>
                      <w:u w:val="none" w:color="auto"/>
                      <w:lang w:val="en-US" w:eastAsia="zh-CN"/>
                    </w:rPr>
                  </w:pPr>
                  <w:r>
                    <w:rPr>
                      <w:rFonts w:hint="eastAsia"/>
                      <w:u w:val="none" w:color="auto"/>
                      <w:lang w:val="en-US" w:eastAsia="zh-CN"/>
                    </w:rPr>
                    <w:t>最大暂存量</w:t>
                  </w:r>
                </w:p>
              </w:tc>
              <w:tc>
                <w:tcPr>
                  <w:tcW w:w="1170" w:type="pct"/>
                  <w:vAlign w:val="center"/>
                </w:tcPr>
                <w:p w14:paraId="38F62579">
                  <w:pPr>
                    <w:pStyle w:val="57"/>
                    <w:ind w:left="0" w:leftChars="0" w:right="0" w:rightChars="0" w:firstLine="0" w:firstLineChars="0"/>
                    <w:jc w:val="center"/>
                    <w:rPr>
                      <w:u w:val="none" w:color="auto"/>
                    </w:rPr>
                  </w:pPr>
                  <w:r>
                    <w:rPr>
                      <w:rFonts w:hint="eastAsia"/>
                      <w:u w:val="none" w:color="auto"/>
                    </w:rPr>
                    <w:t>备注</w:t>
                  </w:r>
                </w:p>
              </w:tc>
            </w:tr>
            <w:tr w14:paraId="56680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07" w:type="pct"/>
                  <w:shd w:val="clear" w:color="auto" w:fill="auto"/>
                  <w:vAlign w:val="center"/>
                </w:tcPr>
                <w:p w14:paraId="27468719">
                  <w:pPr>
                    <w:pStyle w:val="57"/>
                    <w:ind w:left="0" w:leftChars="0" w:right="0" w:rightChars="0" w:firstLine="0" w:firstLineChars="0"/>
                    <w:jc w:val="center"/>
                    <w:rPr>
                      <w:rFonts w:hint="eastAsia" w:ascii="Times New Roman" w:hAnsi="Times New Roman" w:eastAsia="宋体" w:cstheme="minorBidi"/>
                      <w:kern w:val="2"/>
                      <w:sz w:val="21"/>
                      <w:szCs w:val="32"/>
                      <w:u w:val="none" w:color="auto"/>
                      <w:lang w:val="en-US" w:eastAsia="zh-CN" w:bidi="ar-SA"/>
                    </w:rPr>
                  </w:pPr>
                  <w:r>
                    <w:rPr>
                      <w:rFonts w:hint="eastAsia"/>
                      <w:u w:val="none" w:color="auto"/>
                    </w:rPr>
                    <w:t>1</w:t>
                  </w:r>
                </w:p>
              </w:tc>
              <w:tc>
                <w:tcPr>
                  <w:tcW w:w="833" w:type="pct"/>
                  <w:vAlign w:val="center"/>
                </w:tcPr>
                <w:p w14:paraId="729448D8">
                  <w:pPr>
                    <w:pStyle w:val="57"/>
                    <w:ind w:left="0" w:leftChars="0" w:right="0" w:rightChars="0" w:firstLine="0" w:firstLineChars="0"/>
                    <w:jc w:val="center"/>
                    <w:rPr>
                      <w:rFonts w:hint="eastAsia" w:eastAsia="宋体"/>
                      <w:u w:val="none" w:color="auto"/>
                      <w:lang w:val="en-US" w:eastAsia="zh-CN"/>
                    </w:rPr>
                  </w:pPr>
                  <w:r>
                    <w:rPr>
                      <w:rFonts w:hint="eastAsia"/>
                      <w:u w:val="none" w:color="auto"/>
                      <w:lang w:val="en-US" w:eastAsia="zh-CN"/>
                    </w:rPr>
                    <w:t>楠竹</w:t>
                  </w:r>
                </w:p>
              </w:tc>
              <w:tc>
                <w:tcPr>
                  <w:tcW w:w="783" w:type="pct"/>
                  <w:vAlign w:val="center"/>
                </w:tcPr>
                <w:p w14:paraId="558CBF9E">
                  <w:pPr>
                    <w:pStyle w:val="57"/>
                    <w:ind w:left="0" w:leftChars="0" w:right="0" w:rightChars="0" w:firstLine="0" w:firstLineChars="0"/>
                    <w:jc w:val="center"/>
                    <w:rPr>
                      <w:rFonts w:hint="eastAsia"/>
                      <w:u w:val="none" w:color="auto"/>
                    </w:rPr>
                  </w:pPr>
                  <w:r>
                    <w:rPr>
                      <w:rFonts w:hint="eastAsia"/>
                      <w:u w:val="none" w:color="auto"/>
                    </w:rPr>
                    <w:t>t/a</w:t>
                  </w:r>
                </w:p>
              </w:tc>
              <w:tc>
                <w:tcPr>
                  <w:tcW w:w="884" w:type="pct"/>
                  <w:vAlign w:val="center"/>
                </w:tcPr>
                <w:p w14:paraId="4A536B98">
                  <w:pPr>
                    <w:pStyle w:val="57"/>
                    <w:ind w:left="0" w:leftChars="0" w:right="0" w:rightChars="0" w:firstLine="0" w:firstLineChars="0"/>
                    <w:jc w:val="center"/>
                    <w:rPr>
                      <w:rFonts w:hint="default"/>
                      <w:u w:val="none" w:color="auto"/>
                      <w:lang w:val="en-US" w:eastAsia="zh-CN"/>
                    </w:rPr>
                  </w:pPr>
                  <w:r>
                    <w:rPr>
                      <w:rFonts w:hint="eastAsia"/>
                      <w:u w:val="none" w:color="auto"/>
                      <w:lang w:val="en-US" w:eastAsia="zh-CN"/>
                    </w:rPr>
                    <w:t>3775.25</w:t>
                  </w:r>
                </w:p>
              </w:tc>
              <w:tc>
                <w:tcPr>
                  <w:tcW w:w="920" w:type="pct"/>
                  <w:vAlign w:val="center"/>
                </w:tcPr>
                <w:p w14:paraId="2C24BAE0">
                  <w:pPr>
                    <w:pStyle w:val="57"/>
                    <w:ind w:left="0" w:leftChars="0" w:right="0" w:rightChars="0" w:firstLine="0" w:firstLineChars="0"/>
                    <w:jc w:val="center"/>
                    <w:rPr>
                      <w:rFonts w:hint="default" w:eastAsia="宋体"/>
                      <w:u w:val="none" w:color="auto"/>
                      <w:lang w:val="en-US" w:eastAsia="zh-CN"/>
                    </w:rPr>
                  </w:pPr>
                  <w:r>
                    <w:rPr>
                      <w:rFonts w:hint="eastAsia"/>
                      <w:u w:val="none" w:color="auto"/>
                      <w:lang w:val="en-US" w:eastAsia="zh-CN"/>
                    </w:rPr>
                    <w:t>150</w:t>
                  </w:r>
                </w:p>
              </w:tc>
              <w:tc>
                <w:tcPr>
                  <w:tcW w:w="1170" w:type="pct"/>
                  <w:vAlign w:val="center"/>
                </w:tcPr>
                <w:p w14:paraId="31700783">
                  <w:pPr>
                    <w:pStyle w:val="57"/>
                    <w:ind w:left="0" w:leftChars="0" w:right="0" w:rightChars="0" w:firstLine="0" w:firstLineChars="0"/>
                    <w:jc w:val="center"/>
                    <w:rPr>
                      <w:rFonts w:hint="default" w:eastAsia="宋体"/>
                      <w:u w:val="none" w:color="auto"/>
                      <w:lang w:val="en-US" w:eastAsia="zh-CN"/>
                    </w:rPr>
                  </w:pPr>
                  <w:r>
                    <w:rPr>
                      <w:rFonts w:hint="eastAsia"/>
                      <w:u w:val="single" w:color="auto"/>
                      <w:lang w:val="en-US" w:eastAsia="zh-CN"/>
                    </w:rPr>
                    <w:t>原料，含水率约35%，损耗约20%</w:t>
                  </w:r>
                </w:p>
              </w:tc>
            </w:tr>
            <w:tr w14:paraId="1E8AA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07" w:type="pct"/>
                  <w:shd w:val="clear" w:color="auto" w:fill="auto"/>
                  <w:vAlign w:val="center"/>
                </w:tcPr>
                <w:p w14:paraId="78FDFBE0">
                  <w:pPr>
                    <w:pStyle w:val="57"/>
                    <w:ind w:left="0" w:leftChars="0" w:right="0" w:rightChars="0" w:firstLine="0" w:firstLineChars="0"/>
                    <w:jc w:val="center"/>
                    <w:rPr>
                      <w:rFonts w:hint="eastAsia" w:ascii="Times New Roman" w:hAnsi="Times New Roman" w:eastAsia="宋体" w:cstheme="minorBidi"/>
                      <w:kern w:val="2"/>
                      <w:sz w:val="21"/>
                      <w:szCs w:val="32"/>
                      <w:u w:val="none" w:color="auto"/>
                      <w:lang w:val="en-US" w:eastAsia="zh-CN" w:bidi="ar-SA"/>
                    </w:rPr>
                  </w:pPr>
                  <w:r>
                    <w:rPr>
                      <w:rFonts w:hint="eastAsia"/>
                      <w:u w:val="none" w:color="auto"/>
                      <w:lang w:val="en-US" w:eastAsia="zh-CN"/>
                    </w:rPr>
                    <w:t>2</w:t>
                  </w:r>
                </w:p>
              </w:tc>
              <w:tc>
                <w:tcPr>
                  <w:tcW w:w="833" w:type="pct"/>
                  <w:vAlign w:val="center"/>
                </w:tcPr>
                <w:p w14:paraId="42B4A60E">
                  <w:pPr>
                    <w:pStyle w:val="57"/>
                    <w:ind w:left="0" w:leftChars="0" w:right="0" w:rightChars="0" w:firstLine="0" w:firstLineChars="0"/>
                    <w:jc w:val="center"/>
                    <w:rPr>
                      <w:u w:val="none" w:color="auto"/>
                    </w:rPr>
                  </w:pPr>
                  <w:r>
                    <w:rPr>
                      <w:rFonts w:hint="eastAsia"/>
                      <w:u w:val="none" w:color="auto"/>
                      <w:lang w:val="en-US" w:eastAsia="zh-CN"/>
                    </w:rPr>
                    <w:t>成型</w:t>
                  </w:r>
                  <w:r>
                    <w:rPr>
                      <w:rFonts w:hint="eastAsia"/>
                      <w:u w:val="none" w:color="auto"/>
                    </w:rPr>
                    <w:t>生物质颗粒</w:t>
                  </w:r>
                </w:p>
              </w:tc>
              <w:tc>
                <w:tcPr>
                  <w:tcW w:w="783" w:type="pct"/>
                  <w:vAlign w:val="center"/>
                </w:tcPr>
                <w:p w14:paraId="27532D4C">
                  <w:pPr>
                    <w:pStyle w:val="57"/>
                    <w:ind w:left="0" w:leftChars="0" w:right="0" w:rightChars="0" w:firstLine="0" w:firstLineChars="0"/>
                    <w:jc w:val="center"/>
                    <w:rPr>
                      <w:u w:val="none" w:color="auto"/>
                    </w:rPr>
                  </w:pPr>
                  <w:r>
                    <w:rPr>
                      <w:rFonts w:hint="eastAsia"/>
                      <w:u w:val="none" w:color="auto"/>
                    </w:rPr>
                    <w:t>t/a</w:t>
                  </w:r>
                </w:p>
              </w:tc>
              <w:tc>
                <w:tcPr>
                  <w:tcW w:w="884" w:type="pct"/>
                  <w:vAlign w:val="center"/>
                </w:tcPr>
                <w:p w14:paraId="3CFD77A7">
                  <w:pPr>
                    <w:pStyle w:val="57"/>
                    <w:ind w:left="0" w:leftChars="0" w:right="0" w:rightChars="0" w:firstLine="0" w:firstLineChars="0"/>
                    <w:jc w:val="center"/>
                    <w:rPr>
                      <w:rFonts w:hint="default" w:eastAsia="宋体"/>
                      <w:u w:val="none" w:color="auto"/>
                      <w:lang w:val="en-US" w:eastAsia="zh-CN"/>
                    </w:rPr>
                  </w:pPr>
                  <w:r>
                    <w:rPr>
                      <w:rFonts w:hint="eastAsia"/>
                      <w:u w:val="none" w:color="auto"/>
                      <w:lang w:val="en-US" w:eastAsia="zh-CN"/>
                    </w:rPr>
                    <w:t>350</w:t>
                  </w:r>
                </w:p>
              </w:tc>
              <w:tc>
                <w:tcPr>
                  <w:tcW w:w="920" w:type="pct"/>
                  <w:vAlign w:val="center"/>
                </w:tcPr>
                <w:p w14:paraId="64C3931A">
                  <w:pPr>
                    <w:pStyle w:val="57"/>
                    <w:ind w:left="0" w:leftChars="0" w:right="0" w:rightChars="0" w:firstLine="0" w:firstLineChars="0"/>
                    <w:jc w:val="center"/>
                    <w:rPr>
                      <w:rFonts w:hint="default" w:eastAsia="宋体"/>
                      <w:u w:val="none" w:color="auto"/>
                      <w:lang w:val="en-US" w:eastAsia="zh-CN"/>
                    </w:rPr>
                  </w:pPr>
                  <w:r>
                    <w:rPr>
                      <w:rFonts w:hint="eastAsia"/>
                      <w:u w:val="none" w:color="auto"/>
                      <w:lang w:val="en-US" w:eastAsia="zh-CN"/>
                    </w:rPr>
                    <w:t>50</w:t>
                  </w:r>
                </w:p>
              </w:tc>
              <w:tc>
                <w:tcPr>
                  <w:tcW w:w="1170" w:type="pct"/>
                  <w:vAlign w:val="center"/>
                </w:tcPr>
                <w:p w14:paraId="3DEF4082">
                  <w:pPr>
                    <w:pStyle w:val="57"/>
                    <w:ind w:left="0" w:leftChars="0" w:right="0" w:rightChars="0" w:firstLine="0" w:firstLineChars="0"/>
                    <w:jc w:val="center"/>
                    <w:rPr>
                      <w:u w:val="none" w:color="auto"/>
                    </w:rPr>
                  </w:pPr>
                  <w:r>
                    <w:rPr>
                      <w:rFonts w:hint="eastAsia"/>
                      <w:u w:val="none" w:color="auto"/>
                    </w:rPr>
                    <w:t>锅炉燃料</w:t>
                  </w:r>
                </w:p>
              </w:tc>
            </w:tr>
            <w:tr w14:paraId="6EA4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07" w:type="pct"/>
                  <w:shd w:val="clear" w:color="auto" w:fill="auto"/>
                  <w:vAlign w:val="center"/>
                </w:tcPr>
                <w:p w14:paraId="32F345A3">
                  <w:pPr>
                    <w:pStyle w:val="57"/>
                    <w:ind w:left="0" w:leftChars="0" w:right="0" w:rightChars="0" w:firstLine="0" w:firstLineChars="0"/>
                    <w:jc w:val="center"/>
                    <w:rPr>
                      <w:rFonts w:hint="eastAsia" w:ascii="Times New Roman" w:hAnsi="Times New Roman" w:eastAsia="宋体" w:cstheme="minorBidi"/>
                      <w:kern w:val="2"/>
                      <w:sz w:val="21"/>
                      <w:szCs w:val="32"/>
                      <w:u w:val="none" w:color="auto"/>
                      <w:lang w:val="en-US" w:eastAsia="zh-CN" w:bidi="ar-SA"/>
                    </w:rPr>
                  </w:pPr>
                  <w:r>
                    <w:rPr>
                      <w:rFonts w:hint="eastAsia"/>
                      <w:u w:val="none" w:color="auto"/>
                      <w:lang w:val="en-US" w:eastAsia="zh-CN"/>
                    </w:rPr>
                    <w:t>3</w:t>
                  </w:r>
                </w:p>
              </w:tc>
              <w:tc>
                <w:tcPr>
                  <w:tcW w:w="833" w:type="pct"/>
                  <w:vAlign w:val="center"/>
                </w:tcPr>
                <w:p w14:paraId="03A8F8DA">
                  <w:pPr>
                    <w:pStyle w:val="57"/>
                    <w:ind w:left="0" w:leftChars="0" w:right="0" w:rightChars="0" w:firstLine="0" w:firstLineChars="0"/>
                    <w:jc w:val="center"/>
                    <w:rPr>
                      <w:rFonts w:hint="eastAsia" w:eastAsia="宋体"/>
                      <w:u w:val="none" w:color="auto"/>
                      <w:lang w:val="en-US" w:eastAsia="zh-CN"/>
                    </w:rPr>
                  </w:pPr>
                  <w:r>
                    <w:rPr>
                      <w:rFonts w:hint="eastAsia"/>
                      <w:u w:val="none" w:color="auto"/>
                      <w:lang w:val="en-US" w:eastAsia="zh-CN"/>
                    </w:rPr>
                    <w:t>工业盐</w:t>
                  </w:r>
                </w:p>
              </w:tc>
              <w:tc>
                <w:tcPr>
                  <w:tcW w:w="783" w:type="pct"/>
                  <w:vAlign w:val="center"/>
                </w:tcPr>
                <w:p w14:paraId="00A1952A">
                  <w:pPr>
                    <w:pStyle w:val="57"/>
                    <w:ind w:left="0" w:leftChars="0" w:right="0" w:rightChars="0" w:firstLine="0" w:firstLineChars="0"/>
                    <w:jc w:val="center"/>
                    <w:rPr>
                      <w:rFonts w:hint="eastAsia"/>
                      <w:u w:val="none" w:color="auto"/>
                    </w:rPr>
                  </w:pPr>
                  <w:r>
                    <w:rPr>
                      <w:rFonts w:hint="eastAsia"/>
                      <w:u w:val="none" w:color="auto"/>
                    </w:rPr>
                    <w:t>t/a</w:t>
                  </w:r>
                </w:p>
              </w:tc>
              <w:tc>
                <w:tcPr>
                  <w:tcW w:w="884" w:type="pct"/>
                  <w:vAlign w:val="center"/>
                </w:tcPr>
                <w:p w14:paraId="1E08F427">
                  <w:pPr>
                    <w:pStyle w:val="57"/>
                    <w:ind w:left="0" w:leftChars="0" w:right="0" w:rightChars="0" w:firstLine="0" w:firstLineChars="0"/>
                    <w:jc w:val="center"/>
                    <w:rPr>
                      <w:rFonts w:hint="default"/>
                      <w:u w:val="none" w:color="auto"/>
                      <w:lang w:val="en-US" w:eastAsia="zh-CN"/>
                    </w:rPr>
                  </w:pPr>
                  <w:r>
                    <w:rPr>
                      <w:rFonts w:hint="eastAsia"/>
                      <w:u w:val="none" w:color="auto"/>
                      <w:lang w:val="en-US" w:eastAsia="zh-CN"/>
                    </w:rPr>
                    <w:t>0.15</w:t>
                  </w:r>
                </w:p>
              </w:tc>
              <w:tc>
                <w:tcPr>
                  <w:tcW w:w="920" w:type="pct"/>
                  <w:vAlign w:val="center"/>
                </w:tcPr>
                <w:p w14:paraId="24573669">
                  <w:pPr>
                    <w:pStyle w:val="57"/>
                    <w:ind w:left="0" w:leftChars="0" w:right="0" w:rightChars="0" w:firstLine="0" w:firstLineChars="0"/>
                    <w:jc w:val="center"/>
                    <w:rPr>
                      <w:rFonts w:hint="default"/>
                      <w:u w:val="none" w:color="auto"/>
                      <w:lang w:val="en-US" w:eastAsia="zh-CN"/>
                    </w:rPr>
                  </w:pPr>
                  <w:r>
                    <w:rPr>
                      <w:rFonts w:hint="eastAsia"/>
                      <w:u w:val="none" w:color="auto"/>
                      <w:lang w:val="en-US" w:eastAsia="zh-CN"/>
                    </w:rPr>
                    <w:t>0.15</w:t>
                  </w:r>
                </w:p>
              </w:tc>
              <w:tc>
                <w:tcPr>
                  <w:tcW w:w="1170" w:type="pct"/>
                  <w:vAlign w:val="center"/>
                </w:tcPr>
                <w:p w14:paraId="0653A3AB">
                  <w:pPr>
                    <w:pStyle w:val="57"/>
                    <w:ind w:left="0" w:leftChars="0" w:right="0" w:rightChars="0" w:firstLine="0" w:firstLineChars="0"/>
                    <w:jc w:val="center"/>
                    <w:rPr>
                      <w:rFonts w:hint="default" w:eastAsia="宋体"/>
                      <w:u w:val="none" w:color="auto"/>
                      <w:lang w:val="en-US" w:eastAsia="zh-CN"/>
                    </w:rPr>
                  </w:pPr>
                  <w:r>
                    <w:rPr>
                      <w:rFonts w:hint="eastAsia"/>
                      <w:u w:val="none" w:color="auto"/>
                      <w:lang w:val="en-US" w:eastAsia="zh-CN"/>
                    </w:rPr>
                    <w:t>用于软水装置反洗过程</w:t>
                  </w:r>
                </w:p>
              </w:tc>
            </w:tr>
            <w:tr w14:paraId="1BE38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07" w:type="pct"/>
                  <w:shd w:val="clear" w:color="auto" w:fill="auto"/>
                  <w:vAlign w:val="center"/>
                </w:tcPr>
                <w:p w14:paraId="1909AA74">
                  <w:pPr>
                    <w:pStyle w:val="57"/>
                    <w:ind w:left="0" w:leftChars="0" w:right="0" w:rightChars="0" w:firstLine="0" w:firstLineChars="0"/>
                    <w:jc w:val="center"/>
                    <w:rPr>
                      <w:rFonts w:hint="default"/>
                      <w:u w:val="none" w:color="auto"/>
                      <w:lang w:val="en-US" w:eastAsia="zh-CN"/>
                    </w:rPr>
                  </w:pPr>
                  <w:r>
                    <w:rPr>
                      <w:rFonts w:hint="eastAsia"/>
                      <w:u w:val="none" w:color="auto"/>
                      <w:lang w:val="en-US" w:eastAsia="zh-CN"/>
                    </w:rPr>
                    <w:t>4</w:t>
                  </w:r>
                </w:p>
              </w:tc>
              <w:tc>
                <w:tcPr>
                  <w:tcW w:w="833" w:type="pct"/>
                  <w:vAlign w:val="center"/>
                </w:tcPr>
                <w:p w14:paraId="7D3A1CFC">
                  <w:pPr>
                    <w:pStyle w:val="57"/>
                    <w:ind w:left="0" w:leftChars="0" w:right="0" w:rightChars="0" w:firstLine="0" w:firstLineChars="0"/>
                    <w:jc w:val="center"/>
                    <w:rPr>
                      <w:rFonts w:hint="default"/>
                      <w:u w:val="none" w:color="auto"/>
                      <w:lang w:val="en-US" w:eastAsia="zh-CN"/>
                    </w:rPr>
                  </w:pPr>
                  <w:r>
                    <w:rPr>
                      <w:rFonts w:hint="eastAsia"/>
                      <w:u w:val="none" w:color="auto"/>
                      <w:lang w:val="en-US" w:eastAsia="zh-CN"/>
                    </w:rPr>
                    <w:t>尿素</w:t>
                  </w:r>
                </w:p>
              </w:tc>
              <w:tc>
                <w:tcPr>
                  <w:tcW w:w="783" w:type="pct"/>
                  <w:vAlign w:val="center"/>
                </w:tcPr>
                <w:p w14:paraId="72520DD0">
                  <w:pPr>
                    <w:pStyle w:val="57"/>
                    <w:ind w:left="0" w:leftChars="0" w:right="0" w:rightChars="0" w:firstLine="0" w:firstLineChars="0"/>
                    <w:jc w:val="center"/>
                    <w:rPr>
                      <w:rFonts w:hint="eastAsia"/>
                      <w:u w:val="none" w:color="auto"/>
                    </w:rPr>
                  </w:pPr>
                  <w:r>
                    <w:rPr>
                      <w:rFonts w:hint="eastAsia"/>
                      <w:u w:val="none" w:color="auto"/>
                    </w:rPr>
                    <w:t>t/a</w:t>
                  </w:r>
                </w:p>
              </w:tc>
              <w:tc>
                <w:tcPr>
                  <w:tcW w:w="884" w:type="pct"/>
                  <w:vAlign w:val="center"/>
                </w:tcPr>
                <w:p w14:paraId="0F4D576A">
                  <w:pPr>
                    <w:pStyle w:val="57"/>
                    <w:ind w:left="0" w:leftChars="0" w:right="0" w:rightChars="0" w:firstLine="0" w:firstLineChars="0"/>
                    <w:jc w:val="center"/>
                    <w:rPr>
                      <w:rFonts w:hint="default"/>
                      <w:u w:val="none" w:color="auto"/>
                      <w:lang w:val="en-US" w:eastAsia="zh-CN"/>
                    </w:rPr>
                  </w:pPr>
                  <w:r>
                    <w:rPr>
                      <w:rFonts w:hint="eastAsia"/>
                      <w:u w:val="none" w:color="auto"/>
                      <w:lang w:val="en-US" w:eastAsia="zh-CN"/>
                    </w:rPr>
                    <w:t>0.024</w:t>
                  </w:r>
                </w:p>
              </w:tc>
              <w:tc>
                <w:tcPr>
                  <w:tcW w:w="920" w:type="pct"/>
                  <w:vAlign w:val="center"/>
                </w:tcPr>
                <w:p w14:paraId="54097115">
                  <w:pPr>
                    <w:pStyle w:val="57"/>
                    <w:ind w:left="0" w:leftChars="0" w:right="0" w:rightChars="0" w:firstLine="0" w:firstLineChars="0"/>
                    <w:jc w:val="center"/>
                    <w:rPr>
                      <w:rFonts w:hint="default"/>
                      <w:u w:val="none" w:color="auto"/>
                      <w:lang w:val="en-US" w:eastAsia="zh-CN"/>
                    </w:rPr>
                  </w:pPr>
                  <w:r>
                    <w:rPr>
                      <w:rFonts w:hint="eastAsia"/>
                      <w:u w:val="none" w:color="auto"/>
                      <w:lang w:val="en-US" w:eastAsia="zh-CN"/>
                    </w:rPr>
                    <w:t>0.024</w:t>
                  </w:r>
                </w:p>
              </w:tc>
              <w:tc>
                <w:tcPr>
                  <w:tcW w:w="1170" w:type="pct"/>
                  <w:vAlign w:val="center"/>
                </w:tcPr>
                <w:p w14:paraId="431FCAEC">
                  <w:pPr>
                    <w:pStyle w:val="57"/>
                    <w:ind w:left="0" w:leftChars="0" w:right="0" w:rightChars="0" w:firstLine="0" w:firstLineChars="0"/>
                    <w:jc w:val="center"/>
                    <w:rPr>
                      <w:rFonts w:hint="eastAsia"/>
                      <w:u w:val="none" w:color="auto"/>
                      <w:lang w:val="en-US" w:eastAsia="zh-CN"/>
                    </w:rPr>
                  </w:pPr>
                  <w:r>
                    <w:rPr>
                      <w:rFonts w:hint="eastAsia"/>
                      <w:szCs w:val="21"/>
                    </w:rPr>
                    <w:t>外购，脱硝剂</w:t>
                  </w:r>
                </w:p>
              </w:tc>
            </w:tr>
            <w:tr w14:paraId="1A94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622" w:type="dxa"/>
                  <w:shd w:val="clear" w:color="auto" w:fill="auto"/>
                  <w:vAlign w:val="center"/>
                </w:tcPr>
                <w:p w14:paraId="5903D7BD">
                  <w:pPr>
                    <w:pStyle w:val="57"/>
                    <w:ind w:left="0" w:leftChars="0" w:right="0" w:rightChars="0" w:firstLine="0" w:firstLineChars="0"/>
                    <w:jc w:val="center"/>
                    <w:rPr>
                      <w:rFonts w:hint="eastAsia" w:ascii="Times New Roman" w:hAnsi="Times New Roman" w:eastAsia="宋体" w:cstheme="minorBidi"/>
                      <w:kern w:val="2"/>
                      <w:sz w:val="21"/>
                      <w:szCs w:val="32"/>
                      <w:u w:val="none" w:color="auto"/>
                      <w:lang w:val="en-US" w:eastAsia="zh-CN" w:bidi="ar-SA"/>
                    </w:rPr>
                  </w:pPr>
                  <w:r>
                    <w:rPr>
                      <w:rFonts w:hint="eastAsia"/>
                      <w:u w:val="none" w:color="auto"/>
                      <w:lang w:val="en-US" w:eastAsia="zh-CN"/>
                    </w:rPr>
                    <w:t>5</w:t>
                  </w:r>
                </w:p>
              </w:tc>
              <w:tc>
                <w:tcPr>
                  <w:tcW w:w="833" w:type="pct"/>
                  <w:vAlign w:val="center"/>
                </w:tcPr>
                <w:p w14:paraId="6610E150">
                  <w:pPr>
                    <w:pStyle w:val="57"/>
                    <w:ind w:left="0" w:leftChars="0" w:right="0" w:rightChars="0" w:firstLine="0" w:firstLineChars="0"/>
                    <w:jc w:val="center"/>
                    <w:rPr>
                      <w:rFonts w:hint="default" w:eastAsia="宋体"/>
                      <w:u w:val="none" w:color="auto"/>
                      <w:lang w:val="en-US" w:eastAsia="zh-CN"/>
                    </w:rPr>
                  </w:pPr>
                  <w:r>
                    <w:rPr>
                      <w:rFonts w:hint="eastAsia"/>
                      <w:u w:val="none" w:color="auto"/>
                      <w:lang w:val="en-US" w:eastAsia="zh-CN"/>
                    </w:rPr>
                    <w:t>软水树脂、石英砂、活性炭、滤膜</w:t>
                  </w:r>
                </w:p>
              </w:tc>
              <w:tc>
                <w:tcPr>
                  <w:tcW w:w="783" w:type="pct"/>
                  <w:vAlign w:val="center"/>
                </w:tcPr>
                <w:p w14:paraId="25C5CB00">
                  <w:pPr>
                    <w:pStyle w:val="57"/>
                    <w:ind w:left="0" w:leftChars="0" w:right="0" w:rightChars="0" w:firstLine="0" w:firstLineChars="0"/>
                    <w:jc w:val="center"/>
                    <w:rPr>
                      <w:rFonts w:hint="eastAsia"/>
                      <w:u w:val="none" w:color="auto"/>
                    </w:rPr>
                  </w:pPr>
                  <w:r>
                    <w:rPr>
                      <w:rFonts w:hint="eastAsia"/>
                      <w:u w:val="none" w:color="auto"/>
                    </w:rPr>
                    <w:t>t/a</w:t>
                  </w:r>
                </w:p>
              </w:tc>
              <w:tc>
                <w:tcPr>
                  <w:tcW w:w="884" w:type="pct"/>
                  <w:vAlign w:val="center"/>
                </w:tcPr>
                <w:p w14:paraId="04685742">
                  <w:pPr>
                    <w:pStyle w:val="57"/>
                    <w:ind w:left="0" w:leftChars="0" w:right="0" w:rightChars="0" w:firstLine="0" w:firstLineChars="0"/>
                    <w:jc w:val="center"/>
                    <w:rPr>
                      <w:rFonts w:hint="default"/>
                      <w:u w:val="none" w:color="auto"/>
                      <w:lang w:val="en-US" w:eastAsia="zh-CN"/>
                    </w:rPr>
                  </w:pPr>
                  <w:r>
                    <w:rPr>
                      <w:rFonts w:hint="eastAsia"/>
                      <w:u w:val="none" w:color="auto"/>
                      <w:lang w:val="en-US" w:eastAsia="zh-CN"/>
                    </w:rPr>
                    <w:t>0.2</w:t>
                  </w:r>
                </w:p>
              </w:tc>
              <w:tc>
                <w:tcPr>
                  <w:tcW w:w="920" w:type="pct"/>
                  <w:vAlign w:val="center"/>
                </w:tcPr>
                <w:p w14:paraId="072A4B49">
                  <w:pPr>
                    <w:pStyle w:val="57"/>
                    <w:ind w:left="0" w:leftChars="0" w:right="0" w:rightChars="0" w:firstLine="0" w:firstLineChars="0"/>
                    <w:jc w:val="center"/>
                    <w:rPr>
                      <w:rFonts w:hint="default"/>
                      <w:u w:val="none" w:color="auto"/>
                      <w:lang w:val="en-US" w:eastAsia="zh-CN"/>
                    </w:rPr>
                  </w:pPr>
                  <w:r>
                    <w:rPr>
                      <w:rFonts w:hint="eastAsia"/>
                      <w:u w:val="none" w:color="auto"/>
                      <w:lang w:val="en-US" w:eastAsia="zh-CN"/>
                    </w:rPr>
                    <w:t>/</w:t>
                  </w:r>
                </w:p>
              </w:tc>
              <w:tc>
                <w:tcPr>
                  <w:tcW w:w="1170" w:type="pct"/>
                  <w:vAlign w:val="center"/>
                </w:tcPr>
                <w:p w14:paraId="72055C69">
                  <w:pPr>
                    <w:pStyle w:val="57"/>
                    <w:ind w:left="0" w:leftChars="0" w:right="0" w:rightChars="0" w:firstLine="0" w:firstLineChars="0"/>
                    <w:jc w:val="center"/>
                    <w:rPr>
                      <w:rFonts w:hint="default" w:eastAsia="宋体"/>
                      <w:u w:val="none" w:color="auto"/>
                      <w:lang w:val="en-US" w:eastAsia="zh-CN"/>
                    </w:rPr>
                  </w:pPr>
                  <w:r>
                    <w:rPr>
                      <w:rFonts w:hint="eastAsia"/>
                      <w:u w:val="none" w:color="auto"/>
                      <w:lang w:val="en-US" w:eastAsia="zh-CN"/>
                    </w:rPr>
                    <w:t>软水装置内，一年更换一次</w:t>
                  </w:r>
                </w:p>
              </w:tc>
            </w:tr>
            <w:tr w14:paraId="1FE8B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622" w:type="dxa"/>
                  <w:shd w:val="clear" w:color="auto" w:fill="auto"/>
                  <w:vAlign w:val="center"/>
                </w:tcPr>
                <w:p w14:paraId="15A754E1">
                  <w:pPr>
                    <w:pStyle w:val="57"/>
                    <w:ind w:left="0" w:leftChars="0" w:right="0" w:rightChars="0" w:firstLine="0" w:firstLineChars="0"/>
                    <w:jc w:val="center"/>
                    <w:rPr>
                      <w:rFonts w:hint="default" w:ascii="Times New Roman" w:hAnsi="Times New Roman" w:eastAsia="宋体" w:cstheme="minorBidi"/>
                      <w:kern w:val="2"/>
                      <w:sz w:val="21"/>
                      <w:szCs w:val="32"/>
                      <w:u w:val="none" w:color="auto"/>
                      <w:lang w:val="en-US" w:eastAsia="zh-CN" w:bidi="ar-SA"/>
                    </w:rPr>
                  </w:pPr>
                  <w:r>
                    <w:rPr>
                      <w:rFonts w:hint="eastAsia"/>
                      <w:u w:val="none" w:color="auto"/>
                      <w:lang w:val="en-US" w:eastAsia="zh-CN"/>
                    </w:rPr>
                    <w:t>6</w:t>
                  </w:r>
                </w:p>
              </w:tc>
              <w:tc>
                <w:tcPr>
                  <w:tcW w:w="833" w:type="pct"/>
                  <w:vAlign w:val="center"/>
                </w:tcPr>
                <w:p w14:paraId="1E1599EA">
                  <w:pPr>
                    <w:pStyle w:val="57"/>
                    <w:ind w:left="0" w:leftChars="0" w:right="0" w:rightChars="0" w:firstLine="0" w:firstLineChars="0"/>
                    <w:jc w:val="center"/>
                    <w:rPr>
                      <w:rFonts w:hint="default"/>
                      <w:u w:val="none" w:color="auto"/>
                      <w:lang w:val="en-US" w:eastAsia="zh-CN"/>
                    </w:rPr>
                  </w:pPr>
                  <w:r>
                    <w:rPr>
                      <w:rFonts w:hint="eastAsia"/>
                      <w:u w:val="none" w:color="auto"/>
                      <w:lang w:val="en-US" w:eastAsia="zh-CN"/>
                    </w:rPr>
                    <w:t>机油</w:t>
                  </w:r>
                </w:p>
              </w:tc>
              <w:tc>
                <w:tcPr>
                  <w:tcW w:w="783" w:type="pct"/>
                  <w:vAlign w:val="center"/>
                </w:tcPr>
                <w:p w14:paraId="163CCCBF">
                  <w:pPr>
                    <w:pStyle w:val="57"/>
                    <w:ind w:left="0" w:leftChars="0" w:right="0" w:rightChars="0" w:firstLine="0" w:firstLineChars="0"/>
                    <w:jc w:val="center"/>
                    <w:rPr>
                      <w:rFonts w:hint="eastAsia"/>
                      <w:u w:val="none" w:color="auto"/>
                    </w:rPr>
                  </w:pPr>
                  <w:r>
                    <w:rPr>
                      <w:rFonts w:hint="eastAsia"/>
                      <w:u w:val="none" w:color="auto"/>
                    </w:rPr>
                    <w:t>t/a</w:t>
                  </w:r>
                </w:p>
              </w:tc>
              <w:tc>
                <w:tcPr>
                  <w:tcW w:w="884" w:type="pct"/>
                  <w:vAlign w:val="center"/>
                </w:tcPr>
                <w:p w14:paraId="4B985F3B">
                  <w:pPr>
                    <w:pStyle w:val="57"/>
                    <w:ind w:left="0" w:leftChars="0" w:right="0" w:rightChars="0" w:firstLine="0" w:firstLineChars="0"/>
                    <w:jc w:val="center"/>
                    <w:rPr>
                      <w:rFonts w:hint="default"/>
                      <w:u w:val="none" w:color="auto"/>
                      <w:lang w:val="en-US" w:eastAsia="zh-CN"/>
                    </w:rPr>
                  </w:pPr>
                  <w:r>
                    <w:rPr>
                      <w:rFonts w:hint="eastAsia"/>
                      <w:u w:val="none" w:color="auto"/>
                      <w:lang w:val="en-US" w:eastAsia="zh-CN"/>
                    </w:rPr>
                    <w:t>0.1</w:t>
                  </w:r>
                </w:p>
              </w:tc>
              <w:tc>
                <w:tcPr>
                  <w:tcW w:w="920" w:type="pct"/>
                  <w:vAlign w:val="center"/>
                </w:tcPr>
                <w:p w14:paraId="6805806D">
                  <w:pPr>
                    <w:pStyle w:val="57"/>
                    <w:ind w:left="0" w:leftChars="0" w:right="0" w:rightChars="0" w:firstLine="0" w:firstLineChars="0"/>
                    <w:jc w:val="center"/>
                    <w:rPr>
                      <w:rFonts w:hint="default"/>
                      <w:u w:val="none" w:color="auto"/>
                      <w:lang w:val="en-US" w:eastAsia="zh-CN"/>
                    </w:rPr>
                  </w:pPr>
                  <w:r>
                    <w:rPr>
                      <w:rFonts w:hint="eastAsia"/>
                      <w:u w:val="none" w:color="auto"/>
                      <w:lang w:val="en-US" w:eastAsia="zh-CN"/>
                    </w:rPr>
                    <w:t>0.1</w:t>
                  </w:r>
                </w:p>
              </w:tc>
              <w:tc>
                <w:tcPr>
                  <w:tcW w:w="1170" w:type="pct"/>
                  <w:vAlign w:val="center"/>
                </w:tcPr>
                <w:p w14:paraId="1180E1F8">
                  <w:pPr>
                    <w:pStyle w:val="57"/>
                    <w:ind w:left="0" w:leftChars="0" w:right="0" w:rightChars="0" w:firstLine="0" w:firstLineChars="0"/>
                    <w:jc w:val="center"/>
                    <w:rPr>
                      <w:rFonts w:hint="default"/>
                      <w:u w:val="none" w:color="auto"/>
                      <w:lang w:val="en-US" w:eastAsia="zh-CN"/>
                    </w:rPr>
                  </w:pPr>
                  <w:r>
                    <w:rPr>
                      <w:rFonts w:hint="eastAsia"/>
                      <w:u w:val="none" w:color="auto"/>
                      <w:lang w:val="en-US" w:eastAsia="zh-CN"/>
                    </w:rPr>
                    <w:t>设备保养</w:t>
                  </w:r>
                </w:p>
              </w:tc>
            </w:tr>
            <w:tr w14:paraId="0E03E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622" w:type="dxa"/>
                  <w:shd w:val="clear" w:color="auto" w:fill="auto"/>
                  <w:vAlign w:val="center"/>
                </w:tcPr>
                <w:p w14:paraId="479946EC">
                  <w:pPr>
                    <w:pStyle w:val="57"/>
                    <w:ind w:left="0" w:leftChars="0" w:right="0" w:rightChars="0" w:firstLine="0" w:firstLineChars="0"/>
                    <w:jc w:val="center"/>
                    <w:rPr>
                      <w:rFonts w:hint="eastAsia" w:ascii="Times New Roman" w:hAnsi="Times New Roman" w:eastAsia="宋体" w:cstheme="minorBidi"/>
                      <w:kern w:val="2"/>
                      <w:sz w:val="21"/>
                      <w:szCs w:val="32"/>
                      <w:u w:val="none" w:color="auto"/>
                      <w:lang w:val="en-US" w:eastAsia="zh-CN" w:bidi="ar-SA"/>
                    </w:rPr>
                  </w:pPr>
                  <w:r>
                    <w:rPr>
                      <w:rFonts w:hint="eastAsia"/>
                      <w:u w:val="none" w:color="auto"/>
                      <w:lang w:val="en-US" w:eastAsia="zh-CN"/>
                    </w:rPr>
                    <w:t>7</w:t>
                  </w:r>
                </w:p>
              </w:tc>
              <w:tc>
                <w:tcPr>
                  <w:tcW w:w="833" w:type="pct"/>
                  <w:vAlign w:val="center"/>
                </w:tcPr>
                <w:p w14:paraId="5E42A9FE">
                  <w:pPr>
                    <w:pStyle w:val="57"/>
                    <w:ind w:left="0" w:leftChars="0" w:right="0" w:rightChars="0" w:firstLine="0" w:firstLineChars="0"/>
                    <w:jc w:val="center"/>
                    <w:rPr>
                      <w:u w:val="none" w:color="auto"/>
                    </w:rPr>
                  </w:pPr>
                  <w:r>
                    <w:rPr>
                      <w:rFonts w:hint="eastAsia"/>
                      <w:u w:val="none" w:color="auto"/>
                    </w:rPr>
                    <w:t>电</w:t>
                  </w:r>
                </w:p>
              </w:tc>
              <w:tc>
                <w:tcPr>
                  <w:tcW w:w="783" w:type="pct"/>
                  <w:vAlign w:val="center"/>
                </w:tcPr>
                <w:p w14:paraId="3E806272">
                  <w:pPr>
                    <w:pStyle w:val="57"/>
                    <w:ind w:left="0" w:leftChars="0" w:right="0" w:rightChars="0" w:firstLine="0" w:firstLineChars="0"/>
                    <w:jc w:val="center"/>
                    <w:rPr>
                      <w:u w:val="none" w:color="auto"/>
                    </w:rPr>
                  </w:pPr>
                  <w:r>
                    <w:rPr>
                      <w:rFonts w:hint="eastAsia"/>
                      <w:u w:val="none" w:color="auto"/>
                    </w:rPr>
                    <w:t>kwh/a</w:t>
                  </w:r>
                </w:p>
              </w:tc>
              <w:tc>
                <w:tcPr>
                  <w:tcW w:w="884" w:type="pct"/>
                  <w:vAlign w:val="center"/>
                </w:tcPr>
                <w:p w14:paraId="5E4D7BD7">
                  <w:pPr>
                    <w:pStyle w:val="57"/>
                    <w:ind w:left="0" w:leftChars="0" w:right="0" w:rightChars="0" w:firstLine="0" w:firstLineChars="0"/>
                    <w:jc w:val="center"/>
                    <w:rPr>
                      <w:rFonts w:hint="default" w:eastAsia="宋体"/>
                      <w:u w:val="none" w:color="auto"/>
                      <w:lang w:val="en-US" w:eastAsia="zh-CN"/>
                    </w:rPr>
                  </w:pPr>
                  <w:r>
                    <w:rPr>
                      <w:rFonts w:hint="eastAsia"/>
                      <w:u w:val="none" w:color="auto"/>
                      <w:lang w:val="en-US" w:eastAsia="zh-CN"/>
                    </w:rPr>
                    <w:t>20万</w:t>
                  </w:r>
                </w:p>
              </w:tc>
              <w:tc>
                <w:tcPr>
                  <w:tcW w:w="920" w:type="pct"/>
                  <w:vAlign w:val="center"/>
                </w:tcPr>
                <w:p w14:paraId="304D437B">
                  <w:pPr>
                    <w:pStyle w:val="57"/>
                    <w:ind w:left="0" w:leftChars="0" w:right="0" w:rightChars="0" w:firstLine="0" w:firstLineChars="0"/>
                    <w:jc w:val="center"/>
                    <w:rPr>
                      <w:rFonts w:hint="eastAsia" w:eastAsia="宋体"/>
                      <w:u w:val="none" w:color="auto"/>
                      <w:lang w:val="en-US" w:eastAsia="zh-CN"/>
                    </w:rPr>
                  </w:pPr>
                  <w:r>
                    <w:rPr>
                      <w:rFonts w:hint="eastAsia"/>
                      <w:u w:val="none" w:color="auto"/>
                      <w:lang w:val="en-US" w:eastAsia="zh-CN"/>
                    </w:rPr>
                    <w:t>/</w:t>
                  </w:r>
                </w:p>
              </w:tc>
              <w:tc>
                <w:tcPr>
                  <w:tcW w:w="1170" w:type="pct"/>
                  <w:vAlign w:val="center"/>
                </w:tcPr>
                <w:p w14:paraId="1F229D94">
                  <w:pPr>
                    <w:pStyle w:val="57"/>
                    <w:ind w:left="0" w:leftChars="0" w:right="0" w:rightChars="0" w:firstLine="0" w:firstLineChars="0"/>
                    <w:jc w:val="center"/>
                    <w:rPr>
                      <w:rFonts w:hint="default" w:eastAsia="宋体"/>
                      <w:u w:val="none" w:color="auto"/>
                      <w:lang w:val="en-US" w:eastAsia="zh-CN"/>
                    </w:rPr>
                  </w:pPr>
                  <w:r>
                    <w:rPr>
                      <w:rFonts w:hint="eastAsia"/>
                      <w:u w:val="none" w:color="auto"/>
                      <w:lang w:val="en-US" w:eastAsia="zh-CN"/>
                    </w:rPr>
                    <w:t>当地电网</w:t>
                  </w:r>
                </w:p>
              </w:tc>
            </w:tr>
            <w:tr w14:paraId="284D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07" w:type="pct"/>
                  <w:vAlign w:val="center"/>
                </w:tcPr>
                <w:p w14:paraId="479CF9ED">
                  <w:pPr>
                    <w:pStyle w:val="57"/>
                    <w:ind w:left="0" w:leftChars="0" w:right="0" w:rightChars="0" w:firstLine="0" w:firstLineChars="0"/>
                    <w:jc w:val="center"/>
                    <w:rPr>
                      <w:rFonts w:hint="default" w:eastAsia="宋体"/>
                      <w:u w:val="none" w:color="auto"/>
                      <w:lang w:val="en-US" w:eastAsia="zh-CN"/>
                    </w:rPr>
                  </w:pPr>
                  <w:r>
                    <w:rPr>
                      <w:rFonts w:hint="eastAsia"/>
                      <w:u w:val="none" w:color="auto"/>
                      <w:lang w:val="en-US" w:eastAsia="zh-CN"/>
                    </w:rPr>
                    <w:t>8</w:t>
                  </w:r>
                </w:p>
              </w:tc>
              <w:tc>
                <w:tcPr>
                  <w:tcW w:w="833" w:type="pct"/>
                  <w:vAlign w:val="center"/>
                </w:tcPr>
                <w:p w14:paraId="6C2CE3F1">
                  <w:pPr>
                    <w:pStyle w:val="57"/>
                    <w:ind w:left="0" w:leftChars="0" w:right="0" w:rightChars="0" w:firstLine="0" w:firstLineChars="0"/>
                    <w:jc w:val="center"/>
                    <w:rPr>
                      <w:u w:val="none" w:color="auto"/>
                    </w:rPr>
                  </w:pPr>
                  <w:r>
                    <w:rPr>
                      <w:rFonts w:hint="eastAsia"/>
                      <w:u w:val="none" w:color="auto"/>
                      <w:lang w:val="en-US" w:eastAsia="zh-CN"/>
                    </w:rPr>
                    <w:t>新鲜</w:t>
                  </w:r>
                  <w:r>
                    <w:rPr>
                      <w:rFonts w:hint="eastAsia"/>
                      <w:u w:val="none" w:color="auto"/>
                    </w:rPr>
                    <w:t>水</w:t>
                  </w:r>
                </w:p>
              </w:tc>
              <w:tc>
                <w:tcPr>
                  <w:tcW w:w="783" w:type="pct"/>
                  <w:vAlign w:val="center"/>
                </w:tcPr>
                <w:p w14:paraId="11319581">
                  <w:pPr>
                    <w:pStyle w:val="57"/>
                    <w:ind w:left="0" w:leftChars="0" w:right="0" w:rightChars="0" w:firstLine="0" w:firstLineChars="0"/>
                    <w:jc w:val="center"/>
                    <w:rPr>
                      <w:u w:val="none" w:color="auto"/>
                    </w:rPr>
                  </w:pPr>
                  <w:r>
                    <w:rPr>
                      <w:rFonts w:hint="eastAsia"/>
                      <w:u w:val="none" w:color="auto"/>
                    </w:rPr>
                    <w:t>m</w:t>
                  </w:r>
                  <w:r>
                    <w:rPr>
                      <w:rFonts w:hint="eastAsia"/>
                      <w:u w:val="none" w:color="auto"/>
                      <w:vertAlign w:val="superscript"/>
                    </w:rPr>
                    <w:t>3</w:t>
                  </w:r>
                  <w:r>
                    <w:rPr>
                      <w:rFonts w:hint="eastAsia"/>
                      <w:u w:val="none" w:color="auto"/>
                    </w:rPr>
                    <w:t>/a</w:t>
                  </w:r>
                </w:p>
              </w:tc>
              <w:tc>
                <w:tcPr>
                  <w:tcW w:w="884" w:type="pct"/>
                  <w:vAlign w:val="center"/>
                </w:tcPr>
                <w:p w14:paraId="36414091">
                  <w:pPr>
                    <w:pStyle w:val="57"/>
                    <w:ind w:left="0" w:leftChars="0" w:right="0" w:rightChars="0" w:firstLine="0" w:firstLineChars="0"/>
                    <w:jc w:val="center"/>
                    <w:rPr>
                      <w:rFonts w:hint="default" w:eastAsia="宋体"/>
                      <w:u w:val="none" w:color="auto"/>
                      <w:lang w:val="en-US" w:eastAsia="zh-CN"/>
                    </w:rPr>
                  </w:pPr>
                  <w:r>
                    <w:rPr>
                      <w:rFonts w:hint="eastAsia"/>
                      <w:u w:val="none" w:color="auto"/>
                      <w:lang w:val="en-US" w:eastAsia="zh-CN"/>
                    </w:rPr>
                    <w:t>1132.672</w:t>
                  </w:r>
                </w:p>
              </w:tc>
              <w:tc>
                <w:tcPr>
                  <w:tcW w:w="920" w:type="pct"/>
                  <w:vAlign w:val="center"/>
                </w:tcPr>
                <w:p w14:paraId="1EB0774A">
                  <w:pPr>
                    <w:pStyle w:val="57"/>
                    <w:ind w:left="0" w:leftChars="0" w:right="0" w:rightChars="0" w:firstLine="0" w:firstLineChars="0"/>
                    <w:jc w:val="center"/>
                    <w:rPr>
                      <w:rFonts w:hint="eastAsia" w:eastAsia="宋体"/>
                      <w:u w:val="none" w:color="auto"/>
                      <w:lang w:val="en-US" w:eastAsia="zh-CN"/>
                    </w:rPr>
                  </w:pPr>
                  <w:r>
                    <w:rPr>
                      <w:rFonts w:hint="eastAsia"/>
                      <w:u w:val="none" w:color="auto"/>
                      <w:lang w:val="en-US" w:eastAsia="zh-CN"/>
                    </w:rPr>
                    <w:t>/</w:t>
                  </w:r>
                </w:p>
              </w:tc>
              <w:tc>
                <w:tcPr>
                  <w:tcW w:w="1170" w:type="pct"/>
                  <w:vAlign w:val="center"/>
                </w:tcPr>
                <w:p w14:paraId="72DD2128">
                  <w:pPr>
                    <w:pStyle w:val="57"/>
                    <w:ind w:left="0" w:leftChars="0" w:right="0" w:rightChars="0" w:firstLine="0" w:firstLineChars="0"/>
                    <w:jc w:val="center"/>
                    <w:rPr>
                      <w:rFonts w:hint="default" w:eastAsia="宋体"/>
                      <w:u w:val="none" w:color="auto"/>
                      <w:lang w:val="en-US" w:eastAsia="zh-CN"/>
                    </w:rPr>
                  </w:pPr>
                  <w:r>
                    <w:rPr>
                      <w:rFonts w:hint="eastAsia"/>
                      <w:u w:val="none" w:color="auto"/>
                      <w:lang w:val="en-US" w:eastAsia="zh-CN"/>
                    </w:rPr>
                    <w:t>自来水管网供给</w:t>
                  </w:r>
                </w:p>
              </w:tc>
            </w:tr>
          </w:tbl>
          <w:p w14:paraId="01FEE6FD">
            <w:pPr>
              <w:spacing w:line="360" w:lineRule="auto"/>
              <w:ind w:firstLine="480" w:firstLineChars="200"/>
              <w:rPr>
                <w:rFonts w:hint="eastAsia" w:ascii="Times New Roman" w:hAnsi="Times New Roman" w:eastAsia="宋体" w:cs="Times New Roman"/>
                <w:kern w:val="2"/>
                <w:sz w:val="24"/>
                <w:szCs w:val="24"/>
                <w:u w:val="none" w:color="auto"/>
                <w:lang w:val="en-US" w:eastAsia="zh-CN" w:bidi="ar-SA"/>
              </w:rPr>
            </w:pPr>
            <w:r>
              <w:rPr>
                <w:rFonts w:hint="eastAsia" w:ascii="Times New Roman" w:hAnsi="Times New Roman" w:eastAsia="宋体" w:cs="Times New Roman"/>
                <w:kern w:val="2"/>
                <w:sz w:val="24"/>
                <w:szCs w:val="24"/>
                <w:u w:val="none" w:color="auto"/>
                <w:lang w:val="en-US" w:eastAsia="zh-CN" w:bidi="ar-SA"/>
              </w:rPr>
              <w:t>项目原料主要为燃生物质锅炉使用的成型生物质颗粒。根据燃料供应商益阳海博环保生物能源科技有限公司提供的成份监测报告（见附件7）资料，成型生物质颗粒成分见下表：</w:t>
            </w:r>
          </w:p>
          <w:p w14:paraId="2F5249DD">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b/>
                <w:kern w:val="2"/>
                <w:sz w:val="21"/>
                <w:szCs w:val="21"/>
                <w:u w:val="none" w:color="auto"/>
                <w:lang w:val="en-US" w:eastAsia="zh-CN" w:bidi="ar-SA"/>
              </w:rPr>
            </w:pPr>
            <w:r>
              <w:rPr>
                <w:rFonts w:hint="eastAsia" w:ascii="Times New Roman" w:hAnsi="Times New Roman" w:eastAsia="宋体" w:cs="Times New Roman"/>
                <w:b/>
                <w:kern w:val="2"/>
                <w:sz w:val="21"/>
                <w:szCs w:val="21"/>
                <w:u w:val="none" w:color="auto"/>
                <w:lang w:val="en-US" w:eastAsia="zh-CN" w:bidi="ar-SA"/>
              </w:rPr>
              <w:t>表2-5  生物质燃料成分分析</w:t>
            </w:r>
          </w:p>
          <w:tbl>
            <w:tblPr>
              <w:tblStyle w:val="28"/>
              <w:tblW w:w="7796" w:type="dxa"/>
              <w:tblInd w:w="-5"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3271"/>
              <w:gridCol w:w="4525"/>
            </w:tblGrid>
            <w:tr w14:paraId="309BB2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83" w:hRule="atLeast"/>
              </w:trPr>
              <w:tc>
                <w:tcPr>
                  <w:tcW w:w="3271" w:type="dxa"/>
                  <w:tcBorders>
                    <w:tl2br w:val="nil"/>
                    <w:tr2bl w:val="nil"/>
                  </w:tcBorders>
                  <w:vAlign w:val="center"/>
                </w:tcPr>
                <w:p w14:paraId="2AE2CBA6">
                  <w:pPr>
                    <w:pStyle w:val="57"/>
                    <w:ind w:left="0" w:leftChars="0" w:right="0" w:rightChars="0" w:firstLine="0" w:firstLineChars="0"/>
                    <w:jc w:val="center"/>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元素</w:t>
                  </w:r>
                </w:p>
              </w:tc>
              <w:tc>
                <w:tcPr>
                  <w:tcW w:w="4525" w:type="dxa"/>
                  <w:tcBorders>
                    <w:tl2br w:val="nil"/>
                    <w:tr2bl w:val="nil"/>
                  </w:tcBorders>
                  <w:vAlign w:val="center"/>
                </w:tcPr>
                <w:p w14:paraId="7B8ADBFA">
                  <w:pPr>
                    <w:pStyle w:val="57"/>
                    <w:ind w:left="0" w:leftChars="0" w:right="0" w:rightChars="0" w:firstLine="0" w:firstLineChars="0"/>
                    <w:jc w:val="center"/>
                    <w:rPr>
                      <w:rFonts w:hint="default" w:ascii="Times New Roman" w:hAnsi="Times New Roman" w:eastAsia="宋体"/>
                      <w:u w:val="none" w:color="auto"/>
                      <w:lang w:val="en-US" w:eastAsia="zh-CN"/>
                    </w:rPr>
                  </w:pPr>
                  <w:r>
                    <w:rPr>
                      <w:rFonts w:hint="eastAsia"/>
                      <w:u w:val="none" w:color="auto"/>
                      <w:lang w:val="en-US" w:eastAsia="zh-CN"/>
                    </w:rPr>
                    <w:t>燃料成分</w:t>
                  </w:r>
                  <w:r>
                    <w:rPr>
                      <w:rFonts w:hint="eastAsia" w:ascii="Times New Roman" w:hAnsi="Times New Roman" w:eastAsia="宋体"/>
                      <w:u w:val="none" w:color="auto"/>
                      <w:lang w:val="en-US" w:eastAsia="zh-CN"/>
                    </w:rPr>
                    <w:t>（%）</w:t>
                  </w:r>
                </w:p>
              </w:tc>
            </w:tr>
            <w:tr w14:paraId="6B85A4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3" w:hRule="atLeast"/>
              </w:trPr>
              <w:tc>
                <w:tcPr>
                  <w:tcW w:w="3271" w:type="dxa"/>
                  <w:tcBorders>
                    <w:tl2br w:val="nil"/>
                    <w:tr2bl w:val="nil"/>
                  </w:tcBorders>
                  <w:vAlign w:val="center"/>
                </w:tcPr>
                <w:p w14:paraId="79D5CE46">
                  <w:pPr>
                    <w:adjustRightInd w:val="0"/>
                    <w:snapToGrid w:val="0"/>
                    <w:ind w:left="0" w:leftChars="0" w:right="0" w:rightChars="0" w:firstLine="0" w:firstLineChars="0"/>
                    <w:jc w:val="center"/>
                    <w:rPr>
                      <w:rFonts w:hint="default" w:ascii="Times New Roman" w:hAnsi="Times New Roman" w:eastAsia="宋体"/>
                      <w:u w:val="none" w:color="auto"/>
                      <w:lang w:val="en-US" w:eastAsia="zh-CN"/>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全水分</w:t>
                  </w:r>
                </w:p>
              </w:tc>
              <w:tc>
                <w:tcPr>
                  <w:tcW w:w="4525" w:type="dxa"/>
                  <w:tcBorders>
                    <w:tl2br w:val="nil"/>
                    <w:tr2bl w:val="nil"/>
                  </w:tcBorders>
                  <w:vAlign w:val="center"/>
                </w:tcPr>
                <w:p w14:paraId="676418F3">
                  <w:pPr>
                    <w:adjustRightInd w:val="0"/>
                    <w:snapToGrid w:val="0"/>
                    <w:ind w:left="0" w:leftChars="0" w:right="0" w:rightChars="0" w:firstLine="0" w:firstLineChars="0"/>
                    <w:jc w:val="center"/>
                    <w:rPr>
                      <w:rFonts w:hint="default" w:ascii="Times New Roman" w:hAnsi="Times New Roman" w:eastAsia="宋体"/>
                      <w:u w:val="none" w:color="auto"/>
                      <w:lang w:val="en-US" w:eastAsia="zh-CN"/>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8.6</w:t>
                  </w:r>
                </w:p>
              </w:tc>
            </w:tr>
            <w:tr w14:paraId="64B3CC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3" w:hRule="atLeast"/>
              </w:trPr>
              <w:tc>
                <w:tcPr>
                  <w:tcW w:w="3271" w:type="dxa"/>
                  <w:tcBorders>
                    <w:tl2br w:val="nil"/>
                    <w:tr2bl w:val="nil"/>
                  </w:tcBorders>
                  <w:vAlign w:val="center"/>
                </w:tcPr>
                <w:p w14:paraId="3C2E031C">
                  <w:pPr>
                    <w:adjustRightInd w:val="0"/>
                    <w:snapToGrid w:val="0"/>
                    <w:ind w:left="0" w:leftChars="0" w:right="0" w:rightChars="0" w:firstLine="0" w:firstLineChars="0"/>
                    <w:jc w:val="center"/>
                    <w:rPr>
                      <w:rFonts w:hint="default" w:ascii="Times New Roman" w:hAnsi="Times New Roman" w:eastAsia="宋体"/>
                      <w:u w:val="none" w:color="auto"/>
                      <w:lang w:val="en-US" w:eastAsia="zh-CN"/>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水分</w:t>
                  </w:r>
                </w:p>
              </w:tc>
              <w:tc>
                <w:tcPr>
                  <w:tcW w:w="4525" w:type="dxa"/>
                  <w:tcBorders>
                    <w:tl2br w:val="nil"/>
                    <w:tr2bl w:val="nil"/>
                  </w:tcBorders>
                  <w:vAlign w:val="center"/>
                </w:tcPr>
                <w:p w14:paraId="70A063B5">
                  <w:pPr>
                    <w:adjustRightInd w:val="0"/>
                    <w:snapToGrid w:val="0"/>
                    <w:ind w:left="0" w:leftChars="0" w:right="0" w:rightChars="0" w:firstLine="0" w:firstLineChars="0"/>
                    <w:jc w:val="center"/>
                    <w:rPr>
                      <w:rFonts w:hint="default" w:ascii="Times New Roman" w:hAnsi="Times New Roman" w:eastAsia="宋体"/>
                      <w:u w:val="none" w:color="auto"/>
                      <w:lang w:val="en-US" w:eastAsia="zh-CN"/>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5.69</w:t>
                  </w:r>
                </w:p>
              </w:tc>
            </w:tr>
            <w:tr w14:paraId="4CD38F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3" w:hRule="atLeast"/>
              </w:trPr>
              <w:tc>
                <w:tcPr>
                  <w:tcW w:w="3271" w:type="dxa"/>
                  <w:tcBorders>
                    <w:tl2br w:val="nil"/>
                    <w:tr2bl w:val="nil"/>
                  </w:tcBorders>
                  <w:vAlign w:val="center"/>
                </w:tcPr>
                <w:p w14:paraId="73AA11BB">
                  <w:pPr>
                    <w:adjustRightInd w:val="0"/>
                    <w:snapToGrid w:val="0"/>
                    <w:ind w:left="0" w:leftChars="0" w:right="0" w:rightChars="0" w:firstLine="0" w:firstLineChars="0"/>
                    <w:jc w:val="center"/>
                    <w:rPr>
                      <w:rFonts w:hint="default" w:ascii="Times New Roman" w:hAnsi="Times New Roman" w:eastAsia="宋体"/>
                      <w:u w:val="none" w:color="auto"/>
                      <w:lang w:val="en-US" w:eastAsia="zh-CN"/>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灰分</w:t>
                  </w:r>
                </w:p>
              </w:tc>
              <w:tc>
                <w:tcPr>
                  <w:tcW w:w="4525" w:type="dxa"/>
                  <w:tcBorders>
                    <w:tl2br w:val="nil"/>
                    <w:tr2bl w:val="nil"/>
                  </w:tcBorders>
                  <w:vAlign w:val="center"/>
                </w:tcPr>
                <w:p w14:paraId="725A9029">
                  <w:pPr>
                    <w:adjustRightInd w:val="0"/>
                    <w:snapToGrid w:val="0"/>
                    <w:ind w:left="0" w:leftChars="0" w:right="0" w:rightChars="0" w:firstLine="0" w:firstLineChars="0"/>
                    <w:jc w:val="center"/>
                    <w:rPr>
                      <w:rFonts w:hint="default" w:ascii="Times New Roman" w:hAnsi="Times New Roman" w:eastAsia="宋体"/>
                      <w:u w:val="none" w:color="auto"/>
                      <w:lang w:val="en-US" w:eastAsia="zh-CN"/>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0.32</w:t>
                  </w:r>
                </w:p>
              </w:tc>
            </w:tr>
            <w:tr w14:paraId="11F045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3" w:hRule="atLeast"/>
              </w:trPr>
              <w:tc>
                <w:tcPr>
                  <w:tcW w:w="3271" w:type="dxa"/>
                  <w:tcBorders>
                    <w:tl2br w:val="nil"/>
                    <w:tr2bl w:val="nil"/>
                  </w:tcBorders>
                  <w:vAlign w:val="center"/>
                </w:tcPr>
                <w:p w14:paraId="00808B0E">
                  <w:pPr>
                    <w:adjustRightInd w:val="0"/>
                    <w:snapToGrid w:val="0"/>
                    <w:ind w:left="0" w:leftChars="0" w:right="0" w:rightChars="0" w:firstLine="0" w:firstLineChars="0"/>
                    <w:jc w:val="center"/>
                    <w:rPr>
                      <w:rFonts w:hint="default" w:ascii="Times New Roman" w:hAnsi="Times New Roman" w:eastAsia="宋体"/>
                      <w:u w:val="none" w:color="auto"/>
                      <w:lang w:val="en-US" w:eastAsia="zh-CN"/>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挥发份</w:t>
                  </w:r>
                </w:p>
              </w:tc>
              <w:tc>
                <w:tcPr>
                  <w:tcW w:w="4525" w:type="dxa"/>
                  <w:tcBorders>
                    <w:tl2br w:val="nil"/>
                    <w:tr2bl w:val="nil"/>
                  </w:tcBorders>
                  <w:vAlign w:val="center"/>
                </w:tcPr>
                <w:p w14:paraId="1DBAE4C1">
                  <w:pPr>
                    <w:adjustRightInd w:val="0"/>
                    <w:snapToGrid w:val="0"/>
                    <w:ind w:left="0" w:leftChars="0" w:right="0" w:rightChars="0" w:firstLine="0" w:firstLineChars="0"/>
                    <w:jc w:val="center"/>
                    <w:rPr>
                      <w:rFonts w:hint="default" w:ascii="Times New Roman" w:hAnsi="Times New Roman" w:eastAsia="宋体"/>
                      <w:u w:val="none" w:color="auto"/>
                      <w:lang w:val="en-US" w:eastAsia="zh-CN"/>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76.27</w:t>
                  </w:r>
                </w:p>
              </w:tc>
            </w:tr>
            <w:tr w14:paraId="17B021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3" w:hRule="atLeast"/>
              </w:trPr>
              <w:tc>
                <w:tcPr>
                  <w:tcW w:w="3271" w:type="dxa"/>
                  <w:tcBorders>
                    <w:tl2br w:val="nil"/>
                    <w:tr2bl w:val="nil"/>
                  </w:tcBorders>
                  <w:vAlign w:val="center"/>
                </w:tcPr>
                <w:p w14:paraId="0652F3E2">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全硫质量分数</w:t>
                  </w:r>
                </w:p>
              </w:tc>
              <w:tc>
                <w:tcPr>
                  <w:tcW w:w="4525" w:type="dxa"/>
                  <w:tcBorders>
                    <w:tl2br w:val="nil"/>
                    <w:tr2bl w:val="nil"/>
                  </w:tcBorders>
                  <w:vAlign w:val="center"/>
                </w:tcPr>
                <w:p w14:paraId="02CF148D">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0.05</w:t>
                  </w:r>
                </w:p>
              </w:tc>
            </w:tr>
            <w:tr w14:paraId="4F70E4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3" w:hRule="atLeast"/>
              </w:trPr>
              <w:tc>
                <w:tcPr>
                  <w:tcW w:w="3271" w:type="dxa"/>
                  <w:tcBorders>
                    <w:tl2br w:val="nil"/>
                    <w:tr2bl w:val="nil"/>
                  </w:tcBorders>
                  <w:vAlign w:val="center"/>
                </w:tcPr>
                <w:p w14:paraId="14B82877">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氢含量</w:t>
                  </w:r>
                </w:p>
              </w:tc>
              <w:tc>
                <w:tcPr>
                  <w:tcW w:w="4525" w:type="dxa"/>
                  <w:tcBorders>
                    <w:tl2br w:val="nil"/>
                    <w:tr2bl w:val="nil"/>
                  </w:tcBorders>
                  <w:vAlign w:val="center"/>
                </w:tcPr>
                <w:p w14:paraId="64E840D3">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4.35</w:t>
                  </w:r>
                </w:p>
              </w:tc>
            </w:tr>
            <w:tr w14:paraId="19F46C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3" w:hRule="atLeast"/>
              </w:trPr>
              <w:tc>
                <w:tcPr>
                  <w:tcW w:w="3271" w:type="dxa"/>
                  <w:tcBorders>
                    <w:tl2br w:val="nil"/>
                    <w:tr2bl w:val="nil"/>
                  </w:tcBorders>
                  <w:vAlign w:val="center"/>
                </w:tcPr>
                <w:p w14:paraId="52B324DB">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弹热值</w:t>
                  </w:r>
                </w:p>
              </w:tc>
              <w:tc>
                <w:tcPr>
                  <w:tcW w:w="4525" w:type="dxa"/>
                  <w:tcBorders>
                    <w:tl2br w:val="nil"/>
                    <w:tr2bl w:val="nil"/>
                  </w:tcBorders>
                  <w:vAlign w:val="center"/>
                </w:tcPr>
                <w:p w14:paraId="3DC81CA7">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18610J/g，即4448kcal/kg</w:t>
                  </w:r>
                </w:p>
              </w:tc>
            </w:tr>
          </w:tbl>
          <w:p w14:paraId="75EBB613">
            <w:pPr>
              <w:pStyle w:val="35"/>
              <w:ind w:firstLine="480"/>
              <w:rPr>
                <w:rFonts w:hint="default" w:ascii="Times New Roman" w:hAnsi="Times New Roman" w:eastAsia="宋体" w:cs="Times New Roman"/>
                <w:u w:val="none" w:color="auto"/>
                <w:lang w:val="en-US" w:eastAsia="zh-CN"/>
              </w:rPr>
            </w:pPr>
            <w:r>
              <w:rPr>
                <w:rFonts w:hint="eastAsia"/>
                <w:lang w:val="en-US" w:eastAsia="zh-CN"/>
              </w:rPr>
              <w:t>根据</w:t>
            </w:r>
            <w:r>
              <w:rPr>
                <w:rFonts w:ascii="宋体" w:hAnsi="宋体" w:eastAsia="宋体" w:cs="宋体"/>
                <w:sz w:val="24"/>
                <w:szCs w:val="24"/>
              </w:rPr>
              <w:t>《固体生物</w:t>
            </w:r>
            <w:r>
              <w:rPr>
                <w:rFonts w:hint="default" w:ascii="Times New Roman" w:hAnsi="Times New Roman" w:eastAsia="宋体" w:cs="Times New Roman"/>
                <w:sz w:val="24"/>
                <w:szCs w:val="24"/>
              </w:rPr>
              <w:t>质燃料发热量测定方法》</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GB/T 30727-2014</w:t>
            </w:r>
            <w:r>
              <w:rPr>
                <w:rFonts w:hint="default"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低位发热量的计算：</w:t>
            </w:r>
          </w:p>
          <w:p w14:paraId="69709D51">
            <w:pPr>
              <w:pStyle w:val="35"/>
              <w:ind w:left="0" w:leftChars="0" w:right="0" w:rightChars="0" w:firstLine="0" w:firstLineChars="0"/>
              <w:jc w:val="center"/>
              <w:rPr>
                <w:rFonts w:hint="eastAsia" w:ascii="Times New Roman" w:hAnsi="Times New Roman" w:eastAsia="宋体" w:cs="Times New Roman"/>
                <w:u w:val="none" w:color="auto"/>
              </w:rPr>
            </w:pPr>
            <w:r>
              <w:drawing>
                <wp:inline distT="0" distB="0" distL="114300" distR="114300">
                  <wp:extent cx="4255770" cy="545465"/>
                  <wp:effectExtent l="0" t="0" r="11430" b="698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5"/>
                          <a:stretch>
                            <a:fillRect/>
                          </a:stretch>
                        </pic:blipFill>
                        <pic:spPr>
                          <a:xfrm>
                            <a:off x="0" y="0"/>
                            <a:ext cx="4255770" cy="545465"/>
                          </a:xfrm>
                          <a:prstGeom prst="rect">
                            <a:avLst/>
                          </a:prstGeom>
                          <a:noFill/>
                          <a:ln>
                            <a:noFill/>
                          </a:ln>
                        </pic:spPr>
                      </pic:pic>
                    </a:graphicData>
                  </a:graphic>
                </wp:inline>
              </w:drawing>
            </w:r>
          </w:p>
          <w:p w14:paraId="1F651464">
            <w:pPr>
              <w:pStyle w:val="35"/>
              <w:ind w:firstLine="480"/>
              <w:rPr>
                <w:rFonts w:hint="eastAsia" w:cs="Times New Roman"/>
                <w:u w:val="none" w:color="auto"/>
                <w:lang w:val="en-US" w:eastAsia="zh-CN"/>
              </w:rPr>
            </w:pPr>
            <w:r>
              <w:rPr>
                <w:rFonts w:hint="eastAsia" w:cs="Times New Roman"/>
                <w:u w:val="none" w:color="auto"/>
                <w:lang w:val="en-US" w:eastAsia="zh-CN"/>
              </w:rPr>
              <w:t>式中：</w:t>
            </w:r>
          </w:p>
          <w:p w14:paraId="0DBA30D3">
            <w:pPr>
              <w:pStyle w:val="35"/>
              <w:ind w:firstLine="480"/>
              <w:rPr>
                <w:rFonts w:hint="default" w:cs="Times New Roman"/>
                <w:u w:val="none" w:color="auto"/>
                <w:lang w:val="en-US" w:eastAsia="zh-CN"/>
              </w:rPr>
            </w:pPr>
            <w:r>
              <w:rPr>
                <w:rFonts w:hint="eastAsia" w:cs="Times New Roman"/>
                <w:u w:val="none" w:color="auto"/>
                <w:lang w:val="en-US" w:eastAsia="zh-CN"/>
              </w:rPr>
              <w:t>Q</w:t>
            </w:r>
            <w:r>
              <w:rPr>
                <w:rFonts w:hint="eastAsia" w:cs="Times New Roman"/>
                <w:u w:val="none" w:color="auto"/>
                <w:vertAlign w:val="subscript"/>
                <w:lang w:val="en-US" w:eastAsia="zh-CN"/>
              </w:rPr>
              <w:t>net,v,ar</w:t>
            </w:r>
            <w:r>
              <w:rPr>
                <w:rFonts w:hint="eastAsia" w:cs="Times New Roman"/>
                <w:u w:val="none" w:color="auto"/>
                <w:lang w:val="en-US" w:eastAsia="zh-CN"/>
              </w:rPr>
              <w:t>—固体生物质燃料的收到基恒容低位发热量，单位为焦耳每克（J/g）；</w:t>
            </w:r>
          </w:p>
          <w:p w14:paraId="0CE1BAF0">
            <w:pPr>
              <w:pStyle w:val="35"/>
              <w:ind w:firstLine="480"/>
              <w:rPr>
                <w:rFonts w:hint="eastAsia" w:ascii="Times New Roman" w:hAnsi="Times New Roman" w:eastAsia="宋体" w:cs="Times New Roman"/>
                <w:u w:val="none" w:color="auto"/>
                <w:lang w:val="en-US" w:eastAsia="zh-CN"/>
              </w:rPr>
            </w:pPr>
            <w:r>
              <w:rPr>
                <w:rFonts w:hint="eastAsia" w:cs="Times New Roman"/>
                <w:u w:val="none" w:color="auto"/>
                <w:lang w:val="en-US" w:eastAsia="zh-CN"/>
              </w:rPr>
              <w:t>Q</w:t>
            </w:r>
            <w:r>
              <w:rPr>
                <w:rFonts w:hint="eastAsia" w:cs="Times New Roman"/>
                <w:u w:val="none" w:color="auto"/>
                <w:vertAlign w:val="subscript"/>
                <w:lang w:val="en-US" w:eastAsia="zh-CN"/>
              </w:rPr>
              <w:t>gr,v,ar</w:t>
            </w:r>
            <w:r>
              <w:rPr>
                <w:rFonts w:hint="eastAsia" w:cs="Times New Roman"/>
                <w:u w:val="none" w:color="auto"/>
                <w:lang w:val="en-US" w:eastAsia="zh-CN"/>
              </w:rPr>
              <w:t>—固体生物质燃料的空气干燥基恒容高位发热量，单位为焦耳每克（J/g）；以</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18610J/g计</w:t>
            </w:r>
            <w:r>
              <w:rPr>
                <w:rFonts w:hint="eastAsia" w:ascii="Times New Roman" w:hAnsi="Times New Roman" w:eastAsia="宋体" w:cs="Times New Roman"/>
                <w:u w:val="none" w:color="auto"/>
                <w:lang w:val="en-US" w:eastAsia="zh-CN"/>
              </w:rPr>
              <w:t>（生物质燃料弹热值和高位发热量基本接近）。</w:t>
            </w:r>
          </w:p>
          <w:p w14:paraId="29560BF7">
            <w:pPr>
              <w:pStyle w:val="35"/>
              <w:ind w:firstLine="480"/>
              <w:rPr>
                <w:rFonts w:hint="default" w:cs="Times New Roman"/>
                <w:u w:val="none" w:color="auto"/>
                <w:lang w:val="en-US" w:eastAsia="zh-CN"/>
              </w:rPr>
            </w:pPr>
            <w:r>
              <w:rPr>
                <w:rFonts w:hint="eastAsia" w:cs="Times New Roman"/>
                <w:u w:val="none" w:color="auto"/>
                <w:lang w:val="en-US" w:eastAsia="zh-CN"/>
              </w:rPr>
              <w:t>Mt—固体生物质燃料的收到基全水分（按GB/T28733测定），以质量分数（%）计；8.6%</w:t>
            </w:r>
          </w:p>
          <w:p w14:paraId="13100462">
            <w:pPr>
              <w:pStyle w:val="35"/>
              <w:ind w:firstLine="480"/>
              <w:rPr>
                <w:rFonts w:hint="default" w:cs="Times New Roman"/>
                <w:u w:val="none" w:color="auto"/>
                <w:lang w:val="en-US" w:eastAsia="zh-CN"/>
              </w:rPr>
            </w:pPr>
            <w:r>
              <w:rPr>
                <w:rFonts w:hint="eastAsia" w:cs="Times New Roman"/>
                <w:u w:val="none" w:color="auto"/>
                <w:lang w:val="en-US" w:eastAsia="zh-CN"/>
              </w:rPr>
              <w:t>Mad—固体生物质燃料空气干燥基水分，以质量分数（%）计；5.69%</w:t>
            </w:r>
          </w:p>
          <w:p w14:paraId="217439E6">
            <w:pPr>
              <w:pStyle w:val="35"/>
              <w:ind w:firstLine="480"/>
              <w:rPr>
                <w:rFonts w:hint="default" w:cs="Times New Roman"/>
                <w:u w:val="none" w:color="auto"/>
                <w:lang w:val="en-US" w:eastAsia="zh-CN"/>
              </w:rPr>
            </w:pPr>
            <w:r>
              <w:rPr>
                <w:rFonts w:hint="eastAsia" w:cs="Times New Roman"/>
                <w:u w:val="none" w:color="auto"/>
                <w:lang w:val="en-US" w:eastAsia="zh-CN"/>
              </w:rPr>
              <w:t>Had—固体生物质燃料的空气干燥基氢（按GB/T28734测定，）以质量分数（%）计；4.35%</w:t>
            </w:r>
          </w:p>
          <w:p w14:paraId="194A2BDF">
            <w:pPr>
              <w:pStyle w:val="35"/>
              <w:ind w:firstLine="480"/>
              <w:rPr>
                <w:rFonts w:hint="eastAsia" w:cs="Times New Roman"/>
                <w:u w:val="none" w:color="auto"/>
                <w:lang w:val="en-US" w:eastAsia="zh-CN"/>
              </w:rPr>
            </w:pPr>
            <w:r>
              <w:rPr>
                <w:rFonts w:hint="eastAsia" w:cs="Times New Roman"/>
                <w:u w:val="none" w:color="auto"/>
                <w:lang w:val="en-US" w:eastAsia="zh-CN"/>
              </w:rPr>
              <w:t>L</w:t>
            </w:r>
            <w:r>
              <w:rPr>
                <w:rFonts w:hint="eastAsia" w:cs="Times New Roman"/>
                <w:u w:val="none" w:color="auto"/>
                <w:vertAlign w:val="subscript"/>
                <w:lang w:val="en-US" w:eastAsia="zh-CN"/>
              </w:rPr>
              <w:t>1</w:t>
            </w:r>
            <w:r>
              <w:rPr>
                <w:rFonts w:hint="eastAsia" w:cs="Times New Roman"/>
                <w:u w:val="none" w:color="auto"/>
                <w:lang w:val="en-US" w:eastAsia="zh-CN"/>
              </w:rPr>
              <w:t>—对应于固体生物质燃料空气干燥基试样中每1%氢的气化热校正值（恒容），以206计，单位为焦耳每克（J/g）；</w:t>
            </w:r>
          </w:p>
          <w:p w14:paraId="07BB2338">
            <w:pPr>
              <w:pStyle w:val="35"/>
              <w:ind w:firstLine="480"/>
              <w:rPr>
                <w:rFonts w:hint="default" w:ascii="Times New Roman" w:hAnsi="Times New Roman" w:eastAsia="宋体" w:cs="Times New Roman"/>
                <w:u w:val="none" w:color="auto"/>
                <w:lang w:val="en-US" w:eastAsia="zh-CN"/>
              </w:rPr>
            </w:pPr>
            <w:r>
              <w:rPr>
                <w:rFonts w:hint="eastAsia" w:cs="Times New Roman"/>
                <w:u w:val="none" w:color="auto"/>
                <w:lang w:val="en-US" w:eastAsia="zh-CN"/>
              </w:rPr>
              <w:t>L</w:t>
            </w:r>
            <w:r>
              <w:rPr>
                <w:rFonts w:hint="eastAsia" w:cs="Times New Roman"/>
                <w:u w:val="none" w:color="auto"/>
                <w:vertAlign w:val="subscript"/>
                <w:lang w:val="en-US" w:eastAsia="zh-CN"/>
              </w:rPr>
              <w:t>2</w:t>
            </w:r>
            <w:r>
              <w:rPr>
                <w:rFonts w:hint="eastAsia" w:cs="Times New Roman"/>
                <w:u w:val="none" w:color="auto"/>
                <w:lang w:val="en-US" w:eastAsia="zh-CN"/>
              </w:rPr>
              <w:t>—对应于收到基固体生物质燃料中每1%水分的气化热校正值（恒容），以23计，单位为焦耳每克（J/g）。</w:t>
            </w:r>
          </w:p>
          <w:p w14:paraId="373A6207">
            <w:pPr>
              <w:pStyle w:val="35"/>
              <w:ind w:firstLine="480"/>
              <w:rPr>
                <w:rFonts w:hint="eastAsia" w:ascii="Times New Roman" w:hAnsi="Times New Roman" w:eastAsia="宋体" w:cs="Times New Roman"/>
                <w:u w:val="none" w:color="auto"/>
              </w:rPr>
            </w:pPr>
            <w:r>
              <w:rPr>
                <w:rFonts w:hint="eastAsia" w:ascii="Times New Roman" w:hAnsi="Times New Roman" w:eastAsia="宋体" w:cs="Times New Roman"/>
                <w:u w:val="none" w:color="auto"/>
              </w:rPr>
              <w:t>根据计算，本项目生物质颗粒的低位热值约为</w:t>
            </w:r>
            <w:r>
              <w:rPr>
                <w:rFonts w:hint="eastAsia" w:cs="Times New Roman"/>
                <w:u w:val="none" w:color="auto"/>
                <w:lang w:val="en-US" w:eastAsia="zh-CN"/>
              </w:rPr>
              <w:t>4048</w:t>
            </w:r>
            <w:r>
              <w:rPr>
                <w:rFonts w:hint="eastAsia" w:ascii="Times New Roman" w:hAnsi="Times New Roman" w:eastAsia="宋体" w:cs="Times New Roman"/>
                <w:u w:val="none" w:color="auto"/>
              </w:rPr>
              <w:t>kcal/kg，蒸汽锅炉每小时燃料消耗量计算公式如下：</w:t>
            </w:r>
          </w:p>
          <w:p w14:paraId="2BC4D65B">
            <w:pPr>
              <w:pStyle w:val="35"/>
              <w:ind w:firstLine="480"/>
              <w:rPr>
                <w:rFonts w:hint="eastAsia" w:ascii="Times New Roman" w:hAnsi="Times New Roman" w:eastAsia="宋体" w:cs="Times New Roman"/>
                <w:u w:val="none" w:color="auto"/>
              </w:rPr>
            </w:pPr>
            <m:oMathPara>
              <m:oMath>
                <m:r>
                  <m:rPr>
                    <m:sty m:val="p"/>
                  </m:rPr>
                  <w:rPr>
                    <w:rFonts w:hint="default" w:ascii="Times New Roman" w:hAnsi="Times New Roman" w:eastAsia="宋体" w:cs="Times New Roman"/>
                    <w:u w:val="none" w:color="auto"/>
                  </w:rPr>
                  <m:t>燃料消耗量=</m:t>
                </m:r>
                <m:f>
                  <m:fPr>
                    <m:ctrlPr>
                      <w:rPr>
                        <w:rFonts w:hint="default" w:ascii="Cambria Math" w:hAnsi="Cambria Math" w:eastAsia="宋体" w:cs="Times New Roman"/>
                        <w:u w:val="none" w:color="auto"/>
                      </w:rPr>
                    </m:ctrlPr>
                  </m:fPr>
                  <m:num>
                    <m:r>
                      <m:rPr>
                        <m:sty m:val="p"/>
                      </m:rPr>
                      <w:rPr>
                        <w:rFonts w:hint="default" w:ascii="Times New Roman" w:hAnsi="Times New Roman" w:eastAsia="宋体" w:cs="Times New Roman"/>
                        <w:u w:val="none" w:color="auto"/>
                      </w:rPr>
                      <m:t>60万大卡×吨位</m:t>
                    </m:r>
                    <m:ctrlPr>
                      <w:rPr>
                        <w:rFonts w:hint="default" w:ascii="Cambria Math" w:hAnsi="Cambria Math" w:eastAsia="宋体" w:cs="Times New Roman"/>
                        <w:u w:val="none" w:color="auto"/>
                      </w:rPr>
                    </m:ctrlPr>
                  </m:num>
                  <m:den>
                    <m:r>
                      <m:rPr>
                        <m:sty m:val="p"/>
                      </m:rPr>
                      <w:rPr>
                        <w:rFonts w:hint="default" w:ascii="Times New Roman" w:hAnsi="Times New Roman" w:eastAsia="宋体" w:cs="Times New Roman"/>
                        <w:u w:val="none" w:color="auto"/>
                      </w:rPr>
                      <m:t>燃料热值×锅炉燃烧效率</m:t>
                    </m:r>
                    <m:ctrlPr>
                      <w:rPr>
                        <w:rFonts w:hint="default" w:ascii="Cambria Math" w:hAnsi="Cambria Math" w:eastAsia="宋体" w:cs="Times New Roman"/>
                        <w:u w:val="none" w:color="auto"/>
                      </w:rPr>
                    </m:ctrlPr>
                  </m:den>
                </m:f>
              </m:oMath>
            </m:oMathPara>
          </w:p>
          <w:p w14:paraId="0AD4C3FC">
            <w:pPr>
              <w:pStyle w:val="35"/>
              <w:ind w:firstLine="480"/>
              <w:rPr>
                <w:rFonts w:hint="eastAsia" w:ascii="Times New Roman" w:hAnsi="Times New Roman" w:eastAsia="宋体" w:cs="Times New Roman"/>
                <w:u w:val="none" w:color="auto"/>
              </w:rPr>
            </w:pPr>
            <w:r>
              <w:rPr>
                <w:rFonts w:hint="eastAsia" w:ascii="Times New Roman" w:hAnsi="Times New Roman" w:eastAsia="宋体" w:cs="Times New Roman"/>
                <w:u w:val="none" w:color="auto"/>
              </w:rPr>
              <w:t>本项目锅炉供热工程为1台</w:t>
            </w:r>
            <w:r>
              <w:rPr>
                <w:rFonts w:hint="eastAsia" w:ascii="Times New Roman" w:hAnsi="Times New Roman" w:eastAsia="宋体" w:cs="Times New Roman"/>
                <w:u w:val="none" w:color="auto"/>
                <w:lang w:val="en-US" w:eastAsia="zh-CN"/>
              </w:rPr>
              <w:t>2.5</w:t>
            </w:r>
            <w:r>
              <w:rPr>
                <w:rFonts w:hint="eastAsia" w:ascii="Times New Roman" w:hAnsi="Times New Roman" w:eastAsia="宋体" w:cs="Times New Roman"/>
                <w:u w:val="none" w:color="auto"/>
              </w:rPr>
              <w:t>t/h生物质锅炉，生物质燃料热值低位为</w:t>
            </w:r>
            <w:r>
              <w:rPr>
                <w:rFonts w:hint="eastAsia" w:cs="Times New Roman"/>
                <w:u w:val="none" w:color="auto"/>
                <w:lang w:val="en-US" w:eastAsia="zh-CN"/>
              </w:rPr>
              <w:t>4048</w:t>
            </w:r>
            <w:r>
              <w:rPr>
                <w:rFonts w:hint="eastAsia" w:ascii="Times New Roman" w:hAnsi="Times New Roman" w:eastAsia="宋体" w:cs="Times New Roman"/>
                <w:u w:val="none" w:color="auto"/>
              </w:rPr>
              <w:t>kcal/kg，锅炉燃烧效率取85%，则项目生物质用量为</w:t>
            </w:r>
            <w:r>
              <w:rPr>
                <w:rFonts w:hint="eastAsia" w:ascii="Times New Roman" w:hAnsi="Times New Roman" w:eastAsia="宋体" w:cs="Times New Roman"/>
                <w:u w:val="none" w:color="auto"/>
                <w:lang w:val="en-US" w:eastAsia="zh-CN"/>
              </w:rPr>
              <w:t>0.436t/h。本项目</w:t>
            </w:r>
            <w:r>
              <w:rPr>
                <w:rFonts w:hint="eastAsia" w:ascii="Times New Roman" w:hAnsi="Times New Roman" w:eastAsia="宋体" w:cs="Times New Roman"/>
                <w:u w:val="none" w:color="auto"/>
              </w:rPr>
              <w:t>锅炉仅为蒸汽杀菌、烘干工序提供热源，无需全天满负荷运行</w:t>
            </w:r>
            <w:r>
              <w:rPr>
                <w:rFonts w:hint="eastAsia" w:ascii="Times New Roman" w:hAnsi="Times New Roman" w:eastAsia="宋体" w:cs="Times New Roman"/>
                <w:u w:val="none" w:color="auto"/>
                <w:lang w:eastAsia="zh-CN"/>
              </w:rPr>
              <w:t>，</w:t>
            </w:r>
            <w:r>
              <w:rPr>
                <w:rFonts w:hint="eastAsia" w:ascii="Times New Roman" w:hAnsi="Times New Roman" w:eastAsia="宋体" w:cs="Times New Roman"/>
                <w:u w:val="none" w:color="auto"/>
              </w:rPr>
              <w:t>断料、开片、拉丝、成型等前道工序无需蒸汽供热，</w:t>
            </w:r>
            <w:r>
              <w:rPr>
                <w:rFonts w:hint="eastAsia" w:ascii="Times New Roman" w:hAnsi="Times New Roman" w:eastAsia="宋体" w:cs="Times New Roman"/>
                <w:u w:val="none" w:color="auto"/>
                <w:lang w:val="en-US" w:eastAsia="zh-CN"/>
              </w:rPr>
              <w:t>根据建设单位提供资料，</w:t>
            </w:r>
            <w:r>
              <w:rPr>
                <w:rFonts w:hint="eastAsia" w:ascii="Times New Roman" w:hAnsi="Times New Roman" w:eastAsia="宋体" w:cs="Times New Roman"/>
                <w:u w:val="none" w:color="auto"/>
              </w:rPr>
              <w:t>锅炉使用时间以</w:t>
            </w:r>
            <w:r>
              <w:rPr>
                <w:rFonts w:hint="eastAsia" w:ascii="Times New Roman" w:hAnsi="Times New Roman" w:eastAsia="宋体" w:cs="Times New Roman"/>
                <w:u w:val="none" w:color="auto"/>
                <w:lang w:val="en-US" w:eastAsia="zh-CN"/>
              </w:rPr>
              <w:t>5</w:t>
            </w:r>
            <w:r>
              <w:rPr>
                <w:rFonts w:hint="eastAsia" w:ascii="Times New Roman" w:hAnsi="Times New Roman" w:eastAsia="宋体" w:cs="Times New Roman"/>
                <w:u w:val="none" w:color="auto"/>
              </w:rPr>
              <w:t>h/d，</w:t>
            </w:r>
            <w:r>
              <w:rPr>
                <w:rFonts w:hint="eastAsia" w:ascii="Times New Roman" w:hAnsi="Times New Roman" w:eastAsia="宋体" w:cs="Times New Roman"/>
                <w:u w:val="none" w:color="auto"/>
                <w:lang w:val="en-US" w:eastAsia="zh-CN"/>
              </w:rPr>
              <w:t>160</w:t>
            </w:r>
            <w:r>
              <w:rPr>
                <w:rFonts w:hint="eastAsia" w:ascii="Times New Roman" w:hAnsi="Times New Roman" w:eastAsia="宋体" w:cs="Times New Roman"/>
                <w:u w:val="none" w:color="auto"/>
              </w:rPr>
              <w:t>d/a计，则项目生物质用量约为</w:t>
            </w:r>
            <w:r>
              <w:rPr>
                <w:rFonts w:hint="eastAsia" w:ascii="Times New Roman" w:hAnsi="Times New Roman" w:eastAsia="宋体" w:cs="Times New Roman"/>
                <w:u w:val="none" w:color="auto"/>
                <w:lang w:val="en-US" w:eastAsia="zh-CN"/>
              </w:rPr>
              <w:t>350</w:t>
            </w:r>
            <w:r>
              <w:rPr>
                <w:rFonts w:hint="eastAsia" w:ascii="Times New Roman" w:hAnsi="Times New Roman" w:eastAsia="宋体" w:cs="Times New Roman"/>
                <w:u w:val="none" w:color="auto"/>
              </w:rPr>
              <w:t>t/a。</w:t>
            </w:r>
          </w:p>
          <w:p w14:paraId="33CDBB7E">
            <w:pPr>
              <w:pStyle w:val="35"/>
              <w:ind w:firstLine="482"/>
              <w:rPr>
                <w:rFonts w:hint="default" w:eastAsia="宋体"/>
                <w:b/>
                <w:bCs/>
                <w:u w:val="none" w:color="auto"/>
                <w:lang w:val="en-US" w:eastAsia="zh-CN"/>
              </w:rPr>
            </w:pPr>
            <w:r>
              <w:rPr>
                <w:rFonts w:hint="eastAsia"/>
                <w:b/>
                <w:bCs/>
                <w:u w:val="none" w:color="auto"/>
                <w:lang w:val="en-US" w:eastAsia="zh-CN"/>
              </w:rPr>
              <w:t>6、公用工程</w:t>
            </w:r>
          </w:p>
          <w:p w14:paraId="433F7602">
            <w:pPr>
              <w:pStyle w:val="35"/>
              <w:ind w:firstLine="480"/>
              <w:rPr>
                <w:u w:val="none" w:color="auto"/>
              </w:rPr>
            </w:pPr>
            <w:r>
              <w:rPr>
                <w:rFonts w:hint="eastAsia"/>
                <w:u w:val="none" w:color="auto"/>
              </w:rPr>
              <w:t>（1）给水工程</w:t>
            </w:r>
          </w:p>
          <w:p w14:paraId="36C4023F">
            <w:pPr>
              <w:pStyle w:val="35"/>
              <w:ind w:firstLine="480"/>
              <w:rPr>
                <w:rFonts w:hint="eastAsia" w:ascii="Times New Roman" w:hAnsi="Times New Roman" w:eastAsia="宋体" w:cs="Times New Roman"/>
                <w:u w:val="none" w:color="auto"/>
                <w:lang w:val="en-US" w:eastAsia="zh-CN"/>
              </w:rPr>
            </w:pPr>
            <w:r>
              <w:rPr>
                <w:rFonts w:hint="eastAsia"/>
                <w:u w:val="none" w:color="auto"/>
                <w:lang w:val="en-US" w:eastAsia="zh-CN"/>
              </w:rPr>
              <w:t>本项目用水主要包括生活用水、蒸汽锅炉补水，用水来源为自来水。</w:t>
            </w:r>
          </w:p>
          <w:p w14:paraId="7A14363D">
            <w:pPr>
              <w:pStyle w:val="35"/>
              <w:ind w:firstLine="480"/>
              <w:rPr>
                <w:rFonts w:hint="default" w:ascii="Times New Roman" w:hAnsi="Times New Roman" w:eastAsia="宋体" w:cs="Times New Roman"/>
                <w:u w:val="none" w:color="auto"/>
                <w:lang w:val="en-US" w:eastAsia="zh-CN"/>
              </w:rPr>
            </w:pPr>
            <w:r>
              <w:rPr>
                <w:rFonts w:hint="eastAsia"/>
                <w:lang w:val="en-US" w:eastAsia="zh-CN"/>
              </w:rPr>
              <w:t>1）</w:t>
            </w:r>
            <w:r>
              <w:rPr>
                <w:rFonts w:hint="eastAsia" w:ascii="Times New Roman" w:hAnsi="Times New Roman" w:eastAsia="宋体" w:cs="Times New Roman"/>
                <w:u w:val="none" w:color="auto"/>
                <w:lang w:val="en-US" w:eastAsia="zh-CN"/>
              </w:rPr>
              <w:t>生活污水</w:t>
            </w:r>
          </w:p>
          <w:p w14:paraId="346AB781">
            <w:pPr>
              <w:pStyle w:val="35"/>
              <w:ind w:firstLine="480"/>
              <w:rPr>
                <w:rFonts w:hint="eastAsia" w:ascii="Times New Roman" w:hAnsi="Times New Roman" w:eastAsia="宋体" w:cs="Times New Roman"/>
                <w:u w:val="none" w:color="auto"/>
                <w:lang w:val="en-US" w:eastAsia="zh-CN"/>
              </w:rPr>
            </w:pPr>
            <w:r>
              <w:rPr>
                <w:rFonts w:hint="eastAsia" w:ascii="Times New Roman" w:hAnsi="Times New Roman" w:eastAsia="宋体" w:cs="Times New Roman"/>
                <w:u w:val="none" w:color="auto"/>
                <w:lang w:val="en-US" w:eastAsia="zh-CN"/>
              </w:rPr>
              <w:t>本项目全厂劳动定员15人，</w:t>
            </w:r>
            <w:r>
              <w:rPr>
                <w:rFonts w:hint="eastAsia"/>
                <w:u w:val="none" w:color="auto"/>
                <w:lang w:val="en-US" w:eastAsia="zh-CN"/>
              </w:rPr>
              <w:t>均不在厂区内食宿，</w:t>
            </w:r>
            <w:r>
              <w:rPr>
                <w:rFonts w:hint="eastAsia" w:ascii="Times New Roman" w:hAnsi="Times New Roman" w:eastAsia="宋体" w:cs="Times New Roman"/>
                <w:u w:val="none" w:color="auto"/>
                <w:lang w:val="en-US" w:eastAsia="zh-CN"/>
              </w:rPr>
              <w:t>年工作时间为160天</w:t>
            </w:r>
            <w:r>
              <w:rPr>
                <w:rFonts w:hint="eastAsia" w:cs="Times New Roman"/>
                <w:u w:val="none" w:color="auto"/>
                <w:lang w:val="en-US" w:eastAsia="zh-CN"/>
              </w:rPr>
              <w:t>，</w:t>
            </w:r>
            <w:r>
              <w:rPr>
                <w:rFonts w:hint="eastAsia" w:ascii="Times New Roman" w:hAnsi="Times New Roman" w:eastAsia="宋体" w:cs="Times New Roman"/>
                <w:u w:val="none" w:color="auto"/>
                <w:lang w:val="en-US" w:eastAsia="zh-CN"/>
              </w:rPr>
              <w:t>用水定额</w:t>
            </w:r>
            <w:r>
              <w:rPr>
                <w:rFonts w:hint="eastAsia" w:cs="Times New Roman"/>
                <w:u w:val="none" w:color="auto"/>
                <w:lang w:val="en-US" w:eastAsia="zh-CN"/>
              </w:rPr>
              <w:t>按</w:t>
            </w:r>
            <w:r>
              <w:rPr>
                <w:rFonts w:hint="eastAsia"/>
                <w:lang w:val="en-US" w:eastAsia="zh-CN"/>
              </w:rPr>
              <w:t>45L/人·d计</w:t>
            </w:r>
            <w:r>
              <w:rPr>
                <w:rFonts w:hint="eastAsia" w:ascii="Times New Roman" w:hAnsi="Times New Roman" w:eastAsia="宋体" w:cs="Times New Roman"/>
                <w:u w:val="none" w:color="auto"/>
                <w:lang w:val="en-US" w:eastAsia="zh-CN"/>
              </w:rPr>
              <w:t>。则本项目生活用水量为</w:t>
            </w:r>
            <w:r>
              <w:rPr>
                <w:rFonts w:hint="eastAsia" w:cs="Times New Roman"/>
                <w:u w:val="none" w:color="auto"/>
                <w:lang w:val="en-US" w:eastAsia="zh-CN"/>
              </w:rPr>
              <w:t>0.675</w:t>
            </w:r>
            <w:r>
              <w:rPr>
                <w:rFonts w:hint="eastAsia" w:ascii="Times New Roman" w:hAnsi="Times New Roman" w:eastAsia="宋体" w:cs="Times New Roman"/>
                <w:u w:val="none" w:color="auto"/>
                <w:lang w:val="en-US" w:eastAsia="zh-CN"/>
              </w:rPr>
              <w:t>m</w:t>
            </w:r>
            <w:r>
              <w:rPr>
                <w:rFonts w:hint="eastAsia" w:ascii="Times New Roman" w:hAnsi="Times New Roman" w:eastAsia="宋体" w:cs="Times New Roman"/>
                <w:u w:val="none" w:color="auto"/>
                <w:vertAlign w:val="superscript"/>
                <w:lang w:val="en-US" w:eastAsia="zh-CN"/>
              </w:rPr>
              <w:t>3</w:t>
            </w:r>
            <w:r>
              <w:rPr>
                <w:rFonts w:hint="eastAsia" w:ascii="Times New Roman" w:hAnsi="Times New Roman" w:eastAsia="宋体" w:cs="Times New Roman"/>
                <w:u w:val="none" w:color="auto"/>
                <w:lang w:val="en-US" w:eastAsia="zh-CN"/>
              </w:rPr>
              <w:t>/d（</w:t>
            </w:r>
            <w:r>
              <w:rPr>
                <w:rFonts w:hint="eastAsia" w:cs="Times New Roman"/>
                <w:u w:val="none" w:color="auto"/>
                <w:lang w:val="en-US" w:eastAsia="zh-CN"/>
              </w:rPr>
              <w:t>108</w:t>
            </w:r>
            <w:r>
              <w:rPr>
                <w:rFonts w:hint="eastAsia" w:ascii="Times New Roman" w:hAnsi="Times New Roman" w:eastAsia="宋体" w:cs="Times New Roman"/>
                <w:u w:val="none" w:color="auto"/>
                <w:lang w:val="en-US" w:eastAsia="zh-CN"/>
              </w:rPr>
              <w:t>m</w:t>
            </w:r>
            <w:r>
              <w:rPr>
                <w:rFonts w:hint="eastAsia" w:ascii="Times New Roman" w:hAnsi="Times New Roman" w:eastAsia="宋体" w:cs="Times New Roman"/>
                <w:u w:val="none" w:color="auto"/>
                <w:vertAlign w:val="superscript"/>
                <w:lang w:val="en-US" w:eastAsia="zh-CN"/>
              </w:rPr>
              <w:t>3</w:t>
            </w:r>
            <w:r>
              <w:rPr>
                <w:rFonts w:hint="eastAsia" w:ascii="Times New Roman" w:hAnsi="Times New Roman" w:eastAsia="宋体" w:cs="Times New Roman"/>
                <w:u w:val="none" w:color="auto"/>
                <w:lang w:val="en-US" w:eastAsia="zh-CN"/>
              </w:rPr>
              <w:t>/a），污水排放系数取0.8，则生活污水产生量为</w:t>
            </w:r>
            <w:r>
              <w:rPr>
                <w:rFonts w:hint="eastAsia" w:cs="Times New Roman"/>
                <w:u w:val="none" w:color="auto"/>
                <w:lang w:val="en-US" w:eastAsia="zh-CN"/>
              </w:rPr>
              <w:t>0.54</w:t>
            </w:r>
            <w:r>
              <w:rPr>
                <w:rFonts w:hint="eastAsia" w:ascii="Times New Roman" w:hAnsi="Times New Roman" w:eastAsia="宋体" w:cs="Times New Roman"/>
                <w:u w:val="none" w:color="auto"/>
                <w:lang w:val="en-US" w:eastAsia="zh-CN"/>
              </w:rPr>
              <w:t>m</w:t>
            </w:r>
            <w:r>
              <w:rPr>
                <w:rFonts w:hint="eastAsia" w:ascii="Times New Roman" w:hAnsi="Times New Roman" w:eastAsia="宋体" w:cs="Times New Roman"/>
                <w:u w:val="none" w:color="auto"/>
                <w:vertAlign w:val="superscript"/>
                <w:lang w:val="en-US" w:eastAsia="zh-CN"/>
              </w:rPr>
              <w:t>3</w:t>
            </w:r>
            <w:r>
              <w:rPr>
                <w:rFonts w:hint="eastAsia" w:ascii="Times New Roman" w:hAnsi="Times New Roman" w:eastAsia="宋体" w:cs="Times New Roman"/>
                <w:u w:val="none" w:color="auto"/>
                <w:lang w:val="en-US" w:eastAsia="zh-CN"/>
              </w:rPr>
              <w:t>/d（</w:t>
            </w:r>
            <w:r>
              <w:rPr>
                <w:rFonts w:hint="eastAsia" w:cs="Times New Roman"/>
                <w:u w:val="none" w:color="auto"/>
                <w:lang w:val="en-US" w:eastAsia="zh-CN"/>
              </w:rPr>
              <w:t>86.4</w:t>
            </w:r>
            <w:r>
              <w:rPr>
                <w:rFonts w:hint="eastAsia" w:ascii="Times New Roman" w:hAnsi="Times New Roman" w:eastAsia="宋体" w:cs="Times New Roman"/>
                <w:u w:val="none" w:color="auto"/>
                <w:lang w:val="en-US" w:eastAsia="zh-CN"/>
              </w:rPr>
              <w:t>m</w:t>
            </w:r>
            <w:r>
              <w:rPr>
                <w:rFonts w:hint="eastAsia" w:ascii="Times New Roman" w:hAnsi="Times New Roman" w:eastAsia="宋体" w:cs="Times New Roman"/>
                <w:u w:val="none" w:color="auto"/>
                <w:vertAlign w:val="superscript"/>
                <w:lang w:val="en-US" w:eastAsia="zh-CN"/>
              </w:rPr>
              <w:t>3</w:t>
            </w:r>
            <w:r>
              <w:rPr>
                <w:rFonts w:hint="eastAsia" w:ascii="Times New Roman" w:hAnsi="Times New Roman" w:eastAsia="宋体" w:cs="Times New Roman"/>
                <w:u w:val="none" w:color="auto"/>
                <w:lang w:val="en-US" w:eastAsia="zh-CN"/>
              </w:rPr>
              <w:t>/a）。</w:t>
            </w:r>
          </w:p>
          <w:p w14:paraId="6DCEEC8B">
            <w:pPr>
              <w:pStyle w:val="35"/>
              <w:ind w:firstLine="480"/>
              <w:rPr>
                <w:rFonts w:hint="default" w:eastAsia="宋体"/>
                <w:u w:val="none" w:color="auto"/>
                <w:lang w:val="en-US" w:eastAsia="zh-CN"/>
              </w:rPr>
            </w:pPr>
            <w:r>
              <w:rPr>
                <w:rFonts w:hint="eastAsia"/>
                <w:lang w:val="en-US" w:eastAsia="zh-CN"/>
              </w:rPr>
              <w:t>2）</w:t>
            </w:r>
            <w:r>
              <w:rPr>
                <w:rFonts w:hint="eastAsia"/>
                <w:u w:val="none" w:color="auto"/>
                <w:lang w:val="en-US" w:eastAsia="zh-CN"/>
              </w:rPr>
              <w:t>锅炉补水</w:t>
            </w:r>
          </w:p>
          <w:p w14:paraId="05271989">
            <w:pPr>
              <w:pStyle w:val="35"/>
              <w:ind w:firstLine="480"/>
              <w:rPr>
                <w:rFonts w:hint="default" w:eastAsia="宋体"/>
                <w:lang w:val="en-US" w:eastAsia="zh-CN"/>
              </w:rPr>
            </w:pPr>
            <w:r>
              <w:rPr>
                <w:rFonts w:hint="eastAsia"/>
                <w:lang w:val="en-US" w:eastAsia="zh-CN"/>
              </w:rPr>
              <w:t>①蒸汽杀菌工序补水：</w:t>
            </w:r>
            <w:r>
              <w:rPr>
                <w:rFonts w:ascii="宋体" w:hAnsi="宋体" w:eastAsia="宋体" w:cs="宋体"/>
                <w:sz w:val="24"/>
                <w:szCs w:val="24"/>
              </w:rPr>
              <w:t>项目锅炉产出</w:t>
            </w:r>
            <w:r>
              <w:rPr>
                <w:rFonts w:hint="default" w:ascii="Times New Roman" w:hAnsi="Times New Roman" w:eastAsia="宋体" w:cs="Times New Roman"/>
                <w:sz w:val="24"/>
                <w:szCs w:val="24"/>
              </w:rPr>
              <w:t>蒸汽中40%供给竹</w:t>
            </w:r>
            <w:r>
              <w:rPr>
                <w:rFonts w:ascii="宋体" w:hAnsi="宋体" w:eastAsia="宋体" w:cs="宋体"/>
                <w:sz w:val="24"/>
                <w:szCs w:val="24"/>
              </w:rPr>
              <w:t>筷生产线用于蒸汽杀菌，</w:t>
            </w:r>
            <w:r>
              <w:rPr>
                <w:rFonts w:hint="eastAsia"/>
                <w:lang w:val="en-US" w:eastAsia="zh-CN"/>
              </w:rPr>
              <w:t>产生的冷凝水回用于水膜除尘和厂区洒水降尘。该环节蒸汽</w:t>
            </w:r>
            <w:r>
              <w:rPr>
                <w:rFonts w:hint="eastAsia"/>
              </w:rPr>
              <w:t>损耗量约为1t/h（</w:t>
            </w:r>
            <w:r>
              <w:rPr>
                <w:rFonts w:hint="eastAsia"/>
                <w:lang w:val="en-US" w:eastAsia="zh-CN"/>
              </w:rPr>
              <w:t>5t</w:t>
            </w:r>
            <w:r>
              <w:rPr>
                <w:rFonts w:hint="eastAsia"/>
              </w:rPr>
              <w:t>/d，</w:t>
            </w:r>
            <w:r>
              <w:rPr>
                <w:rFonts w:hint="eastAsia"/>
                <w:lang w:val="en-US" w:eastAsia="zh-CN"/>
              </w:rPr>
              <w:t>800</w:t>
            </w:r>
            <w:r>
              <w:rPr>
                <w:rFonts w:hint="eastAsia"/>
              </w:rPr>
              <w:t>t/a）</w:t>
            </w:r>
            <w:r>
              <w:rPr>
                <w:rFonts w:hint="eastAsia"/>
                <w:lang w:eastAsia="zh-CN"/>
              </w:rPr>
              <w:t>。</w:t>
            </w:r>
          </w:p>
          <w:p w14:paraId="19F0B6E0">
            <w:pPr>
              <w:pStyle w:val="35"/>
              <w:ind w:firstLine="480"/>
              <w:rPr>
                <w:rFonts w:hint="eastAsia" w:eastAsia="宋体"/>
                <w:lang w:eastAsia="zh-CN"/>
              </w:rPr>
            </w:pPr>
            <w:r>
              <w:rPr>
                <w:rFonts w:hint="eastAsia"/>
                <w:lang w:val="en-US" w:eastAsia="zh-CN"/>
              </w:rPr>
              <w:t>②烘干工序蒸汽补水：</w:t>
            </w:r>
            <w:r>
              <w:rPr>
                <w:rFonts w:hint="eastAsia"/>
              </w:rPr>
              <w:t>蒸汽</w:t>
            </w:r>
            <w:r>
              <w:rPr>
                <w:rFonts w:hint="eastAsia"/>
                <w:lang w:val="en-US" w:eastAsia="zh-CN"/>
              </w:rPr>
              <w:t>烘干</w:t>
            </w:r>
            <w:r>
              <w:rPr>
                <w:rFonts w:hint="eastAsia"/>
              </w:rPr>
              <w:t>加热为间接加热，蒸汽回流锅炉后循环使用，管道蒸汽损耗率按5%计算，则损耗量约为</w:t>
            </w:r>
            <w:r>
              <w:rPr>
                <w:rFonts w:hint="eastAsia"/>
                <w:lang w:val="en-US" w:eastAsia="zh-CN"/>
              </w:rPr>
              <w:t>0</w:t>
            </w:r>
            <w:r>
              <w:rPr>
                <w:rFonts w:hint="eastAsia"/>
              </w:rPr>
              <w:t>.125t/h（</w:t>
            </w:r>
            <w:r>
              <w:rPr>
                <w:rFonts w:hint="eastAsia"/>
                <w:lang w:val="en-US" w:eastAsia="zh-CN"/>
              </w:rPr>
              <w:t>0.625t</w:t>
            </w:r>
            <w:r>
              <w:rPr>
                <w:rFonts w:hint="eastAsia"/>
              </w:rPr>
              <w:t>/d，</w:t>
            </w:r>
            <w:r>
              <w:rPr>
                <w:rFonts w:hint="eastAsia"/>
                <w:lang w:val="en-US" w:eastAsia="zh-CN"/>
              </w:rPr>
              <w:t>100</w:t>
            </w:r>
            <w:r>
              <w:rPr>
                <w:rFonts w:hint="eastAsia"/>
              </w:rPr>
              <w:t>t/a）</w:t>
            </w:r>
            <w:r>
              <w:rPr>
                <w:rFonts w:hint="eastAsia"/>
                <w:lang w:eastAsia="zh-CN"/>
              </w:rPr>
              <w:t>。</w:t>
            </w:r>
          </w:p>
          <w:p w14:paraId="07871AF2">
            <w:pPr>
              <w:pStyle w:val="35"/>
              <w:ind w:firstLine="480"/>
              <w:rPr>
                <w:rFonts w:hint="eastAsia" w:eastAsia="宋体"/>
                <w:lang w:eastAsia="zh-CN"/>
              </w:rPr>
            </w:pPr>
            <w:r>
              <w:rPr>
                <w:rFonts w:hint="eastAsia"/>
                <w:u w:val="none" w:color="auto"/>
                <w:lang w:val="en-US" w:eastAsia="zh-CN"/>
              </w:rPr>
              <w:t>③</w:t>
            </w:r>
            <w:r>
              <w:rPr>
                <w:rFonts w:ascii="宋体" w:hAnsi="宋体" w:eastAsia="宋体" w:cs="宋体"/>
                <w:sz w:val="24"/>
                <w:szCs w:val="24"/>
              </w:rPr>
              <w:t>锅炉排污及软水制备废水：</w:t>
            </w:r>
            <w:r>
              <w:rPr>
                <w:rFonts w:hint="eastAsia"/>
                <w:u w:val="none" w:color="auto"/>
              </w:rPr>
              <w:t>根据《排放源统计调查产排污核算方法和系数手册》中《锅炉产排污量核算系数手册》生物质锅炉内排污水+软化处理废水的量为0.356t/t原料，</w:t>
            </w:r>
            <w:r>
              <w:rPr>
                <w:rFonts w:hint="eastAsia"/>
              </w:rPr>
              <w:t>项目生物质颗粒用量为</w:t>
            </w:r>
            <w:r>
              <w:rPr>
                <w:rFonts w:hint="eastAsia"/>
                <w:lang w:val="en-US" w:eastAsia="zh-CN"/>
              </w:rPr>
              <w:t>350</w:t>
            </w:r>
            <w:r>
              <w:rPr>
                <w:rFonts w:hint="eastAsia"/>
              </w:rPr>
              <w:t>t/a，</w:t>
            </w:r>
            <w:r>
              <w:rPr>
                <w:rFonts w:hint="eastAsia"/>
                <w:u w:val="none" w:color="auto"/>
              </w:rPr>
              <w:t>则废水产生量为</w:t>
            </w:r>
            <w:r>
              <w:rPr>
                <w:rFonts w:hint="eastAsia"/>
                <w:u w:val="none" w:color="auto"/>
                <w:lang w:val="en-US" w:eastAsia="zh-CN"/>
              </w:rPr>
              <w:t>124.6</w:t>
            </w:r>
            <w:r>
              <w:rPr>
                <w:rFonts w:hint="eastAsia"/>
                <w:u w:val="none" w:color="auto"/>
              </w:rPr>
              <w:t>m</w:t>
            </w:r>
            <w:r>
              <w:rPr>
                <w:rFonts w:hint="eastAsia"/>
                <w:u w:val="none" w:color="auto"/>
                <w:vertAlign w:val="superscript"/>
              </w:rPr>
              <w:t>3</w:t>
            </w:r>
            <w:r>
              <w:rPr>
                <w:rFonts w:hint="eastAsia"/>
                <w:u w:val="none" w:color="auto"/>
              </w:rPr>
              <w:t>/a</w:t>
            </w:r>
            <w:r>
              <w:rPr>
                <w:rFonts w:hint="eastAsia"/>
                <w:u w:val="none" w:color="auto"/>
                <w:lang w:eastAsia="zh-CN"/>
              </w:rPr>
              <w:t>。</w:t>
            </w:r>
          </w:p>
          <w:p w14:paraId="03868485">
            <w:pPr>
              <w:pStyle w:val="35"/>
              <w:ind w:firstLine="480"/>
            </w:pPr>
            <w:r>
              <w:rPr>
                <w:rFonts w:hint="eastAsia"/>
                <w:lang w:val="en-US" w:eastAsia="zh-CN"/>
              </w:rPr>
              <w:t>综上所述，本项目锅炉需补充水量为1024.6</w:t>
            </w:r>
            <w:r>
              <w:rPr>
                <w:rFonts w:hint="eastAsia"/>
                <w:u w:val="none" w:color="auto"/>
              </w:rPr>
              <w:t>m</w:t>
            </w:r>
            <w:r>
              <w:rPr>
                <w:rFonts w:hint="eastAsia"/>
                <w:u w:val="none" w:color="auto"/>
                <w:vertAlign w:val="superscript"/>
              </w:rPr>
              <w:t>3</w:t>
            </w:r>
            <w:r>
              <w:rPr>
                <w:rFonts w:hint="eastAsia"/>
                <w:u w:val="none" w:color="auto"/>
              </w:rPr>
              <w:t>/a</w:t>
            </w:r>
            <w:r>
              <w:rPr>
                <w:rFonts w:hint="eastAsia"/>
                <w:u w:val="none" w:color="auto"/>
                <w:lang w:eastAsia="zh-CN"/>
              </w:rPr>
              <w:t>。</w:t>
            </w:r>
          </w:p>
          <w:p w14:paraId="05278B57">
            <w:pPr>
              <w:pStyle w:val="35"/>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u w:val="none" w:color="auto"/>
                <w:lang w:val="en-US" w:eastAsia="zh-CN"/>
              </w:rPr>
              <w:t>3）</w:t>
            </w:r>
            <w:r>
              <w:rPr>
                <w:rFonts w:hint="eastAsia" w:ascii="Times New Roman" w:hAnsi="Times New Roman" w:eastAsia="宋体" w:cs="Times New Roman"/>
                <w:color w:val="000000" w:themeColor="text1"/>
                <w:lang w:val="en-US" w:eastAsia="zh-CN"/>
                <w14:textFill>
                  <w14:solidFill>
                    <w14:schemeClr w14:val="tx1"/>
                  </w14:solidFill>
                </w14:textFill>
              </w:rPr>
              <w:t>脱</w:t>
            </w:r>
            <w:r>
              <w:rPr>
                <w:rFonts w:hint="eastAsia" w:ascii="Times New Roman" w:hAnsi="Times New Roman" w:eastAsia="宋体" w:cs="Times New Roman"/>
                <w:color w:val="000000" w:themeColor="text1"/>
                <w14:textFill>
                  <w14:solidFill>
                    <w14:schemeClr w14:val="tx1"/>
                  </w14:solidFill>
                </w14:textFill>
              </w:rPr>
              <w:t>硝</w:t>
            </w:r>
            <w:r>
              <w:rPr>
                <w:rFonts w:hint="eastAsia" w:ascii="Times New Roman" w:hAnsi="Times New Roman" w:eastAsia="宋体" w:cs="Times New Roman"/>
                <w:color w:val="000000" w:themeColor="text1"/>
                <w:lang w:val="en-US" w:eastAsia="zh-CN"/>
                <w14:textFill>
                  <w14:solidFill>
                    <w14:schemeClr w14:val="tx1"/>
                  </w14:solidFill>
                </w14:textFill>
              </w:rPr>
              <w:t>用水</w:t>
            </w:r>
          </w:p>
          <w:p w14:paraId="4FAA024D">
            <w:pPr>
              <w:pStyle w:val="35"/>
              <w:ind w:firstLine="48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锅炉脱硝使用的技术是选择性非催化还原（SNCR）方法。对于SNCR技术，尿素的用量约为300kg/t污染物。通常情况下，尿素与水的配比是1:3，</w:t>
            </w:r>
            <w:r>
              <w:rPr>
                <w:rFonts w:hint="eastAsia" w:cs="Times New Roman"/>
                <w:color w:val="000000" w:themeColor="text1"/>
                <w:lang w:val="en-US" w:eastAsia="zh-CN"/>
                <w14:textFill>
                  <w14:solidFill>
                    <w14:schemeClr w14:val="tx1"/>
                  </w14:solidFill>
                </w14:textFill>
              </w:rPr>
              <w:t>则</w:t>
            </w:r>
            <w:r>
              <w:rPr>
                <w:rFonts w:hint="eastAsia" w:ascii="Times New Roman" w:hAnsi="Times New Roman" w:eastAsia="宋体" w:cs="Times New Roman"/>
                <w:color w:val="000000" w:themeColor="text1"/>
                <w14:textFill>
                  <w14:solidFill>
                    <w14:schemeClr w14:val="tx1"/>
                  </w14:solidFill>
                </w14:textFill>
              </w:rPr>
              <w:t>每公斤尿素需要加入3公斤水。根据废气源强计算，项目SNCR装置氮氧化物削减量为</w:t>
            </w:r>
            <w:r>
              <w:rPr>
                <w:rFonts w:hint="eastAsia" w:cs="Times New Roman"/>
                <w:color w:val="000000" w:themeColor="text1"/>
                <w:lang w:val="en-US" w:eastAsia="zh-CN"/>
                <w14:textFill>
                  <w14:solidFill>
                    <w14:schemeClr w14:val="tx1"/>
                  </w14:solidFill>
                </w14:textFill>
              </w:rPr>
              <w:t>0.079</w:t>
            </w:r>
            <w:r>
              <w:rPr>
                <w:rFonts w:hint="eastAsia" w:ascii="Times New Roman" w:hAnsi="Times New Roman" w:eastAsia="宋体" w:cs="Times New Roman"/>
                <w:color w:val="000000" w:themeColor="text1"/>
                <w14:textFill>
                  <w14:solidFill>
                    <w14:schemeClr w14:val="tx1"/>
                  </w14:solidFill>
                </w14:textFill>
              </w:rPr>
              <w:t>t/a，则尿素使用量约</w:t>
            </w:r>
            <w:r>
              <w:rPr>
                <w:rFonts w:hint="eastAsia" w:ascii="Times New Roman" w:hAnsi="Times New Roman" w:eastAsia="宋体" w:cs="Times New Roman"/>
                <w:color w:val="000000" w:themeColor="text1"/>
                <w:lang w:val="en-US" w:eastAsia="zh-CN"/>
                <w14:textFill>
                  <w14:solidFill>
                    <w14:schemeClr w14:val="tx1"/>
                  </w14:solidFill>
                </w14:textFill>
              </w:rPr>
              <w:t>0.0</w:t>
            </w:r>
            <w:r>
              <w:rPr>
                <w:rFonts w:hint="eastAsia" w:cs="Times New Roman"/>
                <w:color w:val="000000" w:themeColor="text1"/>
                <w:lang w:val="en-US" w:eastAsia="zh-CN"/>
                <w14:textFill>
                  <w14:solidFill>
                    <w14:schemeClr w14:val="tx1"/>
                  </w14:solidFill>
                </w14:textFill>
              </w:rPr>
              <w:t>24</w:t>
            </w:r>
            <w:r>
              <w:rPr>
                <w:rFonts w:hint="eastAsia" w:ascii="Times New Roman" w:hAnsi="Times New Roman" w:eastAsia="宋体" w:cs="Times New Roman"/>
                <w:color w:val="000000" w:themeColor="text1"/>
                <w:lang w:val="en-US" w:eastAsia="zh-CN"/>
                <w14:textFill>
                  <w14:solidFill>
                    <w14:schemeClr w14:val="tx1"/>
                  </w14:solidFill>
                </w14:textFill>
              </w:rPr>
              <w:t>t</w:t>
            </w:r>
            <w:r>
              <w:rPr>
                <w:rFonts w:hint="eastAsia" w:ascii="Times New Roman" w:hAnsi="Times New Roman" w:eastAsia="宋体" w:cs="Times New Roman"/>
                <w:color w:val="000000" w:themeColor="text1"/>
                <w14:textFill>
                  <w14:solidFill>
                    <w14:schemeClr w14:val="tx1"/>
                  </w14:solidFill>
                </w14:textFill>
              </w:rPr>
              <w:t>/a，故需加入</w:t>
            </w:r>
            <w:r>
              <w:rPr>
                <w:rFonts w:hint="eastAsia" w:cs="Times New Roman"/>
                <w:color w:val="000000" w:themeColor="text1"/>
                <w:lang w:val="en-US" w:eastAsia="zh-CN"/>
                <w14:textFill>
                  <w14:solidFill>
                    <w14:schemeClr w14:val="tx1"/>
                  </w14:solidFill>
                </w14:textFill>
              </w:rPr>
              <w:t>0.072</w:t>
            </w:r>
            <w:r>
              <w:rPr>
                <w:rFonts w:hint="eastAsia" w:ascii="Times New Roman" w:hAnsi="Times New Roman" w:eastAsia="宋体" w:cs="Times New Roman"/>
                <w:color w:val="000000" w:themeColor="text1"/>
                <w14:textFill>
                  <w14:solidFill>
                    <w14:schemeClr w14:val="tx1"/>
                  </w14:solidFill>
                </w14:textFill>
              </w:rPr>
              <w:t>t水进行配置，该部分水全部蒸发，无废水产生。</w:t>
            </w:r>
          </w:p>
          <w:p w14:paraId="4E4A74BC">
            <w:pPr>
              <w:pStyle w:val="35"/>
              <w:ind w:firstLine="480"/>
              <w:rPr>
                <w:rFonts w:hint="eastAsia"/>
                <w:u w:val="none" w:color="auto"/>
              </w:rPr>
            </w:pPr>
            <w:r>
              <w:rPr>
                <w:rFonts w:hint="eastAsia"/>
                <w:u w:val="none" w:color="auto"/>
                <w:lang w:val="en-US" w:eastAsia="zh-CN"/>
              </w:rPr>
              <w:t>4）</w:t>
            </w:r>
            <w:r>
              <w:rPr>
                <w:rFonts w:hint="eastAsia"/>
                <w:u w:val="none" w:color="auto"/>
              </w:rPr>
              <w:t>原料带入水</w:t>
            </w:r>
          </w:p>
          <w:p w14:paraId="62A17B73">
            <w:pPr>
              <w:pStyle w:val="35"/>
              <w:ind w:firstLine="480"/>
              <w:rPr>
                <w:rFonts w:hint="eastAsia"/>
                <w:u w:val="none" w:color="auto"/>
              </w:rPr>
            </w:pPr>
            <w:r>
              <w:rPr>
                <w:rFonts w:hint="eastAsia"/>
                <w:u w:val="none" w:color="auto"/>
              </w:rPr>
              <w:t>根据建设单位提供资料，本项目楠竹原料含水率约为35%，各产品含水率约为8%，其他水分在杀菌、烘干工序蒸发损耗。本项目楠竹原料年用量为</w:t>
            </w:r>
            <w:r>
              <w:rPr>
                <w:rFonts w:hint="eastAsia"/>
                <w:u w:val="none" w:color="auto"/>
                <w:lang w:val="en-US" w:eastAsia="zh-CN"/>
              </w:rPr>
              <w:t>3775.25t/a</w:t>
            </w:r>
            <w:r>
              <w:rPr>
                <w:rFonts w:hint="eastAsia"/>
                <w:u w:val="none" w:color="auto"/>
              </w:rPr>
              <w:t>，则原料带入水量为</w:t>
            </w:r>
            <w:r>
              <w:rPr>
                <w:rFonts w:hint="eastAsia"/>
                <w:u w:val="none" w:color="auto"/>
                <w:lang w:val="en-US" w:eastAsia="zh-CN"/>
              </w:rPr>
              <w:t>1321.34</w:t>
            </w:r>
            <w:r>
              <w:rPr>
                <w:rFonts w:hint="eastAsia"/>
                <w:u w:val="none" w:color="auto"/>
              </w:rPr>
              <w:t>m</w:t>
            </w:r>
            <w:r>
              <w:rPr>
                <w:rFonts w:hint="eastAsia"/>
                <w:u w:val="none" w:color="auto"/>
                <w:vertAlign w:val="superscript"/>
              </w:rPr>
              <w:t>3</w:t>
            </w:r>
            <w:r>
              <w:rPr>
                <w:rFonts w:hint="eastAsia"/>
                <w:u w:val="none" w:color="auto"/>
              </w:rPr>
              <w:t>/a，其中</w:t>
            </w:r>
            <w:r>
              <w:rPr>
                <w:rFonts w:hint="eastAsia"/>
                <w:u w:val="none" w:color="auto"/>
                <w:lang w:val="en-US" w:eastAsia="zh-CN"/>
              </w:rPr>
              <w:t>1019.32</w:t>
            </w:r>
            <w:r>
              <w:rPr>
                <w:rFonts w:hint="eastAsia"/>
                <w:u w:val="none" w:color="auto"/>
              </w:rPr>
              <w:t>m</w:t>
            </w:r>
            <w:r>
              <w:rPr>
                <w:rFonts w:hint="eastAsia"/>
                <w:u w:val="none" w:color="auto"/>
                <w:vertAlign w:val="superscript"/>
              </w:rPr>
              <w:t>3</w:t>
            </w:r>
            <w:r>
              <w:rPr>
                <w:rFonts w:hint="eastAsia"/>
                <w:u w:val="none" w:color="auto"/>
              </w:rPr>
              <w:t>/a原料水蒸发损耗，剩余</w:t>
            </w:r>
            <w:r>
              <w:rPr>
                <w:rFonts w:hint="eastAsia"/>
                <w:u w:val="none" w:color="auto"/>
                <w:lang w:val="en-US" w:eastAsia="zh-CN"/>
              </w:rPr>
              <w:t>302.02</w:t>
            </w:r>
            <w:r>
              <w:rPr>
                <w:rFonts w:hint="eastAsia"/>
                <w:u w:val="none" w:color="auto"/>
              </w:rPr>
              <w:t>m</w:t>
            </w:r>
            <w:r>
              <w:rPr>
                <w:rFonts w:hint="eastAsia"/>
                <w:u w:val="none" w:color="auto"/>
                <w:vertAlign w:val="superscript"/>
              </w:rPr>
              <w:t>3</w:t>
            </w:r>
            <w:r>
              <w:rPr>
                <w:rFonts w:hint="eastAsia"/>
                <w:u w:val="none" w:color="auto"/>
              </w:rPr>
              <w:t>/a水留存在产品中。</w:t>
            </w:r>
          </w:p>
          <w:p w14:paraId="42B7BD06">
            <w:pPr>
              <w:pStyle w:val="35"/>
              <w:ind w:firstLine="480"/>
              <w:rPr>
                <w:rFonts w:hint="default" w:eastAsia="宋体"/>
                <w:color w:val="000000" w:themeColor="text1"/>
                <w:u w:val="single" w:color="auto"/>
                <w:lang w:val="en-US" w:eastAsia="zh-CN"/>
                <w14:textFill>
                  <w14:solidFill>
                    <w14:schemeClr w14:val="tx1"/>
                  </w14:solidFill>
                </w14:textFill>
              </w:rPr>
            </w:pPr>
            <w:r>
              <w:rPr>
                <w:rFonts w:hint="eastAsia"/>
                <w:u w:val="single" w:color="auto"/>
                <w:lang w:val="en-US" w:eastAsia="zh-CN"/>
              </w:rPr>
              <w:t>5）</w:t>
            </w:r>
            <w:r>
              <w:rPr>
                <w:rFonts w:hint="eastAsia"/>
                <w:color w:val="000000" w:themeColor="text1"/>
                <w:u w:val="single" w:color="auto"/>
                <w:lang w:val="en-US" w:eastAsia="zh-CN"/>
                <w14:textFill>
                  <w14:solidFill>
                    <w14:schemeClr w14:val="tx1"/>
                  </w14:solidFill>
                </w14:textFill>
              </w:rPr>
              <w:t>水膜除尘用水</w:t>
            </w:r>
          </w:p>
          <w:p w14:paraId="0916344C">
            <w:pPr>
              <w:pStyle w:val="35"/>
              <w:ind w:firstLine="480"/>
              <w:rPr>
                <w:rFonts w:hint="eastAsia"/>
                <w:color w:val="000000" w:themeColor="text1"/>
                <w:u w:val="single" w:color="auto"/>
                <w14:textFill>
                  <w14:solidFill>
                    <w14:schemeClr w14:val="tx1"/>
                  </w14:solidFill>
                </w14:textFill>
              </w:rPr>
            </w:pPr>
            <w:r>
              <w:rPr>
                <w:rFonts w:hint="eastAsia"/>
                <w:color w:val="000000" w:themeColor="text1"/>
                <w:u w:val="single" w:color="auto"/>
                <w14:textFill>
                  <w14:solidFill>
                    <w14:schemeClr w14:val="tx1"/>
                  </w14:solidFill>
                </w14:textFill>
              </w:rPr>
              <w:t>项目水膜除尘用水量为</w:t>
            </w:r>
            <w:r>
              <w:rPr>
                <w:rFonts w:hint="eastAsia"/>
                <w:color w:val="000000" w:themeColor="text1"/>
                <w:u w:val="single" w:color="auto"/>
                <w:lang w:val="en-US" w:eastAsia="zh-CN"/>
                <w14:textFill>
                  <w14:solidFill>
                    <w14:schemeClr w14:val="tx1"/>
                  </w14:solidFill>
                </w14:textFill>
              </w:rPr>
              <w:t>15</w:t>
            </w:r>
            <w:r>
              <w:rPr>
                <w:rFonts w:hint="eastAsia"/>
                <w:color w:val="000000" w:themeColor="text1"/>
                <w:u w:val="single" w:color="auto"/>
                <w14:textFill>
                  <w14:solidFill>
                    <w14:schemeClr w14:val="tx1"/>
                  </w14:solidFill>
                </w14:textFill>
              </w:rPr>
              <w:t>m</w:t>
            </w:r>
            <w:r>
              <w:rPr>
                <w:rFonts w:hint="eastAsia"/>
                <w:color w:val="000000" w:themeColor="text1"/>
                <w:u w:val="single" w:color="auto"/>
                <w:vertAlign w:val="superscript"/>
                <w14:textFill>
                  <w14:solidFill>
                    <w14:schemeClr w14:val="tx1"/>
                  </w14:solidFill>
                </w14:textFill>
              </w:rPr>
              <w:t>3</w:t>
            </w:r>
            <w:r>
              <w:rPr>
                <w:rFonts w:hint="eastAsia"/>
                <w:color w:val="000000" w:themeColor="text1"/>
                <w:u w:val="single" w:color="auto"/>
                <w14:textFill>
                  <w14:solidFill>
                    <w14:schemeClr w14:val="tx1"/>
                  </w14:solidFill>
                </w14:textFill>
              </w:rPr>
              <w:t>/d，损耗蒸发量按15%计，则耗损量为</w:t>
            </w:r>
            <w:r>
              <w:rPr>
                <w:rFonts w:hint="eastAsia"/>
                <w:color w:val="000000" w:themeColor="text1"/>
                <w:u w:val="single" w:color="auto"/>
                <w:lang w:val="en-US" w:eastAsia="zh-CN"/>
                <w14:textFill>
                  <w14:solidFill>
                    <w14:schemeClr w14:val="tx1"/>
                  </w14:solidFill>
                </w14:textFill>
              </w:rPr>
              <w:t>2.25</w:t>
            </w:r>
            <w:r>
              <w:rPr>
                <w:rFonts w:hint="eastAsia"/>
                <w:color w:val="000000" w:themeColor="text1"/>
                <w:u w:val="single" w:color="auto"/>
                <w14:textFill>
                  <w14:solidFill>
                    <w14:schemeClr w14:val="tx1"/>
                  </w14:solidFill>
                </w14:textFill>
              </w:rPr>
              <w:t>m</w:t>
            </w:r>
            <w:r>
              <w:rPr>
                <w:rFonts w:hint="eastAsia"/>
                <w:color w:val="000000" w:themeColor="text1"/>
                <w:u w:val="single" w:color="auto"/>
                <w:vertAlign w:val="superscript"/>
                <w14:textFill>
                  <w14:solidFill>
                    <w14:schemeClr w14:val="tx1"/>
                  </w14:solidFill>
                </w14:textFill>
              </w:rPr>
              <w:t>3</w:t>
            </w:r>
            <w:r>
              <w:rPr>
                <w:rFonts w:hint="eastAsia"/>
                <w:color w:val="000000" w:themeColor="text1"/>
                <w:u w:val="single" w:color="auto"/>
                <w14:textFill>
                  <w14:solidFill>
                    <w14:schemeClr w14:val="tx1"/>
                  </w14:solidFill>
                </w14:textFill>
              </w:rPr>
              <w:t>/d</w:t>
            </w:r>
            <w:r>
              <w:rPr>
                <w:rFonts w:hint="eastAsia"/>
                <w:color w:val="000000" w:themeColor="text1"/>
                <w:u w:val="single" w:color="auto"/>
                <w:lang w:eastAsia="zh-CN"/>
                <w14:textFill>
                  <w14:solidFill>
                    <w14:schemeClr w14:val="tx1"/>
                  </w14:solidFill>
                </w14:textFill>
              </w:rPr>
              <w:t>（</w:t>
            </w:r>
            <w:r>
              <w:rPr>
                <w:rFonts w:hint="eastAsia"/>
                <w:color w:val="000000" w:themeColor="text1"/>
                <w:u w:val="single" w:color="auto"/>
                <w:lang w:val="en-US" w:eastAsia="zh-CN"/>
                <w14:textFill>
                  <w14:solidFill>
                    <w14:schemeClr w14:val="tx1"/>
                  </w14:solidFill>
                </w14:textFill>
              </w:rPr>
              <w:t>360</w:t>
            </w:r>
            <w:r>
              <w:rPr>
                <w:rFonts w:hint="eastAsia"/>
                <w:color w:val="000000" w:themeColor="text1"/>
                <w:u w:val="single" w:color="auto"/>
                <w14:textFill>
                  <w14:solidFill>
                    <w14:schemeClr w14:val="tx1"/>
                  </w14:solidFill>
                </w14:textFill>
              </w:rPr>
              <w:t>m</w:t>
            </w:r>
            <w:r>
              <w:rPr>
                <w:rFonts w:hint="eastAsia"/>
                <w:color w:val="000000" w:themeColor="text1"/>
                <w:u w:val="single" w:color="auto"/>
                <w:vertAlign w:val="superscript"/>
                <w14:textFill>
                  <w14:solidFill>
                    <w14:schemeClr w14:val="tx1"/>
                  </w14:solidFill>
                </w14:textFill>
              </w:rPr>
              <w:t>3</w:t>
            </w:r>
            <w:r>
              <w:rPr>
                <w:rFonts w:hint="eastAsia"/>
                <w:color w:val="000000" w:themeColor="text1"/>
                <w:u w:val="single" w:color="auto"/>
                <w14:textFill>
                  <w14:solidFill>
                    <w14:schemeClr w14:val="tx1"/>
                  </w14:solidFill>
                </w14:textFill>
              </w:rPr>
              <w:t>/a</w:t>
            </w:r>
            <w:r>
              <w:rPr>
                <w:rFonts w:hint="eastAsia"/>
                <w:color w:val="000000" w:themeColor="text1"/>
                <w:u w:val="single" w:color="auto"/>
                <w:lang w:eastAsia="zh-CN"/>
                <w14:textFill>
                  <w14:solidFill>
                    <w14:schemeClr w14:val="tx1"/>
                  </w14:solidFill>
                </w14:textFill>
              </w:rPr>
              <w:t>）</w:t>
            </w:r>
            <w:r>
              <w:rPr>
                <w:rFonts w:hint="eastAsia"/>
                <w:color w:val="000000" w:themeColor="text1"/>
                <w:u w:val="single" w:color="auto"/>
                <w14:textFill>
                  <w14:solidFill>
                    <w14:schemeClr w14:val="tx1"/>
                  </w14:solidFill>
                </w14:textFill>
              </w:rPr>
              <w:t>，其余</w:t>
            </w:r>
            <w:r>
              <w:rPr>
                <w:rFonts w:hint="eastAsia"/>
                <w:color w:val="000000" w:themeColor="text1"/>
                <w:u w:val="single" w:color="auto"/>
                <w:lang w:val="en-US" w:eastAsia="zh-CN"/>
                <w14:textFill>
                  <w14:solidFill>
                    <w14:schemeClr w14:val="tx1"/>
                  </w14:solidFill>
                </w14:textFill>
              </w:rPr>
              <w:t>12.75</w:t>
            </w:r>
            <w:r>
              <w:rPr>
                <w:rFonts w:hint="eastAsia"/>
                <w:color w:val="000000" w:themeColor="text1"/>
                <w:u w:val="single" w:color="auto"/>
                <w14:textFill>
                  <w14:solidFill>
                    <w14:schemeClr w14:val="tx1"/>
                  </w14:solidFill>
                </w14:textFill>
              </w:rPr>
              <w:t>m</w:t>
            </w:r>
            <w:r>
              <w:rPr>
                <w:rFonts w:hint="eastAsia"/>
                <w:color w:val="000000" w:themeColor="text1"/>
                <w:u w:val="single" w:color="auto"/>
                <w:vertAlign w:val="superscript"/>
                <w14:textFill>
                  <w14:solidFill>
                    <w14:schemeClr w14:val="tx1"/>
                  </w14:solidFill>
                </w14:textFill>
              </w:rPr>
              <w:t>3</w:t>
            </w:r>
            <w:r>
              <w:rPr>
                <w:rFonts w:hint="eastAsia"/>
                <w:color w:val="000000" w:themeColor="text1"/>
                <w:u w:val="single" w:color="auto"/>
                <w14:textFill>
                  <w14:solidFill>
                    <w14:schemeClr w14:val="tx1"/>
                  </w14:solidFill>
                </w14:textFill>
              </w:rPr>
              <w:t>/d</w:t>
            </w:r>
            <w:r>
              <w:rPr>
                <w:rFonts w:hint="eastAsia"/>
                <w:color w:val="000000" w:themeColor="text1"/>
                <w:u w:val="single" w:color="auto"/>
                <w:lang w:eastAsia="zh-CN"/>
                <w14:textFill>
                  <w14:solidFill>
                    <w14:schemeClr w14:val="tx1"/>
                  </w14:solidFill>
                </w14:textFill>
              </w:rPr>
              <w:t>（</w:t>
            </w:r>
            <w:r>
              <w:rPr>
                <w:rFonts w:hint="eastAsia"/>
                <w:color w:val="000000" w:themeColor="text1"/>
                <w:u w:val="single" w:color="auto"/>
                <w:lang w:val="en-US" w:eastAsia="zh-CN"/>
                <w14:textFill>
                  <w14:solidFill>
                    <w14:schemeClr w14:val="tx1"/>
                  </w14:solidFill>
                </w14:textFill>
              </w:rPr>
              <w:t>2040</w:t>
            </w:r>
            <w:r>
              <w:rPr>
                <w:rFonts w:hint="eastAsia"/>
                <w:color w:val="000000" w:themeColor="text1"/>
                <w:u w:val="single" w:color="auto"/>
                <w14:textFill>
                  <w14:solidFill>
                    <w14:schemeClr w14:val="tx1"/>
                  </w14:solidFill>
                </w14:textFill>
              </w:rPr>
              <w:t>m</w:t>
            </w:r>
            <w:r>
              <w:rPr>
                <w:rFonts w:hint="eastAsia"/>
                <w:color w:val="000000" w:themeColor="text1"/>
                <w:u w:val="single" w:color="auto"/>
                <w:vertAlign w:val="superscript"/>
                <w14:textFill>
                  <w14:solidFill>
                    <w14:schemeClr w14:val="tx1"/>
                  </w14:solidFill>
                </w14:textFill>
              </w:rPr>
              <w:t>3</w:t>
            </w:r>
            <w:r>
              <w:rPr>
                <w:rFonts w:hint="eastAsia"/>
                <w:color w:val="000000" w:themeColor="text1"/>
                <w:u w:val="single" w:color="auto"/>
                <w14:textFill>
                  <w14:solidFill>
                    <w14:schemeClr w14:val="tx1"/>
                  </w14:solidFill>
                </w14:textFill>
              </w:rPr>
              <w:t>/a</w:t>
            </w:r>
            <w:r>
              <w:rPr>
                <w:rFonts w:hint="eastAsia"/>
                <w:color w:val="000000" w:themeColor="text1"/>
                <w:u w:val="single" w:color="auto"/>
                <w:lang w:eastAsia="zh-CN"/>
                <w14:textFill>
                  <w14:solidFill>
                    <w14:schemeClr w14:val="tx1"/>
                  </w14:solidFill>
                </w14:textFill>
              </w:rPr>
              <w:t>）</w:t>
            </w:r>
            <w:r>
              <w:rPr>
                <w:rFonts w:hint="eastAsia"/>
                <w:color w:val="000000" w:themeColor="text1"/>
                <w:u w:val="single" w:color="auto"/>
                <w14:textFill>
                  <w14:solidFill>
                    <w14:schemeClr w14:val="tx1"/>
                  </w14:solidFill>
                </w14:textFill>
              </w:rPr>
              <w:t>经沉淀后循环使用，不外排。故补充</w:t>
            </w:r>
            <w:r>
              <w:rPr>
                <w:rFonts w:hint="eastAsia"/>
                <w:color w:val="000000" w:themeColor="text1"/>
                <w:u w:val="single" w:color="auto"/>
                <w:lang w:val="en-US" w:eastAsia="zh-CN"/>
                <w14:textFill>
                  <w14:solidFill>
                    <w14:schemeClr w14:val="tx1"/>
                  </w14:solidFill>
                </w14:textFill>
              </w:rPr>
              <w:t>水</w:t>
            </w:r>
            <w:r>
              <w:rPr>
                <w:rFonts w:hint="eastAsia"/>
                <w:color w:val="000000" w:themeColor="text1"/>
                <w:u w:val="single" w:color="auto"/>
                <w14:textFill>
                  <w14:solidFill>
                    <w14:schemeClr w14:val="tx1"/>
                  </w14:solidFill>
                </w14:textFill>
              </w:rPr>
              <w:t>量为</w:t>
            </w:r>
            <w:r>
              <w:rPr>
                <w:rFonts w:hint="eastAsia"/>
                <w:color w:val="000000" w:themeColor="text1"/>
                <w:u w:val="single" w:color="auto"/>
                <w:lang w:val="en-US" w:eastAsia="zh-CN"/>
                <w14:textFill>
                  <w14:solidFill>
                    <w14:schemeClr w14:val="tx1"/>
                  </w14:solidFill>
                </w14:textFill>
              </w:rPr>
              <w:t>2.25</w:t>
            </w:r>
            <w:r>
              <w:rPr>
                <w:rFonts w:hint="eastAsia"/>
                <w:color w:val="000000" w:themeColor="text1"/>
                <w:u w:val="single" w:color="auto"/>
                <w14:textFill>
                  <w14:solidFill>
                    <w14:schemeClr w14:val="tx1"/>
                  </w14:solidFill>
                </w14:textFill>
              </w:rPr>
              <w:t>m</w:t>
            </w:r>
            <w:r>
              <w:rPr>
                <w:rFonts w:hint="eastAsia"/>
                <w:color w:val="000000" w:themeColor="text1"/>
                <w:u w:val="single" w:color="auto"/>
                <w:vertAlign w:val="superscript"/>
                <w14:textFill>
                  <w14:solidFill>
                    <w14:schemeClr w14:val="tx1"/>
                  </w14:solidFill>
                </w14:textFill>
              </w:rPr>
              <w:t>3</w:t>
            </w:r>
            <w:r>
              <w:rPr>
                <w:rFonts w:hint="eastAsia"/>
                <w:color w:val="000000" w:themeColor="text1"/>
                <w:u w:val="single" w:color="auto"/>
                <w14:textFill>
                  <w14:solidFill>
                    <w14:schemeClr w14:val="tx1"/>
                  </w14:solidFill>
                </w14:textFill>
              </w:rPr>
              <w:t>/d，</w:t>
            </w:r>
            <w:r>
              <w:rPr>
                <w:rFonts w:hint="eastAsia"/>
                <w:color w:val="000000" w:themeColor="text1"/>
                <w:u w:val="single" w:color="auto"/>
                <w:lang w:val="en-US" w:eastAsia="zh-CN"/>
                <w14:textFill>
                  <w14:solidFill>
                    <w14:schemeClr w14:val="tx1"/>
                  </w14:solidFill>
                </w14:textFill>
              </w:rPr>
              <w:t>360</w:t>
            </w:r>
            <w:r>
              <w:rPr>
                <w:rFonts w:hint="eastAsia"/>
                <w:color w:val="000000" w:themeColor="text1"/>
                <w:u w:val="single" w:color="auto"/>
                <w14:textFill>
                  <w14:solidFill>
                    <w14:schemeClr w14:val="tx1"/>
                  </w14:solidFill>
                </w14:textFill>
              </w:rPr>
              <w:t>m</w:t>
            </w:r>
            <w:r>
              <w:rPr>
                <w:rFonts w:hint="eastAsia"/>
                <w:color w:val="000000" w:themeColor="text1"/>
                <w:u w:val="single" w:color="auto"/>
                <w:vertAlign w:val="superscript"/>
                <w14:textFill>
                  <w14:solidFill>
                    <w14:schemeClr w14:val="tx1"/>
                  </w14:solidFill>
                </w14:textFill>
              </w:rPr>
              <w:t>3</w:t>
            </w:r>
            <w:r>
              <w:rPr>
                <w:rFonts w:hint="eastAsia"/>
                <w:color w:val="000000" w:themeColor="text1"/>
                <w:u w:val="single" w:color="auto"/>
                <w14:textFill>
                  <w14:solidFill>
                    <w14:schemeClr w14:val="tx1"/>
                  </w14:solidFill>
                </w14:textFill>
              </w:rPr>
              <w:t>/a。</w:t>
            </w:r>
          </w:p>
          <w:p w14:paraId="183D08C5">
            <w:pPr>
              <w:pStyle w:val="35"/>
              <w:ind w:firstLine="480"/>
              <w:rPr>
                <w:rFonts w:hint="eastAsia"/>
                <w:color w:val="000000" w:themeColor="text1"/>
                <w:u w:val="single" w:color="auto"/>
                <w:lang w:val="en-US" w:eastAsia="zh-CN"/>
                <w14:textFill>
                  <w14:solidFill>
                    <w14:schemeClr w14:val="tx1"/>
                  </w14:solidFill>
                </w14:textFill>
              </w:rPr>
            </w:pPr>
            <w:r>
              <w:rPr>
                <w:rFonts w:hint="eastAsia"/>
                <w:u w:val="single" w:color="auto"/>
                <w:lang w:val="en-US" w:eastAsia="zh-CN"/>
              </w:rPr>
              <w:t>6）</w:t>
            </w:r>
            <w:r>
              <w:rPr>
                <w:rFonts w:hint="eastAsia"/>
                <w:color w:val="000000" w:themeColor="text1"/>
                <w:u w:val="single" w:color="auto"/>
                <w:lang w:val="en-US" w:eastAsia="zh-CN"/>
                <w14:textFill>
                  <w14:solidFill>
                    <w14:schemeClr w14:val="tx1"/>
                  </w14:solidFill>
                </w14:textFill>
              </w:rPr>
              <w:t>蒸汽杀菌锅冷凝水</w:t>
            </w:r>
          </w:p>
          <w:p w14:paraId="05FBF316">
            <w:pPr>
              <w:pStyle w:val="35"/>
              <w:ind w:firstLine="480"/>
              <w:rPr>
                <w:rFonts w:hint="eastAsia" w:eastAsia="宋体"/>
                <w:color w:val="000000" w:themeColor="text1"/>
                <w:u w:val="single" w:color="auto"/>
                <w:lang w:val="en-US" w:eastAsia="zh-CN"/>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根据业主提供的资料，约40%蒸汽用于竹筷生产线蒸汽杀菌，即5t/d（800t/a），杀菌后半成品带出部分量，蒸汽损耗按45%计，则蒸汽冷凝水量为2.75t/d（440t/a）。</w:t>
            </w:r>
          </w:p>
          <w:p w14:paraId="26AD9F63">
            <w:pPr>
              <w:pStyle w:val="35"/>
              <w:ind w:firstLine="480"/>
              <w:rPr>
                <w:u w:val="single" w:color="auto"/>
              </w:rPr>
            </w:pPr>
            <w:r>
              <w:rPr>
                <w:rFonts w:hint="eastAsia"/>
                <w:u w:val="single" w:color="auto"/>
              </w:rPr>
              <w:t>（2）排水工程</w:t>
            </w:r>
          </w:p>
          <w:p w14:paraId="1A69E8F3">
            <w:pPr>
              <w:pStyle w:val="35"/>
              <w:ind w:firstLine="480"/>
              <w:rPr>
                <w:rFonts w:hint="default" w:eastAsia="宋体"/>
                <w:u w:val="single" w:color="auto"/>
                <w:lang w:val="en-US" w:eastAsia="zh-CN"/>
              </w:rPr>
            </w:pPr>
            <w:r>
              <w:rPr>
                <w:rFonts w:hint="eastAsia"/>
                <w:u w:val="single" w:color="auto"/>
              </w:rPr>
              <w:t>本项目采用雨污分流排水机制，雨水通过雨水沟排入周边沟渠；</w:t>
            </w:r>
            <w:r>
              <w:rPr>
                <w:rFonts w:hint="eastAsia"/>
                <w:color w:val="000000" w:themeColor="text1"/>
                <w:u w:val="single" w:color="auto"/>
                <w14:textFill>
                  <w14:solidFill>
                    <w14:schemeClr w14:val="tx1"/>
                  </w14:solidFill>
                </w14:textFill>
              </w:rPr>
              <w:t>锅炉排污水和软水制备废水</w:t>
            </w:r>
            <w:r>
              <w:rPr>
                <w:rFonts w:hint="eastAsia"/>
                <w:color w:val="000000" w:themeColor="text1"/>
                <w:u w:val="single" w:color="auto"/>
                <w:lang w:val="en-US" w:eastAsia="zh-CN"/>
                <w14:textFill>
                  <w14:solidFill>
                    <w14:schemeClr w14:val="tx1"/>
                  </w14:solidFill>
                </w14:textFill>
              </w:rPr>
              <w:t>收集后用于水膜除尘补充用水；蒸汽杀菌锅冷凝水收集后部分用于水膜除尘补充用水，部分用于厂区洒水降尘</w:t>
            </w:r>
            <w:r>
              <w:rPr>
                <w:rFonts w:hint="eastAsia"/>
                <w:u w:val="single" w:color="auto"/>
                <w:lang w:val="en-US" w:eastAsia="zh-CN"/>
              </w:rPr>
              <w:t>；生活污水经化粪池处理后用作周边菜地施肥，不外排。</w:t>
            </w:r>
          </w:p>
          <w:p w14:paraId="723EF814">
            <w:pPr>
              <w:pStyle w:val="35"/>
              <w:ind w:firstLine="482"/>
              <w:rPr>
                <w:rFonts w:hint="eastAsia"/>
                <w:b w:val="0"/>
                <w:bCs w:val="0"/>
                <w:u w:val="none" w:color="auto"/>
              </w:rPr>
            </w:pPr>
            <w:r>
              <w:rPr>
                <w:rFonts w:hint="eastAsia"/>
                <w:u w:val="none" w:color="auto"/>
              </w:rPr>
              <w:t>锅炉排污水和软水制备废水：根据《排放源统计调查产排污核算方法和系数手册》中《锅炉产排污量核算系数手册》生物质锅炉内排污水+软化处理废水的量为0.356t/t原料，则废水产生量为</w:t>
            </w:r>
            <w:r>
              <w:rPr>
                <w:rFonts w:hint="eastAsia"/>
                <w:u w:val="none" w:color="auto"/>
                <w:lang w:val="en-US" w:eastAsia="zh-CN"/>
              </w:rPr>
              <w:t>124.6</w:t>
            </w:r>
            <w:r>
              <w:rPr>
                <w:rFonts w:hint="eastAsia"/>
                <w:u w:val="none" w:color="auto"/>
              </w:rPr>
              <w:t>m</w:t>
            </w:r>
            <w:r>
              <w:rPr>
                <w:rFonts w:hint="eastAsia"/>
                <w:u w:val="none" w:color="auto"/>
                <w:vertAlign w:val="superscript"/>
              </w:rPr>
              <w:t>3</w:t>
            </w:r>
            <w:r>
              <w:rPr>
                <w:rFonts w:hint="eastAsia"/>
                <w:u w:val="none" w:color="auto"/>
              </w:rPr>
              <w:t>/a，</w:t>
            </w:r>
            <w:r>
              <w:rPr>
                <w:rFonts w:hint="eastAsia"/>
                <w:u w:val="none" w:color="auto"/>
                <w:lang w:val="en-US" w:eastAsia="zh-CN"/>
              </w:rPr>
              <w:t>用于</w:t>
            </w:r>
            <w:r>
              <w:rPr>
                <w:rFonts w:hint="eastAsia"/>
                <w:color w:val="000000" w:themeColor="text1"/>
                <w:u w:val="none" w:color="auto"/>
                <w:lang w:val="en-US" w:eastAsia="zh-CN"/>
                <w14:textFill>
                  <w14:solidFill>
                    <w14:schemeClr w14:val="tx1"/>
                  </w14:solidFill>
                </w14:textFill>
              </w:rPr>
              <w:t>水膜除尘补充用水</w:t>
            </w:r>
            <w:r>
              <w:rPr>
                <w:rFonts w:hint="eastAsia"/>
                <w:u w:val="none" w:color="auto"/>
                <w:lang w:val="en-US" w:eastAsia="zh-CN"/>
              </w:rPr>
              <w:t>，不外排</w:t>
            </w:r>
            <w:r>
              <w:rPr>
                <w:rFonts w:hint="eastAsia"/>
                <w:u w:val="none" w:color="auto"/>
              </w:rPr>
              <w:t>。</w:t>
            </w:r>
          </w:p>
          <w:p w14:paraId="3B09371E">
            <w:pPr>
              <w:pStyle w:val="35"/>
              <w:ind w:left="0" w:leftChars="0" w:right="0" w:rightChars="0" w:firstLine="0" w:firstLineChars="0"/>
              <w:jc w:val="center"/>
              <w:rPr>
                <w:rFonts w:hint="eastAsia"/>
                <w:b/>
                <w:bCs/>
                <w:u w:val="none" w:color="auto"/>
                <w:lang w:val="en-US" w:eastAsia="zh-CN"/>
              </w:rPr>
            </w:pPr>
            <w:r>
              <w:rPr>
                <w:rFonts w:hint="eastAsia"/>
                <w:u w:val="none" w:color="auto"/>
              </w:rPr>
              <w:object>
                <v:shape id="_x0000_i1025" o:spt="75" type="#_x0000_t75" style="height:217.35pt;width:259.8pt;" o:ole="t" filled="f" o:preferrelative="t" stroked="f" coordsize="21600,21600">
                  <v:path/>
                  <v:fill on="f" focussize="0,0"/>
                  <v:stroke on="f"/>
                  <v:imagedata r:id="rId17" o:title=""/>
                  <o:lock v:ext="edit" aspectratio="t"/>
                  <w10:wrap type="none"/>
                  <w10:anchorlock/>
                </v:shape>
                <o:OLEObject Type="Embed" ProgID="Visio.Drawing.11" ShapeID="_x0000_i1025" DrawAspect="Content" ObjectID="_1468075725" r:id="rId16">
                  <o:LockedField>false</o:LockedField>
                </o:OLEObject>
              </w:object>
            </w:r>
          </w:p>
          <w:p w14:paraId="50A5833C">
            <w:pPr>
              <w:pStyle w:val="35"/>
              <w:ind w:left="0" w:leftChars="0" w:right="0" w:rightChars="0" w:firstLine="0" w:firstLineChars="0"/>
              <w:jc w:val="center"/>
              <w:rPr>
                <w:rFonts w:hint="default"/>
                <w:b/>
                <w:bCs/>
                <w:color w:val="000000" w:themeColor="text1"/>
                <w:u w:val="single" w:color="auto"/>
                <w:lang w:val="en-US" w:eastAsia="zh-CN"/>
                <w14:textFill>
                  <w14:solidFill>
                    <w14:schemeClr w14:val="tx1"/>
                  </w14:solidFill>
                </w14:textFill>
              </w:rPr>
            </w:pPr>
            <w:r>
              <w:rPr>
                <w:rFonts w:hint="eastAsia"/>
                <w:b/>
                <w:bCs/>
                <w:color w:val="000000" w:themeColor="text1"/>
                <w:u w:val="single" w:color="auto"/>
                <w:lang w:val="en-US" w:eastAsia="zh-CN"/>
                <w14:textFill>
                  <w14:solidFill>
                    <w14:schemeClr w14:val="tx1"/>
                  </w14:solidFill>
                </w14:textFill>
              </w:rPr>
              <w:t>图2-1  水平衡图（单位：m</w:t>
            </w:r>
            <w:r>
              <w:rPr>
                <w:rFonts w:hint="eastAsia"/>
                <w:b/>
                <w:bCs/>
                <w:color w:val="000000" w:themeColor="text1"/>
                <w:u w:val="single" w:color="auto"/>
                <w:vertAlign w:val="superscript"/>
                <w:lang w:val="en-US" w:eastAsia="zh-CN"/>
                <w14:textFill>
                  <w14:solidFill>
                    <w14:schemeClr w14:val="tx1"/>
                  </w14:solidFill>
                </w14:textFill>
              </w:rPr>
              <w:t>3</w:t>
            </w:r>
            <w:r>
              <w:rPr>
                <w:rFonts w:hint="eastAsia"/>
                <w:b/>
                <w:bCs/>
                <w:color w:val="000000" w:themeColor="text1"/>
                <w:u w:val="single" w:color="auto"/>
                <w:lang w:val="en-US" w:eastAsia="zh-CN"/>
                <w14:textFill>
                  <w14:solidFill>
                    <w14:schemeClr w14:val="tx1"/>
                  </w14:solidFill>
                </w14:textFill>
              </w:rPr>
              <w:t>/a）</w:t>
            </w:r>
          </w:p>
          <w:p w14:paraId="71FCEB4D">
            <w:pPr>
              <w:pStyle w:val="35"/>
              <w:ind w:firstLine="482"/>
              <w:rPr>
                <w:rFonts w:hint="default" w:eastAsia="宋体"/>
                <w:b/>
                <w:bCs/>
                <w:u w:val="none" w:color="auto"/>
                <w:lang w:val="en-US" w:eastAsia="zh-CN"/>
              </w:rPr>
            </w:pPr>
            <w:r>
              <w:rPr>
                <w:rFonts w:hint="eastAsia"/>
                <w:b/>
                <w:bCs/>
                <w:u w:val="none" w:color="auto"/>
                <w:lang w:val="en-US" w:eastAsia="zh-CN"/>
              </w:rPr>
              <w:t>7</w:t>
            </w:r>
            <w:r>
              <w:rPr>
                <w:rFonts w:hint="eastAsia"/>
                <w:b/>
                <w:bCs/>
                <w:u w:val="none" w:color="auto"/>
              </w:rPr>
              <w:t>、劳动</w:t>
            </w:r>
            <w:r>
              <w:rPr>
                <w:rFonts w:hint="eastAsia"/>
                <w:b/>
                <w:bCs/>
                <w:u w:val="none" w:color="auto"/>
                <w:lang w:val="en-US" w:eastAsia="zh-CN"/>
              </w:rPr>
              <w:t>定员及工作制度</w:t>
            </w:r>
          </w:p>
          <w:p w14:paraId="72F407AF">
            <w:pPr>
              <w:pStyle w:val="35"/>
              <w:ind w:firstLine="480"/>
              <w:rPr>
                <w:rFonts w:hint="eastAsia"/>
                <w:u w:val="none" w:color="auto"/>
                <w:lang w:val="en-US" w:eastAsia="zh-CN"/>
              </w:rPr>
            </w:pPr>
            <w:r>
              <w:rPr>
                <w:rFonts w:hint="eastAsia"/>
                <w:u w:val="none" w:color="auto"/>
                <w:lang w:val="en-US" w:eastAsia="zh-CN"/>
              </w:rPr>
              <w:t>劳动定员：</w:t>
            </w:r>
            <w:r>
              <w:rPr>
                <w:rFonts w:hint="eastAsia"/>
                <w:u w:val="none" w:color="auto"/>
              </w:rPr>
              <w:t>本项目职工</w:t>
            </w:r>
            <w:r>
              <w:rPr>
                <w:rFonts w:hint="eastAsia"/>
                <w:u w:val="none" w:color="auto"/>
                <w:lang w:val="en-US" w:eastAsia="zh-CN"/>
              </w:rPr>
              <w:t>15</w:t>
            </w:r>
            <w:r>
              <w:rPr>
                <w:rFonts w:hint="eastAsia"/>
                <w:u w:val="none" w:color="auto"/>
              </w:rPr>
              <w:t>人，</w:t>
            </w:r>
            <w:r>
              <w:rPr>
                <w:rFonts w:hint="eastAsia"/>
                <w:u w:val="none" w:color="auto"/>
                <w:lang w:val="en-US" w:eastAsia="zh-CN"/>
              </w:rPr>
              <w:t>均不在厂区内食宿</w:t>
            </w:r>
          </w:p>
          <w:p w14:paraId="46CFAA5D">
            <w:pPr>
              <w:pStyle w:val="35"/>
              <w:ind w:firstLine="480"/>
              <w:rPr>
                <w:rFonts w:hint="default"/>
                <w:u w:val="none" w:color="auto"/>
                <w:lang w:val="en-US"/>
              </w:rPr>
            </w:pPr>
            <w:r>
              <w:rPr>
                <w:rFonts w:hint="eastAsia"/>
                <w:u w:val="none" w:color="auto"/>
                <w:lang w:val="en-US" w:eastAsia="zh-CN"/>
              </w:rPr>
              <w:t>工作制度：一班制，每班8小时，年工作160天；锅炉运行时间为5小时/天，年运行160天。</w:t>
            </w:r>
          </w:p>
          <w:p w14:paraId="62C844F0">
            <w:pPr>
              <w:pStyle w:val="35"/>
              <w:ind w:firstLine="482"/>
              <w:rPr>
                <w:b/>
                <w:bCs/>
                <w:color w:val="000000" w:themeColor="text1"/>
                <w:u w:val="none" w:color="auto"/>
                <w14:textFill>
                  <w14:solidFill>
                    <w14:schemeClr w14:val="tx1"/>
                  </w14:solidFill>
                </w14:textFill>
              </w:rPr>
            </w:pPr>
            <w:r>
              <w:rPr>
                <w:rFonts w:hint="eastAsia"/>
                <w:b/>
                <w:bCs/>
                <w:color w:val="000000" w:themeColor="text1"/>
                <w:u w:val="none" w:color="auto"/>
                <w:lang w:val="en-US" w:eastAsia="zh-CN"/>
                <w14:textFill>
                  <w14:solidFill>
                    <w14:schemeClr w14:val="tx1"/>
                  </w14:solidFill>
                </w14:textFill>
              </w:rPr>
              <w:t>8</w:t>
            </w:r>
            <w:r>
              <w:rPr>
                <w:rFonts w:hint="eastAsia"/>
                <w:b/>
                <w:bCs/>
                <w:color w:val="000000" w:themeColor="text1"/>
                <w:u w:val="none" w:color="auto"/>
                <w14:textFill>
                  <w14:solidFill>
                    <w14:schemeClr w14:val="tx1"/>
                  </w14:solidFill>
                </w14:textFill>
              </w:rPr>
              <w:t>、总平面布置及其合理性分析</w:t>
            </w:r>
          </w:p>
          <w:p w14:paraId="3596369F">
            <w:pPr>
              <w:pStyle w:val="35"/>
              <w:ind w:firstLine="480"/>
              <w:rPr>
                <w:rFonts w:hint="eastAsia" w:ascii="Times New Roman" w:hAnsi="Times New Roman" w:eastAsia="宋体" w:cs="Times New Roman"/>
                <w:u w:val="none" w:color="auto"/>
              </w:rPr>
            </w:pPr>
            <w:r>
              <w:rPr>
                <w:rFonts w:hint="eastAsia" w:ascii="Times New Roman" w:hAnsi="Times New Roman" w:eastAsia="宋体" w:cs="Times New Roman"/>
                <w:u w:val="none" w:color="auto"/>
              </w:rPr>
              <w:t>本项目位于</w:t>
            </w:r>
            <w:r>
              <w:rPr>
                <w:rFonts w:hint="eastAsia" w:ascii="Times New Roman" w:hAnsi="Times New Roman" w:eastAsia="宋体" w:cs="Times New Roman"/>
                <w:u w:val="none" w:color="auto"/>
                <w:lang w:val="en-US" w:eastAsia="zh-CN"/>
              </w:rPr>
              <w:t>湖南省益阳市赫山区泥江口镇水满村</w:t>
            </w:r>
            <w:r>
              <w:rPr>
                <w:rFonts w:hint="eastAsia" w:ascii="Times New Roman" w:hAnsi="Times New Roman" w:eastAsia="宋体" w:cs="Times New Roman"/>
                <w:u w:val="none" w:color="auto"/>
              </w:rPr>
              <w:t>，</w:t>
            </w:r>
            <w:r>
              <w:rPr>
                <w:rFonts w:hint="eastAsia" w:ascii="Times New Roman" w:hAnsi="Times New Roman" w:eastAsia="宋体" w:cs="Times New Roman"/>
                <w:u w:val="none" w:color="auto"/>
                <w:lang w:val="en-US" w:eastAsia="zh-CN"/>
              </w:rPr>
              <w:t>竹筷生产车间位于厂区东南侧，主要布设开片区、拉丝区、成型区、烘干区、蒸汽杀菌区等；竹条粗加工车间位于厂区西北侧，主要布设断料工序；原料堆放区、成品堆放区位于厂区中部，</w:t>
            </w:r>
            <w:r>
              <w:rPr>
                <w:rFonts w:hint="eastAsia" w:ascii="Times New Roman" w:hAnsi="Times New Roman" w:eastAsia="宋体" w:cs="Times New Roman"/>
                <w:u w:val="none" w:color="auto"/>
              </w:rPr>
              <w:t>一般固废暂存间、危废间生产厂房内</w:t>
            </w:r>
            <w:r>
              <w:rPr>
                <w:rFonts w:hint="eastAsia" w:ascii="Times New Roman" w:hAnsi="Times New Roman" w:eastAsia="宋体" w:cs="Times New Roman"/>
                <w:u w:val="none" w:color="auto"/>
                <w:lang w:val="en-US" w:eastAsia="zh-CN"/>
              </w:rPr>
              <w:t>北</w:t>
            </w:r>
            <w:r>
              <w:rPr>
                <w:rFonts w:hint="eastAsia" w:ascii="Times New Roman" w:hAnsi="Times New Roman" w:eastAsia="宋体" w:cs="Times New Roman"/>
                <w:u w:val="none" w:color="auto"/>
              </w:rPr>
              <w:t>侧</w:t>
            </w:r>
            <w:r>
              <w:rPr>
                <w:rFonts w:hint="eastAsia" w:ascii="Times New Roman" w:hAnsi="Times New Roman" w:eastAsia="宋体" w:cs="Times New Roman"/>
                <w:u w:val="none" w:color="auto"/>
                <w:lang w:eastAsia="zh-CN"/>
              </w:rPr>
              <w:t>。</w:t>
            </w:r>
            <w:r>
              <w:rPr>
                <w:rFonts w:hint="eastAsia" w:ascii="Times New Roman" w:hAnsi="Times New Roman" w:eastAsia="宋体" w:cs="Times New Roman"/>
                <w:u w:val="none" w:color="auto"/>
              </w:rPr>
              <w:t>厂区出入口位于厂区东</w:t>
            </w:r>
            <w:r>
              <w:rPr>
                <w:rFonts w:hint="eastAsia" w:ascii="Times New Roman" w:hAnsi="Times New Roman" w:eastAsia="宋体" w:cs="Times New Roman"/>
                <w:u w:val="none" w:color="auto"/>
                <w:lang w:val="en-US" w:eastAsia="zh-CN"/>
              </w:rPr>
              <w:t>北</w:t>
            </w:r>
            <w:r>
              <w:rPr>
                <w:rFonts w:hint="eastAsia" w:ascii="Times New Roman" w:hAnsi="Times New Roman" w:eastAsia="宋体" w:cs="Times New Roman"/>
                <w:u w:val="none" w:color="auto"/>
              </w:rPr>
              <w:t>侧，厂内道路宽阔，便于运输。企业总平面布置图详见附图2。</w:t>
            </w:r>
          </w:p>
          <w:p w14:paraId="2448C0C1">
            <w:pPr>
              <w:pStyle w:val="35"/>
              <w:ind w:firstLine="480"/>
              <w:rPr>
                <w:rFonts w:hint="eastAsia" w:ascii="Times New Roman" w:hAnsi="Times New Roman" w:eastAsia="宋体" w:cs="Times New Roman"/>
                <w:u w:val="none" w:color="auto"/>
              </w:rPr>
            </w:pPr>
            <w:r>
              <w:rPr>
                <w:rFonts w:hint="eastAsia" w:ascii="Times New Roman" w:hAnsi="Times New Roman" w:eastAsia="宋体" w:cs="Times New Roman"/>
                <w:u w:val="none" w:color="auto"/>
              </w:rPr>
              <w:t>本项目各个生产工序有通道连接，保障各生产环节紧密衔接，工艺流程顺畅，各种设施，工艺、动力路线短捷，工艺流向合理，物料运输方便。</w:t>
            </w:r>
          </w:p>
          <w:p w14:paraId="6B73DE0B">
            <w:pPr>
              <w:pStyle w:val="35"/>
              <w:numPr>
                <w:ilvl w:val="0"/>
                <w:numId w:val="0"/>
              </w:numPr>
              <w:ind w:left="420" w:leftChars="0"/>
              <w:rPr>
                <w:rFonts w:hint="eastAsia" w:ascii="Times New Roman" w:hAnsi="Times New Roman" w:eastAsia="宋体" w:cs="Times New Roman"/>
                <w:b/>
                <w:bCs/>
                <w:u w:val="none" w:color="auto"/>
                <w:lang w:val="en-US" w:eastAsia="zh-CN"/>
              </w:rPr>
            </w:pPr>
            <w:r>
              <w:rPr>
                <w:rFonts w:hint="eastAsia" w:cs="Times New Roman"/>
                <w:b/>
                <w:bCs/>
                <w:u w:val="none" w:color="auto"/>
                <w:lang w:val="en-US" w:eastAsia="zh-CN"/>
              </w:rPr>
              <w:t>9、</w:t>
            </w:r>
            <w:r>
              <w:rPr>
                <w:rFonts w:hint="eastAsia" w:ascii="Times New Roman" w:hAnsi="Times New Roman" w:eastAsia="宋体" w:cs="Times New Roman"/>
                <w:b/>
                <w:bCs/>
                <w:u w:val="none" w:color="auto"/>
                <w:lang w:val="en-US" w:eastAsia="zh-CN"/>
              </w:rPr>
              <w:t>物料平衡</w:t>
            </w:r>
          </w:p>
          <w:p w14:paraId="6EF310C3">
            <w:pPr>
              <w:pStyle w:val="35"/>
              <w:ind w:firstLine="480"/>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lang w:val="en-US" w:eastAsia="zh-CN"/>
              </w:rPr>
              <w:t>根据建设单位提供资料，本项目物料平衡如下表所示。</w:t>
            </w:r>
          </w:p>
          <w:p w14:paraId="763CE140">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u w:val="none" w:color="auto"/>
                <w:lang w:val="en-US" w:eastAsia="zh-CN"/>
              </w:rPr>
            </w:pPr>
            <w:r>
              <w:rPr>
                <w:rFonts w:hint="eastAsia" w:ascii="Times New Roman" w:hAnsi="Times New Roman" w:eastAsia="宋体" w:cs="Times New Roman"/>
                <w:b/>
                <w:bCs/>
                <w:sz w:val="21"/>
                <w:szCs w:val="21"/>
                <w:u w:val="none" w:color="auto"/>
                <w:lang w:val="en-US" w:eastAsia="zh-CN"/>
              </w:rPr>
              <w:t>表2-6  项目物料平衡一览表</w:t>
            </w:r>
          </w:p>
          <w:tbl>
            <w:tblPr>
              <w:tblStyle w:val="28"/>
              <w:tblW w:w="7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1"/>
              <w:gridCol w:w="1571"/>
              <w:gridCol w:w="1572"/>
              <w:gridCol w:w="1572"/>
              <w:gridCol w:w="1572"/>
            </w:tblGrid>
            <w:tr w14:paraId="5539A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42" w:type="dxa"/>
                  <w:gridSpan w:val="2"/>
                  <w:vAlign w:val="center"/>
                </w:tcPr>
                <w:p w14:paraId="0060072A">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输入（t/a）</w:t>
                  </w:r>
                </w:p>
              </w:tc>
              <w:tc>
                <w:tcPr>
                  <w:tcW w:w="4716" w:type="dxa"/>
                  <w:gridSpan w:val="3"/>
                  <w:vAlign w:val="center"/>
                </w:tcPr>
                <w:p w14:paraId="3F0E6E00">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输出（t/a）</w:t>
                  </w:r>
                </w:p>
              </w:tc>
            </w:tr>
            <w:tr w14:paraId="2866C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71" w:type="dxa"/>
                  <w:vAlign w:val="center"/>
                </w:tcPr>
                <w:p w14:paraId="3A52577A">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楠竹</w:t>
                  </w:r>
                </w:p>
              </w:tc>
              <w:tc>
                <w:tcPr>
                  <w:tcW w:w="1571" w:type="dxa"/>
                  <w:vAlign w:val="center"/>
                </w:tcPr>
                <w:p w14:paraId="72D3509F">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3775.25</w:t>
                  </w:r>
                </w:p>
              </w:tc>
              <w:tc>
                <w:tcPr>
                  <w:tcW w:w="1572" w:type="dxa"/>
                  <w:vAlign w:val="center"/>
                </w:tcPr>
                <w:p w14:paraId="1C03C3B9">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产品</w:t>
                  </w:r>
                </w:p>
              </w:tc>
              <w:tc>
                <w:tcPr>
                  <w:tcW w:w="1572" w:type="dxa"/>
                  <w:vAlign w:val="center"/>
                </w:tcPr>
                <w:p w14:paraId="731BE776">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竹筷</w:t>
                  </w:r>
                </w:p>
              </w:tc>
              <w:tc>
                <w:tcPr>
                  <w:tcW w:w="1572" w:type="dxa"/>
                  <w:vAlign w:val="center"/>
                </w:tcPr>
                <w:p w14:paraId="1585D9D5">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2000</w:t>
                  </w:r>
                </w:p>
              </w:tc>
            </w:tr>
            <w:tr w14:paraId="30489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71" w:type="dxa"/>
                  <w:vAlign w:val="center"/>
                </w:tcPr>
                <w:p w14:paraId="18B68752">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p>
              </w:tc>
              <w:tc>
                <w:tcPr>
                  <w:tcW w:w="1571" w:type="dxa"/>
                  <w:vAlign w:val="center"/>
                </w:tcPr>
                <w:p w14:paraId="6859EE70">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p>
              </w:tc>
              <w:tc>
                <w:tcPr>
                  <w:tcW w:w="3144" w:type="dxa"/>
                  <w:gridSpan w:val="2"/>
                  <w:vAlign w:val="center"/>
                </w:tcPr>
                <w:p w14:paraId="52D97BAA">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废边角料及不合格品</w:t>
                  </w:r>
                </w:p>
              </w:tc>
              <w:tc>
                <w:tcPr>
                  <w:tcW w:w="1572" w:type="dxa"/>
                  <w:vAlign w:val="center"/>
                </w:tcPr>
                <w:p w14:paraId="7141087F">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755.05</w:t>
                  </w:r>
                </w:p>
              </w:tc>
            </w:tr>
            <w:tr w14:paraId="7EB6D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71" w:type="dxa"/>
                  <w:vAlign w:val="center"/>
                </w:tcPr>
                <w:p w14:paraId="59282637">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p>
              </w:tc>
              <w:tc>
                <w:tcPr>
                  <w:tcW w:w="1571" w:type="dxa"/>
                  <w:vAlign w:val="center"/>
                </w:tcPr>
                <w:p w14:paraId="0C6DC214">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p>
              </w:tc>
              <w:tc>
                <w:tcPr>
                  <w:tcW w:w="3144" w:type="dxa"/>
                  <w:gridSpan w:val="2"/>
                  <w:vAlign w:val="center"/>
                </w:tcPr>
                <w:p w14:paraId="6E6B77A0">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烘干水分</w:t>
                  </w:r>
                </w:p>
              </w:tc>
              <w:tc>
                <w:tcPr>
                  <w:tcW w:w="1572" w:type="dxa"/>
                  <w:vAlign w:val="center"/>
                </w:tcPr>
                <w:p w14:paraId="213C19E2">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1019.32</w:t>
                  </w:r>
                </w:p>
              </w:tc>
            </w:tr>
            <w:tr w14:paraId="5CD82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71" w:type="dxa"/>
                  <w:vAlign w:val="center"/>
                </w:tcPr>
                <w:p w14:paraId="532D6D0C">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p>
              </w:tc>
              <w:tc>
                <w:tcPr>
                  <w:tcW w:w="1571" w:type="dxa"/>
                  <w:vAlign w:val="center"/>
                </w:tcPr>
                <w:p w14:paraId="681B7815">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p>
              </w:tc>
              <w:tc>
                <w:tcPr>
                  <w:tcW w:w="3144" w:type="dxa"/>
                  <w:gridSpan w:val="2"/>
                  <w:vAlign w:val="center"/>
                </w:tcPr>
                <w:p w14:paraId="0EE8E184">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加工粉尘产生量</w:t>
                  </w:r>
                </w:p>
              </w:tc>
              <w:tc>
                <w:tcPr>
                  <w:tcW w:w="1572" w:type="dxa"/>
                  <w:vAlign w:val="center"/>
                </w:tcPr>
                <w:p w14:paraId="499FFA0E">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0.88</w:t>
                  </w:r>
                </w:p>
              </w:tc>
            </w:tr>
            <w:tr w14:paraId="71147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71" w:type="dxa"/>
                  <w:vAlign w:val="center"/>
                </w:tcPr>
                <w:p w14:paraId="1A51C08F">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p>
              </w:tc>
              <w:tc>
                <w:tcPr>
                  <w:tcW w:w="1571" w:type="dxa"/>
                  <w:vAlign w:val="center"/>
                </w:tcPr>
                <w:p w14:paraId="1D0F6807">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3775.25</w:t>
                  </w:r>
                </w:p>
              </w:tc>
              <w:tc>
                <w:tcPr>
                  <w:tcW w:w="3144" w:type="dxa"/>
                  <w:gridSpan w:val="2"/>
                  <w:vAlign w:val="center"/>
                </w:tcPr>
                <w:p w14:paraId="7117BC4C">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合计</w:t>
                  </w:r>
                </w:p>
              </w:tc>
              <w:tc>
                <w:tcPr>
                  <w:tcW w:w="1572" w:type="dxa"/>
                  <w:vAlign w:val="center"/>
                </w:tcPr>
                <w:p w14:paraId="384287BB">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3775.25</w:t>
                  </w:r>
                </w:p>
              </w:tc>
            </w:tr>
          </w:tbl>
          <w:p w14:paraId="57FF9BE1">
            <w:pPr>
              <w:pStyle w:val="35"/>
              <w:widowControl w:val="0"/>
              <w:numPr>
                <w:ilvl w:val="0"/>
                <w:numId w:val="0"/>
              </w:numPr>
              <w:spacing w:line="360" w:lineRule="auto"/>
              <w:jc w:val="both"/>
              <w:rPr>
                <w:rFonts w:hint="default" w:ascii="Times New Roman" w:hAnsi="Times New Roman" w:eastAsia="宋体" w:cs="Times New Roman"/>
                <w:b/>
                <w:bCs/>
                <w:u w:val="none" w:color="auto"/>
                <w:lang w:val="en-US" w:eastAsia="zh-CN"/>
              </w:rPr>
            </w:pPr>
          </w:p>
          <w:p w14:paraId="54E655C8">
            <w:pPr>
              <w:pStyle w:val="35"/>
              <w:widowControl w:val="0"/>
              <w:numPr>
                <w:ilvl w:val="0"/>
                <w:numId w:val="0"/>
              </w:numPr>
              <w:spacing w:line="360" w:lineRule="auto"/>
              <w:jc w:val="both"/>
              <w:rPr>
                <w:rFonts w:hint="default" w:ascii="Times New Roman" w:hAnsi="Times New Roman" w:eastAsia="宋体" w:cs="Times New Roman"/>
                <w:b/>
                <w:bCs/>
                <w:u w:val="none" w:color="auto"/>
                <w:lang w:val="en-US" w:eastAsia="zh-CN"/>
              </w:rPr>
            </w:pPr>
          </w:p>
          <w:p w14:paraId="6A7EFD86">
            <w:pPr>
              <w:pStyle w:val="35"/>
              <w:widowControl w:val="0"/>
              <w:numPr>
                <w:ilvl w:val="0"/>
                <w:numId w:val="0"/>
              </w:numPr>
              <w:spacing w:line="360" w:lineRule="auto"/>
              <w:jc w:val="both"/>
              <w:rPr>
                <w:rFonts w:hint="default" w:ascii="Times New Roman" w:hAnsi="Times New Roman" w:eastAsia="宋体" w:cs="Times New Roman"/>
                <w:b/>
                <w:bCs/>
                <w:u w:val="none" w:color="auto"/>
                <w:lang w:val="en-US" w:eastAsia="zh-CN"/>
              </w:rPr>
            </w:pPr>
          </w:p>
          <w:p w14:paraId="0EBFFE28">
            <w:pPr>
              <w:pStyle w:val="35"/>
              <w:widowControl w:val="0"/>
              <w:numPr>
                <w:ilvl w:val="0"/>
                <w:numId w:val="0"/>
              </w:numPr>
              <w:spacing w:line="360" w:lineRule="auto"/>
              <w:jc w:val="both"/>
              <w:rPr>
                <w:rFonts w:hint="default" w:ascii="Times New Roman" w:hAnsi="Times New Roman" w:eastAsia="宋体" w:cs="Times New Roman"/>
                <w:b/>
                <w:bCs/>
                <w:u w:val="none" w:color="auto"/>
                <w:lang w:val="en-US" w:eastAsia="zh-CN"/>
              </w:rPr>
            </w:pPr>
          </w:p>
          <w:p w14:paraId="2A8CB467">
            <w:pPr>
              <w:pStyle w:val="35"/>
              <w:widowControl w:val="0"/>
              <w:numPr>
                <w:ilvl w:val="0"/>
                <w:numId w:val="0"/>
              </w:numPr>
              <w:spacing w:line="360" w:lineRule="auto"/>
              <w:jc w:val="both"/>
              <w:rPr>
                <w:rFonts w:hint="default" w:ascii="Times New Roman" w:hAnsi="Times New Roman" w:eastAsia="宋体" w:cs="Times New Roman"/>
                <w:b/>
                <w:bCs/>
                <w:u w:val="none" w:color="auto"/>
                <w:lang w:val="en-US" w:eastAsia="zh-CN"/>
              </w:rPr>
            </w:pPr>
          </w:p>
          <w:p w14:paraId="633027CA">
            <w:pPr>
              <w:pStyle w:val="35"/>
              <w:widowControl w:val="0"/>
              <w:numPr>
                <w:ilvl w:val="0"/>
                <w:numId w:val="0"/>
              </w:numPr>
              <w:spacing w:line="360" w:lineRule="auto"/>
              <w:jc w:val="both"/>
              <w:rPr>
                <w:rFonts w:hint="default" w:ascii="Times New Roman" w:hAnsi="Times New Roman" w:eastAsia="宋体" w:cs="Times New Roman"/>
                <w:b/>
                <w:bCs/>
                <w:u w:val="none" w:color="auto"/>
                <w:lang w:val="en-US" w:eastAsia="zh-CN"/>
              </w:rPr>
            </w:pPr>
          </w:p>
          <w:p w14:paraId="65449729">
            <w:pPr>
              <w:pStyle w:val="35"/>
              <w:widowControl w:val="0"/>
              <w:numPr>
                <w:ilvl w:val="0"/>
                <w:numId w:val="0"/>
              </w:numPr>
              <w:spacing w:line="360" w:lineRule="auto"/>
              <w:jc w:val="both"/>
              <w:rPr>
                <w:rFonts w:hint="default" w:ascii="Times New Roman" w:hAnsi="Times New Roman" w:eastAsia="宋体" w:cs="Times New Roman"/>
                <w:b/>
                <w:bCs/>
                <w:u w:val="none" w:color="auto"/>
                <w:lang w:val="en-US" w:eastAsia="zh-CN"/>
              </w:rPr>
            </w:pPr>
          </w:p>
          <w:p w14:paraId="658B98E2">
            <w:pPr>
              <w:pStyle w:val="35"/>
              <w:widowControl w:val="0"/>
              <w:numPr>
                <w:ilvl w:val="0"/>
                <w:numId w:val="0"/>
              </w:numPr>
              <w:spacing w:line="360" w:lineRule="auto"/>
              <w:jc w:val="both"/>
              <w:rPr>
                <w:rFonts w:hint="default" w:ascii="Times New Roman" w:hAnsi="Times New Roman" w:eastAsia="宋体" w:cs="Times New Roman"/>
                <w:b/>
                <w:bCs/>
                <w:u w:val="none" w:color="auto"/>
                <w:lang w:val="en-US" w:eastAsia="zh-CN"/>
              </w:rPr>
            </w:pPr>
          </w:p>
        </w:tc>
      </w:tr>
      <w:tr w14:paraId="67D42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31A546D8">
            <w:pPr>
              <w:pStyle w:val="36"/>
              <w:rPr>
                <w:u w:val="none" w:color="auto"/>
              </w:rPr>
            </w:pPr>
            <w:r>
              <w:rPr>
                <w:rFonts w:hint="eastAsia"/>
                <w:u w:val="none" w:color="auto"/>
              </w:rPr>
              <w:t>工艺流程和产排污环节</w:t>
            </w:r>
          </w:p>
        </w:tc>
        <w:tc>
          <w:tcPr>
            <w:tcW w:w="8074" w:type="dxa"/>
          </w:tcPr>
          <w:p w14:paraId="782C2F75">
            <w:pPr>
              <w:pStyle w:val="34"/>
              <w:spacing w:before="156"/>
              <w:ind w:firstLine="482" w:firstLineChars="200"/>
              <w:jc w:val="both"/>
              <w:rPr>
                <w:rFonts w:hint="default"/>
                <w:u w:val="none" w:color="auto"/>
                <w:lang w:val="en-US" w:eastAsia="zh-CN"/>
              </w:rPr>
            </w:pPr>
            <w:r>
              <w:rPr>
                <w:rFonts w:hint="eastAsia"/>
                <w:u w:val="none" w:color="auto"/>
                <w:lang w:val="en-US" w:eastAsia="zh-CN"/>
              </w:rPr>
              <w:t>1、施工期</w:t>
            </w:r>
          </w:p>
          <w:p w14:paraId="712C68B6">
            <w:pPr>
              <w:pStyle w:val="34"/>
              <w:spacing w:before="156" w:line="360" w:lineRule="auto"/>
              <w:ind w:firstLine="480" w:firstLineChars="200"/>
              <w:jc w:val="both"/>
              <w:rPr>
                <w:rFonts w:hint="default"/>
                <w:b w:val="0"/>
                <w:bCs/>
                <w:u w:val="none" w:color="auto"/>
                <w:lang w:val="en-US" w:eastAsia="zh-CN"/>
              </w:rPr>
            </w:pPr>
            <w:r>
              <w:rPr>
                <w:rFonts w:hint="eastAsia"/>
                <w:b w:val="0"/>
                <w:bCs/>
                <w:u w:val="none" w:color="auto"/>
                <w:lang w:val="en-US" w:eastAsia="zh-CN"/>
              </w:rPr>
              <w:t>本项目施工主要为设备安装。施工期主要工艺流程及产污环节如下图所示。</w:t>
            </w:r>
          </w:p>
          <w:p w14:paraId="51A4B706">
            <w:pPr>
              <w:pStyle w:val="34"/>
              <w:spacing w:before="156"/>
              <w:ind w:firstLine="482" w:firstLineChars="200"/>
              <w:jc w:val="both"/>
              <w:rPr>
                <w:rFonts w:hint="eastAsia"/>
                <w:u w:val="none" w:color="auto"/>
                <w:lang w:val="en-US" w:eastAsia="zh-CN"/>
              </w:rPr>
            </w:pPr>
            <w:r>
              <w:rPr>
                <w:rFonts w:hint="eastAsia"/>
                <w:u w:val="none" w:color="auto"/>
              </w:rPr>
              <w:object>
                <v:shape id="_x0000_i1026" o:spt="75" type="#_x0000_t75" style="height:75.85pt;width:259.2pt;" o:ole="t" filled="f" o:preferrelative="t" stroked="f" coordsize="21600,21600">
                  <v:path/>
                  <v:fill on="f" focussize="0,0"/>
                  <v:stroke on="f"/>
                  <v:imagedata r:id="rId19" o:title=""/>
                  <o:lock v:ext="edit" aspectratio="t"/>
                  <w10:wrap type="none"/>
                  <w10:anchorlock/>
                </v:shape>
                <o:OLEObject Type="Embed" ProgID="Visio.Drawing.11" ShapeID="_x0000_i1026" DrawAspect="Content" ObjectID="_1468075726" r:id="rId18">
                  <o:LockedField>false</o:LockedField>
                </o:OLEObject>
              </w:object>
            </w:r>
          </w:p>
          <w:p w14:paraId="3D3C9CB9">
            <w:pPr>
              <w:pStyle w:val="34"/>
              <w:spacing w:before="156"/>
              <w:rPr>
                <w:u w:val="none" w:color="auto"/>
              </w:rPr>
            </w:pPr>
            <w:r>
              <w:rPr>
                <w:rFonts w:hint="eastAsia"/>
                <w:u w:val="none" w:color="auto"/>
              </w:rPr>
              <w:t>图2-</w:t>
            </w:r>
            <w:r>
              <w:rPr>
                <w:rFonts w:hint="eastAsia"/>
                <w:u w:val="none" w:color="auto"/>
                <w:lang w:val="en-US" w:eastAsia="zh-CN"/>
              </w:rPr>
              <w:t>2</w:t>
            </w:r>
            <w:r>
              <w:rPr>
                <w:rFonts w:hint="eastAsia"/>
                <w:u w:val="none" w:color="auto"/>
              </w:rPr>
              <w:t xml:space="preserve">  </w:t>
            </w:r>
            <w:r>
              <w:rPr>
                <w:rFonts w:hint="eastAsia"/>
                <w:u w:val="none" w:color="auto"/>
                <w:lang w:val="en-US" w:eastAsia="zh-CN"/>
              </w:rPr>
              <w:t>施工期</w:t>
            </w:r>
            <w:r>
              <w:rPr>
                <w:rFonts w:hint="eastAsia"/>
                <w:u w:val="none" w:color="auto"/>
              </w:rPr>
              <w:t>工艺流程及产排污环节图</w:t>
            </w:r>
          </w:p>
          <w:p w14:paraId="6EDC5274">
            <w:pPr>
              <w:pStyle w:val="34"/>
              <w:spacing w:before="156"/>
              <w:ind w:firstLine="482" w:firstLineChars="200"/>
              <w:jc w:val="both"/>
              <w:rPr>
                <w:rFonts w:hint="default"/>
                <w:u w:val="none" w:color="auto"/>
                <w:lang w:val="en-US" w:eastAsia="zh-CN"/>
              </w:rPr>
            </w:pPr>
            <w:r>
              <w:rPr>
                <w:rFonts w:hint="eastAsia"/>
                <w:u w:val="none" w:color="auto"/>
                <w:lang w:val="en-US" w:eastAsia="zh-CN"/>
              </w:rPr>
              <w:t>2、营运期</w:t>
            </w:r>
          </w:p>
          <w:p w14:paraId="4D889390">
            <w:pPr>
              <w:pStyle w:val="34"/>
              <w:spacing w:before="156"/>
              <w:ind w:firstLine="480" w:firstLineChars="200"/>
              <w:jc w:val="both"/>
              <w:rPr>
                <w:rFonts w:hint="default" w:eastAsia="宋体"/>
                <w:u w:val="none" w:color="auto"/>
                <w:lang w:val="en-US" w:eastAsia="zh-CN"/>
              </w:rPr>
            </w:pPr>
            <w:r>
              <w:rPr>
                <w:rFonts w:hint="eastAsia"/>
                <w:b w:val="0"/>
                <w:bCs/>
                <w:u w:val="none" w:color="auto"/>
                <w:lang w:val="en-US" w:eastAsia="zh-CN"/>
              </w:rPr>
              <w:t>（1）竹筷生产工艺流程及产污环节：</w:t>
            </w:r>
          </w:p>
          <w:p w14:paraId="638A45EB">
            <w:pPr>
              <w:pStyle w:val="34"/>
              <w:spacing w:before="156"/>
              <w:ind w:firstLine="482" w:firstLineChars="200"/>
              <w:jc w:val="both"/>
              <w:rPr>
                <w:rFonts w:hint="eastAsia"/>
                <w:b w:val="0"/>
                <w:bCs/>
                <w:u w:val="none" w:color="auto"/>
                <w:lang w:val="en-US" w:eastAsia="zh-CN"/>
              </w:rPr>
            </w:pPr>
            <w:r>
              <w:rPr>
                <w:rFonts w:hint="eastAsia"/>
                <w:u w:val="none" w:color="auto"/>
              </w:rPr>
              <w:object>
                <v:shape id="_x0000_i1027" o:spt="75" type="#_x0000_t75" style="height:255.1pt;width:263.55pt;" o:ole="t" filled="f" o:preferrelative="t" stroked="f" coordsize="21600,21600">
                  <v:path/>
                  <v:fill on="f" focussize="0,0"/>
                  <v:stroke on="f"/>
                  <v:imagedata r:id="rId21" o:title=""/>
                  <o:lock v:ext="edit" aspectratio="t"/>
                  <w10:wrap type="none"/>
                  <w10:anchorlock/>
                </v:shape>
                <o:OLEObject Type="Embed" ProgID="Visio.Drawing.11" ShapeID="_x0000_i1027" DrawAspect="Content" ObjectID="_1468075727" r:id="rId20">
                  <o:LockedField>false</o:LockedField>
                </o:OLEObject>
              </w:object>
            </w:r>
          </w:p>
          <w:p w14:paraId="071AC91A">
            <w:pPr>
              <w:pStyle w:val="35"/>
              <w:ind w:left="0" w:leftChars="0" w:right="0" w:rightChars="0" w:firstLine="0" w:firstLineChars="0"/>
              <w:jc w:val="center"/>
              <w:rPr>
                <w:rFonts w:hint="default"/>
                <w:b/>
                <w:bCs w:val="0"/>
                <w:u w:val="none" w:color="auto"/>
                <w:lang w:val="en-US" w:eastAsia="zh-CN"/>
              </w:rPr>
            </w:pPr>
            <w:r>
              <w:rPr>
                <w:rFonts w:hint="eastAsia"/>
                <w:b/>
                <w:bCs w:val="0"/>
                <w:u w:val="none" w:color="auto"/>
                <w:lang w:val="en-US" w:eastAsia="zh-CN"/>
              </w:rPr>
              <w:t>图2-3  竹筷生产工艺流程及产污节点图</w:t>
            </w:r>
          </w:p>
          <w:p w14:paraId="31FF7F6C">
            <w:pPr>
              <w:pStyle w:val="35"/>
              <w:rPr>
                <w:rFonts w:hint="default"/>
                <w:b w:val="0"/>
                <w:bCs/>
                <w:u w:val="single" w:color="auto"/>
                <w:lang w:val="en-US" w:eastAsia="zh-CN"/>
              </w:rPr>
            </w:pPr>
            <w:r>
              <w:rPr>
                <w:rFonts w:hint="eastAsia"/>
                <w:b w:val="0"/>
                <w:bCs/>
                <w:u w:val="single" w:color="auto"/>
                <w:lang w:val="en-US" w:eastAsia="zh-CN"/>
              </w:rPr>
              <w:t>注：本项目无浸泡、炭化等工艺。</w:t>
            </w:r>
          </w:p>
          <w:p w14:paraId="58C6E49D">
            <w:pPr>
              <w:pStyle w:val="35"/>
              <w:rPr>
                <w:rFonts w:hint="eastAsia"/>
                <w:b w:val="0"/>
                <w:bCs/>
                <w:u w:val="none" w:color="auto"/>
                <w:lang w:val="en-US" w:eastAsia="zh-CN"/>
              </w:rPr>
            </w:pPr>
            <w:r>
              <w:rPr>
                <w:rFonts w:hint="eastAsia"/>
                <w:b w:val="0"/>
                <w:bCs/>
                <w:u w:val="none" w:color="auto"/>
                <w:lang w:val="en-US" w:eastAsia="zh-CN"/>
              </w:rPr>
              <w:t>工艺流程简述:</w:t>
            </w:r>
          </w:p>
          <w:p w14:paraId="2CB053AA">
            <w:pPr>
              <w:pStyle w:val="35"/>
              <w:numPr>
                <w:ilvl w:val="0"/>
                <w:numId w:val="0"/>
              </w:numPr>
              <w:ind w:firstLine="480" w:firstLineChars="200"/>
              <w:rPr>
                <w:rFonts w:hint="eastAsia"/>
                <w:b w:val="0"/>
                <w:bCs/>
                <w:u w:val="none" w:color="auto"/>
                <w:lang w:val="en-US" w:eastAsia="zh-CN"/>
              </w:rPr>
            </w:pPr>
            <w:r>
              <w:rPr>
                <w:rFonts w:hint="eastAsia"/>
                <w:b w:val="0"/>
                <w:bCs/>
                <w:u w:val="none" w:color="auto"/>
                <w:lang w:val="en-US" w:eastAsia="zh-CN"/>
              </w:rPr>
              <w:t>①断料、开片、拉丝：将外购的楠竹按照一定的规格尺寸要求，用锯竹机进行切割下料，锯断后的竹材送入撞机和开片机开成片状，开片后进入拉丝机生产，即把竹片加工成丝状。本工序产生加工粉尘、噪声和废边角料。</w:t>
            </w:r>
          </w:p>
          <w:p w14:paraId="20000187">
            <w:pPr>
              <w:pStyle w:val="35"/>
              <w:numPr>
                <w:ilvl w:val="0"/>
                <w:numId w:val="0"/>
              </w:numPr>
              <w:ind w:firstLine="480" w:firstLineChars="200"/>
              <w:rPr>
                <w:rFonts w:hint="eastAsia"/>
                <w:b w:val="0"/>
                <w:bCs/>
                <w:u w:val="none" w:color="auto"/>
                <w:lang w:val="en-US" w:eastAsia="zh-CN"/>
              </w:rPr>
            </w:pPr>
            <w:r>
              <w:rPr>
                <w:rFonts w:hint="eastAsia"/>
                <w:b w:val="0"/>
                <w:bCs/>
                <w:u w:val="none" w:color="auto"/>
                <w:lang w:val="en-US" w:eastAsia="zh-CN"/>
              </w:rPr>
              <w:t>②成型：将丝状竹片切断成不同长短后削尖，将竹料细端加工成圆尖状。本工序产生加工粉尘、噪声和废边角料；</w:t>
            </w:r>
          </w:p>
          <w:p w14:paraId="577934DE">
            <w:pPr>
              <w:pStyle w:val="35"/>
              <w:rPr>
                <w:rFonts w:hint="eastAsia"/>
                <w:b w:val="0"/>
                <w:bCs/>
                <w:u w:val="single" w:color="auto"/>
                <w:lang w:val="en-US" w:eastAsia="zh-CN"/>
              </w:rPr>
            </w:pPr>
            <w:r>
              <w:rPr>
                <w:rFonts w:hint="eastAsia"/>
                <w:b w:val="0"/>
                <w:bCs/>
                <w:u w:val="single" w:color="auto"/>
                <w:lang w:val="en-US" w:eastAsia="zh-CN"/>
              </w:rPr>
              <w:t>③杀菌：经削尖加工完成后，转运至密闭蒸汽杀菌锅开展高温蒸汽杀菌除虫处理，配套设置生物质燃料蒸汽锅炉为本工序提供热源蒸汽，杀菌采用直接蒸汽接触工艺，高温蒸汽直接与半成品物料充分接触换热。蒸汽接触温度稳定维持100℃，恒温杀菌时长0.5h；依靠饱和蒸汽直接穿透物料缝隙，通过高温湿热环境杀灭原料内虫卵、幼虫及附着微生物，杀菌结束后的半成品送入烘干房进行烘干。</w:t>
            </w:r>
          </w:p>
          <w:p w14:paraId="7943BF14">
            <w:pPr>
              <w:pStyle w:val="35"/>
              <w:rPr>
                <w:rFonts w:hint="eastAsia"/>
                <w:b w:val="0"/>
                <w:bCs/>
                <w:u w:val="none" w:color="auto"/>
                <w:lang w:val="en-US" w:eastAsia="zh-CN"/>
              </w:rPr>
            </w:pPr>
            <w:r>
              <w:rPr>
                <w:rFonts w:hint="eastAsia"/>
                <w:b w:val="0"/>
                <w:bCs/>
                <w:u w:val="single" w:color="auto"/>
                <w:lang w:val="en-US" w:eastAsia="zh-CN"/>
              </w:rPr>
              <w:t>④烘干：将半成品竹筷进入烘干房，除去竹筷上的水分，烘干房使用生物质蒸汽锅炉高温蒸汽提供热量进行间接烘干</w:t>
            </w:r>
            <w:r>
              <w:rPr>
                <w:rFonts w:hint="default" w:ascii="Times New Roman" w:hAnsi="Times New Roman" w:cs="Times New Roman"/>
                <w:b w:val="0"/>
                <w:bCs/>
                <w:u w:val="single" w:color="auto"/>
                <w:lang w:val="en-US" w:eastAsia="zh-CN"/>
              </w:rPr>
              <w:t>，烘干温度为80°C，热</w:t>
            </w:r>
            <w:r>
              <w:rPr>
                <w:rFonts w:hint="eastAsia"/>
                <w:b w:val="0"/>
                <w:bCs/>
                <w:u w:val="single" w:color="auto"/>
                <w:lang w:val="en-US" w:eastAsia="zh-CN"/>
              </w:rPr>
              <w:t>量使得物料颗粒水分蒸发，同时使原料中含有的木质素软化，粘合力增加。烘干过程为全封闭，由于炉温较低且加热时间短，原料未发生炭化不产生木焦油、木醋液。</w:t>
            </w:r>
            <w:r>
              <w:rPr>
                <w:rFonts w:hint="eastAsia"/>
                <w:b w:val="0"/>
                <w:bCs/>
                <w:u w:val="none" w:color="auto"/>
                <w:lang w:val="en-US" w:eastAsia="zh-CN"/>
              </w:rPr>
              <w:t>本工序主要污染物为烘干过程产生的水蒸气，烘干过程不对物料进行扰动，主要为物料中的水分排出，基本无粉尘产生。本工序产生锅炉废水、废气、噪声和锅炉灰渣；</w:t>
            </w:r>
          </w:p>
          <w:p w14:paraId="10450985">
            <w:pPr>
              <w:pStyle w:val="35"/>
              <w:rPr>
                <w:rFonts w:hint="default"/>
                <w:b w:val="0"/>
                <w:bCs/>
                <w:u w:val="none" w:color="auto"/>
                <w:lang w:val="en-US" w:eastAsia="zh-CN"/>
              </w:rPr>
            </w:pPr>
            <w:r>
              <w:rPr>
                <w:rFonts w:hint="eastAsia"/>
                <w:b w:val="0"/>
                <w:bCs/>
                <w:u w:val="none" w:color="auto"/>
                <w:lang w:val="en-US" w:eastAsia="zh-CN"/>
              </w:rPr>
              <w:t>⑤包装检验：得到的成品经检验合格后包装入库。本工序产生废包装材料和不合格品。</w:t>
            </w:r>
          </w:p>
          <w:p w14:paraId="1A25ECDF">
            <w:pPr>
              <w:pStyle w:val="34"/>
              <w:keepNext w:val="0"/>
              <w:keepLines w:val="0"/>
              <w:pageBreakBefore w:val="0"/>
              <w:widowControl w:val="0"/>
              <w:kinsoku/>
              <w:wordWrap/>
              <w:overflowPunct/>
              <w:topLinePunct w:val="0"/>
              <w:autoSpaceDE/>
              <w:autoSpaceDN/>
              <w:bidi w:val="0"/>
              <w:adjustRightInd/>
              <w:snapToGrid/>
              <w:spacing w:before="0" w:beforeLines="0"/>
              <w:ind w:firstLine="480" w:firstLineChars="200"/>
              <w:jc w:val="both"/>
              <w:textAlignment w:val="auto"/>
              <w:rPr>
                <w:rFonts w:hint="default" w:eastAsia="宋体"/>
                <w:u w:val="none" w:color="auto"/>
                <w:lang w:val="en-US" w:eastAsia="zh-CN"/>
              </w:rPr>
            </w:pPr>
            <w:r>
              <w:rPr>
                <w:rFonts w:hint="eastAsia"/>
                <w:b w:val="0"/>
                <w:bCs/>
                <w:u w:val="none" w:color="auto"/>
                <w:lang w:val="en-US" w:eastAsia="zh-CN"/>
              </w:rPr>
              <w:t>（2）软水制备工艺流程及产污环节：</w:t>
            </w:r>
          </w:p>
          <w:p w14:paraId="2C9B8DCF">
            <w:pPr>
              <w:pStyle w:val="57"/>
              <w:rPr>
                <w:u w:val="none" w:color="auto"/>
              </w:rPr>
            </w:pPr>
            <w:r>
              <w:rPr>
                <w:rFonts w:hint="eastAsia"/>
                <w:u w:val="none" w:color="auto"/>
              </w:rPr>
              <w:object>
                <v:shape id="_x0000_i1028" o:spt="75" type="#_x0000_t75" style="height:101.2pt;width:304.1pt;" o:ole="t" filled="f" o:preferrelative="t" stroked="f" coordsize="21600,21600">
                  <v:path/>
                  <v:fill on="f" focussize="0,0"/>
                  <v:stroke on="f"/>
                  <v:imagedata r:id="rId23" o:title=""/>
                  <o:lock v:ext="edit" aspectratio="t"/>
                  <w10:wrap type="none"/>
                  <w10:anchorlock/>
                </v:shape>
                <o:OLEObject Type="Embed" ProgID="Visio.Drawing.11" ShapeID="_x0000_i1028" DrawAspect="Content" ObjectID="_1468075728" r:id="rId22">
                  <o:LockedField>false</o:LockedField>
                </o:OLEObject>
              </w:object>
            </w:r>
          </w:p>
          <w:p w14:paraId="669C00A9">
            <w:pPr>
              <w:pStyle w:val="34"/>
              <w:spacing w:before="156"/>
              <w:rPr>
                <w:u w:val="none" w:color="auto"/>
              </w:rPr>
            </w:pPr>
            <w:r>
              <w:rPr>
                <w:rFonts w:hint="eastAsia"/>
                <w:u w:val="none" w:color="auto"/>
              </w:rPr>
              <w:t>图2-</w:t>
            </w:r>
            <w:r>
              <w:rPr>
                <w:rFonts w:hint="eastAsia"/>
                <w:u w:val="none" w:color="auto"/>
                <w:lang w:val="en-US" w:eastAsia="zh-CN"/>
              </w:rPr>
              <w:t>4</w:t>
            </w:r>
            <w:r>
              <w:rPr>
                <w:rFonts w:hint="eastAsia"/>
                <w:u w:val="none" w:color="auto"/>
              </w:rPr>
              <w:t xml:space="preserve">  </w:t>
            </w:r>
            <w:r>
              <w:rPr>
                <w:rFonts w:hint="eastAsia"/>
                <w:u w:val="none" w:color="auto"/>
                <w:lang w:val="en-US" w:eastAsia="zh-CN"/>
              </w:rPr>
              <w:t>软水制备</w:t>
            </w:r>
            <w:r>
              <w:rPr>
                <w:rFonts w:hint="eastAsia"/>
                <w:u w:val="none" w:color="auto"/>
              </w:rPr>
              <w:t>工艺流程及产排污环节图</w:t>
            </w:r>
          </w:p>
          <w:p w14:paraId="09D231A8">
            <w:pPr>
              <w:pStyle w:val="35"/>
              <w:ind w:firstLine="480"/>
              <w:rPr>
                <w:b w:val="0"/>
                <w:bCs w:val="0"/>
                <w:u w:val="none" w:color="auto"/>
              </w:rPr>
            </w:pPr>
            <w:r>
              <w:rPr>
                <w:rFonts w:hint="eastAsia"/>
                <w:b w:val="0"/>
                <w:bCs w:val="0"/>
                <w:u w:val="none" w:color="auto"/>
              </w:rPr>
              <w:t>工艺流程说明：</w:t>
            </w:r>
          </w:p>
          <w:p w14:paraId="42FD2EC7">
            <w:pPr>
              <w:pStyle w:val="75"/>
              <w:ind w:firstLine="480"/>
              <w:rPr>
                <w:u w:val="none" w:color="auto"/>
              </w:rPr>
            </w:pPr>
            <w:r>
              <w:rPr>
                <w:rFonts w:hint="eastAsia"/>
                <w:u w:val="none" w:color="auto"/>
                <w:lang w:val="en-US" w:eastAsia="zh-CN"/>
              </w:rPr>
              <w:t>①</w:t>
            </w:r>
            <w:r>
              <w:rPr>
                <w:rFonts w:hint="eastAsia"/>
                <w:u w:val="none" w:color="auto"/>
              </w:rPr>
              <w:t>蒸汽产生</w:t>
            </w:r>
          </w:p>
          <w:p w14:paraId="05F85AB8">
            <w:pPr>
              <w:pStyle w:val="75"/>
              <w:ind w:firstLine="480"/>
              <w:rPr>
                <w:u w:val="none" w:color="auto"/>
              </w:rPr>
            </w:pPr>
            <w:r>
              <w:rPr>
                <w:u w:val="none" w:color="auto"/>
              </w:rPr>
              <w:t>燃生物质燃料锅炉利用生物质燃料燃烧产生的热力加热经软水制备系统处理后进入锅炉的软水，加热后的水变为蒸汽，蒸汽通过</w:t>
            </w:r>
            <w:r>
              <w:rPr>
                <w:rStyle w:val="76"/>
                <w:u w:val="none" w:color="auto"/>
              </w:rPr>
              <w:t>输送管道为</w:t>
            </w:r>
            <w:r>
              <w:rPr>
                <w:rStyle w:val="76"/>
                <w:rFonts w:hint="eastAsia"/>
                <w:u w:val="none" w:color="auto"/>
              </w:rPr>
              <w:t>主体工程</w:t>
            </w:r>
            <w:r>
              <w:rPr>
                <w:rStyle w:val="76"/>
                <w:u w:val="none" w:color="auto"/>
              </w:rPr>
              <w:t>生产线提供热</w:t>
            </w:r>
            <w:r>
              <w:rPr>
                <w:u w:val="none" w:color="auto"/>
              </w:rPr>
              <w:t>量。</w:t>
            </w:r>
          </w:p>
          <w:p w14:paraId="23BCF0D4">
            <w:pPr>
              <w:pStyle w:val="75"/>
              <w:ind w:firstLine="480"/>
              <w:rPr>
                <w:u w:val="none" w:color="auto"/>
              </w:rPr>
            </w:pPr>
            <w:r>
              <w:rPr>
                <w:rFonts w:hint="eastAsia"/>
                <w:u w:val="none" w:color="auto"/>
                <w:lang w:val="en-US" w:eastAsia="zh-CN"/>
              </w:rPr>
              <w:t>②</w:t>
            </w:r>
            <w:r>
              <w:rPr>
                <w:rFonts w:hint="eastAsia"/>
                <w:u w:val="none" w:color="auto"/>
              </w:rPr>
              <w:t>软水制备</w:t>
            </w:r>
          </w:p>
          <w:p w14:paraId="27521790">
            <w:pPr>
              <w:pStyle w:val="75"/>
              <w:ind w:firstLine="480"/>
              <w:rPr>
                <w:u w:val="none" w:color="auto"/>
              </w:rPr>
            </w:pPr>
            <w:r>
              <w:rPr>
                <w:rFonts w:hint="eastAsia"/>
                <w:u w:val="none" w:color="auto"/>
              </w:rPr>
              <w:t>本项目锅炉制备蒸汽采用软水作为水源，锅炉软水采用一级反渗透+离子交换的原理降低硬度，首先自来水通过活性炭、石英砂过滤，进入反渗透膜的容器内，进行反渗透处理，然后进入离子交换工序，当离子交换树脂与原水相遇时，水中的Ca</w:t>
            </w:r>
            <w:r>
              <w:rPr>
                <w:rFonts w:hint="eastAsia"/>
                <w:u w:val="none" w:color="auto"/>
                <w:vertAlign w:val="superscript"/>
                <w:lang w:val="en-US" w:eastAsia="zh-CN"/>
              </w:rPr>
              <w:t>2+</w:t>
            </w:r>
            <w:r>
              <w:rPr>
                <w:rFonts w:hint="eastAsia"/>
                <w:u w:val="none" w:color="auto"/>
              </w:rPr>
              <w:t>、Mg</w:t>
            </w:r>
            <w:r>
              <w:rPr>
                <w:rFonts w:hint="eastAsia"/>
                <w:u w:val="none" w:color="auto"/>
                <w:vertAlign w:val="superscript"/>
                <w:lang w:val="en-US" w:eastAsia="zh-CN"/>
              </w:rPr>
              <w:t>2+</w:t>
            </w:r>
            <w:r>
              <w:rPr>
                <w:rFonts w:hint="eastAsia"/>
                <w:u w:val="none" w:color="auto"/>
              </w:rPr>
              <w:t>等离子与树脂进行反应，从而去除水中的钙镁离子盐类，使硬水变成软水。当树脂吸收一定量的钙镁离子之后，用自来水和工业钠盐冲洗树脂层，把树脂上的硬度离子再置换出来，还原新生树脂恢复树脂软化交换功能。产生的反冲洗废水污染物较少，主要为钙镁离子盐类。本工序产生软水制备</w:t>
            </w:r>
            <w:r>
              <w:rPr>
                <w:rFonts w:hint="eastAsia"/>
                <w:u w:val="none" w:color="auto"/>
                <w:lang w:val="en-US" w:eastAsia="zh-CN"/>
              </w:rPr>
              <w:t>废水</w:t>
            </w:r>
            <w:r>
              <w:rPr>
                <w:rFonts w:hint="eastAsia"/>
                <w:u w:val="none" w:color="auto"/>
              </w:rPr>
              <w:t>及</w:t>
            </w:r>
            <w:r>
              <w:rPr>
                <w:rFonts w:hint="eastAsia"/>
              </w:rPr>
              <w:t>废树脂</w:t>
            </w:r>
            <w:r>
              <w:rPr>
                <w:rFonts w:hint="eastAsia"/>
                <w:lang w:eastAsia="zh-CN"/>
              </w:rPr>
              <w:t>、</w:t>
            </w:r>
            <w:r>
              <w:rPr>
                <w:rFonts w:hint="eastAsia" w:ascii="Times New Roman" w:hAnsi="Times New Roman" w:eastAsia="宋体" w:cs="Times New Roman"/>
                <w:szCs w:val="22"/>
                <w:u w:val="none"/>
                <w:lang w:val="en-US" w:eastAsia="zh-CN"/>
              </w:rPr>
              <w:t>废活性炭、废石英砂、</w:t>
            </w:r>
            <w:r>
              <w:rPr>
                <w:rFonts w:hint="eastAsia"/>
                <w:lang w:val="en-US" w:eastAsia="zh-CN"/>
              </w:rPr>
              <w:t>废滤膜</w:t>
            </w:r>
            <w:r>
              <w:rPr>
                <w:rFonts w:hint="eastAsia"/>
                <w:u w:val="none" w:color="auto"/>
                <w:lang w:eastAsia="zh-CN"/>
              </w:rPr>
              <w:t>。</w:t>
            </w:r>
          </w:p>
          <w:p w14:paraId="0B73EE47">
            <w:pPr>
              <w:pStyle w:val="75"/>
              <w:ind w:firstLine="480"/>
              <w:rPr>
                <w:rFonts w:eastAsia="仿宋"/>
                <w:b/>
                <w:szCs w:val="21"/>
                <w:u w:val="none" w:color="auto"/>
              </w:rPr>
            </w:pPr>
            <w:r>
              <w:rPr>
                <w:u w:val="none" w:color="auto"/>
              </w:rPr>
              <w:t>本项目</w:t>
            </w:r>
            <w:r>
              <w:rPr>
                <w:rFonts w:hint="eastAsia"/>
                <w:u w:val="none" w:color="auto"/>
              </w:rPr>
              <w:t>营运期</w:t>
            </w:r>
            <w:r>
              <w:rPr>
                <w:u w:val="none" w:color="auto"/>
              </w:rPr>
              <w:t>产污环节详见表2-</w:t>
            </w:r>
            <w:r>
              <w:rPr>
                <w:rFonts w:hint="eastAsia"/>
                <w:u w:val="none" w:color="auto"/>
              </w:rPr>
              <w:t>6</w:t>
            </w:r>
            <w:r>
              <w:rPr>
                <w:u w:val="none" w:color="auto"/>
              </w:rPr>
              <w:t>。</w:t>
            </w:r>
          </w:p>
          <w:p w14:paraId="3462DA3C">
            <w:pPr>
              <w:pStyle w:val="77"/>
              <w:keepNext w:val="0"/>
              <w:keepLines w:val="0"/>
              <w:pageBreakBefore w:val="0"/>
              <w:widowControl w:val="0"/>
              <w:kinsoku/>
              <w:wordWrap/>
              <w:overflowPunct/>
              <w:topLinePunct w:val="0"/>
              <w:autoSpaceDE/>
              <w:autoSpaceDN/>
              <w:bidi w:val="0"/>
              <w:adjustRightInd/>
              <w:snapToGrid/>
              <w:spacing w:line="240" w:lineRule="atLeast"/>
              <w:textAlignment w:val="auto"/>
              <w:rPr>
                <w:sz w:val="21"/>
                <w:szCs w:val="20"/>
                <w:u w:val="none" w:color="auto"/>
              </w:rPr>
            </w:pPr>
            <w:r>
              <w:rPr>
                <w:rFonts w:hint="eastAsia"/>
                <w:sz w:val="21"/>
                <w:szCs w:val="20"/>
                <w:u w:val="none" w:color="auto"/>
              </w:rPr>
              <w:t>表2-6  项目污染产排情况表</w:t>
            </w:r>
          </w:p>
          <w:tbl>
            <w:tblPr>
              <w:tblStyle w:val="28"/>
              <w:tblW w:w="78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1400"/>
              <w:gridCol w:w="2125"/>
              <w:gridCol w:w="3606"/>
            </w:tblGrid>
            <w:tr w14:paraId="11317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Align w:val="center"/>
                </w:tcPr>
                <w:p w14:paraId="5580CBA9">
                  <w:pPr>
                    <w:pStyle w:val="57"/>
                    <w:rPr>
                      <w:u w:val="none" w:color="auto"/>
                    </w:rPr>
                  </w:pPr>
                  <w:r>
                    <w:rPr>
                      <w:rFonts w:hint="eastAsia"/>
                      <w:u w:val="none" w:color="auto"/>
                    </w:rPr>
                    <w:t>类型</w:t>
                  </w:r>
                </w:p>
              </w:tc>
              <w:tc>
                <w:tcPr>
                  <w:tcW w:w="1400" w:type="dxa"/>
                  <w:vAlign w:val="center"/>
                </w:tcPr>
                <w:p w14:paraId="3C5B5654">
                  <w:pPr>
                    <w:pStyle w:val="57"/>
                    <w:rPr>
                      <w:u w:val="none" w:color="auto"/>
                    </w:rPr>
                  </w:pPr>
                  <w:r>
                    <w:rPr>
                      <w:rFonts w:hint="eastAsia"/>
                      <w:u w:val="none" w:color="auto"/>
                    </w:rPr>
                    <w:t>产污工序</w:t>
                  </w:r>
                </w:p>
              </w:tc>
              <w:tc>
                <w:tcPr>
                  <w:tcW w:w="2125" w:type="dxa"/>
                  <w:vAlign w:val="center"/>
                </w:tcPr>
                <w:p w14:paraId="7B7745F5">
                  <w:pPr>
                    <w:pStyle w:val="57"/>
                    <w:rPr>
                      <w:u w:val="none" w:color="auto"/>
                    </w:rPr>
                  </w:pPr>
                  <w:r>
                    <w:rPr>
                      <w:rFonts w:hint="eastAsia"/>
                      <w:u w:val="none" w:color="auto"/>
                    </w:rPr>
                    <w:t>主要污染物</w:t>
                  </w:r>
                </w:p>
              </w:tc>
              <w:tc>
                <w:tcPr>
                  <w:tcW w:w="3606" w:type="dxa"/>
                  <w:vAlign w:val="center"/>
                </w:tcPr>
                <w:p w14:paraId="7A80D802">
                  <w:pPr>
                    <w:pStyle w:val="57"/>
                    <w:rPr>
                      <w:u w:val="none" w:color="auto"/>
                    </w:rPr>
                  </w:pPr>
                  <w:r>
                    <w:rPr>
                      <w:rFonts w:hint="eastAsia"/>
                      <w:u w:val="none" w:color="auto"/>
                    </w:rPr>
                    <w:t>收集处理方式</w:t>
                  </w:r>
                </w:p>
              </w:tc>
            </w:tr>
            <w:tr w14:paraId="6CF9D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restart"/>
                  <w:vAlign w:val="center"/>
                </w:tcPr>
                <w:p w14:paraId="025489D9">
                  <w:pPr>
                    <w:pStyle w:val="57"/>
                    <w:rPr>
                      <w:u w:val="none" w:color="auto"/>
                    </w:rPr>
                  </w:pPr>
                  <w:r>
                    <w:rPr>
                      <w:rFonts w:hint="eastAsia"/>
                      <w:u w:val="none" w:color="auto"/>
                    </w:rPr>
                    <w:t>废气</w:t>
                  </w:r>
                </w:p>
              </w:tc>
              <w:tc>
                <w:tcPr>
                  <w:tcW w:w="1400" w:type="dxa"/>
                  <w:vAlign w:val="center"/>
                </w:tcPr>
                <w:p w14:paraId="53BA8159">
                  <w:pPr>
                    <w:pStyle w:val="57"/>
                    <w:rPr>
                      <w:rFonts w:hint="default" w:eastAsia="宋体"/>
                      <w:u w:val="none" w:color="auto"/>
                      <w:lang w:val="en-US" w:eastAsia="zh-CN"/>
                    </w:rPr>
                  </w:pPr>
                  <w:r>
                    <w:rPr>
                      <w:rFonts w:hint="eastAsia"/>
                      <w:u w:val="none" w:color="auto"/>
                      <w:lang w:val="en-US" w:eastAsia="zh-CN"/>
                    </w:rPr>
                    <w:t>断料、开片、成型</w:t>
                  </w:r>
                </w:p>
              </w:tc>
              <w:tc>
                <w:tcPr>
                  <w:tcW w:w="2125" w:type="dxa"/>
                  <w:vAlign w:val="center"/>
                </w:tcPr>
                <w:p w14:paraId="7F31B71C">
                  <w:pPr>
                    <w:pStyle w:val="57"/>
                    <w:rPr>
                      <w:rFonts w:hint="eastAsia" w:eastAsia="宋体"/>
                      <w:u w:val="none" w:color="auto"/>
                      <w:lang w:val="en-US" w:eastAsia="zh-CN"/>
                    </w:rPr>
                  </w:pPr>
                  <w:r>
                    <w:rPr>
                      <w:rFonts w:hint="eastAsia"/>
                      <w:u w:val="none" w:color="auto"/>
                      <w:lang w:val="en-US" w:eastAsia="zh-CN"/>
                    </w:rPr>
                    <w:t>颗粒物</w:t>
                  </w:r>
                </w:p>
              </w:tc>
              <w:tc>
                <w:tcPr>
                  <w:tcW w:w="3606" w:type="dxa"/>
                  <w:vAlign w:val="center"/>
                </w:tcPr>
                <w:p w14:paraId="37EE2EEC">
                  <w:pPr>
                    <w:pStyle w:val="57"/>
                    <w:rPr>
                      <w:rFonts w:hint="eastAsia"/>
                      <w:u w:val="none" w:color="auto"/>
                    </w:rPr>
                  </w:pPr>
                  <w:r>
                    <w:rPr>
                      <w:rFonts w:hint="eastAsia"/>
                      <w:u w:val="none" w:color="auto"/>
                    </w:rPr>
                    <w:t>在车间内无组织排放</w:t>
                  </w:r>
                  <w:r>
                    <w:rPr>
                      <w:rFonts w:hint="eastAsia"/>
                      <w:u w:val="none" w:color="auto"/>
                      <w:lang w:eastAsia="zh-CN"/>
                    </w:rPr>
                    <w:t>；</w:t>
                  </w:r>
                  <w:r>
                    <w:rPr>
                      <w:rFonts w:hint="eastAsia"/>
                      <w:u w:val="none" w:color="auto"/>
                    </w:rPr>
                    <w:t>加强管理，</w:t>
                  </w:r>
                  <w:r>
                    <w:rPr>
                      <w:rFonts w:hint="eastAsia"/>
                      <w:u w:val="none" w:color="auto"/>
                      <w:lang w:val="en-US" w:eastAsia="zh-CN"/>
                    </w:rPr>
                    <w:t>定期洒水</w:t>
                  </w:r>
                  <w:r>
                    <w:rPr>
                      <w:rFonts w:hint="eastAsia"/>
                      <w:u w:val="none" w:color="auto"/>
                    </w:rPr>
                    <w:t>降尘，地面及时清扫</w:t>
                  </w:r>
                </w:p>
              </w:tc>
            </w:tr>
            <w:tr w14:paraId="570D7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continue"/>
                  <w:vAlign w:val="center"/>
                </w:tcPr>
                <w:p w14:paraId="477830CA">
                  <w:pPr>
                    <w:pStyle w:val="57"/>
                    <w:rPr>
                      <w:rFonts w:hint="eastAsia"/>
                      <w:u w:val="none" w:color="auto"/>
                    </w:rPr>
                  </w:pPr>
                </w:p>
              </w:tc>
              <w:tc>
                <w:tcPr>
                  <w:tcW w:w="1400" w:type="dxa"/>
                  <w:vAlign w:val="center"/>
                </w:tcPr>
                <w:p w14:paraId="56F6EF4A">
                  <w:pPr>
                    <w:pStyle w:val="57"/>
                    <w:rPr>
                      <w:rFonts w:hint="eastAsia"/>
                      <w:u w:val="none" w:color="auto"/>
                      <w:lang w:val="en-US" w:eastAsia="zh-CN"/>
                    </w:rPr>
                  </w:pPr>
                  <w:r>
                    <w:rPr>
                      <w:rFonts w:hint="eastAsia"/>
                      <w:u w:val="none" w:color="auto"/>
                      <w:lang w:val="en-US" w:eastAsia="zh-CN"/>
                    </w:rPr>
                    <w:t>拉丝</w:t>
                  </w:r>
                </w:p>
              </w:tc>
              <w:tc>
                <w:tcPr>
                  <w:tcW w:w="2125" w:type="dxa"/>
                  <w:vAlign w:val="center"/>
                </w:tcPr>
                <w:p w14:paraId="07C2EC79">
                  <w:pPr>
                    <w:pStyle w:val="57"/>
                    <w:rPr>
                      <w:rFonts w:hint="eastAsia"/>
                      <w:u w:val="none" w:color="auto"/>
                      <w:lang w:val="en-US" w:eastAsia="zh-CN"/>
                    </w:rPr>
                  </w:pPr>
                  <w:r>
                    <w:rPr>
                      <w:rFonts w:hint="eastAsia"/>
                      <w:u w:val="none" w:color="auto"/>
                      <w:lang w:val="en-US" w:eastAsia="zh-CN"/>
                    </w:rPr>
                    <w:t>颗粒物</w:t>
                  </w:r>
                </w:p>
              </w:tc>
              <w:tc>
                <w:tcPr>
                  <w:tcW w:w="3606" w:type="dxa"/>
                  <w:vAlign w:val="center"/>
                </w:tcPr>
                <w:p w14:paraId="3958A3C1">
                  <w:pPr>
                    <w:pStyle w:val="57"/>
                    <w:rPr>
                      <w:rFonts w:hint="default" w:eastAsia="宋体"/>
                      <w:u w:val="none" w:color="auto"/>
                      <w:lang w:val="en-US" w:eastAsia="zh-CN"/>
                    </w:rPr>
                  </w:pPr>
                  <w:r>
                    <w:rPr>
                      <w:rFonts w:hint="eastAsia"/>
                      <w:u w:val="none" w:color="auto"/>
                      <w:lang w:val="en-US" w:eastAsia="zh-CN"/>
                    </w:rPr>
                    <w:t>集气罩收集，经布袋除尘处理后通过15</w:t>
                  </w:r>
                  <w:r>
                    <w:rPr>
                      <w:rFonts w:hint="eastAsia" w:ascii="Times New Roman" w:hAnsi="Times New Roman" w:eastAsia="宋体"/>
                      <w:u w:val="none" w:color="auto"/>
                    </w:rPr>
                    <w:t>m排气筒（DA00</w:t>
                  </w:r>
                  <w:r>
                    <w:rPr>
                      <w:rFonts w:hint="eastAsia"/>
                      <w:u w:val="none" w:color="auto"/>
                      <w:lang w:val="en-US" w:eastAsia="zh-CN"/>
                    </w:rPr>
                    <w:t>1</w:t>
                  </w:r>
                  <w:r>
                    <w:rPr>
                      <w:rFonts w:hint="eastAsia" w:ascii="Times New Roman" w:hAnsi="Times New Roman" w:eastAsia="宋体"/>
                      <w:u w:val="none" w:color="auto"/>
                    </w:rPr>
                    <w:t>）排放</w:t>
                  </w:r>
                </w:p>
              </w:tc>
            </w:tr>
            <w:tr w14:paraId="68889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continue"/>
                  <w:vAlign w:val="center"/>
                </w:tcPr>
                <w:p w14:paraId="77392142">
                  <w:pPr>
                    <w:pStyle w:val="57"/>
                    <w:rPr>
                      <w:u w:val="none" w:color="auto"/>
                    </w:rPr>
                  </w:pPr>
                </w:p>
              </w:tc>
              <w:tc>
                <w:tcPr>
                  <w:tcW w:w="1400" w:type="dxa"/>
                  <w:vAlign w:val="center"/>
                </w:tcPr>
                <w:p w14:paraId="40BD2ED1">
                  <w:pPr>
                    <w:pStyle w:val="57"/>
                    <w:rPr>
                      <w:u w:val="none" w:color="auto"/>
                    </w:rPr>
                  </w:pPr>
                  <w:r>
                    <w:rPr>
                      <w:rFonts w:hint="eastAsia"/>
                      <w:u w:val="none" w:color="auto"/>
                    </w:rPr>
                    <w:t>锅炉</w:t>
                  </w:r>
                </w:p>
              </w:tc>
              <w:tc>
                <w:tcPr>
                  <w:tcW w:w="2125" w:type="dxa"/>
                  <w:vAlign w:val="center"/>
                </w:tcPr>
                <w:p w14:paraId="019AEB78">
                  <w:pPr>
                    <w:pStyle w:val="57"/>
                    <w:rPr>
                      <w:rFonts w:hint="eastAsia" w:eastAsia="宋体"/>
                      <w:u w:val="none" w:color="auto"/>
                      <w:lang w:eastAsia="zh-CN"/>
                    </w:rPr>
                  </w:pPr>
                  <w:r>
                    <w:rPr>
                      <w:rFonts w:hint="eastAsia"/>
                      <w:u w:val="none" w:color="auto"/>
                    </w:rPr>
                    <w:t>颗粒物、SO</w:t>
                  </w:r>
                  <w:r>
                    <w:rPr>
                      <w:rFonts w:hint="eastAsia"/>
                      <w:u w:val="none" w:color="auto"/>
                      <w:vertAlign w:val="subscript"/>
                    </w:rPr>
                    <w:t>2</w:t>
                  </w:r>
                  <w:r>
                    <w:rPr>
                      <w:rFonts w:hint="eastAsia"/>
                      <w:u w:val="none" w:color="auto"/>
                    </w:rPr>
                    <w:t>、NO</w:t>
                  </w:r>
                  <w:r>
                    <w:rPr>
                      <w:rFonts w:hint="eastAsia"/>
                      <w:u w:val="none" w:color="auto"/>
                      <w:vertAlign w:val="subscript"/>
                    </w:rPr>
                    <w:t>x</w:t>
                  </w:r>
                  <w:r>
                    <w:rPr>
                      <w:rFonts w:hint="eastAsia"/>
                      <w:u w:val="none" w:color="auto"/>
                      <w:vertAlign w:val="subscript"/>
                      <w:lang w:eastAsia="zh-CN"/>
                    </w:rPr>
                    <w:t>、</w:t>
                  </w:r>
                  <w:r>
                    <w:rPr>
                      <w:rFonts w:hint="eastAsia"/>
                      <w:szCs w:val="21"/>
                    </w:rPr>
                    <w:t>林格曼黑度</w:t>
                  </w:r>
                </w:p>
              </w:tc>
              <w:tc>
                <w:tcPr>
                  <w:tcW w:w="3606" w:type="dxa"/>
                  <w:vAlign w:val="center"/>
                </w:tcPr>
                <w:p w14:paraId="3B740192">
                  <w:pPr>
                    <w:pStyle w:val="57"/>
                    <w:rPr>
                      <w:u w:val="none" w:color="auto"/>
                    </w:rPr>
                  </w:pPr>
                  <w:r>
                    <w:rPr>
                      <w:rFonts w:hint="eastAsia"/>
                      <w:u w:val="none" w:color="auto"/>
                    </w:rPr>
                    <w:t>管道收集，</w:t>
                  </w:r>
                  <w:r>
                    <w:rPr>
                      <w:rFonts w:hint="eastAsia" w:ascii="Times New Roman" w:hAnsi="Times New Roman" w:eastAsia="宋体"/>
                      <w:u w:val="none" w:color="auto"/>
                    </w:rPr>
                    <w:t>采用SNCR脱硝技术</w:t>
                  </w:r>
                  <w:r>
                    <w:rPr>
                      <w:rFonts w:hint="eastAsia" w:ascii="Times New Roman" w:hAnsi="Times New Roman" w:eastAsia="宋体"/>
                      <w:u w:val="none" w:color="auto"/>
                      <w:lang w:val="en-US" w:eastAsia="zh-CN"/>
                    </w:rPr>
                    <w:t>+</w:t>
                  </w:r>
                  <w:r>
                    <w:rPr>
                      <w:rFonts w:hint="eastAsia" w:ascii="Times New Roman" w:hAnsi="Times New Roman" w:eastAsia="宋体"/>
                      <w:u w:val="none" w:color="auto"/>
                    </w:rPr>
                    <w:t>旋风除尘+袋式除尘</w:t>
                  </w:r>
                  <w:r>
                    <w:rPr>
                      <w:rFonts w:hint="eastAsia"/>
                      <w:u w:val="none" w:color="auto"/>
                      <w:lang w:val="en-US" w:eastAsia="zh-CN"/>
                    </w:rPr>
                    <w:t>+水膜除尘</w:t>
                  </w:r>
                  <w:r>
                    <w:rPr>
                      <w:rFonts w:hint="eastAsia" w:ascii="Times New Roman" w:hAnsi="Times New Roman" w:eastAsia="宋体"/>
                      <w:u w:val="none" w:color="auto"/>
                    </w:rPr>
                    <w:t>处理后通过3</w:t>
                  </w:r>
                  <w:r>
                    <w:rPr>
                      <w:rFonts w:hint="eastAsia" w:ascii="Times New Roman" w:hAnsi="Times New Roman" w:eastAsia="宋体"/>
                      <w:u w:val="none" w:color="auto"/>
                      <w:lang w:val="en-US" w:eastAsia="zh-CN"/>
                    </w:rPr>
                    <w:t>0</w:t>
                  </w:r>
                  <w:r>
                    <w:rPr>
                      <w:rFonts w:hint="eastAsia" w:ascii="Times New Roman" w:hAnsi="Times New Roman" w:eastAsia="宋体"/>
                      <w:u w:val="none" w:color="auto"/>
                    </w:rPr>
                    <w:t>m排气筒（DA00</w:t>
                  </w:r>
                  <w:r>
                    <w:rPr>
                      <w:rFonts w:hint="eastAsia"/>
                      <w:u w:val="none" w:color="auto"/>
                      <w:lang w:val="en-US" w:eastAsia="zh-CN"/>
                    </w:rPr>
                    <w:t>2</w:t>
                  </w:r>
                  <w:r>
                    <w:rPr>
                      <w:rFonts w:hint="eastAsia" w:ascii="Times New Roman" w:hAnsi="Times New Roman" w:eastAsia="宋体"/>
                      <w:u w:val="none" w:color="auto"/>
                    </w:rPr>
                    <w:t>）排放</w:t>
                  </w:r>
                </w:p>
              </w:tc>
            </w:tr>
            <w:tr w14:paraId="5E01B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continue"/>
                  <w:vAlign w:val="center"/>
                </w:tcPr>
                <w:p w14:paraId="3FA47DB4">
                  <w:pPr>
                    <w:pStyle w:val="57"/>
                    <w:rPr>
                      <w:u w:val="none" w:color="auto"/>
                    </w:rPr>
                  </w:pPr>
                </w:p>
              </w:tc>
              <w:tc>
                <w:tcPr>
                  <w:tcW w:w="1400" w:type="dxa"/>
                  <w:vAlign w:val="center"/>
                </w:tcPr>
                <w:p w14:paraId="6C8CB364">
                  <w:pPr>
                    <w:pStyle w:val="57"/>
                    <w:rPr>
                      <w:rFonts w:hint="default" w:ascii="Times New Roman" w:hAnsi="Times New Roman" w:eastAsia="宋体"/>
                      <w:u w:val="none" w:color="auto"/>
                      <w:lang w:val="en-US" w:eastAsia="zh-CN"/>
                    </w:rPr>
                  </w:pPr>
                  <w:r>
                    <w:rPr>
                      <w:rFonts w:hint="eastAsia" w:ascii="Times New Roman" w:hAnsi="Times New Roman" w:eastAsia="宋体"/>
                      <w:u w:val="none" w:color="auto"/>
                    </w:rPr>
                    <w:t>脱硝处理</w:t>
                  </w:r>
                </w:p>
              </w:tc>
              <w:tc>
                <w:tcPr>
                  <w:tcW w:w="2125" w:type="dxa"/>
                  <w:vAlign w:val="center"/>
                </w:tcPr>
                <w:p w14:paraId="744DA2E8">
                  <w:pPr>
                    <w:pStyle w:val="57"/>
                    <w:rPr>
                      <w:rFonts w:hint="eastAsia" w:ascii="Times New Roman" w:hAnsi="Times New Roman" w:eastAsia="宋体"/>
                      <w:u w:val="none" w:color="auto"/>
                    </w:rPr>
                  </w:pPr>
                  <w:r>
                    <w:rPr>
                      <w:rFonts w:hint="eastAsia" w:ascii="Times New Roman" w:hAnsi="Times New Roman" w:eastAsia="宋体"/>
                      <w:u w:val="none" w:color="auto"/>
                    </w:rPr>
                    <w:t>氨</w:t>
                  </w:r>
                </w:p>
              </w:tc>
              <w:tc>
                <w:tcPr>
                  <w:tcW w:w="3606" w:type="dxa"/>
                  <w:vAlign w:val="center"/>
                </w:tcPr>
                <w:p w14:paraId="03F5FB96">
                  <w:pPr>
                    <w:pStyle w:val="57"/>
                    <w:rPr>
                      <w:rFonts w:hint="eastAsia" w:eastAsia="宋体"/>
                      <w:u w:val="none" w:color="auto"/>
                      <w:lang w:val="en-US" w:eastAsia="zh-CN"/>
                    </w:rPr>
                  </w:pPr>
                  <w:r>
                    <w:rPr>
                      <w:rFonts w:hint="eastAsia"/>
                      <w:u w:val="none" w:color="auto"/>
                      <w:lang w:val="en-US" w:eastAsia="zh-CN"/>
                    </w:rPr>
                    <w:t>/</w:t>
                  </w:r>
                </w:p>
              </w:tc>
            </w:tr>
            <w:tr w14:paraId="4F007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restart"/>
                  <w:vAlign w:val="center"/>
                </w:tcPr>
                <w:p w14:paraId="68C6E8A8">
                  <w:pPr>
                    <w:pStyle w:val="57"/>
                    <w:rPr>
                      <w:u w:val="none" w:color="auto"/>
                    </w:rPr>
                  </w:pPr>
                  <w:r>
                    <w:rPr>
                      <w:rFonts w:hint="eastAsia"/>
                      <w:u w:val="none" w:color="auto"/>
                    </w:rPr>
                    <w:t>废水</w:t>
                  </w:r>
                </w:p>
              </w:tc>
              <w:tc>
                <w:tcPr>
                  <w:tcW w:w="1400" w:type="dxa"/>
                  <w:vAlign w:val="center"/>
                </w:tcPr>
                <w:p w14:paraId="7EA4DD50">
                  <w:pPr>
                    <w:pStyle w:val="57"/>
                    <w:rPr>
                      <w:rFonts w:hint="default" w:eastAsia="宋体"/>
                      <w:u w:val="none" w:color="auto"/>
                      <w:lang w:val="en-US" w:eastAsia="zh-CN"/>
                    </w:rPr>
                  </w:pPr>
                  <w:r>
                    <w:rPr>
                      <w:rFonts w:hint="eastAsia"/>
                      <w:u w:val="none" w:color="auto"/>
                      <w:lang w:val="en-US" w:eastAsia="zh-CN"/>
                    </w:rPr>
                    <w:t>生活污水</w:t>
                  </w:r>
                </w:p>
              </w:tc>
              <w:tc>
                <w:tcPr>
                  <w:tcW w:w="2125" w:type="dxa"/>
                  <w:vAlign w:val="center"/>
                </w:tcPr>
                <w:p w14:paraId="352F5233">
                  <w:pPr>
                    <w:pStyle w:val="57"/>
                    <w:rPr>
                      <w:rFonts w:hint="default" w:eastAsia="宋体"/>
                      <w:u w:val="none" w:color="auto"/>
                      <w:lang w:val="en-US" w:eastAsia="zh-CN"/>
                    </w:rPr>
                  </w:pPr>
                  <w:r>
                    <w:rPr>
                      <w:rFonts w:hint="eastAsia"/>
                      <w:u w:val="none" w:color="auto"/>
                      <w:lang w:val="en-US" w:eastAsia="zh-CN"/>
                    </w:rPr>
                    <w:t>COD、氨氮、SS、BOD</w:t>
                  </w:r>
                  <w:r>
                    <w:rPr>
                      <w:rFonts w:hint="eastAsia"/>
                      <w:u w:val="none" w:color="auto"/>
                      <w:vertAlign w:val="subscript"/>
                      <w:lang w:val="en-US" w:eastAsia="zh-CN"/>
                    </w:rPr>
                    <w:t>5</w:t>
                  </w:r>
                </w:p>
              </w:tc>
              <w:tc>
                <w:tcPr>
                  <w:tcW w:w="3606" w:type="dxa"/>
                  <w:vAlign w:val="center"/>
                </w:tcPr>
                <w:p w14:paraId="2961D828">
                  <w:pPr>
                    <w:pStyle w:val="57"/>
                    <w:rPr>
                      <w:rFonts w:hint="default" w:eastAsia="宋体"/>
                      <w:u w:val="none" w:color="auto"/>
                      <w:lang w:val="en-US" w:eastAsia="zh-CN"/>
                    </w:rPr>
                  </w:pPr>
                  <w:r>
                    <w:rPr>
                      <w:rFonts w:hint="eastAsia"/>
                      <w:u w:val="none" w:color="auto"/>
                      <w:lang w:val="en-US" w:eastAsia="zh-CN"/>
                    </w:rPr>
                    <w:t>经化粪池处理后用作周边菜地施肥</w:t>
                  </w:r>
                </w:p>
              </w:tc>
            </w:tr>
            <w:tr w14:paraId="26230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continue"/>
                  <w:vAlign w:val="center"/>
                </w:tcPr>
                <w:p w14:paraId="622AAA01">
                  <w:pPr>
                    <w:pStyle w:val="57"/>
                    <w:rPr>
                      <w:rFonts w:hint="eastAsia"/>
                      <w:u w:val="none" w:color="auto"/>
                    </w:rPr>
                  </w:pPr>
                </w:p>
              </w:tc>
              <w:tc>
                <w:tcPr>
                  <w:tcW w:w="1400" w:type="dxa"/>
                  <w:shd w:val="clear" w:color="auto" w:fill="auto"/>
                  <w:vAlign w:val="center"/>
                </w:tcPr>
                <w:p w14:paraId="77641F4B">
                  <w:pPr>
                    <w:pStyle w:val="57"/>
                    <w:rPr>
                      <w:rFonts w:hint="eastAsia" w:ascii="Times New Roman" w:hAnsi="Times New Roman" w:eastAsia="宋体" w:cstheme="minorBidi"/>
                      <w:kern w:val="2"/>
                      <w:sz w:val="21"/>
                      <w:szCs w:val="32"/>
                      <w:u w:val="none" w:color="auto"/>
                      <w:lang w:val="en-US" w:eastAsia="zh-CN" w:bidi="ar-SA"/>
                    </w:rPr>
                  </w:pPr>
                  <w:r>
                    <w:rPr>
                      <w:rFonts w:hint="eastAsia"/>
                      <w:u w:val="none" w:color="auto"/>
                    </w:rPr>
                    <w:t>软水制备</w:t>
                  </w:r>
                </w:p>
              </w:tc>
              <w:tc>
                <w:tcPr>
                  <w:tcW w:w="2125" w:type="dxa"/>
                  <w:shd w:val="clear" w:color="auto" w:fill="auto"/>
                  <w:vAlign w:val="center"/>
                </w:tcPr>
                <w:p w14:paraId="4A6B344F">
                  <w:pPr>
                    <w:pStyle w:val="57"/>
                    <w:rPr>
                      <w:rFonts w:hint="eastAsia" w:ascii="Times New Roman" w:hAnsi="Times New Roman" w:eastAsia="宋体" w:cstheme="minorBidi"/>
                      <w:kern w:val="2"/>
                      <w:sz w:val="21"/>
                      <w:szCs w:val="32"/>
                      <w:u w:val="none" w:color="auto"/>
                      <w:lang w:val="en-US" w:eastAsia="zh-CN" w:bidi="ar-SA"/>
                    </w:rPr>
                  </w:pPr>
                  <w:r>
                    <w:rPr>
                      <w:rFonts w:hint="eastAsia"/>
                      <w:u w:val="none" w:color="auto"/>
                    </w:rPr>
                    <w:t>COD、盐分</w:t>
                  </w:r>
                </w:p>
              </w:tc>
              <w:tc>
                <w:tcPr>
                  <w:tcW w:w="3606" w:type="dxa"/>
                  <w:vMerge w:val="restart"/>
                  <w:vAlign w:val="center"/>
                </w:tcPr>
                <w:p w14:paraId="1260C0E0">
                  <w:pPr>
                    <w:pStyle w:val="57"/>
                    <w:rPr>
                      <w:rFonts w:hint="eastAsia"/>
                      <w:u w:val="none" w:color="auto"/>
                      <w:lang w:val="en-US" w:eastAsia="zh-CN"/>
                    </w:rPr>
                  </w:pPr>
                  <w:r>
                    <w:rPr>
                      <w:rFonts w:hint="eastAsia"/>
                      <w:lang w:val="en-US" w:eastAsia="zh-CN"/>
                    </w:rPr>
                    <w:t>用于</w:t>
                  </w:r>
                  <w:r>
                    <w:rPr>
                      <w:rFonts w:hint="eastAsia"/>
                      <w:color w:val="000000" w:themeColor="text1"/>
                      <w:u w:val="none" w:color="auto"/>
                      <w:lang w:val="en-US" w:eastAsia="zh-CN"/>
                      <w14:textFill>
                        <w14:solidFill>
                          <w14:schemeClr w14:val="tx1"/>
                        </w14:solidFill>
                      </w14:textFill>
                    </w:rPr>
                    <w:t>水膜除尘补充用水</w:t>
                  </w:r>
                </w:p>
              </w:tc>
            </w:tr>
            <w:tr w14:paraId="5EA2F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continue"/>
                  <w:vAlign w:val="center"/>
                </w:tcPr>
                <w:p w14:paraId="42A7DD0C">
                  <w:pPr>
                    <w:pStyle w:val="57"/>
                    <w:rPr>
                      <w:u w:val="none" w:color="auto"/>
                    </w:rPr>
                  </w:pPr>
                </w:p>
              </w:tc>
              <w:tc>
                <w:tcPr>
                  <w:tcW w:w="1400" w:type="dxa"/>
                  <w:vAlign w:val="center"/>
                </w:tcPr>
                <w:p w14:paraId="6CC25567">
                  <w:pPr>
                    <w:pStyle w:val="57"/>
                    <w:rPr>
                      <w:u w:val="none" w:color="auto"/>
                    </w:rPr>
                  </w:pPr>
                  <w:r>
                    <w:rPr>
                      <w:rFonts w:hint="eastAsia"/>
                      <w:u w:val="none" w:color="auto"/>
                    </w:rPr>
                    <w:t>锅炉内排水</w:t>
                  </w:r>
                </w:p>
              </w:tc>
              <w:tc>
                <w:tcPr>
                  <w:tcW w:w="2125" w:type="dxa"/>
                  <w:vAlign w:val="center"/>
                </w:tcPr>
                <w:p w14:paraId="1B4F471C">
                  <w:pPr>
                    <w:pStyle w:val="57"/>
                    <w:rPr>
                      <w:u w:val="none" w:color="auto"/>
                    </w:rPr>
                  </w:pPr>
                  <w:r>
                    <w:rPr>
                      <w:rFonts w:hint="eastAsia"/>
                      <w:u w:val="none" w:color="auto"/>
                    </w:rPr>
                    <w:t>COD、盐分</w:t>
                  </w:r>
                </w:p>
              </w:tc>
              <w:tc>
                <w:tcPr>
                  <w:tcW w:w="3606" w:type="dxa"/>
                  <w:vMerge w:val="continue"/>
                  <w:vAlign w:val="center"/>
                </w:tcPr>
                <w:p w14:paraId="26DAA09B">
                  <w:pPr>
                    <w:pStyle w:val="57"/>
                    <w:rPr>
                      <w:u w:val="none" w:color="auto"/>
                    </w:rPr>
                  </w:pPr>
                </w:p>
              </w:tc>
            </w:tr>
            <w:tr w14:paraId="011C2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continue"/>
                  <w:vAlign w:val="center"/>
                </w:tcPr>
                <w:p w14:paraId="2214BC83">
                  <w:pPr>
                    <w:pStyle w:val="57"/>
                    <w:rPr>
                      <w:u w:val="none" w:color="auto"/>
                    </w:rPr>
                  </w:pPr>
                </w:p>
              </w:tc>
              <w:tc>
                <w:tcPr>
                  <w:tcW w:w="1400" w:type="dxa"/>
                  <w:vAlign w:val="center"/>
                </w:tcPr>
                <w:p w14:paraId="28690D6B">
                  <w:pPr>
                    <w:pStyle w:val="57"/>
                    <w:rPr>
                      <w:rFonts w:hint="eastAsia"/>
                      <w:u w:val="none" w:color="auto"/>
                    </w:rPr>
                  </w:pPr>
                  <w:r>
                    <w:rPr>
                      <w:rFonts w:hint="eastAsia"/>
                      <w:color w:val="000000" w:themeColor="text1"/>
                      <w:u w:val="none" w:color="auto"/>
                      <w:lang w:val="en-US" w:eastAsia="zh-CN"/>
                      <w14:textFill>
                        <w14:solidFill>
                          <w14:schemeClr w14:val="tx1"/>
                        </w14:solidFill>
                      </w14:textFill>
                    </w:rPr>
                    <w:t>蒸汽杀菌锅冷凝水</w:t>
                  </w:r>
                </w:p>
              </w:tc>
              <w:tc>
                <w:tcPr>
                  <w:tcW w:w="2125" w:type="dxa"/>
                  <w:vAlign w:val="center"/>
                </w:tcPr>
                <w:p w14:paraId="1FAFC255">
                  <w:pPr>
                    <w:pStyle w:val="57"/>
                    <w:rPr>
                      <w:rFonts w:hint="default" w:eastAsia="宋体"/>
                      <w:u w:val="none" w:color="auto"/>
                      <w:lang w:val="en-US" w:eastAsia="zh-CN"/>
                    </w:rPr>
                  </w:pPr>
                  <w:r>
                    <w:rPr>
                      <w:rFonts w:hint="eastAsia"/>
                      <w:u w:val="none" w:color="auto"/>
                      <w:lang w:val="en-US" w:eastAsia="zh-CN"/>
                    </w:rPr>
                    <w:t>SS</w:t>
                  </w:r>
                </w:p>
              </w:tc>
              <w:tc>
                <w:tcPr>
                  <w:tcW w:w="3606" w:type="dxa"/>
                  <w:vAlign w:val="center"/>
                </w:tcPr>
                <w:p w14:paraId="3A1F5E5C">
                  <w:pPr>
                    <w:pStyle w:val="57"/>
                    <w:rPr>
                      <w:u w:val="none" w:color="auto"/>
                    </w:rPr>
                  </w:pPr>
                  <w:r>
                    <w:rPr>
                      <w:rFonts w:hint="eastAsia"/>
                      <w:color w:val="000000" w:themeColor="text1"/>
                      <w:u w:val="none" w:color="auto"/>
                      <w:lang w:val="en-US" w:eastAsia="zh-CN"/>
                      <w14:textFill>
                        <w14:solidFill>
                          <w14:schemeClr w14:val="tx1"/>
                        </w14:solidFill>
                      </w14:textFill>
                    </w:rPr>
                    <w:t>收集后部分用于水膜除尘补充用水，部分用于厂区洒水降尘。</w:t>
                  </w:r>
                </w:p>
              </w:tc>
            </w:tr>
            <w:tr w14:paraId="2BF9D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Align w:val="center"/>
                </w:tcPr>
                <w:p w14:paraId="1BFA6A22">
                  <w:pPr>
                    <w:pStyle w:val="57"/>
                    <w:rPr>
                      <w:u w:val="none" w:color="auto"/>
                    </w:rPr>
                  </w:pPr>
                  <w:r>
                    <w:rPr>
                      <w:rFonts w:hint="eastAsia"/>
                      <w:u w:val="none" w:color="auto"/>
                    </w:rPr>
                    <w:t>噪声</w:t>
                  </w:r>
                </w:p>
              </w:tc>
              <w:tc>
                <w:tcPr>
                  <w:tcW w:w="1400" w:type="dxa"/>
                  <w:vAlign w:val="center"/>
                </w:tcPr>
                <w:p w14:paraId="49561D7B">
                  <w:pPr>
                    <w:pStyle w:val="57"/>
                    <w:rPr>
                      <w:u w:val="none" w:color="auto"/>
                    </w:rPr>
                  </w:pPr>
                  <w:r>
                    <w:rPr>
                      <w:rFonts w:hint="eastAsia"/>
                      <w:u w:val="none" w:color="auto"/>
                    </w:rPr>
                    <w:t>锅炉设备</w:t>
                  </w:r>
                </w:p>
              </w:tc>
              <w:tc>
                <w:tcPr>
                  <w:tcW w:w="2125" w:type="dxa"/>
                  <w:vAlign w:val="center"/>
                </w:tcPr>
                <w:p w14:paraId="499B0F74">
                  <w:pPr>
                    <w:pStyle w:val="57"/>
                    <w:rPr>
                      <w:u w:val="none" w:color="auto"/>
                    </w:rPr>
                  </w:pPr>
                  <w:r>
                    <w:rPr>
                      <w:rFonts w:hint="eastAsia"/>
                      <w:u w:val="none" w:color="auto"/>
                    </w:rPr>
                    <w:t>设备噪声</w:t>
                  </w:r>
                </w:p>
              </w:tc>
              <w:tc>
                <w:tcPr>
                  <w:tcW w:w="3606" w:type="dxa"/>
                  <w:vAlign w:val="center"/>
                </w:tcPr>
                <w:p w14:paraId="3A79E901">
                  <w:pPr>
                    <w:pStyle w:val="57"/>
                    <w:rPr>
                      <w:u w:val="none" w:color="auto"/>
                    </w:rPr>
                  </w:pPr>
                  <w:r>
                    <w:rPr>
                      <w:rFonts w:hint="eastAsia"/>
                      <w:u w:val="none" w:color="auto"/>
                    </w:rPr>
                    <w:t>基础减振，建筑隔声</w:t>
                  </w:r>
                </w:p>
              </w:tc>
            </w:tr>
            <w:tr w14:paraId="1E1DF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restart"/>
                  <w:vAlign w:val="center"/>
                </w:tcPr>
                <w:p w14:paraId="4FF403A4">
                  <w:pPr>
                    <w:pStyle w:val="57"/>
                    <w:rPr>
                      <w:u w:val="none" w:color="auto"/>
                    </w:rPr>
                  </w:pPr>
                  <w:r>
                    <w:rPr>
                      <w:rFonts w:hint="eastAsia"/>
                      <w:u w:val="none" w:color="auto"/>
                    </w:rPr>
                    <w:t>固废</w:t>
                  </w:r>
                </w:p>
              </w:tc>
              <w:tc>
                <w:tcPr>
                  <w:tcW w:w="1400" w:type="dxa"/>
                  <w:vAlign w:val="center"/>
                </w:tcPr>
                <w:p w14:paraId="4A06057B">
                  <w:pPr>
                    <w:pStyle w:val="57"/>
                    <w:rPr>
                      <w:rFonts w:hint="default" w:eastAsia="宋体"/>
                      <w:u w:val="none" w:color="auto"/>
                      <w:lang w:val="en-US" w:eastAsia="zh-CN"/>
                    </w:rPr>
                  </w:pPr>
                  <w:r>
                    <w:rPr>
                      <w:rFonts w:hint="eastAsia"/>
                      <w:u w:val="none" w:color="auto"/>
                      <w:lang w:val="en-US" w:eastAsia="zh-CN"/>
                    </w:rPr>
                    <w:t>职工生活</w:t>
                  </w:r>
                </w:p>
              </w:tc>
              <w:tc>
                <w:tcPr>
                  <w:tcW w:w="2125" w:type="dxa"/>
                  <w:vAlign w:val="center"/>
                </w:tcPr>
                <w:p w14:paraId="2068D48A">
                  <w:pPr>
                    <w:pStyle w:val="57"/>
                    <w:rPr>
                      <w:rFonts w:hint="default" w:eastAsia="宋体"/>
                      <w:u w:val="none" w:color="auto"/>
                      <w:lang w:val="en-US" w:eastAsia="zh-CN"/>
                    </w:rPr>
                  </w:pPr>
                  <w:r>
                    <w:rPr>
                      <w:rFonts w:hint="eastAsia"/>
                      <w:u w:val="none" w:color="auto"/>
                      <w:lang w:val="en-US" w:eastAsia="zh-CN"/>
                    </w:rPr>
                    <w:t>生活垃圾</w:t>
                  </w:r>
                </w:p>
              </w:tc>
              <w:tc>
                <w:tcPr>
                  <w:tcW w:w="3606" w:type="dxa"/>
                  <w:vAlign w:val="center"/>
                </w:tcPr>
                <w:p w14:paraId="6E74AC07">
                  <w:pPr>
                    <w:pStyle w:val="57"/>
                    <w:rPr>
                      <w:rFonts w:hint="default" w:eastAsia="宋体"/>
                      <w:u w:val="none" w:color="auto"/>
                      <w:lang w:val="en-US" w:eastAsia="zh-CN"/>
                    </w:rPr>
                  </w:pPr>
                  <w:r>
                    <w:rPr>
                      <w:rFonts w:hint="eastAsia"/>
                      <w:u w:val="none" w:color="auto"/>
                      <w:lang w:val="en-US" w:eastAsia="zh-CN"/>
                    </w:rPr>
                    <w:t>交由环卫部门清运处理</w:t>
                  </w:r>
                </w:p>
              </w:tc>
            </w:tr>
            <w:tr w14:paraId="5CC56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continue"/>
                  <w:vAlign w:val="center"/>
                </w:tcPr>
                <w:p w14:paraId="10EEF55F">
                  <w:pPr>
                    <w:pStyle w:val="57"/>
                    <w:rPr>
                      <w:rFonts w:hint="eastAsia"/>
                      <w:u w:val="none" w:color="auto"/>
                    </w:rPr>
                  </w:pPr>
                </w:p>
              </w:tc>
              <w:tc>
                <w:tcPr>
                  <w:tcW w:w="1400" w:type="dxa"/>
                  <w:shd w:val="clear" w:color="auto" w:fill="auto"/>
                  <w:vAlign w:val="center"/>
                </w:tcPr>
                <w:p w14:paraId="71C9C68D">
                  <w:pPr>
                    <w:pStyle w:val="57"/>
                    <w:rPr>
                      <w:rFonts w:hint="eastAsia" w:ascii="Times New Roman" w:hAnsi="Times New Roman" w:eastAsia="宋体" w:cstheme="minorBidi"/>
                      <w:kern w:val="2"/>
                      <w:sz w:val="21"/>
                      <w:szCs w:val="32"/>
                      <w:u w:val="none" w:color="auto"/>
                      <w:lang w:val="en-US" w:eastAsia="zh-CN" w:bidi="ar-SA"/>
                    </w:rPr>
                  </w:pPr>
                  <w:r>
                    <w:rPr>
                      <w:rFonts w:hint="eastAsia"/>
                      <w:u w:val="none" w:color="auto"/>
                    </w:rPr>
                    <w:t>软水制备</w:t>
                  </w:r>
                </w:p>
              </w:tc>
              <w:tc>
                <w:tcPr>
                  <w:tcW w:w="2125" w:type="dxa"/>
                  <w:shd w:val="clear" w:color="auto" w:fill="auto"/>
                  <w:vAlign w:val="center"/>
                </w:tcPr>
                <w:p w14:paraId="41D823FA">
                  <w:pPr>
                    <w:pStyle w:val="57"/>
                    <w:rPr>
                      <w:rFonts w:hint="eastAsia" w:ascii="Times New Roman" w:hAnsi="Times New Roman" w:eastAsia="宋体" w:cstheme="minorBidi"/>
                      <w:kern w:val="2"/>
                      <w:sz w:val="21"/>
                      <w:szCs w:val="32"/>
                      <w:u w:val="none" w:color="auto"/>
                      <w:lang w:val="en-US" w:eastAsia="zh-CN" w:bidi="ar-SA"/>
                    </w:rPr>
                  </w:pPr>
                  <w:r>
                    <w:rPr>
                      <w:rFonts w:hint="eastAsia"/>
                    </w:rPr>
                    <w:t>废树脂</w:t>
                  </w:r>
                  <w:r>
                    <w:rPr>
                      <w:rFonts w:hint="eastAsia"/>
                      <w:lang w:eastAsia="zh-CN"/>
                    </w:rPr>
                    <w:t>、</w:t>
                  </w:r>
                  <w:r>
                    <w:rPr>
                      <w:rFonts w:hint="eastAsia" w:ascii="Times New Roman" w:hAnsi="Times New Roman" w:eastAsia="宋体" w:cs="Times New Roman"/>
                      <w:szCs w:val="22"/>
                      <w:u w:val="none"/>
                      <w:lang w:val="en-US" w:eastAsia="zh-CN"/>
                    </w:rPr>
                    <w:t>废活性炭、废石英砂、</w:t>
                  </w:r>
                  <w:r>
                    <w:rPr>
                      <w:rFonts w:hint="eastAsia"/>
                      <w:lang w:val="en-US" w:eastAsia="zh-CN"/>
                    </w:rPr>
                    <w:t>废滤膜</w:t>
                  </w:r>
                </w:p>
              </w:tc>
              <w:tc>
                <w:tcPr>
                  <w:tcW w:w="3606" w:type="dxa"/>
                  <w:shd w:val="clear" w:color="auto" w:fill="auto"/>
                  <w:vAlign w:val="center"/>
                </w:tcPr>
                <w:p w14:paraId="46143377">
                  <w:pPr>
                    <w:pStyle w:val="57"/>
                    <w:rPr>
                      <w:rFonts w:hint="eastAsia" w:ascii="Times New Roman" w:hAnsi="Times New Roman" w:eastAsia="宋体" w:cstheme="minorBidi"/>
                      <w:kern w:val="2"/>
                      <w:sz w:val="21"/>
                      <w:szCs w:val="32"/>
                      <w:u w:val="none" w:color="auto"/>
                      <w:lang w:val="en-US" w:eastAsia="zh-CN" w:bidi="ar-SA"/>
                    </w:rPr>
                  </w:pPr>
                  <w:r>
                    <w:rPr>
                      <w:rFonts w:hint="eastAsia" w:ascii="Times New Roman" w:hAnsi="Times New Roman" w:eastAsia="宋体" w:cs="Times New Roman"/>
                      <w:sz w:val="21"/>
                      <w:szCs w:val="21"/>
                      <w:u w:val="none" w:color="auto"/>
                      <w:lang w:val="en-US" w:eastAsia="zh-CN"/>
                    </w:rPr>
                    <w:t>交由</w:t>
                  </w:r>
                  <w:r>
                    <w:rPr>
                      <w:rFonts w:hint="eastAsia" w:cs="Times New Roman"/>
                      <w:sz w:val="21"/>
                      <w:szCs w:val="21"/>
                      <w:u w:val="none" w:color="auto"/>
                      <w:lang w:val="en-US" w:eastAsia="zh-CN"/>
                    </w:rPr>
                    <w:t>厂家回收</w:t>
                  </w:r>
                  <w:r>
                    <w:rPr>
                      <w:rFonts w:hint="eastAsia" w:ascii="Times New Roman" w:hAnsi="Times New Roman" w:eastAsia="宋体" w:cs="Times New Roman"/>
                      <w:u w:val="none" w:color="auto"/>
                      <w:lang w:val="en-US" w:eastAsia="zh-CN"/>
                    </w:rPr>
                    <w:t>处置</w:t>
                  </w:r>
                </w:p>
              </w:tc>
            </w:tr>
            <w:tr w14:paraId="392B6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continue"/>
                  <w:vAlign w:val="center"/>
                </w:tcPr>
                <w:p w14:paraId="4AA5BFD3">
                  <w:pPr>
                    <w:pStyle w:val="57"/>
                    <w:rPr>
                      <w:rFonts w:hint="eastAsia"/>
                      <w:u w:val="none" w:color="auto"/>
                    </w:rPr>
                  </w:pPr>
                </w:p>
              </w:tc>
              <w:tc>
                <w:tcPr>
                  <w:tcW w:w="1400" w:type="dxa"/>
                  <w:shd w:val="clear" w:color="auto" w:fill="auto"/>
                  <w:vAlign w:val="center"/>
                </w:tcPr>
                <w:p w14:paraId="5AEB6536">
                  <w:pPr>
                    <w:pStyle w:val="57"/>
                    <w:rPr>
                      <w:rFonts w:hint="default" w:eastAsia="宋体"/>
                      <w:u w:val="none" w:color="auto"/>
                      <w:lang w:val="en-US" w:eastAsia="zh-CN"/>
                    </w:rPr>
                  </w:pPr>
                  <w:r>
                    <w:rPr>
                      <w:rFonts w:hint="eastAsia"/>
                      <w:u w:val="none" w:color="auto"/>
                      <w:lang w:val="en-US" w:eastAsia="zh-CN"/>
                    </w:rPr>
                    <w:t>包装</w:t>
                  </w:r>
                </w:p>
              </w:tc>
              <w:tc>
                <w:tcPr>
                  <w:tcW w:w="2125" w:type="dxa"/>
                  <w:shd w:val="clear" w:color="auto" w:fill="auto"/>
                  <w:vAlign w:val="center"/>
                </w:tcPr>
                <w:p w14:paraId="28AF7DEE">
                  <w:pPr>
                    <w:pStyle w:val="57"/>
                    <w:rPr>
                      <w:rFonts w:hint="eastAsia"/>
                      <w:u w:val="none" w:color="auto"/>
                    </w:rPr>
                  </w:pPr>
                  <w:r>
                    <w:rPr>
                      <w:rFonts w:hint="eastAsia" w:ascii="Times New Roman" w:hAnsi="Times New Roman" w:eastAsia="宋体" w:cs="Times New Roman"/>
                      <w:u w:val="none" w:color="auto"/>
                    </w:rPr>
                    <w:t>废包装材料</w:t>
                  </w:r>
                </w:p>
              </w:tc>
              <w:tc>
                <w:tcPr>
                  <w:tcW w:w="3606" w:type="dxa"/>
                  <w:shd w:val="clear" w:color="auto" w:fill="auto"/>
                  <w:vAlign w:val="center"/>
                </w:tcPr>
                <w:p w14:paraId="22A85BE2">
                  <w:pPr>
                    <w:ind w:left="0" w:leftChars="0" w:right="0" w:rightChars="0" w:firstLine="0" w:firstLineChars="0"/>
                    <w:jc w:val="center"/>
                    <w:rPr>
                      <w:rFonts w:hint="eastAsia" w:ascii="Times New Roman" w:hAnsi="Times New Roman" w:eastAsia="宋体" w:cs="Times New Roman"/>
                      <w:sz w:val="21"/>
                      <w:szCs w:val="21"/>
                      <w:u w:val="none" w:color="auto"/>
                      <w:lang w:val="en-US" w:eastAsia="zh-CN"/>
                    </w:rPr>
                  </w:pPr>
                  <w:r>
                    <w:rPr>
                      <w:rFonts w:hint="eastAsia" w:ascii="Times New Roman" w:hAnsi="Times New Roman" w:eastAsia="宋体" w:cs="Times New Roman"/>
                      <w:u w:val="none" w:color="auto"/>
                      <w:lang w:val="en-US" w:eastAsia="zh-CN"/>
                    </w:rPr>
                    <w:t>外售综合利用</w:t>
                  </w:r>
                </w:p>
              </w:tc>
            </w:tr>
            <w:tr w14:paraId="217FC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continue"/>
                  <w:vAlign w:val="center"/>
                </w:tcPr>
                <w:p w14:paraId="562BB153">
                  <w:pPr>
                    <w:pStyle w:val="57"/>
                    <w:rPr>
                      <w:rFonts w:hint="eastAsia"/>
                      <w:u w:val="none" w:color="auto"/>
                    </w:rPr>
                  </w:pPr>
                </w:p>
              </w:tc>
              <w:tc>
                <w:tcPr>
                  <w:tcW w:w="1400" w:type="dxa"/>
                  <w:shd w:val="clear" w:color="auto" w:fill="auto"/>
                  <w:vAlign w:val="center"/>
                </w:tcPr>
                <w:p w14:paraId="3D8648E9">
                  <w:pPr>
                    <w:pStyle w:val="57"/>
                    <w:rPr>
                      <w:rFonts w:hint="default" w:eastAsia="宋体"/>
                      <w:u w:val="none" w:color="auto"/>
                      <w:lang w:val="en-US" w:eastAsia="zh-CN"/>
                    </w:rPr>
                  </w:pPr>
                  <w:r>
                    <w:rPr>
                      <w:rFonts w:hint="eastAsia"/>
                      <w:u w:val="none" w:color="auto"/>
                      <w:lang w:val="en-US" w:eastAsia="zh-CN"/>
                    </w:rPr>
                    <w:t>生产过程</w:t>
                  </w:r>
                </w:p>
              </w:tc>
              <w:tc>
                <w:tcPr>
                  <w:tcW w:w="2125" w:type="dxa"/>
                  <w:shd w:val="clear" w:color="auto" w:fill="auto"/>
                  <w:vAlign w:val="center"/>
                </w:tcPr>
                <w:p w14:paraId="3434A579">
                  <w:pPr>
                    <w:pStyle w:val="57"/>
                    <w:rPr>
                      <w:rFonts w:hint="eastAsia"/>
                      <w:u w:val="none" w:color="auto"/>
                    </w:rPr>
                  </w:pPr>
                  <w:r>
                    <w:rPr>
                      <w:rFonts w:hint="eastAsia" w:ascii="Times New Roman" w:hAnsi="Times New Roman" w:eastAsia="宋体" w:cs="Times New Roman"/>
                      <w:u w:val="none" w:color="auto"/>
                    </w:rPr>
                    <w:t>废边角料和不合格品</w:t>
                  </w:r>
                </w:p>
              </w:tc>
              <w:tc>
                <w:tcPr>
                  <w:tcW w:w="3606" w:type="dxa"/>
                  <w:shd w:val="clear" w:color="auto" w:fill="auto"/>
                  <w:vAlign w:val="center"/>
                </w:tcPr>
                <w:p w14:paraId="0BC5F8F7">
                  <w:pPr>
                    <w:ind w:left="0" w:leftChars="0" w:right="0" w:rightChars="0" w:firstLine="0" w:firstLineChars="0"/>
                    <w:jc w:val="center"/>
                    <w:rPr>
                      <w:rFonts w:hint="eastAsia" w:ascii="Times New Roman" w:hAnsi="Times New Roman" w:eastAsia="宋体" w:cs="Times New Roman"/>
                      <w:sz w:val="21"/>
                      <w:szCs w:val="21"/>
                      <w:u w:val="none" w:color="auto"/>
                      <w:lang w:val="en-US" w:eastAsia="zh-CN"/>
                    </w:rPr>
                  </w:pPr>
                  <w:r>
                    <w:rPr>
                      <w:rFonts w:hint="eastAsia" w:ascii="Times New Roman" w:hAnsi="Times New Roman" w:eastAsia="宋体" w:cs="Times New Roman"/>
                      <w:u w:val="none" w:color="auto"/>
                      <w:lang w:val="en-US" w:eastAsia="zh-CN"/>
                    </w:rPr>
                    <w:t>外售综合利用</w:t>
                  </w:r>
                </w:p>
              </w:tc>
            </w:tr>
            <w:tr w14:paraId="287C6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continue"/>
                  <w:vAlign w:val="center"/>
                </w:tcPr>
                <w:p w14:paraId="58AFB0D7">
                  <w:pPr>
                    <w:pStyle w:val="57"/>
                    <w:rPr>
                      <w:rFonts w:hint="eastAsia"/>
                      <w:u w:val="none" w:color="auto"/>
                    </w:rPr>
                  </w:pPr>
                </w:p>
              </w:tc>
              <w:tc>
                <w:tcPr>
                  <w:tcW w:w="1400" w:type="dxa"/>
                  <w:shd w:val="clear" w:color="auto" w:fill="auto"/>
                  <w:vAlign w:val="center"/>
                </w:tcPr>
                <w:p w14:paraId="6CB6CA93">
                  <w:pPr>
                    <w:pStyle w:val="57"/>
                    <w:rPr>
                      <w:rFonts w:hint="default" w:eastAsia="宋体"/>
                      <w:u w:val="none" w:color="auto"/>
                      <w:lang w:val="en-US" w:eastAsia="zh-CN"/>
                    </w:rPr>
                  </w:pPr>
                  <w:r>
                    <w:rPr>
                      <w:rFonts w:hint="eastAsia"/>
                      <w:u w:val="none" w:color="auto"/>
                      <w:lang w:val="en-US" w:eastAsia="zh-CN"/>
                    </w:rPr>
                    <w:t>洒水降尘</w:t>
                  </w:r>
                </w:p>
              </w:tc>
              <w:tc>
                <w:tcPr>
                  <w:tcW w:w="2125" w:type="dxa"/>
                  <w:shd w:val="clear" w:color="auto" w:fill="auto"/>
                  <w:vAlign w:val="center"/>
                </w:tcPr>
                <w:p w14:paraId="72342017">
                  <w:pPr>
                    <w:pStyle w:val="57"/>
                    <w:rPr>
                      <w:rFonts w:hint="eastAsia" w:eastAsia="宋体"/>
                      <w:u w:val="none" w:color="auto"/>
                      <w:lang w:val="en-US" w:eastAsia="zh-CN"/>
                    </w:rPr>
                  </w:pPr>
                  <w:r>
                    <w:rPr>
                      <w:rFonts w:hint="eastAsia"/>
                      <w:u w:val="none" w:color="auto"/>
                    </w:rPr>
                    <w:t>地面收集尘</w:t>
                  </w:r>
                </w:p>
              </w:tc>
              <w:tc>
                <w:tcPr>
                  <w:tcW w:w="3606" w:type="dxa"/>
                  <w:shd w:val="clear" w:color="auto" w:fill="auto"/>
                  <w:vAlign w:val="center"/>
                </w:tcPr>
                <w:p w14:paraId="19D6F8F1">
                  <w:pPr>
                    <w:ind w:left="0" w:leftChars="0" w:right="0" w:rightChars="0" w:firstLine="0" w:firstLineChars="0"/>
                    <w:jc w:val="center"/>
                    <w:rPr>
                      <w:rFonts w:hint="eastAsia" w:ascii="Times New Roman" w:hAnsi="Times New Roman" w:eastAsia="宋体" w:cs="Times New Roman"/>
                      <w:sz w:val="21"/>
                      <w:szCs w:val="21"/>
                      <w:u w:val="none" w:color="auto"/>
                      <w:lang w:val="en-US" w:eastAsia="zh-CN"/>
                    </w:rPr>
                  </w:pPr>
                  <w:r>
                    <w:rPr>
                      <w:rFonts w:hint="eastAsia" w:ascii="Times New Roman" w:hAnsi="Times New Roman" w:eastAsia="宋体" w:cs="Times New Roman"/>
                      <w:u w:val="none" w:color="auto"/>
                      <w:lang w:val="en-US" w:eastAsia="zh-CN"/>
                    </w:rPr>
                    <w:t>外售综合利用</w:t>
                  </w:r>
                </w:p>
              </w:tc>
            </w:tr>
            <w:tr w14:paraId="4E940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continue"/>
                  <w:vAlign w:val="center"/>
                </w:tcPr>
                <w:p w14:paraId="69E5CA95">
                  <w:pPr>
                    <w:pStyle w:val="57"/>
                    <w:rPr>
                      <w:rFonts w:hint="eastAsia"/>
                      <w:u w:val="none" w:color="auto"/>
                    </w:rPr>
                  </w:pPr>
                </w:p>
              </w:tc>
              <w:tc>
                <w:tcPr>
                  <w:tcW w:w="1400" w:type="dxa"/>
                  <w:shd w:val="clear" w:color="auto" w:fill="auto"/>
                  <w:vAlign w:val="center"/>
                </w:tcPr>
                <w:p w14:paraId="5BBAE72A">
                  <w:pPr>
                    <w:pStyle w:val="57"/>
                    <w:rPr>
                      <w:rFonts w:hint="default" w:eastAsia="宋体"/>
                      <w:u w:val="none" w:color="auto"/>
                      <w:lang w:val="en-US" w:eastAsia="zh-CN"/>
                    </w:rPr>
                  </w:pPr>
                  <w:r>
                    <w:rPr>
                      <w:rFonts w:hint="eastAsia"/>
                      <w:u w:val="none" w:color="auto"/>
                      <w:lang w:val="en-US" w:eastAsia="zh-CN"/>
                    </w:rPr>
                    <w:t>拉丝工序布袋除尘器</w:t>
                  </w:r>
                </w:p>
              </w:tc>
              <w:tc>
                <w:tcPr>
                  <w:tcW w:w="2125" w:type="dxa"/>
                  <w:shd w:val="clear" w:color="auto" w:fill="auto"/>
                  <w:vAlign w:val="center"/>
                </w:tcPr>
                <w:p w14:paraId="47533986">
                  <w:pPr>
                    <w:pStyle w:val="57"/>
                    <w:rPr>
                      <w:rFonts w:hint="eastAsia"/>
                      <w:u w:val="none" w:color="auto"/>
                    </w:rPr>
                  </w:pPr>
                  <w:r>
                    <w:rPr>
                      <w:rFonts w:hint="eastAsia"/>
                      <w:u w:val="none" w:color="auto"/>
                      <w:lang w:val="en-US" w:eastAsia="zh-CN"/>
                    </w:rPr>
                    <w:t>除尘</w:t>
                  </w:r>
                  <w:r>
                    <w:rPr>
                      <w:rFonts w:hint="eastAsia"/>
                      <w:u w:val="none" w:color="auto"/>
                    </w:rPr>
                    <w:t>收集尘</w:t>
                  </w:r>
                </w:p>
              </w:tc>
              <w:tc>
                <w:tcPr>
                  <w:tcW w:w="3606" w:type="dxa"/>
                  <w:shd w:val="clear" w:color="auto" w:fill="auto"/>
                  <w:vAlign w:val="center"/>
                </w:tcPr>
                <w:p w14:paraId="03BF31DE">
                  <w:pPr>
                    <w:ind w:left="0" w:leftChars="0" w:right="0" w:rightChars="0" w:firstLine="0" w:firstLineChars="0"/>
                    <w:jc w:val="center"/>
                    <w:rPr>
                      <w:rFonts w:hint="eastAsia" w:ascii="Times New Roman" w:hAnsi="Times New Roman" w:eastAsia="宋体" w:cs="Times New Roman"/>
                      <w:sz w:val="21"/>
                      <w:szCs w:val="21"/>
                      <w:u w:val="none" w:color="auto"/>
                      <w:lang w:val="en-US" w:eastAsia="zh-CN"/>
                    </w:rPr>
                  </w:pPr>
                  <w:r>
                    <w:rPr>
                      <w:rFonts w:hint="eastAsia" w:ascii="Times New Roman" w:hAnsi="Times New Roman" w:eastAsia="宋体" w:cs="Times New Roman"/>
                      <w:u w:val="none" w:color="auto"/>
                      <w:lang w:val="en-US" w:eastAsia="zh-CN"/>
                    </w:rPr>
                    <w:t>外售综合利用</w:t>
                  </w:r>
                </w:p>
              </w:tc>
            </w:tr>
            <w:tr w14:paraId="7B425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continue"/>
                  <w:vAlign w:val="center"/>
                </w:tcPr>
                <w:p w14:paraId="50258EF6">
                  <w:pPr>
                    <w:pStyle w:val="57"/>
                    <w:rPr>
                      <w:u w:val="none" w:color="auto"/>
                    </w:rPr>
                  </w:pPr>
                </w:p>
              </w:tc>
              <w:tc>
                <w:tcPr>
                  <w:tcW w:w="1400" w:type="dxa"/>
                  <w:vAlign w:val="center"/>
                </w:tcPr>
                <w:p w14:paraId="2246A98D">
                  <w:pPr>
                    <w:pStyle w:val="57"/>
                    <w:rPr>
                      <w:u w:val="none" w:color="auto"/>
                    </w:rPr>
                  </w:pPr>
                  <w:r>
                    <w:rPr>
                      <w:rFonts w:hint="eastAsia"/>
                      <w:u w:val="none" w:color="auto"/>
                    </w:rPr>
                    <w:t>旋风除尘器</w:t>
                  </w:r>
                </w:p>
              </w:tc>
              <w:tc>
                <w:tcPr>
                  <w:tcW w:w="2125" w:type="dxa"/>
                  <w:vAlign w:val="center"/>
                </w:tcPr>
                <w:p w14:paraId="4CBECA08">
                  <w:pPr>
                    <w:pStyle w:val="57"/>
                    <w:rPr>
                      <w:u w:val="none" w:color="auto"/>
                    </w:rPr>
                  </w:pPr>
                  <w:r>
                    <w:rPr>
                      <w:rFonts w:hint="eastAsia"/>
                      <w:u w:val="none" w:color="auto"/>
                    </w:rPr>
                    <w:t>除尘灰</w:t>
                  </w:r>
                  <w:r>
                    <w:rPr>
                      <w:rFonts w:hint="eastAsia"/>
                      <w:u w:val="none" w:color="auto"/>
                      <w:lang w:val="en-US" w:eastAsia="zh-CN"/>
                    </w:rPr>
                    <w:t>渣</w:t>
                  </w:r>
                </w:p>
              </w:tc>
              <w:tc>
                <w:tcPr>
                  <w:tcW w:w="3606" w:type="dxa"/>
                  <w:vMerge w:val="restart"/>
                  <w:vAlign w:val="center"/>
                </w:tcPr>
                <w:p w14:paraId="68F4F2C9">
                  <w:pPr>
                    <w:pStyle w:val="57"/>
                    <w:rPr>
                      <w:u w:val="none" w:color="auto"/>
                    </w:rPr>
                  </w:pPr>
                  <w:r>
                    <w:rPr>
                      <w:rFonts w:hint="eastAsia"/>
                    </w:rPr>
                    <w:t>作为农肥交由周边农户利用</w:t>
                  </w:r>
                </w:p>
              </w:tc>
            </w:tr>
            <w:tr w14:paraId="47F42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continue"/>
                  <w:vAlign w:val="center"/>
                </w:tcPr>
                <w:p w14:paraId="3F1DB23F">
                  <w:pPr>
                    <w:pStyle w:val="57"/>
                    <w:rPr>
                      <w:u w:val="none" w:color="auto"/>
                    </w:rPr>
                  </w:pPr>
                </w:p>
              </w:tc>
              <w:tc>
                <w:tcPr>
                  <w:tcW w:w="1400" w:type="dxa"/>
                  <w:vAlign w:val="center"/>
                </w:tcPr>
                <w:p w14:paraId="6414C47A">
                  <w:pPr>
                    <w:pStyle w:val="57"/>
                    <w:rPr>
                      <w:u w:val="none" w:color="auto"/>
                    </w:rPr>
                  </w:pPr>
                  <w:r>
                    <w:rPr>
                      <w:rFonts w:hint="eastAsia"/>
                      <w:u w:val="none" w:color="auto"/>
                    </w:rPr>
                    <w:t>袋式除尘器</w:t>
                  </w:r>
                </w:p>
              </w:tc>
              <w:tc>
                <w:tcPr>
                  <w:tcW w:w="2125" w:type="dxa"/>
                  <w:vAlign w:val="center"/>
                </w:tcPr>
                <w:p w14:paraId="6A0C3AF7">
                  <w:pPr>
                    <w:pStyle w:val="57"/>
                    <w:rPr>
                      <w:u w:val="none" w:color="auto"/>
                    </w:rPr>
                  </w:pPr>
                  <w:r>
                    <w:rPr>
                      <w:rFonts w:hint="eastAsia"/>
                      <w:u w:val="none" w:color="auto"/>
                    </w:rPr>
                    <w:t>除尘灰</w:t>
                  </w:r>
                  <w:r>
                    <w:rPr>
                      <w:rFonts w:hint="eastAsia"/>
                      <w:u w:val="none" w:color="auto"/>
                      <w:lang w:val="en-US" w:eastAsia="zh-CN"/>
                    </w:rPr>
                    <w:t>渣</w:t>
                  </w:r>
                </w:p>
              </w:tc>
              <w:tc>
                <w:tcPr>
                  <w:tcW w:w="3606" w:type="dxa"/>
                  <w:vMerge w:val="continue"/>
                  <w:vAlign w:val="center"/>
                </w:tcPr>
                <w:p w14:paraId="1C3BDD65">
                  <w:pPr>
                    <w:pStyle w:val="57"/>
                    <w:rPr>
                      <w:u w:val="none" w:color="auto"/>
                    </w:rPr>
                  </w:pPr>
                </w:p>
              </w:tc>
            </w:tr>
            <w:tr w14:paraId="22DED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restart"/>
                  <w:vAlign w:val="center"/>
                </w:tcPr>
                <w:p w14:paraId="3A72F5C0">
                  <w:pPr>
                    <w:pStyle w:val="57"/>
                    <w:rPr>
                      <w:rFonts w:hint="default" w:eastAsia="宋体"/>
                      <w:u w:val="none" w:color="auto"/>
                      <w:lang w:val="en-US" w:eastAsia="zh-CN"/>
                    </w:rPr>
                  </w:pPr>
                  <w:r>
                    <w:rPr>
                      <w:rFonts w:hint="eastAsia"/>
                      <w:u w:val="none" w:color="auto"/>
                      <w:lang w:val="en-US" w:eastAsia="zh-CN"/>
                    </w:rPr>
                    <w:t>危废</w:t>
                  </w:r>
                </w:p>
              </w:tc>
              <w:tc>
                <w:tcPr>
                  <w:tcW w:w="1400" w:type="dxa"/>
                  <w:vMerge w:val="restart"/>
                  <w:vAlign w:val="center"/>
                </w:tcPr>
                <w:p w14:paraId="3C7E2338">
                  <w:pPr>
                    <w:pStyle w:val="57"/>
                    <w:rPr>
                      <w:rFonts w:hint="default" w:eastAsia="宋体"/>
                      <w:u w:val="none" w:color="auto"/>
                      <w:lang w:val="en-US" w:eastAsia="zh-CN"/>
                    </w:rPr>
                  </w:pPr>
                  <w:r>
                    <w:rPr>
                      <w:rFonts w:hint="eastAsia"/>
                      <w:u w:val="none" w:color="auto"/>
                      <w:lang w:val="en-US" w:eastAsia="zh-CN"/>
                    </w:rPr>
                    <w:t>设备维修</w:t>
                  </w:r>
                </w:p>
              </w:tc>
              <w:tc>
                <w:tcPr>
                  <w:tcW w:w="2125" w:type="dxa"/>
                  <w:shd w:val="clear" w:color="auto" w:fill="auto"/>
                  <w:vAlign w:val="center"/>
                </w:tcPr>
                <w:p w14:paraId="7C6603A1">
                  <w:pPr>
                    <w:pStyle w:val="57"/>
                    <w:rPr>
                      <w:rFonts w:hint="eastAsia" w:ascii="Times New Roman" w:hAnsi="Times New Roman" w:eastAsia="宋体"/>
                      <w:u w:val="none" w:color="auto"/>
                      <w:lang w:val="en-US" w:eastAsia="zh-CN"/>
                    </w:rPr>
                  </w:pPr>
                  <w:r>
                    <w:rPr>
                      <w:rFonts w:hint="eastAsia" w:ascii="Times New Roman" w:hAnsi="Times New Roman" w:eastAsia="宋体"/>
                      <w:u w:val="none" w:color="auto"/>
                    </w:rPr>
                    <w:t>废</w:t>
                  </w:r>
                  <w:r>
                    <w:rPr>
                      <w:rFonts w:hint="eastAsia" w:ascii="Times New Roman" w:hAnsi="Times New Roman" w:eastAsia="宋体"/>
                      <w:u w:val="none" w:color="auto"/>
                      <w:lang w:val="en-US" w:eastAsia="zh-CN"/>
                    </w:rPr>
                    <w:t>润滑油</w:t>
                  </w:r>
                </w:p>
              </w:tc>
              <w:tc>
                <w:tcPr>
                  <w:tcW w:w="3606" w:type="dxa"/>
                  <w:vMerge w:val="restart"/>
                  <w:vAlign w:val="center"/>
                </w:tcPr>
                <w:p w14:paraId="0822F517">
                  <w:pPr>
                    <w:pStyle w:val="57"/>
                    <w:rPr>
                      <w:rFonts w:hint="default" w:eastAsia="宋体"/>
                      <w:u w:val="none" w:color="auto"/>
                      <w:lang w:val="en-US" w:eastAsia="zh-CN"/>
                    </w:rPr>
                  </w:pPr>
                  <w:r>
                    <w:rPr>
                      <w:rFonts w:hint="eastAsia"/>
                      <w:u w:val="none" w:color="auto"/>
                      <w:lang w:val="en-US" w:eastAsia="zh-CN"/>
                    </w:rPr>
                    <w:t>交由有资质单位处理</w:t>
                  </w:r>
                </w:p>
              </w:tc>
            </w:tr>
            <w:tr w14:paraId="238FB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continue"/>
                  <w:vAlign w:val="center"/>
                </w:tcPr>
                <w:p w14:paraId="1425782A">
                  <w:pPr>
                    <w:pStyle w:val="57"/>
                    <w:rPr>
                      <w:u w:val="none" w:color="auto"/>
                    </w:rPr>
                  </w:pPr>
                </w:p>
              </w:tc>
              <w:tc>
                <w:tcPr>
                  <w:tcW w:w="1400" w:type="dxa"/>
                  <w:vMerge w:val="continue"/>
                  <w:vAlign w:val="center"/>
                </w:tcPr>
                <w:p w14:paraId="06DB0A49">
                  <w:pPr>
                    <w:pStyle w:val="57"/>
                    <w:rPr>
                      <w:rFonts w:hint="eastAsia"/>
                      <w:u w:val="none" w:color="auto"/>
                    </w:rPr>
                  </w:pPr>
                </w:p>
              </w:tc>
              <w:tc>
                <w:tcPr>
                  <w:tcW w:w="2125" w:type="dxa"/>
                  <w:shd w:val="clear" w:color="auto" w:fill="auto"/>
                  <w:vAlign w:val="center"/>
                </w:tcPr>
                <w:p w14:paraId="021E5E6A">
                  <w:pPr>
                    <w:pStyle w:val="57"/>
                    <w:rPr>
                      <w:rFonts w:hint="eastAsia" w:ascii="Times New Roman" w:hAnsi="Times New Roman" w:eastAsia="宋体"/>
                      <w:u w:val="none" w:color="auto"/>
                      <w:lang w:val="en-US" w:eastAsia="zh-CN"/>
                    </w:rPr>
                  </w:pPr>
                  <w:r>
                    <w:rPr>
                      <w:rFonts w:hint="eastAsia" w:ascii="Times New Roman" w:hAnsi="Times New Roman" w:eastAsia="宋体"/>
                      <w:u w:val="none" w:color="auto"/>
                    </w:rPr>
                    <w:t>废油桶</w:t>
                  </w:r>
                </w:p>
              </w:tc>
              <w:tc>
                <w:tcPr>
                  <w:tcW w:w="3606" w:type="dxa"/>
                  <w:vMerge w:val="continue"/>
                  <w:vAlign w:val="center"/>
                </w:tcPr>
                <w:p w14:paraId="05FC9252">
                  <w:pPr>
                    <w:pStyle w:val="57"/>
                    <w:rPr>
                      <w:u w:val="none" w:color="auto"/>
                    </w:rPr>
                  </w:pPr>
                </w:p>
              </w:tc>
            </w:tr>
            <w:tr w14:paraId="17269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continue"/>
                  <w:vAlign w:val="center"/>
                </w:tcPr>
                <w:p w14:paraId="2D58CCB0">
                  <w:pPr>
                    <w:pStyle w:val="57"/>
                    <w:rPr>
                      <w:u w:val="none" w:color="auto"/>
                    </w:rPr>
                  </w:pPr>
                </w:p>
              </w:tc>
              <w:tc>
                <w:tcPr>
                  <w:tcW w:w="1400" w:type="dxa"/>
                  <w:vMerge w:val="continue"/>
                  <w:vAlign w:val="center"/>
                </w:tcPr>
                <w:p w14:paraId="44A935C6">
                  <w:pPr>
                    <w:pStyle w:val="57"/>
                    <w:rPr>
                      <w:rFonts w:hint="eastAsia"/>
                      <w:u w:val="none" w:color="auto"/>
                    </w:rPr>
                  </w:pPr>
                </w:p>
              </w:tc>
              <w:tc>
                <w:tcPr>
                  <w:tcW w:w="2125" w:type="dxa"/>
                  <w:shd w:val="clear" w:color="auto" w:fill="auto"/>
                  <w:vAlign w:val="center"/>
                </w:tcPr>
                <w:p w14:paraId="0E7E3A30">
                  <w:pPr>
                    <w:pStyle w:val="57"/>
                    <w:rPr>
                      <w:rFonts w:hint="eastAsia" w:ascii="Times New Roman" w:hAnsi="Times New Roman" w:eastAsia="宋体"/>
                      <w:u w:val="none" w:color="auto"/>
                      <w:lang w:val="en-US" w:eastAsia="zh-CN"/>
                    </w:rPr>
                  </w:pPr>
                  <w:r>
                    <w:rPr>
                      <w:rFonts w:hint="eastAsia" w:ascii="Times New Roman" w:hAnsi="Times New Roman" w:eastAsia="宋体"/>
                      <w:u w:val="none" w:color="auto"/>
                    </w:rPr>
                    <w:t>废抹布、含油手套</w:t>
                  </w:r>
                </w:p>
              </w:tc>
              <w:tc>
                <w:tcPr>
                  <w:tcW w:w="3606" w:type="dxa"/>
                  <w:vMerge w:val="continue"/>
                  <w:vAlign w:val="center"/>
                </w:tcPr>
                <w:p w14:paraId="3661ECF7">
                  <w:pPr>
                    <w:pStyle w:val="57"/>
                    <w:rPr>
                      <w:u w:val="none" w:color="auto"/>
                    </w:rPr>
                  </w:pPr>
                </w:p>
              </w:tc>
            </w:tr>
          </w:tbl>
          <w:p w14:paraId="57270089">
            <w:pPr>
              <w:pStyle w:val="35"/>
              <w:ind w:firstLine="0" w:firstLineChars="0"/>
              <w:rPr>
                <w:u w:val="none" w:color="auto"/>
              </w:rPr>
            </w:pPr>
          </w:p>
        </w:tc>
      </w:tr>
      <w:tr w14:paraId="5A7E9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50AC1080">
            <w:pPr>
              <w:pStyle w:val="36"/>
              <w:rPr>
                <w:u w:val="none" w:color="auto"/>
              </w:rPr>
            </w:pPr>
            <w:r>
              <w:rPr>
                <w:rFonts w:hint="eastAsia"/>
                <w:u w:val="none" w:color="auto"/>
              </w:rPr>
              <w:t>与项目有关的原有环境污染问题</w:t>
            </w:r>
          </w:p>
        </w:tc>
        <w:tc>
          <w:tcPr>
            <w:tcW w:w="8074" w:type="dxa"/>
            <w:vAlign w:val="center"/>
          </w:tcPr>
          <w:p w14:paraId="4A5592C4">
            <w:pPr>
              <w:autoSpaceDE w:val="0"/>
              <w:autoSpaceDN w:val="0"/>
              <w:adjustRightInd w:val="0"/>
              <w:snapToGrid w:val="0"/>
              <w:spacing w:line="360" w:lineRule="auto"/>
              <w:ind w:firstLine="480" w:firstLineChars="200"/>
              <w:rPr>
                <w:rFonts w:hint="eastAsia" w:ascii="Times New Roman" w:hAnsi="Times New Roman" w:eastAsia="宋体" w:cstheme="minorBidi"/>
                <w:kern w:val="2"/>
                <w:sz w:val="24"/>
                <w:szCs w:val="22"/>
                <w:lang w:val="zh-CN" w:eastAsia="zh-CN" w:bidi="ar-SA"/>
              </w:rPr>
            </w:pPr>
            <w:r>
              <w:rPr>
                <w:rFonts w:hint="eastAsia" w:ascii="Times New Roman" w:hAnsi="Times New Roman" w:eastAsia="宋体" w:cstheme="minorBidi"/>
                <w:kern w:val="2"/>
                <w:sz w:val="24"/>
                <w:szCs w:val="22"/>
                <w:lang w:val="en-US" w:eastAsia="zh-CN" w:bidi="ar-SA"/>
              </w:rPr>
              <w:t>本项目为新建项目，选址位于湖南省益阳市赫山区泥江口镇水满村，依托已建成工业厂房进行建设，项目用地性质为工业用地。项目所用原有厂房前期仅从事成品筷子包装工序，仅配套简易包装设备，无工艺废水、废气、噪声、固废等污染物产生环节，不涉及各类化工原辅材料的使用与储存，未配套建设污染治理设施。厂房过往生产活动无污染排放行为，无危险废物、工业固废及污水遗留问题，场地土壤、地下水未遭受污染。综上所述，本项目场地无原有环境污染问题及历史环境遗留风险。</w:t>
            </w:r>
          </w:p>
          <w:p w14:paraId="110D387D">
            <w:pPr>
              <w:autoSpaceDE w:val="0"/>
              <w:autoSpaceDN w:val="0"/>
              <w:adjustRightInd w:val="0"/>
              <w:snapToGrid w:val="0"/>
              <w:spacing w:line="360" w:lineRule="auto"/>
              <w:rPr>
                <w:rFonts w:hint="default" w:ascii="Times New Roman" w:hAnsi="Times New Roman" w:eastAsia="宋体" w:cs="Times New Roman"/>
                <w:u w:val="none" w:color="auto"/>
                <w:lang w:val="en-US" w:eastAsia="zh-CN"/>
              </w:rPr>
            </w:pPr>
          </w:p>
        </w:tc>
      </w:tr>
    </w:tbl>
    <w:p w14:paraId="18A0D77D">
      <w:pPr>
        <w:pStyle w:val="35"/>
        <w:ind w:firstLine="0" w:firstLineChars="0"/>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8A37115">
      <w:pPr>
        <w:pStyle w:val="39"/>
        <w:ind w:left="0" w:leftChars="0" w:right="0" w:rightChars="0" w:firstLine="0" w:firstLineChars="0"/>
        <w:jc w:val="center"/>
      </w:pPr>
      <w:bookmarkStart w:id="16" w:name="_Toc21913"/>
      <w:bookmarkStart w:id="17" w:name="_Toc27470"/>
      <w:bookmarkStart w:id="18" w:name="_Toc26534"/>
      <w:bookmarkStart w:id="19" w:name="_Toc872"/>
      <w:bookmarkStart w:id="20" w:name="_Toc92"/>
      <w:bookmarkStart w:id="21" w:name="_Toc3162"/>
      <w:bookmarkStart w:id="22" w:name="_Toc16143"/>
      <w:r>
        <w:rPr>
          <w:rFonts w:hint="eastAsia"/>
        </w:rPr>
        <w:t>三、区域环境质量现状、环境保护目标及评价标准</w:t>
      </w:r>
      <w:bookmarkEnd w:id="16"/>
      <w:bookmarkEnd w:id="17"/>
      <w:bookmarkEnd w:id="18"/>
      <w:bookmarkEnd w:id="19"/>
      <w:bookmarkEnd w:id="20"/>
      <w:bookmarkEnd w:id="21"/>
      <w:bookmarkEnd w:id="22"/>
    </w:p>
    <w:tbl>
      <w:tblPr>
        <w:tblStyle w:val="28"/>
        <w:tblW w:w="9041" w:type="dxa"/>
        <w:tblInd w:w="-3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8223"/>
      </w:tblGrid>
      <w:tr w14:paraId="21A2D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tcBorders>
              <w:bottom w:val="single" w:color="000000" w:sz="8" w:space="0"/>
            </w:tcBorders>
            <w:vAlign w:val="center"/>
          </w:tcPr>
          <w:p w14:paraId="7135FE87">
            <w:pPr>
              <w:pStyle w:val="36"/>
            </w:pPr>
            <w:r>
              <w:rPr>
                <w:rFonts w:hint="eastAsia"/>
              </w:rPr>
              <w:t>区域环境质量现状</w:t>
            </w:r>
          </w:p>
        </w:tc>
        <w:tc>
          <w:tcPr>
            <w:tcW w:w="8223" w:type="dxa"/>
            <w:tcBorders>
              <w:bottom w:val="single" w:color="000000" w:sz="8" w:space="0"/>
            </w:tcBorders>
          </w:tcPr>
          <w:p w14:paraId="3F728152">
            <w:pPr>
              <w:autoSpaceDE w:val="0"/>
              <w:autoSpaceDN w:val="0"/>
              <w:adjustRightInd w:val="0"/>
              <w:snapToGrid w:val="0"/>
              <w:spacing w:line="360" w:lineRule="auto"/>
              <w:ind w:firstLine="482" w:firstLineChars="200"/>
              <w:rPr>
                <w:rFonts w:hint="eastAsia" w:ascii="Times New Roman" w:hAnsi="Times New Roman" w:eastAsia="宋体" w:cstheme="minorBidi"/>
                <w:b/>
                <w:bCs/>
                <w:kern w:val="2"/>
                <w:sz w:val="24"/>
                <w:szCs w:val="22"/>
                <w:lang w:val="zh-CN" w:eastAsia="zh-CN" w:bidi="ar-SA"/>
              </w:rPr>
            </w:pPr>
            <w:r>
              <w:rPr>
                <w:rFonts w:hint="eastAsia" w:ascii="Times New Roman" w:hAnsi="Times New Roman" w:eastAsia="宋体" w:cstheme="minorBidi"/>
                <w:b/>
                <w:bCs/>
                <w:kern w:val="2"/>
                <w:sz w:val="24"/>
                <w:szCs w:val="22"/>
                <w:lang w:val="zh-CN" w:eastAsia="zh-CN" w:bidi="ar-SA"/>
              </w:rPr>
              <w:t>1、环境空气</w:t>
            </w:r>
          </w:p>
          <w:p w14:paraId="2B4363B6">
            <w:pPr>
              <w:autoSpaceDE w:val="0"/>
              <w:autoSpaceDN w:val="0"/>
              <w:adjustRightInd w:val="0"/>
              <w:snapToGrid w:val="0"/>
              <w:spacing w:line="360" w:lineRule="auto"/>
              <w:ind w:firstLine="480" w:firstLineChars="200"/>
              <w:rPr>
                <w:rFonts w:hint="eastAsia" w:ascii="Times New Roman" w:hAnsi="Times New Roman" w:eastAsia="宋体" w:cstheme="minorBidi"/>
                <w:kern w:val="2"/>
                <w:sz w:val="24"/>
                <w:szCs w:val="22"/>
                <w:lang w:val="zh-CN" w:eastAsia="zh-CN" w:bidi="ar-SA"/>
              </w:rPr>
            </w:pPr>
            <w:r>
              <w:rPr>
                <w:rFonts w:hint="eastAsia" w:ascii="Times New Roman" w:hAnsi="Times New Roman" w:eastAsia="宋体" w:cstheme="minorBidi"/>
                <w:kern w:val="2"/>
                <w:sz w:val="24"/>
                <w:szCs w:val="22"/>
                <w:lang w:val="zh-CN" w:eastAsia="zh-CN" w:bidi="ar-SA"/>
              </w:rPr>
              <w:t>（1）基本污染物环境质量现状及达标区判定</w:t>
            </w:r>
          </w:p>
          <w:p w14:paraId="73DE89D2">
            <w:pPr>
              <w:autoSpaceDE w:val="0"/>
              <w:autoSpaceDN w:val="0"/>
              <w:adjustRightInd w:val="0"/>
              <w:snapToGrid w:val="0"/>
              <w:spacing w:line="360" w:lineRule="auto"/>
              <w:ind w:firstLine="480" w:firstLineChars="200"/>
              <w:rPr>
                <w:rFonts w:hint="eastAsia" w:ascii="Times New Roman" w:hAnsi="Times New Roman" w:eastAsia="宋体" w:cstheme="minorBidi"/>
                <w:kern w:val="2"/>
                <w:sz w:val="24"/>
                <w:szCs w:val="22"/>
                <w:lang w:val="zh-CN" w:eastAsia="zh-CN" w:bidi="ar-SA"/>
              </w:rPr>
            </w:pPr>
            <w:r>
              <w:rPr>
                <w:rFonts w:hint="eastAsia" w:ascii="Times New Roman" w:hAnsi="Times New Roman" w:eastAsia="宋体" w:cstheme="minorBidi"/>
                <w:kern w:val="2"/>
                <w:sz w:val="24"/>
                <w:szCs w:val="22"/>
                <w:lang w:val="zh-CN" w:eastAsia="zh-CN" w:bidi="ar-SA"/>
              </w:rPr>
              <w:t>本项目位于</w:t>
            </w:r>
            <w:r>
              <w:rPr>
                <w:rFonts w:hint="eastAsia" w:ascii="Times New Roman" w:hAnsi="Times New Roman" w:eastAsia="宋体" w:cstheme="minorBidi"/>
                <w:kern w:val="2"/>
                <w:sz w:val="24"/>
                <w:szCs w:val="22"/>
                <w:lang w:val="en-US" w:eastAsia="zh-CN" w:bidi="ar-SA"/>
              </w:rPr>
              <w:t>湖南省益</w:t>
            </w:r>
            <w:r>
              <w:rPr>
                <w:rFonts w:hint="eastAsia" w:ascii="Times New Roman" w:hAnsi="Times New Roman" w:eastAsia="宋体" w:cstheme="minorBidi"/>
                <w:kern w:val="2"/>
                <w:sz w:val="24"/>
                <w:szCs w:val="22"/>
                <w:lang w:val="zh-CN" w:eastAsia="zh-CN" w:bidi="ar-SA"/>
              </w:rPr>
              <w:t>阳市赫山区泥江口镇水满村，评价区域属于环境空气二类功能区，其空气质量执行《环境空气质量标准》（GB3095-20</w:t>
            </w:r>
            <w:r>
              <w:rPr>
                <w:rFonts w:hint="eastAsia" w:ascii="Times New Roman" w:hAnsi="Times New Roman" w:eastAsia="宋体" w:cstheme="minorBidi"/>
                <w:kern w:val="2"/>
                <w:sz w:val="24"/>
                <w:szCs w:val="22"/>
                <w:lang w:val="en-US" w:eastAsia="zh-CN" w:bidi="ar-SA"/>
              </w:rPr>
              <w:t>26</w:t>
            </w:r>
            <w:r>
              <w:rPr>
                <w:rFonts w:hint="eastAsia" w:ascii="Times New Roman" w:hAnsi="Times New Roman" w:eastAsia="宋体" w:cstheme="minorBidi"/>
                <w:kern w:val="2"/>
                <w:sz w:val="24"/>
                <w:szCs w:val="22"/>
                <w:lang w:val="zh-CN" w:eastAsia="zh-CN" w:bidi="ar-SA"/>
              </w:rPr>
              <w:t>）中</w:t>
            </w:r>
            <w:r>
              <w:rPr>
                <w:rFonts w:hint="eastAsia" w:ascii="Times New Roman" w:hAnsi="Times New Roman" w:eastAsia="宋体" w:cstheme="minorBidi"/>
                <w:kern w:val="2"/>
                <w:sz w:val="24"/>
                <w:szCs w:val="22"/>
                <w:lang w:val="en-US" w:eastAsia="zh-CN" w:bidi="ar-SA"/>
              </w:rPr>
              <w:t>过渡阶段</w:t>
            </w:r>
            <w:r>
              <w:rPr>
                <w:rFonts w:hint="default" w:ascii="Times New Roman" w:hAnsi="Times New Roman" w:eastAsia="宋体" w:cstheme="minorBidi"/>
                <w:kern w:val="2"/>
                <w:sz w:val="24"/>
                <w:szCs w:val="22"/>
                <w:lang w:val="zh-CN" w:eastAsia="zh-CN" w:bidi="ar-SA"/>
              </w:rPr>
              <w:t>二级标准限值</w:t>
            </w:r>
            <w:r>
              <w:rPr>
                <w:rFonts w:hint="eastAsia" w:ascii="Times New Roman" w:hAnsi="Times New Roman" w:eastAsia="宋体" w:cstheme="minorBidi"/>
                <w:kern w:val="2"/>
                <w:sz w:val="24"/>
                <w:szCs w:val="22"/>
                <w:lang w:val="zh-CN" w:eastAsia="zh-CN" w:bidi="ar-SA"/>
              </w:rPr>
              <w:t>。根据《环境影响评价技术导则</w:t>
            </w:r>
            <w:r>
              <w:rPr>
                <w:rFonts w:hint="eastAsia" w:ascii="Times New Roman" w:hAnsi="Times New Roman" w:eastAsia="宋体" w:cstheme="minorBidi"/>
                <w:kern w:val="2"/>
                <w:sz w:val="24"/>
                <w:szCs w:val="22"/>
                <w:lang w:val="en-US" w:eastAsia="zh-CN" w:bidi="ar-SA"/>
              </w:rPr>
              <w:t xml:space="preserve"> </w:t>
            </w:r>
            <w:r>
              <w:rPr>
                <w:rFonts w:hint="eastAsia" w:ascii="Times New Roman" w:hAnsi="Times New Roman" w:eastAsia="宋体" w:cstheme="minorBidi"/>
                <w:kern w:val="2"/>
                <w:sz w:val="24"/>
                <w:szCs w:val="22"/>
                <w:lang w:val="zh-CN" w:eastAsia="zh-CN" w:bidi="ar-SA"/>
              </w:rPr>
              <w:t>大气环境》（HJ2.2-2018）中“6.2.1.1项目所在区域达标判定，优先采用国家或生态环境主管部门发布的平均基准年环境质量公告或环境质量报告中的数据或结论”，为了解项目所在区域环境空气质量现状，本次评价</w:t>
            </w:r>
            <w:r>
              <w:rPr>
                <w:rFonts w:hint="eastAsia" w:ascii="Times New Roman" w:hAnsi="Times New Roman" w:eastAsia="宋体" w:cstheme="minorBidi"/>
                <w:kern w:val="2"/>
                <w:sz w:val="24"/>
                <w:szCs w:val="22"/>
                <w:lang w:val="en-US" w:eastAsia="zh-CN" w:bidi="ar-SA"/>
              </w:rPr>
              <w:t>根据</w:t>
            </w:r>
            <w:r>
              <w:rPr>
                <w:rFonts w:hint="eastAsia" w:ascii="Times New Roman" w:hAnsi="Times New Roman" w:eastAsia="宋体" w:cstheme="minorBidi"/>
                <w:kern w:val="2"/>
                <w:sz w:val="24"/>
                <w:szCs w:val="22"/>
                <w:lang w:val="zh-CN" w:eastAsia="zh-CN" w:bidi="ar-SA"/>
              </w:rPr>
              <w:t>202</w:t>
            </w:r>
            <w:r>
              <w:rPr>
                <w:rFonts w:hint="eastAsia" w:ascii="Times New Roman" w:hAnsi="Times New Roman" w:eastAsia="宋体" w:cstheme="minorBidi"/>
                <w:kern w:val="2"/>
                <w:sz w:val="24"/>
                <w:szCs w:val="22"/>
                <w:lang w:val="en-US" w:eastAsia="zh-CN" w:bidi="ar-SA"/>
              </w:rPr>
              <w:t>5</w:t>
            </w:r>
            <w:r>
              <w:rPr>
                <w:rFonts w:hint="eastAsia" w:ascii="Times New Roman" w:hAnsi="Times New Roman" w:eastAsia="宋体" w:cstheme="minorBidi"/>
                <w:kern w:val="2"/>
                <w:sz w:val="24"/>
                <w:szCs w:val="22"/>
                <w:lang w:val="zh-CN" w:eastAsia="zh-CN" w:bidi="ar-SA"/>
              </w:rPr>
              <w:t>年</w:t>
            </w:r>
            <w:r>
              <w:rPr>
                <w:rFonts w:hint="eastAsia" w:ascii="Times New Roman" w:hAnsi="Times New Roman" w:eastAsia="宋体" w:cstheme="minorBidi"/>
                <w:kern w:val="2"/>
                <w:sz w:val="24"/>
                <w:szCs w:val="22"/>
                <w:lang w:val="en-US" w:eastAsia="zh-CN" w:bidi="ar-SA"/>
              </w:rPr>
              <w:t>益阳市环境空气质量历史逐时数据进行统计分析汇总。其统计分析结果</w:t>
            </w:r>
            <w:r>
              <w:rPr>
                <w:rFonts w:hint="eastAsia" w:ascii="Times New Roman" w:hAnsi="Times New Roman" w:eastAsia="宋体" w:cstheme="minorBidi"/>
                <w:kern w:val="2"/>
                <w:sz w:val="24"/>
                <w:szCs w:val="22"/>
                <w:lang w:val="zh-CN" w:eastAsia="zh-CN" w:bidi="ar-SA"/>
              </w:rPr>
              <w:t>详见表3-1。</w:t>
            </w:r>
          </w:p>
          <w:p w14:paraId="00E9C23E">
            <w:pPr>
              <w:jc w:val="center"/>
              <w:rPr>
                <w:rFonts w:hint="default" w:ascii="Times New Roman" w:hAnsi="Times New Roman" w:eastAsia="宋体" w:cs="Times New Roman"/>
                <w:b/>
                <w:szCs w:val="21"/>
                <w:u w:val="none" w:color="auto"/>
                <w:lang w:val="en-US" w:eastAsia="zh-CN"/>
              </w:rPr>
            </w:pPr>
            <w:r>
              <w:rPr>
                <w:rFonts w:hint="default" w:ascii="Times New Roman" w:hAnsi="Times New Roman" w:eastAsia="宋体" w:cs="Times New Roman"/>
                <w:b/>
                <w:szCs w:val="21"/>
                <w:u w:val="none" w:color="auto"/>
              </w:rPr>
              <w:t xml:space="preserve">表3-1  </w:t>
            </w:r>
            <w:r>
              <w:rPr>
                <w:rFonts w:hint="eastAsia" w:ascii="Times New Roman" w:hAnsi="Times New Roman" w:eastAsia="宋体" w:cs="Times New Roman"/>
                <w:b/>
                <w:szCs w:val="21"/>
                <w:u w:val="none" w:color="auto"/>
                <w:lang w:val="en-US" w:eastAsia="zh-CN"/>
              </w:rPr>
              <w:t>2025年益阳市环境空气质量状况</w:t>
            </w:r>
          </w:p>
          <w:tbl>
            <w:tblPr>
              <w:tblStyle w:val="27"/>
              <w:tblW w:w="7978" w:type="dxa"/>
              <w:tblInd w:w="-10" w:type="dxa"/>
              <w:tblBorders>
                <w:top w:val="single" w:color="auto" w:sz="8" w:space="0"/>
                <w:left w:val="single" w:color="auto" w:sz="8" w:space="0"/>
                <w:bottom w:val="single" w:color="auto" w:sz="8" w:space="0"/>
                <w:right w:val="single" w:color="auto" w:sz="8" w:space="0"/>
                <w:insideH w:val="single" w:color="auto" w:sz="4" w:space="0"/>
                <w:insideV w:val="single" w:color="auto" w:sz="2" w:space="0"/>
              </w:tblBorders>
              <w:tblLayout w:type="fixed"/>
              <w:tblCellMar>
                <w:top w:w="0" w:type="dxa"/>
                <w:left w:w="108" w:type="dxa"/>
                <w:bottom w:w="0" w:type="dxa"/>
                <w:right w:w="108" w:type="dxa"/>
              </w:tblCellMar>
            </w:tblPr>
            <w:tblGrid>
              <w:gridCol w:w="725"/>
              <w:gridCol w:w="2003"/>
              <w:gridCol w:w="1323"/>
              <w:gridCol w:w="1473"/>
              <w:gridCol w:w="1350"/>
              <w:gridCol w:w="1104"/>
            </w:tblGrid>
            <w:tr w14:paraId="55BD49E3">
              <w:tblPrEx>
                <w:tblBorders>
                  <w:top w:val="single" w:color="auto" w:sz="8" w:space="0"/>
                  <w:left w:val="single" w:color="auto" w:sz="8" w:space="0"/>
                  <w:bottom w:val="single" w:color="auto" w:sz="8" w:space="0"/>
                  <w:right w:val="single" w:color="auto" w:sz="8" w:space="0"/>
                  <w:insideH w:val="single" w:color="auto" w:sz="4" w:space="0"/>
                  <w:insideV w:val="single" w:color="auto" w:sz="2" w:space="0"/>
                </w:tblBorders>
                <w:tblCellMar>
                  <w:top w:w="0" w:type="dxa"/>
                  <w:left w:w="108" w:type="dxa"/>
                  <w:bottom w:w="0" w:type="dxa"/>
                  <w:right w:w="108" w:type="dxa"/>
                </w:tblCellMar>
              </w:tblPrEx>
              <w:trPr>
                <w:trHeight w:val="592" w:hRule="atLeast"/>
              </w:trPr>
              <w:tc>
                <w:tcPr>
                  <w:tcW w:w="454" w:type="pct"/>
                  <w:tcBorders>
                    <w:tl2br w:val="nil"/>
                    <w:tr2bl w:val="nil"/>
                  </w:tcBorders>
                  <w:noWrap w:val="0"/>
                  <w:vAlign w:val="center"/>
                </w:tcPr>
                <w:p w14:paraId="2A51289C">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污染物</w:t>
                  </w:r>
                </w:p>
              </w:tc>
              <w:tc>
                <w:tcPr>
                  <w:tcW w:w="1255" w:type="pct"/>
                  <w:tcBorders>
                    <w:tl2br w:val="nil"/>
                    <w:tr2bl w:val="nil"/>
                  </w:tcBorders>
                  <w:noWrap w:val="0"/>
                  <w:vAlign w:val="center"/>
                </w:tcPr>
                <w:p w14:paraId="634080BE">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年评价指标</w:t>
                  </w:r>
                </w:p>
              </w:tc>
              <w:tc>
                <w:tcPr>
                  <w:tcW w:w="829" w:type="pct"/>
                  <w:tcBorders>
                    <w:tl2br w:val="nil"/>
                    <w:tr2bl w:val="nil"/>
                  </w:tcBorders>
                  <w:noWrap w:val="0"/>
                  <w:vAlign w:val="center"/>
                </w:tcPr>
                <w:p w14:paraId="2F9FF0EA">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评价标准（μg/m</w:t>
                  </w:r>
                  <w:r>
                    <w:rPr>
                      <w:rFonts w:hint="default" w:ascii="Times New Roman" w:hAnsi="Times New Roman" w:eastAsia="宋体" w:cs="Times New Roman"/>
                      <w:b w:val="0"/>
                      <w:bCs/>
                      <w:szCs w:val="21"/>
                      <w:u w:val="none" w:color="auto"/>
                      <w:vertAlign w:val="superscript"/>
                    </w:rPr>
                    <w:t>3</w:t>
                  </w:r>
                  <w:r>
                    <w:rPr>
                      <w:rFonts w:hint="default" w:ascii="Times New Roman" w:hAnsi="Times New Roman" w:eastAsia="宋体" w:cs="Times New Roman"/>
                      <w:b w:val="0"/>
                      <w:bCs/>
                      <w:szCs w:val="21"/>
                      <w:u w:val="none" w:color="auto"/>
                    </w:rPr>
                    <w:t>）</w:t>
                  </w:r>
                </w:p>
              </w:tc>
              <w:tc>
                <w:tcPr>
                  <w:tcW w:w="923" w:type="pct"/>
                  <w:tcBorders>
                    <w:tl2br w:val="nil"/>
                    <w:tr2bl w:val="nil"/>
                  </w:tcBorders>
                  <w:noWrap w:val="0"/>
                  <w:vAlign w:val="center"/>
                </w:tcPr>
                <w:p w14:paraId="45C2FF9E">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现状浓度（μg/m</w:t>
                  </w:r>
                  <w:r>
                    <w:rPr>
                      <w:rFonts w:hint="default" w:ascii="Times New Roman" w:hAnsi="Times New Roman" w:eastAsia="宋体" w:cs="Times New Roman"/>
                      <w:b w:val="0"/>
                      <w:bCs/>
                      <w:szCs w:val="21"/>
                      <w:u w:val="none" w:color="auto"/>
                      <w:vertAlign w:val="superscript"/>
                    </w:rPr>
                    <w:t>3</w:t>
                  </w:r>
                  <w:r>
                    <w:rPr>
                      <w:rFonts w:hint="default" w:ascii="Times New Roman" w:hAnsi="Times New Roman" w:eastAsia="宋体" w:cs="Times New Roman"/>
                      <w:b w:val="0"/>
                      <w:bCs/>
                      <w:szCs w:val="21"/>
                      <w:u w:val="none" w:color="auto"/>
                    </w:rPr>
                    <w:t>）</w:t>
                  </w:r>
                </w:p>
              </w:tc>
              <w:tc>
                <w:tcPr>
                  <w:tcW w:w="846" w:type="pct"/>
                  <w:tcBorders>
                    <w:tl2br w:val="nil"/>
                    <w:tr2bl w:val="nil"/>
                  </w:tcBorders>
                  <w:noWrap w:val="0"/>
                  <w:vAlign w:val="center"/>
                </w:tcPr>
                <w:p w14:paraId="3B27AE9F">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最大浓度占标率（%）</w:t>
                  </w:r>
                </w:p>
              </w:tc>
              <w:tc>
                <w:tcPr>
                  <w:tcW w:w="691" w:type="pct"/>
                  <w:tcBorders>
                    <w:tl2br w:val="nil"/>
                    <w:tr2bl w:val="nil"/>
                  </w:tcBorders>
                  <w:noWrap w:val="0"/>
                  <w:vAlign w:val="center"/>
                </w:tcPr>
                <w:p w14:paraId="6D7A9067">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达标情况</w:t>
                  </w:r>
                </w:p>
              </w:tc>
            </w:tr>
            <w:tr w14:paraId="5E450601">
              <w:tblPrEx>
                <w:tblBorders>
                  <w:top w:val="single" w:color="auto" w:sz="8" w:space="0"/>
                  <w:left w:val="single" w:color="auto" w:sz="8" w:space="0"/>
                  <w:bottom w:val="single" w:color="auto" w:sz="8" w:space="0"/>
                  <w:right w:val="single" w:color="auto" w:sz="8" w:space="0"/>
                  <w:insideH w:val="single" w:color="auto" w:sz="4" w:space="0"/>
                  <w:insideV w:val="single" w:color="auto" w:sz="2" w:space="0"/>
                </w:tblBorders>
                <w:tblCellMar>
                  <w:top w:w="0" w:type="dxa"/>
                  <w:left w:w="108" w:type="dxa"/>
                  <w:bottom w:w="0" w:type="dxa"/>
                  <w:right w:w="108" w:type="dxa"/>
                </w:tblCellMar>
              </w:tblPrEx>
              <w:trPr>
                <w:trHeight w:val="459" w:hRule="atLeast"/>
              </w:trPr>
              <w:tc>
                <w:tcPr>
                  <w:tcW w:w="454" w:type="pct"/>
                  <w:tcBorders>
                    <w:tl2br w:val="nil"/>
                    <w:tr2bl w:val="nil"/>
                  </w:tcBorders>
                  <w:noWrap w:val="0"/>
                  <w:vAlign w:val="center"/>
                </w:tcPr>
                <w:p w14:paraId="54E06AA1">
                  <w:pPr>
                    <w:widowControl/>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SO</w:t>
                  </w:r>
                  <w:r>
                    <w:rPr>
                      <w:rFonts w:hint="default" w:ascii="Times New Roman" w:hAnsi="Times New Roman" w:eastAsia="宋体" w:cs="Times New Roman"/>
                      <w:b w:val="0"/>
                      <w:bCs/>
                      <w:szCs w:val="21"/>
                      <w:u w:val="none" w:color="auto"/>
                      <w:vertAlign w:val="subscript"/>
                    </w:rPr>
                    <w:t>2</w:t>
                  </w:r>
                </w:p>
              </w:tc>
              <w:tc>
                <w:tcPr>
                  <w:tcW w:w="1255" w:type="pct"/>
                  <w:tcBorders>
                    <w:tl2br w:val="nil"/>
                    <w:tr2bl w:val="nil"/>
                  </w:tcBorders>
                  <w:noWrap w:val="0"/>
                  <w:vAlign w:val="center"/>
                </w:tcPr>
                <w:p w14:paraId="01DC215C">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年均浓度</w:t>
                  </w:r>
                </w:p>
              </w:tc>
              <w:tc>
                <w:tcPr>
                  <w:tcW w:w="829" w:type="pct"/>
                  <w:tcBorders>
                    <w:tl2br w:val="nil"/>
                    <w:tr2bl w:val="nil"/>
                  </w:tcBorders>
                  <w:noWrap w:val="0"/>
                  <w:vAlign w:val="center"/>
                </w:tcPr>
                <w:p w14:paraId="571D3CBF">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60</w:t>
                  </w:r>
                </w:p>
              </w:tc>
              <w:tc>
                <w:tcPr>
                  <w:tcW w:w="923" w:type="pct"/>
                  <w:tcBorders>
                    <w:tl2br w:val="nil"/>
                    <w:tr2bl w:val="nil"/>
                  </w:tcBorders>
                  <w:noWrap w:val="0"/>
                  <w:vAlign w:val="center"/>
                </w:tcPr>
                <w:p w14:paraId="40F22288">
                  <w:pPr>
                    <w:pStyle w:val="118"/>
                    <w:kinsoku w:val="0"/>
                    <w:overflowPunct w:val="0"/>
                    <w:jc w:val="center"/>
                    <w:rPr>
                      <w:rFonts w:hint="default" w:ascii="Times New Roman" w:hAnsi="Times New Roman" w:eastAsia="宋体" w:cs="Times New Roman"/>
                      <w:b w:val="0"/>
                      <w:bCs/>
                      <w:szCs w:val="21"/>
                      <w:u w:val="none" w:color="auto"/>
                      <w:lang w:val="en-US" w:eastAsia="zh-CN"/>
                    </w:rPr>
                  </w:pPr>
                  <w:r>
                    <w:rPr>
                      <w:rFonts w:hint="eastAsia" w:ascii="Times New Roman" w:hAnsi="Times New Roman" w:eastAsia="宋体" w:cs="Times New Roman"/>
                      <w:b w:val="0"/>
                      <w:bCs/>
                      <w:szCs w:val="21"/>
                      <w:u w:val="none" w:color="auto"/>
                      <w:lang w:val="en-US" w:eastAsia="zh-CN"/>
                    </w:rPr>
                    <w:t>5.4</w:t>
                  </w:r>
                </w:p>
              </w:tc>
              <w:tc>
                <w:tcPr>
                  <w:tcW w:w="846" w:type="pct"/>
                  <w:tcBorders>
                    <w:tl2br w:val="nil"/>
                    <w:tr2bl w:val="nil"/>
                  </w:tcBorders>
                  <w:noWrap w:val="0"/>
                  <w:vAlign w:val="center"/>
                </w:tcPr>
                <w:p w14:paraId="542B363C">
                  <w:pPr>
                    <w:pStyle w:val="118"/>
                    <w:kinsoku w:val="0"/>
                    <w:overflowPunct w:val="0"/>
                    <w:jc w:val="center"/>
                    <w:rPr>
                      <w:rFonts w:hint="default" w:ascii="Times New Roman" w:hAnsi="Times New Roman" w:eastAsia="宋体" w:cs="Times New Roman"/>
                      <w:b w:val="0"/>
                      <w:bCs/>
                      <w:szCs w:val="21"/>
                      <w:u w:val="none" w:color="auto"/>
                      <w:lang w:val="en-US" w:eastAsia="zh-CN"/>
                    </w:rPr>
                  </w:pPr>
                  <w:r>
                    <w:rPr>
                      <w:rFonts w:hint="eastAsia" w:ascii="Times New Roman" w:hAnsi="Times New Roman" w:eastAsia="宋体" w:cs="Times New Roman"/>
                      <w:b w:val="0"/>
                      <w:bCs/>
                      <w:szCs w:val="21"/>
                      <w:u w:val="none" w:color="auto"/>
                      <w:lang w:val="en-US" w:eastAsia="zh-CN"/>
                    </w:rPr>
                    <w:t>9.0</w:t>
                  </w:r>
                </w:p>
              </w:tc>
              <w:tc>
                <w:tcPr>
                  <w:tcW w:w="691" w:type="pct"/>
                  <w:tcBorders>
                    <w:tl2br w:val="nil"/>
                    <w:tr2bl w:val="nil"/>
                  </w:tcBorders>
                  <w:noWrap w:val="0"/>
                  <w:vAlign w:val="center"/>
                </w:tcPr>
                <w:p w14:paraId="604EAEE1">
                  <w:pPr>
                    <w:widowControl/>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达标</w:t>
                  </w:r>
                </w:p>
              </w:tc>
            </w:tr>
            <w:tr w14:paraId="783385D2">
              <w:tblPrEx>
                <w:tblBorders>
                  <w:top w:val="single" w:color="auto" w:sz="8" w:space="0"/>
                  <w:left w:val="single" w:color="auto" w:sz="8" w:space="0"/>
                  <w:bottom w:val="single" w:color="auto" w:sz="8" w:space="0"/>
                  <w:right w:val="single" w:color="auto" w:sz="8" w:space="0"/>
                  <w:insideH w:val="single" w:color="auto" w:sz="4" w:space="0"/>
                  <w:insideV w:val="single" w:color="auto" w:sz="2" w:space="0"/>
                </w:tblBorders>
                <w:tblCellMar>
                  <w:top w:w="0" w:type="dxa"/>
                  <w:left w:w="108" w:type="dxa"/>
                  <w:bottom w:w="0" w:type="dxa"/>
                  <w:right w:w="108" w:type="dxa"/>
                </w:tblCellMar>
              </w:tblPrEx>
              <w:trPr>
                <w:trHeight w:val="459" w:hRule="atLeast"/>
              </w:trPr>
              <w:tc>
                <w:tcPr>
                  <w:tcW w:w="454" w:type="pct"/>
                  <w:tcBorders>
                    <w:tl2br w:val="nil"/>
                    <w:tr2bl w:val="nil"/>
                  </w:tcBorders>
                  <w:noWrap w:val="0"/>
                  <w:vAlign w:val="center"/>
                </w:tcPr>
                <w:p w14:paraId="609D337E">
                  <w:pPr>
                    <w:widowControl/>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NO</w:t>
                  </w:r>
                  <w:r>
                    <w:rPr>
                      <w:rFonts w:hint="default" w:ascii="Times New Roman" w:hAnsi="Times New Roman" w:eastAsia="宋体" w:cs="Times New Roman"/>
                      <w:b w:val="0"/>
                      <w:bCs/>
                      <w:szCs w:val="21"/>
                      <w:u w:val="none" w:color="auto"/>
                      <w:vertAlign w:val="subscript"/>
                    </w:rPr>
                    <w:t>2</w:t>
                  </w:r>
                </w:p>
              </w:tc>
              <w:tc>
                <w:tcPr>
                  <w:tcW w:w="1255" w:type="pct"/>
                  <w:tcBorders>
                    <w:tl2br w:val="nil"/>
                    <w:tr2bl w:val="nil"/>
                  </w:tcBorders>
                  <w:noWrap w:val="0"/>
                  <w:vAlign w:val="center"/>
                </w:tcPr>
                <w:p w14:paraId="7B4138D3">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年均浓度</w:t>
                  </w:r>
                </w:p>
              </w:tc>
              <w:tc>
                <w:tcPr>
                  <w:tcW w:w="829" w:type="pct"/>
                  <w:tcBorders>
                    <w:tl2br w:val="nil"/>
                    <w:tr2bl w:val="nil"/>
                  </w:tcBorders>
                  <w:noWrap w:val="0"/>
                  <w:vAlign w:val="center"/>
                </w:tcPr>
                <w:p w14:paraId="05950983">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40</w:t>
                  </w:r>
                </w:p>
              </w:tc>
              <w:tc>
                <w:tcPr>
                  <w:tcW w:w="923" w:type="pct"/>
                  <w:tcBorders>
                    <w:tl2br w:val="nil"/>
                    <w:tr2bl w:val="nil"/>
                  </w:tcBorders>
                  <w:noWrap w:val="0"/>
                  <w:vAlign w:val="center"/>
                </w:tcPr>
                <w:p w14:paraId="0354F301">
                  <w:pPr>
                    <w:pStyle w:val="118"/>
                    <w:kinsoku w:val="0"/>
                    <w:overflowPunct w:val="0"/>
                    <w:jc w:val="center"/>
                    <w:rPr>
                      <w:rFonts w:hint="default" w:ascii="Times New Roman" w:hAnsi="Times New Roman" w:eastAsia="宋体" w:cs="Times New Roman"/>
                      <w:b w:val="0"/>
                      <w:bCs/>
                      <w:szCs w:val="21"/>
                      <w:u w:val="none" w:color="auto"/>
                      <w:lang w:val="en-US" w:eastAsia="zh-CN"/>
                    </w:rPr>
                  </w:pPr>
                  <w:r>
                    <w:rPr>
                      <w:rFonts w:hint="eastAsia" w:ascii="Times New Roman" w:hAnsi="Times New Roman" w:eastAsia="宋体" w:cs="Times New Roman"/>
                      <w:b w:val="0"/>
                      <w:bCs/>
                      <w:szCs w:val="21"/>
                      <w:u w:val="none" w:color="auto"/>
                      <w:lang w:val="en-US" w:eastAsia="zh-CN"/>
                    </w:rPr>
                    <w:t>15.6</w:t>
                  </w:r>
                </w:p>
              </w:tc>
              <w:tc>
                <w:tcPr>
                  <w:tcW w:w="846" w:type="pct"/>
                  <w:tcBorders>
                    <w:tl2br w:val="nil"/>
                    <w:tr2bl w:val="nil"/>
                  </w:tcBorders>
                  <w:noWrap w:val="0"/>
                  <w:vAlign w:val="center"/>
                </w:tcPr>
                <w:p w14:paraId="18CD57E1">
                  <w:pPr>
                    <w:pStyle w:val="118"/>
                    <w:kinsoku w:val="0"/>
                    <w:overflowPunct w:val="0"/>
                    <w:jc w:val="center"/>
                    <w:rPr>
                      <w:rFonts w:hint="default" w:ascii="Times New Roman" w:hAnsi="Times New Roman" w:eastAsia="宋体" w:cs="Times New Roman"/>
                      <w:b w:val="0"/>
                      <w:bCs/>
                      <w:szCs w:val="21"/>
                      <w:u w:val="none" w:color="auto"/>
                      <w:lang w:val="en-US" w:eastAsia="zh-CN"/>
                    </w:rPr>
                  </w:pPr>
                  <w:r>
                    <w:rPr>
                      <w:rFonts w:hint="eastAsia" w:ascii="Times New Roman" w:hAnsi="Times New Roman" w:eastAsia="宋体" w:cs="Times New Roman"/>
                      <w:b w:val="0"/>
                      <w:bCs/>
                      <w:szCs w:val="21"/>
                      <w:u w:val="none" w:color="auto"/>
                      <w:lang w:val="en-US" w:eastAsia="zh-CN"/>
                    </w:rPr>
                    <w:t>39.0</w:t>
                  </w:r>
                </w:p>
              </w:tc>
              <w:tc>
                <w:tcPr>
                  <w:tcW w:w="691" w:type="pct"/>
                  <w:tcBorders>
                    <w:tl2br w:val="nil"/>
                    <w:tr2bl w:val="nil"/>
                  </w:tcBorders>
                  <w:noWrap w:val="0"/>
                  <w:vAlign w:val="center"/>
                </w:tcPr>
                <w:p w14:paraId="19D29BED">
                  <w:pPr>
                    <w:widowControl/>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达标</w:t>
                  </w:r>
                </w:p>
              </w:tc>
            </w:tr>
            <w:tr w14:paraId="1D40A8F8">
              <w:tblPrEx>
                <w:tblBorders>
                  <w:top w:val="single" w:color="auto" w:sz="8" w:space="0"/>
                  <w:left w:val="single" w:color="auto" w:sz="8" w:space="0"/>
                  <w:bottom w:val="single" w:color="auto" w:sz="8" w:space="0"/>
                  <w:right w:val="single" w:color="auto" w:sz="8" w:space="0"/>
                  <w:insideH w:val="single" w:color="auto" w:sz="4" w:space="0"/>
                  <w:insideV w:val="single" w:color="auto" w:sz="2" w:space="0"/>
                </w:tblBorders>
                <w:tblCellMar>
                  <w:top w:w="0" w:type="dxa"/>
                  <w:left w:w="108" w:type="dxa"/>
                  <w:bottom w:w="0" w:type="dxa"/>
                  <w:right w:w="108" w:type="dxa"/>
                </w:tblCellMar>
              </w:tblPrEx>
              <w:trPr>
                <w:trHeight w:val="459" w:hRule="atLeast"/>
              </w:trPr>
              <w:tc>
                <w:tcPr>
                  <w:tcW w:w="454" w:type="pct"/>
                  <w:tcBorders>
                    <w:tl2br w:val="nil"/>
                    <w:tr2bl w:val="nil"/>
                  </w:tcBorders>
                  <w:noWrap w:val="0"/>
                  <w:vAlign w:val="center"/>
                </w:tcPr>
                <w:p w14:paraId="36826B15">
                  <w:pPr>
                    <w:widowControl/>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PM</w:t>
                  </w:r>
                  <w:r>
                    <w:rPr>
                      <w:rFonts w:hint="default" w:ascii="Times New Roman" w:hAnsi="Times New Roman" w:eastAsia="宋体" w:cs="Times New Roman"/>
                      <w:b w:val="0"/>
                      <w:bCs/>
                      <w:szCs w:val="21"/>
                      <w:u w:val="none" w:color="auto"/>
                      <w:vertAlign w:val="subscript"/>
                    </w:rPr>
                    <w:t>2.5</w:t>
                  </w:r>
                </w:p>
              </w:tc>
              <w:tc>
                <w:tcPr>
                  <w:tcW w:w="1255" w:type="pct"/>
                  <w:tcBorders>
                    <w:tl2br w:val="nil"/>
                    <w:tr2bl w:val="nil"/>
                  </w:tcBorders>
                  <w:noWrap w:val="0"/>
                  <w:vAlign w:val="center"/>
                </w:tcPr>
                <w:p w14:paraId="5BECAF90">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年均浓度</w:t>
                  </w:r>
                </w:p>
              </w:tc>
              <w:tc>
                <w:tcPr>
                  <w:tcW w:w="829" w:type="pct"/>
                  <w:tcBorders>
                    <w:tl2br w:val="nil"/>
                    <w:tr2bl w:val="nil"/>
                  </w:tcBorders>
                  <w:noWrap w:val="0"/>
                  <w:vAlign w:val="center"/>
                </w:tcPr>
                <w:p w14:paraId="2388D8BC">
                  <w:pPr>
                    <w:autoSpaceDE w:val="0"/>
                    <w:autoSpaceDN w:val="0"/>
                    <w:snapToGrid w:val="0"/>
                    <w:ind w:left="0" w:leftChars="0" w:right="0" w:rightChars="0" w:firstLine="0" w:firstLineChars="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 w:val="21"/>
                      <w:szCs w:val="21"/>
                      <w:u w:val="none"/>
                      <w:lang w:val="en-US" w:eastAsia="zh-CN"/>
                    </w:rPr>
                    <w:t>30</w:t>
                  </w:r>
                </w:p>
              </w:tc>
              <w:tc>
                <w:tcPr>
                  <w:tcW w:w="923" w:type="pct"/>
                  <w:tcBorders>
                    <w:tl2br w:val="nil"/>
                    <w:tr2bl w:val="nil"/>
                  </w:tcBorders>
                  <w:noWrap w:val="0"/>
                  <w:vAlign w:val="center"/>
                </w:tcPr>
                <w:p w14:paraId="10A0FBA9">
                  <w:pPr>
                    <w:autoSpaceDE w:val="0"/>
                    <w:autoSpaceDN w:val="0"/>
                    <w:snapToGrid w:val="0"/>
                    <w:ind w:left="0" w:leftChars="0" w:right="0" w:rightChars="0" w:firstLine="0" w:firstLineChars="0"/>
                    <w:jc w:val="center"/>
                    <w:rPr>
                      <w:rFonts w:hint="default" w:ascii="Times New Roman" w:hAnsi="Times New Roman" w:eastAsia="宋体" w:cs="Times New Roman"/>
                      <w:b w:val="0"/>
                      <w:bCs/>
                      <w:szCs w:val="21"/>
                      <w:u w:val="none" w:color="auto"/>
                      <w:lang w:val="en-US" w:eastAsia="zh-CN"/>
                    </w:rPr>
                  </w:pPr>
                  <w:r>
                    <w:rPr>
                      <w:rFonts w:hint="eastAsia" w:ascii="Times New Roman" w:hAnsi="Times New Roman" w:eastAsia="宋体" w:cs="Times New Roman"/>
                      <w:b w:val="0"/>
                      <w:bCs/>
                      <w:sz w:val="21"/>
                      <w:szCs w:val="21"/>
                      <w:u w:val="none"/>
                      <w:lang w:val="en-US" w:eastAsia="zh-CN"/>
                    </w:rPr>
                    <w:t>38.4</w:t>
                  </w:r>
                </w:p>
              </w:tc>
              <w:tc>
                <w:tcPr>
                  <w:tcW w:w="846" w:type="pct"/>
                  <w:tcBorders>
                    <w:tl2br w:val="nil"/>
                    <w:tr2bl w:val="nil"/>
                  </w:tcBorders>
                  <w:noWrap w:val="0"/>
                  <w:vAlign w:val="center"/>
                </w:tcPr>
                <w:p w14:paraId="73D2A8C6">
                  <w:pPr>
                    <w:autoSpaceDE w:val="0"/>
                    <w:autoSpaceDN w:val="0"/>
                    <w:snapToGrid w:val="0"/>
                    <w:ind w:left="0" w:leftChars="0" w:right="0" w:rightChars="0" w:firstLine="0" w:firstLineChars="0"/>
                    <w:jc w:val="center"/>
                    <w:rPr>
                      <w:rFonts w:hint="default" w:ascii="Times New Roman" w:hAnsi="Times New Roman" w:eastAsia="宋体" w:cs="Times New Roman"/>
                      <w:b w:val="0"/>
                      <w:bCs/>
                      <w:szCs w:val="21"/>
                      <w:u w:val="none" w:color="auto"/>
                      <w:lang w:val="en-US" w:eastAsia="zh-CN"/>
                    </w:rPr>
                  </w:pPr>
                  <w:r>
                    <w:rPr>
                      <w:rFonts w:hint="eastAsia" w:ascii="Times New Roman" w:hAnsi="Times New Roman" w:eastAsia="宋体" w:cs="Times New Roman"/>
                      <w:b w:val="0"/>
                      <w:bCs/>
                      <w:szCs w:val="21"/>
                      <w:u w:val="none" w:color="auto"/>
                      <w:lang w:val="en-US" w:eastAsia="zh-CN"/>
                    </w:rPr>
                    <w:t>128.0</w:t>
                  </w:r>
                </w:p>
              </w:tc>
              <w:tc>
                <w:tcPr>
                  <w:tcW w:w="691" w:type="pct"/>
                  <w:tcBorders>
                    <w:tl2br w:val="nil"/>
                    <w:tr2bl w:val="nil"/>
                  </w:tcBorders>
                  <w:noWrap w:val="0"/>
                  <w:vAlign w:val="center"/>
                </w:tcPr>
                <w:p w14:paraId="7781249F">
                  <w:pPr>
                    <w:autoSpaceDE w:val="0"/>
                    <w:autoSpaceDN w:val="0"/>
                    <w:snapToGrid w:val="0"/>
                    <w:ind w:left="0" w:leftChars="0" w:right="0" w:rightChars="0" w:firstLine="0" w:firstLineChars="0"/>
                    <w:jc w:val="center"/>
                    <w:rPr>
                      <w:rFonts w:hint="default" w:ascii="Times New Roman" w:hAnsi="Times New Roman" w:eastAsia="宋体" w:cs="Times New Roman"/>
                      <w:b w:val="0"/>
                      <w:bCs/>
                      <w:szCs w:val="21"/>
                      <w:u w:val="none" w:color="auto"/>
                      <w:lang w:eastAsia="zh-CN"/>
                    </w:rPr>
                  </w:pPr>
                  <w:r>
                    <w:rPr>
                      <w:rFonts w:hint="default" w:ascii="Times New Roman" w:hAnsi="Times New Roman" w:eastAsia="宋体" w:cs="Times New Roman"/>
                      <w:b w:val="0"/>
                      <w:bCs/>
                      <w:sz w:val="21"/>
                      <w:szCs w:val="21"/>
                      <w:u w:val="none"/>
                      <w:lang w:val="en-US" w:eastAsia="zh-CN"/>
                    </w:rPr>
                    <w:t>不达标</w:t>
                  </w:r>
                </w:p>
              </w:tc>
            </w:tr>
            <w:tr w14:paraId="4E6A3265">
              <w:tblPrEx>
                <w:tblBorders>
                  <w:top w:val="single" w:color="auto" w:sz="8" w:space="0"/>
                  <w:left w:val="single" w:color="auto" w:sz="8" w:space="0"/>
                  <w:bottom w:val="single" w:color="auto" w:sz="8" w:space="0"/>
                  <w:right w:val="single" w:color="auto" w:sz="8" w:space="0"/>
                  <w:insideH w:val="single" w:color="auto" w:sz="4" w:space="0"/>
                  <w:insideV w:val="single" w:color="auto" w:sz="2" w:space="0"/>
                </w:tblBorders>
                <w:tblCellMar>
                  <w:top w:w="0" w:type="dxa"/>
                  <w:left w:w="108" w:type="dxa"/>
                  <w:bottom w:w="0" w:type="dxa"/>
                  <w:right w:w="108" w:type="dxa"/>
                </w:tblCellMar>
              </w:tblPrEx>
              <w:trPr>
                <w:trHeight w:val="459" w:hRule="atLeast"/>
              </w:trPr>
              <w:tc>
                <w:tcPr>
                  <w:tcW w:w="454" w:type="pct"/>
                  <w:tcBorders>
                    <w:tl2br w:val="nil"/>
                    <w:tr2bl w:val="nil"/>
                  </w:tcBorders>
                  <w:noWrap w:val="0"/>
                  <w:vAlign w:val="center"/>
                </w:tcPr>
                <w:p w14:paraId="1C29FD5E">
                  <w:pPr>
                    <w:widowControl/>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PM</w:t>
                  </w:r>
                  <w:r>
                    <w:rPr>
                      <w:rFonts w:hint="default" w:ascii="Times New Roman" w:hAnsi="Times New Roman" w:eastAsia="宋体" w:cs="Times New Roman"/>
                      <w:b w:val="0"/>
                      <w:bCs/>
                      <w:szCs w:val="21"/>
                      <w:u w:val="none" w:color="auto"/>
                      <w:vertAlign w:val="subscript"/>
                    </w:rPr>
                    <w:t>10</w:t>
                  </w:r>
                </w:p>
              </w:tc>
              <w:tc>
                <w:tcPr>
                  <w:tcW w:w="1255" w:type="pct"/>
                  <w:tcBorders>
                    <w:tl2br w:val="nil"/>
                    <w:tr2bl w:val="nil"/>
                  </w:tcBorders>
                  <w:noWrap w:val="0"/>
                  <w:vAlign w:val="center"/>
                </w:tcPr>
                <w:p w14:paraId="43E36A02">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年均浓度</w:t>
                  </w:r>
                </w:p>
              </w:tc>
              <w:tc>
                <w:tcPr>
                  <w:tcW w:w="829" w:type="pct"/>
                  <w:tcBorders>
                    <w:tl2br w:val="nil"/>
                    <w:tr2bl w:val="nil"/>
                  </w:tcBorders>
                  <w:noWrap w:val="0"/>
                  <w:vAlign w:val="center"/>
                </w:tcPr>
                <w:p w14:paraId="3EDFE995">
                  <w:pPr>
                    <w:autoSpaceDE w:val="0"/>
                    <w:autoSpaceDN w:val="0"/>
                    <w:snapToGrid w:val="0"/>
                    <w:ind w:left="0" w:leftChars="0" w:right="0" w:rightChars="0" w:firstLine="0" w:firstLineChars="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 w:val="21"/>
                      <w:szCs w:val="21"/>
                      <w:u w:val="none"/>
                      <w:lang w:val="en-US" w:eastAsia="zh-CN"/>
                    </w:rPr>
                    <w:t>60</w:t>
                  </w:r>
                </w:p>
              </w:tc>
              <w:tc>
                <w:tcPr>
                  <w:tcW w:w="923" w:type="pct"/>
                  <w:tcBorders>
                    <w:tl2br w:val="nil"/>
                    <w:tr2bl w:val="nil"/>
                  </w:tcBorders>
                  <w:noWrap w:val="0"/>
                  <w:vAlign w:val="center"/>
                </w:tcPr>
                <w:p w14:paraId="0C222B9F">
                  <w:pPr>
                    <w:autoSpaceDE w:val="0"/>
                    <w:autoSpaceDN w:val="0"/>
                    <w:snapToGrid w:val="0"/>
                    <w:ind w:left="0" w:leftChars="0" w:right="0" w:rightChars="0" w:firstLine="0" w:firstLineChars="0"/>
                    <w:jc w:val="center"/>
                    <w:rPr>
                      <w:rFonts w:hint="default" w:ascii="Times New Roman" w:hAnsi="Times New Roman" w:eastAsia="宋体" w:cs="Times New Roman"/>
                      <w:b w:val="0"/>
                      <w:bCs/>
                      <w:szCs w:val="21"/>
                      <w:u w:val="none" w:color="auto"/>
                      <w:lang w:val="en-US" w:eastAsia="zh-CN"/>
                    </w:rPr>
                  </w:pPr>
                  <w:r>
                    <w:rPr>
                      <w:rFonts w:hint="eastAsia" w:ascii="Times New Roman" w:hAnsi="Times New Roman" w:eastAsia="宋体" w:cs="Times New Roman"/>
                      <w:b w:val="0"/>
                      <w:bCs/>
                      <w:sz w:val="21"/>
                      <w:szCs w:val="21"/>
                      <w:u w:val="none"/>
                      <w:lang w:val="en-US" w:eastAsia="zh-CN"/>
                    </w:rPr>
                    <w:t>54.5</w:t>
                  </w:r>
                </w:p>
              </w:tc>
              <w:tc>
                <w:tcPr>
                  <w:tcW w:w="846" w:type="pct"/>
                  <w:tcBorders>
                    <w:tl2br w:val="nil"/>
                    <w:tr2bl w:val="nil"/>
                  </w:tcBorders>
                  <w:noWrap w:val="0"/>
                  <w:vAlign w:val="center"/>
                </w:tcPr>
                <w:p w14:paraId="00D9F3BD">
                  <w:pPr>
                    <w:autoSpaceDE w:val="0"/>
                    <w:autoSpaceDN w:val="0"/>
                    <w:snapToGrid w:val="0"/>
                    <w:ind w:left="0" w:leftChars="0" w:right="0" w:rightChars="0" w:firstLine="0" w:firstLineChars="0"/>
                    <w:jc w:val="center"/>
                    <w:rPr>
                      <w:rFonts w:hint="default" w:ascii="Times New Roman" w:hAnsi="Times New Roman" w:eastAsia="宋体" w:cs="Times New Roman"/>
                      <w:b w:val="0"/>
                      <w:bCs/>
                      <w:szCs w:val="21"/>
                      <w:u w:val="none" w:color="auto"/>
                      <w:lang w:val="en-US" w:eastAsia="zh-CN"/>
                    </w:rPr>
                  </w:pPr>
                  <w:r>
                    <w:rPr>
                      <w:rFonts w:hint="eastAsia" w:ascii="Times New Roman" w:hAnsi="Times New Roman" w:eastAsia="宋体" w:cs="Times New Roman"/>
                      <w:b w:val="0"/>
                      <w:bCs/>
                      <w:szCs w:val="21"/>
                      <w:u w:val="none" w:color="auto"/>
                      <w:lang w:val="en-US" w:eastAsia="zh-CN"/>
                    </w:rPr>
                    <w:t>90.8</w:t>
                  </w:r>
                </w:p>
              </w:tc>
              <w:tc>
                <w:tcPr>
                  <w:tcW w:w="691" w:type="pct"/>
                  <w:tcBorders>
                    <w:tl2br w:val="nil"/>
                    <w:tr2bl w:val="nil"/>
                  </w:tcBorders>
                  <w:noWrap w:val="0"/>
                  <w:vAlign w:val="center"/>
                </w:tcPr>
                <w:p w14:paraId="7F6D3996">
                  <w:pPr>
                    <w:autoSpaceDE w:val="0"/>
                    <w:autoSpaceDN w:val="0"/>
                    <w:snapToGrid w:val="0"/>
                    <w:ind w:left="0" w:leftChars="0" w:right="0" w:rightChars="0" w:firstLine="0" w:firstLineChars="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 w:val="21"/>
                      <w:szCs w:val="21"/>
                      <w:u w:val="none"/>
                      <w:lang w:val="en-US" w:eastAsia="zh-CN"/>
                    </w:rPr>
                    <w:t>达标</w:t>
                  </w:r>
                </w:p>
              </w:tc>
            </w:tr>
            <w:tr w14:paraId="55B66BA2">
              <w:tblPrEx>
                <w:tblBorders>
                  <w:top w:val="single" w:color="auto" w:sz="8" w:space="0"/>
                  <w:left w:val="single" w:color="auto" w:sz="8" w:space="0"/>
                  <w:bottom w:val="single" w:color="auto" w:sz="8" w:space="0"/>
                  <w:right w:val="single" w:color="auto" w:sz="8" w:space="0"/>
                  <w:insideH w:val="single" w:color="auto" w:sz="4" w:space="0"/>
                  <w:insideV w:val="single" w:color="auto" w:sz="2" w:space="0"/>
                </w:tblBorders>
                <w:tblCellMar>
                  <w:top w:w="0" w:type="dxa"/>
                  <w:left w:w="108" w:type="dxa"/>
                  <w:bottom w:w="0" w:type="dxa"/>
                  <w:right w:w="108" w:type="dxa"/>
                </w:tblCellMar>
              </w:tblPrEx>
              <w:trPr>
                <w:trHeight w:val="572" w:hRule="atLeast"/>
              </w:trPr>
              <w:tc>
                <w:tcPr>
                  <w:tcW w:w="454" w:type="pct"/>
                  <w:tcBorders>
                    <w:tl2br w:val="nil"/>
                    <w:tr2bl w:val="nil"/>
                  </w:tcBorders>
                  <w:noWrap w:val="0"/>
                  <w:vAlign w:val="center"/>
                </w:tcPr>
                <w:p w14:paraId="05267770">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CO</w:t>
                  </w:r>
                </w:p>
              </w:tc>
              <w:tc>
                <w:tcPr>
                  <w:tcW w:w="1255" w:type="pct"/>
                  <w:tcBorders>
                    <w:tl2br w:val="nil"/>
                    <w:tr2bl w:val="nil"/>
                  </w:tcBorders>
                  <w:noWrap w:val="0"/>
                  <w:vAlign w:val="center"/>
                </w:tcPr>
                <w:p w14:paraId="3D101CAE">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日均值95%位数值</w:t>
                  </w:r>
                </w:p>
              </w:tc>
              <w:tc>
                <w:tcPr>
                  <w:tcW w:w="829" w:type="pct"/>
                  <w:tcBorders>
                    <w:tl2br w:val="nil"/>
                    <w:tr2bl w:val="nil"/>
                  </w:tcBorders>
                  <w:noWrap w:val="0"/>
                  <w:vAlign w:val="center"/>
                </w:tcPr>
                <w:p w14:paraId="76A6DE57">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4（mg/m</w:t>
                  </w:r>
                  <w:r>
                    <w:rPr>
                      <w:rFonts w:hint="default" w:ascii="Times New Roman" w:hAnsi="Times New Roman" w:eastAsia="宋体" w:cs="Times New Roman"/>
                      <w:b w:val="0"/>
                      <w:bCs/>
                      <w:szCs w:val="21"/>
                      <w:u w:val="none" w:color="auto"/>
                      <w:vertAlign w:val="superscript"/>
                    </w:rPr>
                    <w:t>3</w:t>
                  </w:r>
                  <w:r>
                    <w:rPr>
                      <w:rFonts w:hint="default" w:ascii="Times New Roman" w:hAnsi="Times New Roman" w:eastAsia="宋体" w:cs="Times New Roman"/>
                      <w:b w:val="0"/>
                      <w:bCs/>
                      <w:szCs w:val="21"/>
                      <w:u w:val="none" w:color="auto"/>
                    </w:rPr>
                    <w:t>）</w:t>
                  </w:r>
                </w:p>
              </w:tc>
              <w:tc>
                <w:tcPr>
                  <w:tcW w:w="923" w:type="pct"/>
                  <w:tcBorders>
                    <w:tl2br w:val="nil"/>
                    <w:tr2bl w:val="nil"/>
                  </w:tcBorders>
                  <w:noWrap w:val="0"/>
                  <w:vAlign w:val="center"/>
                </w:tcPr>
                <w:p w14:paraId="00352264">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1.</w:t>
                  </w:r>
                  <w:r>
                    <w:rPr>
                      <w:rFonts w:hint="eastAsia" w:ascii="Times New Roman" w:hAnsi="Times New Roman" w:eastAsia="宋体" w:cs="Times New Roman"/>
                      <w:b w:val="0"/>
                      <w:bCs/>
                      <w:szCs w:val="21"/>
                      <w:u w:val="none" w:color="auto"/>
                      <w:lang w:val="en-US" w:eastAsia="zh-CN"/>
                    </w:rPr>
                    <w:t>1</w:t>
                  </w:r>
                  <w:r>
                    <w:rPr>
                      <w:rFonts w:hint="default" w:ascii="Times New Roman" w:hAnsi="Times New Roman" w:eastAsia="宋体" w:cs="Times New Roman"/>
                      <w:b w:val="0"/>
                      <w:bCs/>
                      <w:szCs w:val="21"/>
                      <w:u w:val="none" w:color="auto"/>
                    </w:rPr>
                    <w:t>（mg/m</w:t>
                  </w:r>
                  <w:r>
                    <w:rPr>
                      <w:rFonts w:hint="default" w:ascii="Times New Roman" w:hAnsi="Times New Roman" w:eastAsia="宋体" w:cs="Times New Roman"/>
                      <w:b w:val="0"/>
                      <w:bCs/>
                      <w:szCs w:val="21"/>
                      <w:u w:val="none" w:color="auto"/>
                      <w:vertAlign w:val="superscript"/>
                    </w:rPr>
                    <w:t>3</w:t>
                  </w:r>
                  <w:r>
                    <w:rPr>
                      <w:rFonts w:hint="default" w:ascii="Times New Roman" w:hAnsi="Times New Roman" w:eastAsia="宋体" w:cs="Times New Roman"/>
                      <w:b w:val="0"/>
                      <w:bCs/>
                      <w:szCs w:val="21"/>
                      <w:u w:val="none" w:color="auto"/>
                    </w:rPr>
                    <w:t>）</w:t>
                  </w:r>
                </w:p>
              </w:tc>
              <w:tc>
                <w:tcPr>
                  <w:tcW w:w="846" w:type="pct"/>
                  <w:tcBorders>
                    <w:tl2br w:val="nil"/>
                    <w:tr2bl w:val="nil"/>
                  </w:tcBorders>
                  <w:noWrap w:val="0"/>
                  <w:vAlign w:val="center"/>
                </w:tcPr>
                <w:p w14:paraId="5E618EA9">
                  <w:pPr>
                    <w:adjustRightInd w:val="0"/>
                    <w:snapToGrid w:val="0"/>
                    <w:jc w:val="center"/>
                    <w:rPr>
                      <w:rFonts w:hint="default" w:ascii="Times New Roman" w:hAnsi="Times New Roman" w:eastAsia="宋体" w:cs="Times New Roman"/>
                      <w:b w:val="0"/>
                      <w:bCs/>
                      <w:szCs w:val="21"/>
                      <w:u w:val="none" w:color="auto"/>
                      <w:lang w:val="en-US" w:eastAsia="zh-CN"/>
                    </w:rPr>
                  </w:pPr>
                  <w:r>
                    <w:rPr>
                      <w:rFonts w:hint="eastAsia" w:ascii="Times New Roman" w:hAnsi="Times New Roman" w:eastAsia="宋体" w:cs="Times New Roman"/>
                      <w:b w:val="0"/>
                      <w:bCs/>
                      <w:szCs w:val="21"/>
                      <w:u w:val="none" w:color="auto"/>
                      <w:lang w:val="en-US" w:eastAsia="zh-CN"/>
                    </w:rPr>
                    <w:t>27.5</w:t>
                  </w:r>
                </w:p>
              </w:tc>
              <w:tc>
                <w:tcPr>
                  <w:tcW w:w="691" w:type="pct"/>
                  <w:tcBorders>
                    <w:tl2br w:val="nil"/>
                    <w:tr2bl w:val="nil"/>
                  </w:tcBorders>
                  <w:noWrap w:val="0"/>
                  <w:vAlign w:val="center"/>
                </w:tcPr>
                <w:p w14:paraId="5BB9742C">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达标</w:t>
                  </w:r>
                </w:p>
              </w:tc>
            </w:tr>
            <w:tr w14:paraId="3A2A5EE5">
              <w:tblPrEx>
                <w:tblBorders>
                  <w:top w:val="single" w:color="auto" w:sz="8" w:space="0"/>
                  <w:left w:val="single" w:color="auto" w:sz="8" w:space="0"/>
                  <w:bottom w:val="single" w:color="auto" w:sz="8" w:space="0"/>
                  <w:right w:val="single" w:color="auto" w:sz="8" w:space="0"/>
                  <w:insideH w:val="single" w:color="auto" w:sz="4" w:space="0"/>
                  <w:insideV w:val="single" w:color="auto" w:sz="2" w:space="0"/>
                </w:tblBorders>
                <w:tblCellMar>
                  <w:top w:w="0" w:type="dxa"/>
                  <w:left w:w="108" w:type="dxa"/>
                  <w:bottom w:w="0" w:type="dxa"/>
                  <w:right w:w="108" w:type="dxa"/>
                </w:tblCellMar>
              </w:tblPrEx>
              <w:trPr>
                <w:trHeight w:val="602" w:hRule="atLeast"/>
              </w:trPr>
              <w:tc>
                <w:tcPr>
                  <w:tcW w:w="454" w:type="pct"/>
                  <w:tcBorders>
                    <w:tl2br w:val="nil"/>
                    <w:tr2bl w:val="nil"/>
                  </w:tcBorders>
                  <w:noWrap w:val="0"/>
                  <w:vAlign w:val="center"/>
                </w:tcPr>
                <w:p w14:paraId="76437BB0">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O</w:t>
                  </w:r>
                  <w:r>
                    <w:rPr>
                      <w:rFonts w:hint="default" w:ascii="Times New Roman" w:hAnsi="Times New Roman" w:eastAsia="宋体" w:cs="Times New Roman"/>
                      <w:b w:val="0"/>
                      <w:bCs/>
                      <w:szCs w:val="21"/>
                      <w:u w:val="none" w:color="auto"/>
                      <w:vertAlign w:val="subscript"/>
                    </w:rPr>
                    <w:t>3</w:t>
                  </w:r>
                </w:p>
              </w:tc>
              <w:tc>
                <w:tcPr>
                  <w:tcW w:w="1255" w:type="pct"/>
                  <w:tcBorders>
                    <w:tl2br w:val="nil"/>
                    <w:tr2bl w:val="nil"/>
                  </w:tcBorders>
                  <w:noWrap w:val="0"/>
                  <w:vAlign w:val="center"/>
                </w:tcPr>
                <w:p w14:paraId="47B3ED74">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日最大8小时值90%位数值</w:t>
                  </w:r>
                </w:p>
              </w:tc>
              <w:tc>
                <w:tcPr>
                  <w:tcW w:w="829" w:type="pct"/>
                  <w:tcBorders>
                    <w:tl2br w:val="nil"/>
                    <w:tr2bl w:val="nil"/>
                  </w:tcBorders>
                  <w:noWrap w:val="0"/>
                  <w:vAlign w:val="center"/>
                </w:tcPr>
                <w:p w14:paraId="2E73E86E">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160</w:t>
                  </w:r>
                </w:p>
              </w:tc>
              <w:tc>
                <w:tcPr>
                  <w:tcW w:w="923" w:type="pct"/>
                  <w:tcBorders>
                    <w:tl2br w:val="nil"/>
                    <w:tr2bl w:val="nil"/>
                  </w:tcBorders>
                  <w:noWrap w:val="0"/>
                  <w:vAlign w:val="center"/>
                </w:tcPr>
                <w:p w14:paraId="3CD147BE">
                  <w:pPr>
                    <w:adjustRightInd w:val="0"/>
                    <w:snapToGrid w:val="0"/>
                    <w:jc w:val="center"/>
                    <w:rPr>
                      <w:rFonts w:hint="default" w:ascii="Times New Roman" w:hAnsi="Times New Roman" w:eastAsia="宋体" w:cs="Times New Roman"/>
                      <w:b w:val="0"/>
                      <w:bCs/>
                      <w:szCs w:val="21"/>
                      <w:u w:val="none" w:color="auto"/>
                      <w:lang w:val="en-US" w:eastAsia="zh-CN"/>
                    </w:rPr>
                  </w:pPr>
                  <w:r>
                    <w:rPr>
                      <w:rFonts w:hint="eastAsia" w:ascii="Times New Roman" w:hAnsi="Times New Roman" w:eastAsia="宋体" w:cs="Times New Roman"/>
                      <w:b w:val="0"/>
                      <w:bCs/>
                      <w:szCs w:val="21"/>
                      <w:u w:val="none" w:color="auto"/>
                      <w:lang w:val="en-US" w:eastAsia="zh-CN"/>
                    </w:rPr>
                    <w:t>135.1</w:t>
                  </w:r>
                </w:p>
              </w:tc>
              <w:tc>
                <w:tcPr>
                  <w:tcW w:w="846" w:type="pct"/>
                  <w:tcBorders>
                    <w:tl2br w:val="nil"/>
                    <w:tr2bl w:val="nil"/>
                  </w:tcBorders>
                  <w:noWrap w:val="0"/>
                  <w:vAlign w:val="center"/>
                </w:tcPr>
                <w:p w14:paraId="74730090">
                  <w:pPr>
                    <w:adjustRightInd w:val="0"/>
                    <w:snapToGrid w:val="0"/>
                    <w:jc w:val="center"/>
                    <w:rPr>
                      <w:rFonts w:hint="default" w:ascii="Times New Roman" w:hAnsi="Times New Roman" w:eastAsia="宋体" w:cs="Times New Roman"/>
                      <w:b w:val="0"/>
                      <w:bCs/>
                      <w:szCs w:val="21"/>
                      <w:u w:val="none" w:color="auto"/>
                      <w:lang w:val="en-US" w:eastAsia="zh-CN"/>
                    </w:rPr>
                  </w:pPr>
                  <w:r>
                    <w:rPr>
                      <w:rFonts w:hint="eastAsia" w:ascii="Times New Roman" w:hAnsi="Times New Roman" w:eastAsia="宋体" w:cs="Times New Roman"/>
                      <w:b w:val="0"/>
                      <w:bCs/>
                      <w:szCs w:val="21"/>
                      <w:u w:val="none" w:color="auto"/>
                      <w:lang w:val="en-US" w:eastAsia="zh-CN"/>
                    </w:rPr>
                    <w:t>84.4</w:t>
                  </w:r>
                </w:p>
              </w:tc>
              <w:tc>
                <w:tcPr>
                  <w:tcW w:w="691" w:type="pct"/>
                  <w:tcBorders>
                    <w:tl2br w:val="nil"/>
                    <w:tr2bl w:val="nil"/>
                  </w:tcBorders>
                  <w:noWrap w:val="0"/>
                  <w:vAlign w:val="center"/>
                </w:tcPr>
                <w:p w14:paraId="459F0F97">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达标</w:t>
                  </w:r>
                </w:p>
              </w:tc>
            </w:tr>
          </w:tbl>
          <w:p w14:paraId="6A27387B">
            <w:pPr>
              <w:autoSpaceDE w:val="0"/>
              <w:autoSpaceDN w:val="0"/>
              <w:adjustRightInd w:val="0"/>
              <w:snapToGrid w:val="0"/>
              <w:spacing w:line="360" w:lineRule="auto"/>
              <w:ind w:firstLine="420" w:firstLineChars="200"/>
              <w:rPr>
                <w:rFonts w:hint="default" w:ascii="Times New Roman" w:hAnsi="Times New Roman" w:eastAsia="宋体" w:cstheme="minorBidi"/>
                <w:kern w:val="2"/>
                <w:sz w:val="21"/>
                <w:szCs w:val="20"/>
                <w:lang w:val="en-US" w:eastAsia="zh-CN" w:bidi="ar-SA"/>
              </w:rPr>
            </w:pPr>
            <w:r>
              <w:rPr>
                <w:rFonts w:hint="eastAsia" w:ascii="Times New Roman" w:hAnsi="Times New Roman" w:eastAsia="宋体" w:cstheme="minorBidi"/>
                <w:kern w:val="2"/>
                <w:sz w:val="21"/>
                <w:szCs w:val="20"/>
                <w:lang w:val="en-US" w:eastAsia="zh-CN" w:bidi="ar-SA"/>
              </w:rPr>
              <w:t>注：由于益阳市生态环境局尚未发布2025年环境空气质量统计数据，本次根据益阳市环境空气质量历史逐时数据进行统计分析汇总，如后续当地政府官方发布了相关统计数据，以当地政府官方发布数据为准。</w:t>
            </w:r>
          </w:p>
          <w:p w14:paraId="4D396D7F">
            <w:pPr>
              <w:pStyle w:val="35"/>
              <w:ind w:firstLine="480"/>
              <w:rPr>
                <w:rFonts w:hint="default" w:ascii="Times New Roman" w:hAnsi="Times New Roman" w:eastAsia="宋体" w:cs="Times New Roman"/>
                <w:color w:val="000000"/>
                <w:sz w:val="24"/>
                <w:szCs w:val="32"/>
                <w:u w:val="none"/>
              </w:rPr>
            </w:pPr>
            <w:r>
              <w:rPr>
                <w:rFonts w:hint="default" w:ascii="Times New Roman" w:hAnsi="Times New Roman" w:eastAsia="宋体" w:cs="Times New Roman"/>
                <w:color w:val="000000"/>
                <w:sz w:val="24"/>
                <w:szCs w:val="32"/>
                <w:u w:val="none"/>
              </w:rPr>
              <w:t>由上表可知，202</w:t>
            </w:r>
            <w:r>
              <w:rPr>
                <w:rFonts w:hint="eastAsia" w:cs="Times New Roman"/>
                <w:color w:val="000000"/>
                <w:sz w:val="24"/>
                <w:szCs w:val="32"/>
                <w:u w:val="none"/>
                <w:lang w:val="en-US" w:eastAsia="zh-CN"/>
              </w:rPr>
              <w:t>5</w:t>
            </w:r>
            <w:r>
              <w:rPr>
                <w:rFonts w:hint="default" w:ascii="Times New Roman" w:hAnsi="Times New Roman" w:eastAsia="宋体" w:cs="Times New Roman"/>
                <w:color w:val="000000"/>
                <w:sz w:val="24"/>
                <w:szCs w:val="32"/>
                <w:u w:val="none"/>
              </w:rPr>
              <w:t>年益阳市大气环境质量主要指标中SO</w:t>
            </w:r>
            <w:r>
              <w:rPr>
                <w:rFonts w:hint="default" w:ascii="Times New Roman" w:hAnsi="Times New Roman" w:eastAsia="宋体" w:cs="Times New Roman"/>
                <w:color w:val="000000"/>
                <w:sz w:val="24"/>
                <w:szCs w:val="32"/>
                <w:u w:val="none"/>
                <w:vertAlign w:val="subscript"/>
              </w:rPr>
              <w:t>2</w:t>
            </w:r>
            <w:r>
              <w:rPr>
                <w:rFonts w:hint="default" w:ascii="Times New Roman" w:hAnsi="Times New Roman" w:eastAsia="宋体" w:cs="Times New Roman"/>
                <w:color w:val="000000"/>
                <w:sz w:val="24"/>
                <w:szCs w:val="32"/>
                <w:u w:val="none"/>
              </w:rPr>
              <w:t>年均浓度、NO</w:t>
            </w:r>
            <w:r>
              <w:rPr>
                <w:rFonts w:hint="default" w:ascii="Times New Roman" w:hAnsi="Times New Roman" w:eastAsia="宋体" w:cs="Times New Roman"/>
                <w:color w:val="000000"/>
                <w:sz w:val="24"/>
                <w:szCs w:val="32"/>
                <w:u w:val="none"/>
                <w:vertAlign w:val="subscript"/>
              </w:rPr>
              <w:t>2</w:t>
            </w:r>
            <w:r>
              <w:rPr>
                <w:rFonts w:hint="default" w:ascii="Times New Roman" w:hAnsi="Times New Roman" w:eastAsia="宋体" w:cs="Times New Roman"/>
                <w:color w:val="000000"/>
                <w:sz w:val="24"/>
                <w:szCs w:val="32"/>
                <w:u w:val="none"/>
              </w:rPr>
              <w:t>年均浓度、PM</w:t>
            </w:r>
            <w:r>
              <w:rPr>
                <w:rFonts w:hint="default" w:ascii="Times New Roman" w:hAnsi="Times New Roman" w:eastAsia="宋体" w:cs="Times New Roman"/>
                <w:color w:val="000000"/>
                <w:sz w:val="24"/>
                <w:szCs w:val="32"/>
                <w:u w:val="none"/>
                <w:vertAlign w:val="subscript"/>
              </w:rPr>
              <w:t>10</w:t>
            </w:r>
            <w:r>
              <w:rPr>
                <w:rFonts w:hint="default" w:ascii="Times New Roman" w:hAnsi="Times New Roman" w:eastAsia="宋体" w:cs="Times New Roman"/>
                <w:color w:val="000000"/>
                <w:sz w:val="24"/>
                <w:szCs w:val="32"/>
                <w:u w:val="none"/>
              </w:rPr>
              <w:t>年均浓度、CO日平均第95百分位数浓度、O</w:t>
            </w:r>
            <w:r>
              <w:rPr>
                <w:rFonts w:hint="default" w:ascii="Times New Roman" w:hAnsi="Times New Roman" w:eastAsia="宋体" w:cs="Times New Roman"/>
                <w:color w:val="000000"/>
                <w:sz w:val="24"/>
                <w:szCs w:val="32"/>
                <w:u w:val="none"/>
                <w:vertAlign w:val="subscript"/>
              </w:rPr>
              <w:t>3</w:t>
            </w:r>
            <w:r>
              <w:rPr>
                <w:rFonts w:hint="default" w:ascii="Times New Roman" w:hAnsi="Times New Roman" w:eastAsia="宋体" w:cs="Times New Roman"/>
                <w:color w:val="000000"/>
                <w:sz w:val="24"/>
                <w:szCs w:val="32"/>
                <w:u w:val="none"/>
              </w:rPr>
              <w:t>8小时平均第 90 百分位数浓度均能满足《环境空气质量标准》（GB3095-20</w:t>
            </w:r>
            <w:r>
              <w:rPr>
                <w:rFonts w:hint="eastAsia" w:ascii="Times New Roman" w:hAnsi="Times New Roman" w:eastAsia="宋体" w:cs="Times New Roman"/>
                <w:color w:val="000000"/>
                <w:sz w:val="24"/>
                <w:szCs w:val="32"/>
                <w:u w:val="none"/>
                <w:lang w:val="en-US" w:eastAsia="zh-CN"/>
              </w:rPr>
              <w:t>26</w:t>
            </w:r>
            <w:r>
              <w:rPr>
                <w:rFonts w:hint="default" w:ascii="Times New Roman" w:hAnsi="Times New Roman" w:eastAsia="宋体" w:cs="Times New Roman"/>
                <w:color w:val="000000"/>
                <w:sz w:val="24"/>
                <w:szCs w:val="32"/>
                <w:u w:val="none"/>
              </w:rPr>
              <w:t>）中</w:t>
            </w:r>
            <w:r>
              <w:rPr>
                <w:rFonts w:hint="eastAsia" w:ascii="Times New Roman" w:hAnsi="Times New Roman" w:eastAsia="宋体" w:cs="Times New Roman"/>
                <w:color w:val="000000"/>
                <w:sz w:val="24"/>
                <w:szCs w:val="32"/>
                <w:u w:val="none"/>
                <w:lang w:val="en-US" w:eastAsia="zh-CN"/>
              </w:rPr>
              <w:t>过渡阶段</w:t>
            </w:r>
            <w:r>
              <w:rPr>
                <w:rFonts w:hint="default" w:ascii="Times New Roman" w:hAnsi="Times New Roman" w:eastAsia="宋体" w:cs="Times New Roman"/>
                <w:color w:val="000000"/>
                <w:sz w:val="24"/>
                <w:szCs w:val="32"/>
                <w:u w:val="none"/>
              </w:rPr>
              <w:t>二级标准限值，PM</w:t>
            </w:r>
            <w:r>
              <w:rPr>
                <w:rFonts w:hint="default" w:ascii="Times New Roman" w:hAnsi="Times New Roman" w:eastAsia="宋体" w:cs="Times New Roman"/>
                <w:color w:val="000000"/>
                <w:sz w:val="24"/>
                <w:szCs w:val="32"/>
                <w:u w:val="none"/>
                <w:vertAlign w:val="subscript"/>
              </w:rPr>
              <w:t>2.5</w:t>
            </w:r>
            <w:r>
              <w:rPr>
                <w:rFonts w:hint="default" w:ascii="Times New Roman" w:hAnsi="Times New Roman" w:eastAsia="宋体" w:cs="Times New Roman"/>
                <w:color w:val="000000"/>
                <w:sz w:val="24"/>
                <w:szCs w:val="32"/>
                <w:u w:val="none"/>
              </w:rPr>
              <w:t>年平均质量浓度超标，根据《环境影响评价技术导则</w:t>
            </w:r>
            <w:r>
              <w:rPr>
                <w:rFonts w:hint="eastAsia" w:ascii="Times New Roman" w:hAnsi="Times New Roman" w:eastAsia="宋体" w:cs="Times New Roman"/>
                <w:color w:val="000000"/>
                <w:sz w:val="24"/>
                <w:szCs w:val="32"/>
                <w:u w:val="none"/>
                <w:lang w:val="en-US" w:eastAsia="zh-CN"/>
              </w:rPr>
              <w:t xml:space="preserve"> </w:t>
            </w:r>
            <w:r>
              <w:rPr>
                <w:rFonts w:hint="default" w:ascii="Times New Roman" w:hAnsi="Times New Roman" w:eastAsia="宋体" w:cs="Times New Roman"/>
                <w:color w:val="000000"/>
                <w:sz w:val="24"/>
                <w:szCs w:val="32"/>
                <w:u w:val="none"/>
              </w:rPr>
              <w:t>大气环境》（HJ2.2-2018），判定项目所在区域为不达标区。</w:t>
            </w:r>
          </w:p>
          <w:p w14:paraId="063D6C60">
            <w:pPr>
              <w:widowControl w:val="0"/>
              <w:adjustRightInd w:val="0"/>
              <w:snapToGrid w:val="0"/>
              <w:spacing w:after="0" w:line="360" w:lineRule="auto"/>
              <w:ind w:left="0" w:leftChars="0" w:firstLine="480" w:firstLineChars="200"/>
              <w:jc w:val="both"/>
              <w:rPr>
                <w:rFonts w:hint="eastAsia" w:ascii="Times New Roman" w:hAnsi="Times New Roman" w:eastAsia="宋体" w:cs="Times New Roman"/>
                <w:color w:val="000000"/>
                <w:kern w:val="2"/>
                <w:sz w:val="24"/>
                <w:szCs w:val="32"/>
                <w:u w:val="none"/>
                <w:lang w:val="en-US" w:eastAsia="zh-CN" w:bidi="ar-SA"/>
              </w:rPr>
            </w:pPr>
            <w:r>
              <w:rPr>
                <w:rFonts w:hint="eastAsia" w:ascii="Times New Roman" w:hAnsi="Times New Roman" w:eastAsia="宋体" w:cs="Times New Roman"/>
                <w:color w:val="000000"/>
                <w:kern w:val="2"/>
                <w:sz w:val="24"/>
                <w:szCs w:val="32"/>
                <w:u w:val="none"/>
                <w:lang w:val="en-US" w:eastAsia="zh-CN" w:bidi="ar-SA"/>
              </w:rPr>
              <w:t>项目所在区域目前尚未制定最新达标规划，后续如制定达标规划时，将本项目纳入削减名单，建设单位需无条件配合当地政府落实削减措施的实施。</w:t>
            </w:r>
          </w:p>
          <w:p w14:paraId="706100B1">
            <w:pPr>
              <w:pStyle w:val="35"/>
              <w:ind w:firstLine="480"/>
              <w:rPr>
                <w:rFonts w:hint="eastAsia"/>
                <w:lang w:val="en-US" w:eastAsia="zh-CN"/>
              </w:rPr>
            </w:pPr>
            <w:r>
              <w:rPr>
                <w:rFonts w:hint="eastAsia"/>
                <w:lang w:val="en-US" w:eastAsia="zh-CN"/>
              </w:rPr>
              <w:t>（2）特征污染物</w:t>
            </w:r>
          </w:p>
          <w:p w14:paraId="21544506">
            <w:pPr>
              <w:widowControl/>
              <w:spacing w:line="360" w:lineRule="auto"/>
              <w:ind w:firstLine="480" w:firstLineChars="200"/>
              <w:rPr>
                <w:rFonts w:hint="eastAsia" w:ascii="Times New Roman" w:hAnsi="Times New Roman" w:eastAsia="宋体" w:cs="Times New Roman"/>
                <w:color w:val="000000"/>
                <w:sz w:val="24"/>
                <w:szCs w:val="32"/>
              </w:rPr>
            </w:pPr>
            <w:r>
              <w:rPr>
                <w:rFonts w:hint="eastAsia" w:ascii="Times New Roman" w:hAnsi="Times New Roman" w:eastAsia="宋体" w:cs="Times New Roman"/>
                <w:color w:val="000000"/>
                <w:sz w:val="24"/>
                <w:szCs w:val="32"/>
              </w:rPr>
              <w:t>为进一步了解项目特征因子在区域的环境质量现状，本项目TSP引用《</w:t>
            </w:r>
            <w:bookmarkStart w:id="23" w:name="OLE_LINK13"/>
            <w:r>
              <w:rPr>
                <w:rFonts w:hint="eastAsia" w:ascii="Times New Roman" w:hAnsi="Times New Roman" w:eastAsia="宋体" w:cs="Times New Roman"/>
                <w:color w:val="000000"/>
                <w:sz w:val="24"/>
                <w:szCs w:val="32"/>
              </w:rPr>
              <w:t>泥江口镇竹产业园配套锅炉房集中供热项目</w:t>
            </w:r>
            <w:bookmarkEnd w:id="23"/>
            <w:r>
              <w:rPr>
                <w:rFonts w:hint="eastAsia" w:ascii="Times New Roman" w:hAnsi="Times New Roman" w:eastAsia="宋体" w:cs="Times New Roman"/>
                <w:color w:val="000000"/>
                <w:sz w:val="24"/>
                <w:szCs w:val="32"/>
              </w:rPr>
              <w:t>环境影响报告</w:t>
            </w:r>
            <w:r>
              <w:rPr>
                <w:rFonts w:hint="eastAsia" w:ascii="Times New Roman" w:hAnsi="Times New Roman" w:eastAsia="宋体" w:cs="Times New Roman"/>
                <w:color w:val="000000"/>
                <w:sz w:val="24"/>
                <w:szCs w:val="32"/>
                <w:lang w:val="en-US" w:eastAsia="zh-CN"/>
              </w:rPr>
              <w:t>表</w:t>
            </w:r>
            <w:r>
              <w:rPr>
                <w:rFonts w:hint="eastAsia" w:ascii="Times New Roman" w:hAnsi="Times New Roman" w:eastAsia="宋体" w:cs="Times New Roman"/>
                <w:color w:val="000000"/>
                <w:sz w:val="24"/>
                <w:szCs w:val="32"/>
              </w:rPr>
              <w:t>》中2025年3月7日-3月10日环境空气质量现状监测数据。引用的监测点位于本项目处</w:t>
            </w:r>
            <w:r>
              <w:rPr>
                <w:rFonts w:hint="eastAsia" w:ascii="Times New Roman" w:hAnsi="Times New Roman" w:eastAsia="宋体" w:cs="Times New Roman"/>
                <w:color w:val="000000"/>
                <w:sz w:val="24"/>
                <w:szCs w:val="32"/>
                <w:lang w:val="en-US" w:eastAsia="zh-CN"/>
              </w:rPr>
              <w:t>西北</w:t>
            </w:r>
            <w:r>
              <w:rPr>
                <w:rFonts w:hint="eastAsia" w:ascii="Times New Roman" w:hAnsi="Times New Roman" w:eastAsia="宋体" w:cs="Times New Roman"/>
                <w:color w:val="000000"/>
                <w:sz w:val="24"/>
                <w:szCs w:val="32"/>
              </w:rPr>
              <w:t>侧</w:t>
            </w:r>
            <w:r>
              <w:rPr>
                <w:rFonts w:hint="eastAsia" w:ascii="Times New Roman" w:hAnsi="Times New Roman" w:eastAsia="宋体" w:cs="Times New Roman"/>
                <w:color w:val="000000"/>
                <w:sz w:val="24"/>
                <w:szCs w:val="32"/>
                <w:lang w:val="en-US" w:eastAsia="zh-CN"/>
              </w:rPr>
              <w:t>2635</w:t>
            </w:r>
            <w:r>
              <w:rPr>
                <w:rFonts w:hint="eastAsia" w:ascii="Times New Roman" w:hAnsi="Times New Roman" w:eastAsia="宋体" w:cs="Times New Roman"/>
                <w:color w:val="000000"/>
                <w:sz w:val="24"/>
                <w:szCs w:val="32"/>
              </w:rPr>
              <w:t>m，位于建设项目周边5km内，监测时间为近3年内，有效性符合《建设项目环境影响报告表编制技术指南（污染影响类）》（试行）的要求。</w:t>
            </w:r>
          </w:p>
          <w:p w14:paraId="5C7056B2">
            <w:pPr>
              <w:pStyle w:val="103"/>
              <w:spacing w:beforeLines="0" w:after="0" w:afterAutospacing="0" w:line="360" w:lineRule="exact"/>
              <w:rPr>
                <w:rFonts w:hint="default" w:ascii="Times New Roman" w:hAnsi="Times New Roman" w:eastAsia="宋体" w:cs="Times New Roman"/>
                <w:b/>
                <w:b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val="0"/>
                <w:color w:val="000000" w:themeColor="text1"/>
                <w:sz w:val="21"/>
                <w:szCs w:val="21"/>
                <w:u w:val="none"/>
                <w14:textFill>
                  <w14:solidFill>
                    <w14:schemeClr w14:val="tx1"/>
                  </w14:solidFill>
                </w14:textFill>
              </w:rPr>
              <w:t>表3-</w:t>
            </w:r>
            <w:r>
              <w:rPr>
                <w:rFonts w:hint="default" w:ascii="Times New Roman" w:hAnsi="Times New Roman" w:eastAsia="宋体" w:cs="Times New Roman"/>
                <w:b/>
                <w:bCs w:val="0"/>
                <w:color w:val="000000" w:themeColor="text1"/>
                <w:sz w:val="21"/>
                <w:szCs w:val="21"/>
                <w:u w:val="none"/>
                <w:lang w:val="en-US" w:eastAsia="zh-CN"/>
                <w14:textFill>
                  <w14:solidFill>
                    <w14:schemeClr w14:val="tx1"/>
                  </w14:solidFill>
                </w14:textFill>
              </w:rPr>
              <w:t>2</w:t>
            </w:r>
            <w:r>
              <w:rPr>
                <w:rFonts w:hint="default" w:ascii="Times New Roman" w:hAnsi="Times New Roman" w:eastAsia="宋体" w:cs="Times New Roman"/>
                <w:b/>
                <w:bCs w:val="0"/>
                <w:color w:val="000000" w:themeColor="text1"/>
                <w:sz w:val="21"/>
                <w:szCs w:val="21"/>
                <w:u w:val="none"/>
                <w14:textFill>
                  <w14:solidFill>
                    <w14:schemeClr w14:val="tx1"/>
                  </w14:solidFill>
                </w14:textFill>
              </w:rPr>
              <w:t xml:space="preserve">  特征污染物监测数据统计结果及评价表  单位：</w:t>
            </w:r>
            <w:r>
              <w:rPr>
                <w:rFonts w:hint="eastAsia" w:ascii="Times New Roman" w:hAnsi="Times New Roman" w:eastAsia="宋体" w:cs="Times New Roman"/>
                <w:b/>
                <w:bCs w:val="0"/>
                <w:color w:val="000000" w:themeColor="text1"/>
                <w:sz w:val="21"/>
                <w:szCs w:val="21"/>
                <w:u w:val="none"/>
                <w:lang w:val="en-US" w:eastAsia="zh-CN"/>
                <w14:textFill>
                  <w14:solidFill>
                    <w14:schemeClr w14:val="tx1"/>
                  </w14:solidFill>
                </w14:textFill>
              </w:rPr>
              <w:t>m</w:t>
            </w:r>
            <w:r>
              <w:rPr>
                <w:rFonts w:hint="default" w:ascii="Times New Roman" w:hAnsi="Times New Roman" w:eastAsia="宋体" w:cs="Times New Roman"/>
                <w:b/>
                <w:bCs w:val="0"/>
                <w:color w:val="000000" w:themeColor="text1"/>
                <w:sz w:val="21"/>
                <w:szCs w:val="21"/>
                <w:u w:val="none"/>
                <w14:textFill>
                  <w14:solidFill>
                    <w14:schemeClr w14:val="tx1"/>
                  </w14:solidFill>
                </w14:textFill>
              </w:rPr>
              <w:t>g/m</w:t>
            </w:r>
            <w:r>
              <w:rPr>
                <w:rFonts w:hint="default" w:ascii="Times New Roman" w:hAnsi="Times New Roman" w:eastAsia="宋体" w:cs="Times New Roman"/>
                <w:b/>
                <w:bCs w:val="0"/>
                <w:color w:val="000000" w:themeColor="text1"/>
                <w:sz w:val="21"/>
                <w:szCs w:val="21"/>
                <w:u w:val="none"/>
                <w:vertAlign w:val="superscript"/>
                <w14:textFill>
                  <w14:solidFill>
                    <w14:schemeClr w14:val="tx1"/>
                  </w14:solidFill>
                </w14:textFill>
              </w:rPr>
              <w:t>3</w:t>
            </w:r>
          </w:p>
          <w:tbl>
            <w:tblPr>
              <w:tblStyle w:val="28"/>
              <w:tblW w:w="49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2"/>
              <w:gridCol w:w="1241"/>
              <w:gridCol w:w="2455"/>
              <w:gridCol w:w="1582"/>
              <w:gridCol w:w="1077"/>
            </w:tblGrid>
            <w:tr w14:paraId="0CAC1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1" w:type="pct"/>
                  <w:vAlign w:val="center"/>
                </w:tcPr>
                <w:p w14:paraId="07627C94">
                  <w:pPr>
                    <w:adjustRightInd w:val="0"/>
                    <w:snapToGrid w:val="0"/>
                    <w:spacing w:line="240" w:lineRule="auto"/>
                    <w:jc w:val="center"/>
                    <w:rPr>
                      <w:rFonts w:hint="default" w:ascii="Times New Roman" w:hAnsi="Times New Roman" w:eastAsia="宋体" w:cs="Times New Roman"/>
                      <w:b w:val="0"/>
                      <w:bCs/>
                      <w:color w:val="000000" w:themeColor="text1"/>
                      <w:szCs w:val="21"/>
                      <w:u w:val="none"/>
                      <w14:textFill>
                        <w14:solidFill>
                          <w14:schemeClr w14:val="tx1"/>
                        </w14:solidFill>
                      </w14:textFill>
                    </w:rPr>
                  </w:pPr>
                  <w:r>
                    <w:rPr>
                      <w:rFonts w:hint="default" w:ascii="Times New Roman" w:hAnsi="Times New Roman" w:eastAsia="宋体" w:cs="Times New Roman"/>
                      <w:b w:val="0"/>
                      <w:bCs/>
                      <w:color w:val="000000" w:themeColor="text1"/>
                      <w:szCs w:val="21"/>
                      <w:u w:val="none"/>
                      <w14:textFill>
                        <w14:solidFill>
                          <w14:schemeClr w14:val="tx1"/>
                        </w14:solidFill>
                      </w14:textFill>
                    </w:rPr>
                    <w:t>采样点位</w:t>
                  </w:r>
                </w:p>
              </w:tc>
              <w:tc>
                <w:tcPr>
                  <w:tcW w:w="776" w:type="pct"/>
                  <w:vAlign w:val="center"/>
                </w:tcPr>
                <w:p w14:paraId="7ED40A01">
                  <w:pPr>
                    <w:adjustRightInd w:val="0"/>
                    <w:snapToGrid w:val="0"/>
                    <w:spacing w:line="320" w:lineRule="exact"/>
                    <w:jc w:val="center"/>
                    <w:rPr>
                      <w:rFonts w:hint="default" w:ascii="Times New Roman" w:hAnsi="Times New Roman" w:eastAsia="宋体" w:cs="Times New Roman"/>
                      <w:b w:val="0"/>
                      <w:bCs/>
                      <w:color w:val="000000" w:themeColor="text1"/>
                      <w:szCs w:val="21"/>
                      <w:u w:val="none"/>
                      <w14:textFill>
                        <w14:solidFill>
                          <w14:schemeClr w14:val="tx1"/>
                        </w14:solidFill>
                      </w14:textFill>
                    </w:rPr>
                  </w:pPr>
                  <w:r>
                    <w:rPr>
                      <w:rFonts w:hint="default" w:ascii="Times New Roman" w:hAnsi="Times New Roman" w:eastAsia="宋体" w:cs="Times New Roman"/>
                      <w:b w:val="0"/>
                      <w:bCs/>
                      <w:color w:val="000000" w:themeColor="text1"/>
                      <w:szCs w:val="21"/>
                      <w:u w:val="none"/>
                      <w14:textFill>
                        <w14:solidFill>
                          <w14:schemeClr w14:val="tx1"/>
                        </w14:solidFill>
                      </w14:textFill>
                    </w:rPr>
                    <w:t>监测项目</w:t>
                  </w:r>
                </w:p>
              </w:tc>
              <w:tc>
                <w:tcPr>
                  <w:tcW w:w="1536" w:type="pct"/>
                  <w:vAlign w:val="center"/>
                </w:tcPr>
                <w:p w14:paraId="32BF1E94">
                  <w:pPr>
                    <w:adjustRightInd w:val="0"/>
                    <w:snapToGrid w:val="0"/>
                    <w:spacing w:line="320" w:lineRule="exact"/>
                    <w:jc w:val="center"/>
                    <w:rPr>
                      <w:rFonts w:hint="default" w:ascii="Times New Roman" w:hAnsi="Times New Roman" w:eastAsia="宋体" w:cs="Times New Roman"/>
                      <w:b w:val="0"/>
                      <w:bCs/>
                      <w:color w:val="000000" w:themeColor="text1"/>
                      <w:szCs w:val="21"/>
                      <w:u w:val="none"/>
                      <w14:textFill>
                        <w14:solidFill>
                          <w14:schemeClr w14:val="tx1"/>
                        </w14:solidFill>
                      </w14:textFill>
                    </w:rPr>
                  </w:pPr>
                  <w:r>
                    <w:rPr>
                      <w:rFonts w:hint="default" w:ascii="Times New Roman" w:hAnsi="Times New Roman" w:eastAsia="宋体" w:cs="Times New Roman"/>
                      <w:b w:val="0"/>
                      <w:bCs/>
                      <w:color w:val="000000" w:themeColor="text1"/>
                      <w:szCs w:val="21"/>
                      <w:u w:val="none"/>
                      <w14:textFill>
                        <w14:solidFill>
                          <w14:schemeClr w14:val="tx1"/>
                        </w14:solidFill>
                      </w14:textFill>
                    </w:rPr>
                    <w:t>监测日期</w:t>
                  </w:r>
                </w:p>
              </w:tc>
              <w:tc>
                <w:tcPr>
                  <w:tcW w:w="990" w:type="pct"/>
                  <w:vAlign w:val="center"/>
                </w:tcPr>
                <w:p w14:paraId="530DFD55">
                  <w:pPr>
                    <w:adjustRightInd w:val="0"/>
                    <w:snapToGrid w:val="0"/>
                    <w:spacing w:line="320" w:lineRule="exact"/>
                    <w:jc w:val="center"/>
                    <w:rPr>
                      <w:rFonts w:hint="default" w:ascii="Times New Roman" w:hAnsi="Times New Roman" w:eastAsia="宋体" w:cs="Times New Roman"/>
                      <w:b w:val="0"/>
                      <w:bCs/>
                      <w:color w:val="000000" w:themeColor="text1"/>
                      <w:szCs w:val="21"/>
                      <w:u w:val="none"/>
                      <w14:textFill>
                        <w14:solidFill>
                          <w14:schemeClr w14:val="tx1"/>
                        </w14:solidFill>
                      </w14:textFill>
                    </w:rPr>
                  </w:pPr>
                  <w:r>
                    <w:rPr>
                      <w:rFonts w:hint="default" w:ascii="Times New Roman" w:hAnsi="Times New Roman" w:eastAsia="宋体" w:cs="Times New Roman"/>
                      <w:b w:val="0"/>
                      <w:bCs/>
                      <w:color w:val="000000" w:themeColor="text1"/>
                      <w:szCs w:val="21"/>
                      <w:u w:val="none"/>
                      <w14:textFill>
                        <w14:solidFill>
                          <w14:schemeClr w14:val="tx1"/>
                        </w14:solidFill>
                      </w14:textFill>
                    </w:rPr>
                    <w:t>监测结果</w:t>
                  </w:r>
                </w:p>
              </w:tc>
              <w:tc>
                <w:tcPr>
                  <w:tcW w:w="674" w:type="pct"/>
                  <w:vAlign w:val="center"/>
                </w:tcPr>
                <w:p w14:paraId="3DFF03C6">
                  <w:pPr>
                    <w:adjustRightInd w:val="0"/>
                    <w:snapToGrid w:val="0"/>
                    <w:spacing w:line="320" w:lineRule="exact"/>
                    <w:jc w:val="center"/>
                    <w:rPr>
                      <w:rFonts w:hint="default" w:ascii="Times New Roman" w:hAnsi="Times New Roman" w:eastAsia="宋体" w:cs="Times New Roman"/>
                      <w:b w:val="0"/>
                      <w:bCs/>
                      <w:color w:val="000000" w:themeColor="text1"/>
                      <w:szCs w:val="21"/>
                      <w:u w:val="none"/>
                      <w14:textFill>
                        <w14:solidFill>
                          <w14:schemeClr w14:val="tx1"/>
                        </w14:solidFill>
                      </w14:textFill>
                    </w:rPr>
                  </w:pPr>
                  <w:r>
                    <w:rPr>
                      <w:rFonts w:hint="default" w:ascii="Times New Roman" w:hAnsi="Times New Roman" w:eastAsia="宋体" w:cs="Times New Roman"/>
                      <w:b w:val="0"/>
                      <w:bCs/>
                      <w:color w:val="000000" w:themeColor="text1"/>
                      <w:szCs w:val="21"/>
                      <w:u w:val="none"/>
                      <w14:textFill>
                        <w14:solidFill>
                          <w14:schemeClr w14:val="tx1"/>
                        </w14:solidFill>
                      </w14:textFill>
                    </w:rPr>
                    <w:t>参考限值</w:t>
                  </w:r>
                </w:p>
              </w:tc>
            </w:tr>
            <w:tr w14:paraId="4B3D0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1" w:type="pct"/>
                  <w:vMerge w:val="restart"/>
                  <w:vAlign w:val="center"/>
                </w:tcPr>
                <w:p w14:paraId="710D88A5">
                  <w:pPr>
                    <w:adjustRightInd w:val="0"/>
                    <w:snapToGrid w:val="0"/>
                    <w:spacing w:line="240" w:lineRule="auto"/>
                    <w:jc w:val="center"/>
                    <w:rPr>
                      <w:rFonts w:hint="default" w:ascii="Times New Roman" w:hAnsi="Times New Roman" w:eastAsia="宋体" w:cs="Times New Roman"/>
                      <w:b w:val="0"/>
                      <w:bCs/>
                      <w:color w:val="000000" w:themeColor="text1"/>
                      <w:szCs w:val="21"/>
                      <w:u w:val="none"/>
                      <w14:textFill>
                        <w14:solidFill>
                          <w14:schemeClr w14:val="tx1"/>
                        </w14:solidFill>
                      </w14:textFill>
                    </w:rPr>
                  </w:pPr>
                  <w:bookmarkStart w:id="24" w:name="OLE_LINK14"/>
                  <w:bookmarkStart w:id="25" w:name="OLE_LINK15"/>
                  <w:r>
                    <w:rPr>
                      <w:rFonts w:hint="eastAsia" w:ascii="Times New Roman" w:hAnsi="Times New Roman" w:eastAsia="宋体" w:cs="Times New Roman"/>
                      <w:b w:val="0"/>
                      <w:bCs/>
                      <w:color w:val="000000" w:themeColor="text1"/>
                      <w:szCs w:val="21"/>
                      <w:u w:val="none"/>
                      <w14:textFill>
                        <w14:solidFill>
                          <w14:schemeClr w14:val="tx1"/>
                        </w14:solidFill>
                      </w14:textFill>
                    </w:rPr>
                    <w:t>益阳广淇新能源科技有限公司</w:t>
                  </w:r>
                  <w:bookmarkEnd w:id="24"/>
                  <w:bookmarkEnd w:id="25"/>
                  <w:r>
                    <w:rPr>
                      <w:rFonts w:hint="eastAsia" w:ascii="Times New Roman" w:hAnsi="Times New Roman" w:eastAsia="宋体" w:cs="Times New Roman"/>
                      <w:b w:val="0"/>
                      <w:bCs/>
                      <w:color w:val="000000" w:themeColor="text1"/>
                      <w:szCs w:val="21"/>
                      <w:u w:val="none"/>
                      <w14:textFill>
                        <w14:solidFill>
                          <w14:schemeClr w14:val="tx1"/>
                        </w14:solidFill>
                      </w14:textFill>
                    </w:rPr>
                    <w:t>厂界外下风向50米处</w:t>
                  </w:r>
                </w:p>
              </w:tc>
              <w:tc>
                <w:tcPr>
                  <w:tcW w:w="776" w:type="pct"/>
                  <w:vMerge w:val="restart"/>
                  <w:vAlign w:val="center"/>
                </w:tcPr>
                <w:p w14:paraId="7F5393F2">
                  <w:pPr>
                    <w:adjustRightInd w:val="0"/>
                    <w:snapToGrid w:val="0"/>
                    <w:spacing w:line="320" w:lineRule="exact"/>
                    <w:jc w:val="center"/>
                    <w:rPr>
                      <w:rFonts w:hint="default" w:ascii="Times New Roman" w:hAnsi="Times New Roman" w:eastAsia="宋体" w:cs="Times New Roman"/>
                      <w:b w:val="0"/>
                      <w:bCs/>
                      <w:color w:val="000000" w:themeColor="text1"/>
                      <w:szCs w:val="21"/>
                      <w:u w:val="none"/>
                      <w14:textFill>
                        <w14:solidFill>
                          <w14:schemeClr w14:val="tx1"/>
                        </w14:solidFill>
                      </w14:textFill>
                    </w:rPr>
                  </w:pPr>
                  <w:r>
                    <w:rPr>
                      <w:rFonts w:hint="default" w:ascii="Times New Roman" w:hAnsi="Times New Roman" w:eastAsia="宋体" w:cs="Times New Roman"/>
                      <w:b w:val="0"/>
                      <w:bCs/>
                      <w:color w:val="000000" w:themeColor="text1"/>
                      <w:szCs w:val="21"/>
                      <w:u w:val="none"/>
                      <w14:textFill>
                        <w14:solidFill>
                          <w14:schemeClr w14:val="tx1"/>
                        </w14:solidFill>
                      </w14:textFill>
                    </w:rPr>
                    <w:t>TSP</w:t>
                  </w:r>
                </w:p>
              </w:tc>
              <w:tc>
                <w:tcPr>
                  <w:tcW w:w="1536" w:type="pct"/>
                  <w:shd w:val="clear" w:color="auto" w:fill="auto"/>
                  <w:vAlign w:val="center"/>
                </w:tcPr>
                <w:p w14:paraId="46D29912">
                  <w:pPr>
                    <w:adjustRightInd w:val="0"/>
                    <w:snapToGrid w:val="0"/>
                    <w:spacing w:line="320" w:lineRule="exact"/>
                    <w:jc w:val="center"/>
                    <w:rPr>
                      <w:rFonts w:hint="default" w:ascii="Times New Roman" w:hAnsi="Times New Roman" w:eastAsia="宋体" w:cs="Times New Roman"/>
                      <w:b w:val="0"/>
                      <w:bCs/>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Cs w:val="21"/>
                      <w:u w:val="none"/>
                      <w14:textFill>
                        <w14:solidFill>
                          <w14:schemeClr w14:val="tx1"/>
                        </w14:solidFill>
                      </w14:textFill>
                    </w:rPr>
                    <w:t>2025.03.07~2025.03.08</w:t>
                  </w:r>
                </w:p>
              </w:tc>
              <w:tc>
                <w:tcPr>
                  <w:tcW w:w="990" w:type="pct"/>
                  <w:shd w:val="clear" w:color="auto" w:fill="auto"/>
                  <w:vAlign w:val="center"/>
                </w:tcPr>
                <w:p w14:paraId="05D1DF8E">
                  <w:pPr>
                    <w:adjustRightInd w:val="0"/>
                    <w:snapToGrid w:val="0"/>
                    <w:spacing w:line="320" w:lineRule="exact"/>
                    <w:jc w:val="center"/>
                    <w:rPr>
                      <w:rFonts w:hint="default" w:ascii="Times New Roman" w:hAnsi="Times New Roman" w:eastAsia="宋体" w:cs="Times New Roman"/>
                      <w:b w:val="0"/>
                      <w:bCs/>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Cs w:val="21"/>
                      <w:u w:val="none"/>
                      <w14:textFill>
                        <w14:solidFill>
                          <w14:schemeClr w14:val="tx1"/>
                        </w14:solidFill>
                      </w14:textFill>
                    </w:rPr>
                    <w:t>0.085</w:t>
                  </w:r>
                </w:p>
              </w:tc>
              <w:tc>
                <w:tcPr>
                  <w:tcW w:w="674" w:type="pct"/>
                  <w:vMerge w:val="restart"/>
                  <w:vAlign w:val="center"/>
                </w:tcPr>
                <w:p w14:paraId="00D59363">
                  <w:pPr>
                    <w:adjustRightInd w:val="0"/>
                    <w:snapToGrid w:val="0"/>
                    <w:spacing w:line="320" w:lineRule="exact"/>
                    <w:jc w:val="center"/>
                    <w:rPr>
                      <w:rFonts w:hint="default" w:ascii="Times New Roman" w:hAnsi="Times New Roman" w:eastAsia="宋体" w:cs="Times New Roman"/>
                      <w:b w:val="0"/>
                      <w:bCs/>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Cs w:val="21"/>
                      <w:u w:val="none"/>
                      <w:lang w:val="en-US" w:eastAsia="zh-CN"/>
                      <w14:textFill>
                        <w14:solidFill>
                          <w14:schemeClr w14:val="tx1"/>
                        </w14:solidFill>
                      </w14:textFill>
                    </w:rPr>
                    <w:t>0.3</w:t>
                  </w:r>
                </w:p>
              </w:tc>
            </w:tr>
            <w:tr w14:paraId="34D7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1" w:type="pct"/>
                  <w:vMerge w:val="continue"/>
                  <w:vAlign w:val="center"/>
                </w:tcPr>
                <w:p w14:paraId="57E23327">
                  <w:pPr>
                    <w:adjustRightInd w:val="0"/>
                    <w:snapToGrid w:val="0"/>
                    <w:spacing w:line="320" w:lineRule="exact"/>
                    <w:jc w:val="center"/>
                    <w:rPr>
                      <w:rFonts w:hint="default" w:ascii="Times New Roman" w:hAnsi="Times New Roman" w:eastAsia="宋体" w:cs="Times New Roman"/>
                      <w:b w:val="0"/>
                      <w:bCs/>
                      <w:color w:val="000000" w:themeColor="text1"/>
                      <w:szCs w:val="21"/>
                      <w:u w:val="none"/>
                      <w14:textFill>
                        <w14:solidFill>
                          <w14:schemeClr w14:val="tx1"/>
                        </w14:solidFill>
                      </w14:textFill>
                    </w:rPr>
                  </w:pPr>
                </w:p>
              </w:tc>
              <w:tc>
                <w:tcPr>
                  <w:tcW w:w="776" w:type="pct"/>
                  <w:vMerge w:val="continue"/>
                  <w:vAlign w:val="center"/>
                </w:tcPr>
                <w:p w14:paraId="28D6326E">
                  <w:pPr>
                    <w:adjustRightInd w:val="0"/>
                    <w:snapToGrid w:val="0"/>
                    <w:spacing w:line="320" w:lineRule="exact"/>
                    <w:jc w:val="center"/>
                    <w:rPr>
                      <w:rFonts w:hint="default" w:ascii="Times New Roman" w:hAnsi="Times New Roman" w:eastAsia="宋体" w:cs="Times New Roman"/>
                      <w:b w:val="0"/>
                      <w:bCs/>
                      <w:color w:val="000000" w:themeColor="text1"/>
                      <w:szCs w:val="21"/>
                      <w:u w:val="none"/>
                      <w14:textFill>
                        <w14:solidFill>
                          <w14:schemeClr w14:val="tx1"/>
                        </w14:solidFill>
                      </w14:textFill>
                    </w:rPr>
                  </w:pPr>
                </w:p>
              </w:tc>
              <w:tc>
                <w:tcPr>
                  <w:tcW w:w="1536" w:type="pct"/>
                  <w:shd w:val="clear" w:color="auto" w:fill="auto"/>
                  <w:vAlign w:val="center"/>
                </w:tcPr>
                <w:p w14:paraId="00F330F1">
                  <w:pPr>
                    <w:adjustRightInd w:val="0"/>
                    <w:snapToGrid w:val="0"/>
                    <w:spacing w:line="320" w:lineRule="exact"/>
                    <w:jc w:val="center"/>
                    <w:rPr>
                      <w:rFonts w:hint="default" w:ascii="Times New Roman" w:hAnsi="Times New Roman" w:eastAsia="宋体" w:cs="Times New Roman"/>
                      <w:b w:val="0"/>
                      <w:bCs/>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Cs w:val="21"/>
                      <w:u w:val="none"/>
                      <w14:textFill>
                        <w14:solidFill>
                          <w14:schemeClr w14:val="tx1"/>
                        </w14:solidFill>
                      </w14:textFill>
                    </w:rPr>
                    <w:t>2025.03.08~2025.03.09</w:t>
                  </w:r>
                </w:p>
              </w:tc>
              <w:tc>
                <w:tcPr>
                  <w:tcW w:w="990" w:type="pct"/>
                  <w:shd w:val="clear" w:color="auto" w:fill="auto"/>
                  <w:vAlign w:val="center"/>
                </w:tcPr>
                <w:p w14:paraId="2DB10637">
                  <w:pPr>
                    <w:adjustRightInd w:val="0"/>
                    <w:snapToGrid w:val="0"/>
                    <w:spacing w:line="320" w:lineRule="exact"/>
                    <w:jc w:val="center"/>
                    <w:rPr>
                      <w:rFonts w:hint="default" w:ascii="Times New Roman" w:hAnsi="Times New Roman" w:eastAsia="宋体" w:cs="Times New Roman"/>
                      <w:b w:val="0"/>
                      <w:bCs/>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Cs w:val="21"/>
                      <w:u w:val="none"/>
                      <w14:textFill>
                        <w14:solidFill>
                          <w14:schemeClr w14:val="tx1"/>
                        </w14:solidFill>
                      </w14:textFill>
                    </w:rPr>
                    <w:t>0.094</w:t>
                  </w:r>
                </w:p>
              </w:tc>
              <w:tc>
                <w:tcPr>
                  <w:tcW w:w="674" w:type="pct"/>
                  <w:vMerge w:val="continue"/>
                  <w:vAlign w:val="center"/>
                </w:tcPr>
                <w:p w14:paraId="760FE083">
                  <w:pPr>
                    <w:adjustRightInd w:val="0"/>
                    <w:snapToGrid w:val="0"/>
                    <w:spacing w:line="320" w:lineRule="exact"/>
                    <w:jc w:val="center"/>
                    <w:rPr>
                      <w:rFonts w:hint="default" w:ascii="Times New Roman" w:hAnsi="Times New Roman" w:eastAsia="宋体" w:cs="Times New Roman"/>
                      <w:b w:val="0"/>
                      <w:bCs/>
                      <w:color w:val="000000" w:themeColor="text1"/>
                      <w:szCs w:val="21"/>
                      <w:u w:val="none"/>
                      <w14:textFill>
                        <w14:solidFill>
                          <w14:schemeClr w14:val="tx1"/>
                        </w14:solidFill>
                      </w14:textFill>
                    </w:rPr>
                  </w:pPr>
                </w:p>
              </w:tc>
            </w:tr>
            <w:tr w14:paraId="3B454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1" w:type="pct"/>
                  <w:vMerge w:val="continue"/>
                  <w:vAlign w:val="center"/>
                </w:tcPr>
                <w:p w14:paraId="493AF7F3">
                  <w:pPr>
                    <w:adjustRightInd w:val="0"/>
                    <w:snapToGrid w:val="0"/>
                    <w:spacing w:line="320" w:lineRule="exact"/>
                    <w:jc w:val="center"/>
                    <w:rPr>
                      <w:rFonts w:hint="default" w:ascii="Times New Roman" w:hAnsi="Times New Roman" w:eastAsia="宋体" w:cs="Times New Roman"/>
                      <w:b w:val="0"/>
                      <w:bCs/>
                      <w:color w:val="000000" w:themeColor="text1"/>
                      <w:szCs w:val="21"/>
                      <w:u w:val="none"/>
                      <w14:textFill>
                        <w14:solidFill>
                          <w14:schemeClr w14:val="tx1"/>
                        </w14:solidFill>
                      </w14:textFill>
                    </w:rPr>
                  </w:pPr>
                </w:p>
              </w:tc>
              <w:tc>
                <w:tcPr>
                  <w:tcW w:w="776" w:type="pct"/>
                  <w:vMerge w:val="continue"/>
                  <w:vAlign w:val="center"/>
                </w:tcPr>
                <w:p w14:paraId="70718E58">
                  <w:pPr>
                    <w:adjustRightInd w:val="0"/>
                    <w:snapToGrid w:val="0"/>
                    <w:spacing w:line="320" w:lineRule="exact"/>
                    <w:jc w:val="center"/>
                    <w:rPr>
                      <w:rFonts w:hint="default" w:ascii="Times New Roman" w:hAnsi="Times New Roman" w:eastAsia="宋体" w:cs="Times New Roman"/>
                      <w:b w:val="0"/>
                      <w:bCs/>
                      <w:color w:val="000000" w:themeColor="text1"/>
                      <w:szCs w:val="21"/>
                      <w:u w:val="none"/>
                      <w14:textFill>
                        <w14:solidFill>
                          <w14:schemeClr w14:val="tx1"/>
                        </w14:solidFill>
                      </w14:textFill>
                    </w:rPr>
                  </w:pPr>
                </w:p>
              </w:tc>
              <w:tc>
                <w:tcPr>
                  <w:tcW w:w="1536" w:type="pct"/>
                  <w:shd w:val="clear" w:color="auto" w:fill="auto"/>
                  <w:vAlign w:val="center"/>
                </w:tcPr>
                <w:p w14:paraId="13F4F7E6">
                  <w:pPr>
                    <w:adjustRightInd w:val="0"/>
                    <w:snapToGrid w:val="0"/>
                    <w:spacing w:line="320" w:lineRule="exact"/>
                    <w:jc w:val="center"/>
                    <w:rPr>
                      <w:rFonts w:hint="default" w:ascii="Times New Roman" w:hAnsi="Times New Roman" w:eastAsia="宋体" w:cs="Times New Roman"/>
                      <w:b w:val="0"/>
                      <w:bCs/>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Cs w:val="21"/>
                      <w:u w:val="none"/>
                      <w14:textFill>
                        <w14:solidFill>
                          <w14:schemeClr w14:val="tx1"/>
                        </w14:solidFill>
                      </w14:textFill>
                    </w:rPr>
                    <w:t>2025.03.09~2025.03.10</w:t>
                  </w:r>
                </w:p>
              </w:tc>
              <w:tc>
                <w:tcPr>
                  <w:tcW w:w="990" w:type="pct"/>
                  <w:shd w:val="clear" w:color="auto" w:fill="auto"/>
                  <w:vAlign w:val="center"/>
                </w:tcPr>
                <w:p w14:paraId="6E335C61">
                  <w:pPr>
                    <w:adjustRightInd w:val="0"/>
                    <w:snapToGrid w:val="0"/>
                    <w:spacing w:line="320" w:lineRule="exact"/>
                    <w:jc w:val="center"/>
                    <w:rPr>
                      <w:rFonts w:hint="default" w:ascii="Times New Roman" w:hAnsi="Times New Roman" w:eastAsia="宋体" w:cs="Times New Roman"/>
                      <w:b w:val="0"/>
                      <w:bCs/>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Cs w:val="21"/>
                      <w:u w:val="none"/>
                      <w14:textFill>
                        <w14:solidFill>
                          <w14:schemeClr w14:val="tx1"/>
                        </w14:solidFill>
                      </w14:textFill>
                    </w:rPr>
                    <w:t>0.091</w:t>
                  </w:r>
                </w:p>
              </w:tc>
              <w:tc>
                <w:tcPr>
                  <w:tcW w:w="674" w:type="pct"/>
                  <w:vMerge w:val="continue"/>
                  <w:vAlign w:val="center"/>
                </w:tcPr>
                <w:p w14:paraId="3DE85D50">
                  <w:pPr>
                    <w:adjustRightInd w:val="0"/>
                    <w:snapToGrid w:val="0"/>
                    <w:spacing w:line="320" w:lineRule="exact"/>
                    <w:jc w:val="center"/>
                    <w:rPr>
                      <w:rFonts w:hint="default" w:ascii="Times New Roman" w:hAnsi="Times New Roman" w:eastAsia="宋体" w:cs="Times New Roman"/>
                      <w:b w:val="0"/>
                      <w:bCs/>
                      <w:color w:val="000000" w:themeColor="text1"/>
                      <w:szCs w:val="21"/>
                      <w:u w:val="none"/>
                      <w14:textFill>
                        <w14:solidFill>
                          <w14:schemeClr w14:val="tx1"/>
                        </w14:solidFill>
                      </w14:textFill>
                    </w:rPr>
                  </w:pPr>
                </w:p>
              </w:tc>
            </w:tr>
          </w:tbl>
          <w:p w14:paraId="11E100F4">
            <w:pPr>
              <w:adjustRightInd w:val="0"/>
              <w:snapToGrid w:val="0"/>
              <w:spacing w:line="360" w:lineRule="auto"/>
              <w:ind w:firstLine="480" w:firstLineChars="200"/>
              <w:jc w:val="left"/>
              <w:rPr>
                <w:rFonts w:hint="eastAsia" w:ascii="Times New Roman" w:hAnsi="Times New Roman" w:eastAsia="宋体" w:cstheme="minorBidi"/>
                <w:color w:val="000000" w:themeColor="text1"/>
                <w:kern w:val="2"/>
                <w:sz w:val="24"/>
                <w:szCs w:val="22"/>
                <w:u w:val="single"/>
                <w:lang w:val="en-US" w:eastAsia="zh-CN" w:bidi="ar-SA"/>
                <w14:textFill>
                  <w14:solidFill>
                    <w14:schemeClr w14:val="tx1"/>
                  </w14:solidFill>
                </w14:textFill>
              </w:rPr>
            </w:pPr>
            <w:r>
              <w:rPr>
                <w:rFonts w:hint="eastAsia" w:ascii="Times New Roman" w:hAnsi="Times New Roman" w:eastAsia="宋体" w:cstheme="minorBidi"/>
                <w:color w:val="000000" w:themeColor="text1"/>
                <w:kern w:val="2"/>
                <w:sz w:val="24"/>
                <w:szCs w:val="22"/>
                <w:u w:val="none"/>
                <w:lang w:val="en-US" w:eastAsia="zh-CN" w:bidi="ar-SA"/>
                <w14:textFill>
                  <w14:solidFill>
                    <w14:schemeClr w14:val="tx1"/>
                  </w14:solidFill>
                </w14:textFill>
              </w:rPr>
              <w:t>由表3-2可知，项目所在区域特征污染物（TSP）浓度满足《环境空气质量标准》（GB3095-2026）</w:t>
            </w:r>
            <w:r>
              <w:rPr>
                <w:rFonts w:hint="eastAsia" w:ascii="Times New Roman" w:hAnsi="Times New Roman" w:eastAsia="宋体" w:cs="Times New Roman"/>
                <w:color w:val="000000"/>
                <w:sz w:val="24"/>
                <w:szCs w:val="32"/>
                <w:u w:val="none"/>
                <w:lang w:val="en-US" w:eastAsia="zh-CN"/>
              </w:rPr>
              <w:t>过渡阶段</w:t>
            </w:r>
            <w:r>
              <w:rPr>
                <w:rFonts w:hint="default" w:ascii="Times New Roman" w:hAnsi="Times New Roman" w:eastAsia="宋体" w:cs="Times New Roman"/>
                <w:color w:val="000000"/>
                <w:sz w:val="24"/>
                <w:szCs w:val="32"/>
                <w:u w:val="none"/>
              </w:rPr>
              <w:t>二级标准限值</w:t>
            </w:r>
            <w:r>
              <w:rPr>
                <w:rFonts w:hint="eastAsia" w:ascii="Times New Roman" w:hAnsi="Times New Roman" w:eastAsia="宋体" w:cstheme="minorBidi"/>
                <w:color w:val="000000" w:themeColor="text1"/>
                <w:kern w:val="2"/>
                <w:sz w:val="24"/>
                <w:szCs w:val="22"/>
                <w:u w:val="none"/>
                <w:lang w:val="en-US" w:eastAsia="zh-CN" w:bidi="ar-SA"/>
                <w14:textFill>
                  <w14:solidFill>
                    <w14:schemeClr w14:val="tx1"/>
                  </w14:solidFill>
                </w14:textFill>
              </w:rPr>
              <w:t>。</w:t>
            </w:r>
          </w:p>
          <w:p w14:paraId="13035C59">
            <w:pPr>
              <w:pStyle w:val="75"/>
              <w:ind w:firstLine="482"/>
              <w:rPr>
                <w:rFonts w:hint="default" w:eastAsia="宋体"/>
                <w:b/>
                <w:bCs w:val="0"/>
                <w:lang w:val="en-US" w:eastAsia="zh-CN"/>
              </w:rPr>
            </w:pPr>
            <w:r>
              <w:rPr>
                <w:rFonts w:hint="eastAsia"/>
                <w:b/>
                <w:bCs w:val="0"/>
              </w:rPr>
              <w:t>2、地表水环境</w:t>
            </w:r>
            <w:r>
              <w:rPr>
                <w:rFonts w:hint="eastAsia"/>
                <w:b/>
                <w:bCs w:val="0"/>
                <w:lang w:val="en-US" w:eastAsia="zh-CN"/>
              </w:rPr>
              <w:t>质量现状</w:t>
            </w:r>
          </w:p>
          <w:p w14:paraId="13AAEA9D">
            <w:pPr>
              <w:pStyle w:val="75"/>
              <w:ind w:firstLine="480"/>
              <w:rPr>
                <w:rFonts w:hint="eastAsia" w:ascii="Times New Roman" w:hAnsi="Times New Roman" w:eastAsia="宋体"/>
              </w:rPr>
            </w:pPr>
            <w:r>
              <w:rPr>
                <w:rFonts w:hint="eastAsia"/>
              </w:rPr>
              <w:t>根据《建设项目环境影响报告表编制技术指南（污染影响类）》（试行）对区域环境质量现状数据引用规定：“地表水环境。引用与建设项目距离近的有效数据，包</w:t>
            </w:r>
            <w:r>
              <w:rPr>
                <w:rFonts w:hint="eastAsia" w:ascii="Times New Roman" w:hAnsi="Times New Roman" w:eastAsia="宋体"/>
              </w:rPr>
              <w:t>括近3年的规划环境影响评价的监测数据，所在流域控制单元内国家、地方控制断面监测数据，生态环境主管部门发布的水环境质量数据或地表水达标情况的结论”。</w:t>
            </w:r>
          </w:p>
          <w:p w14:paraId="0BB91A60">
            <w:pPr>
              <w:pStyle w:val="75"/>
              <w:ind w:firstLine="480"/>
              <w:rPr>
                <w:rFonts w:hint="eastAsia" w:ascii="Times New Roman" w:hAnsi="Times New Roman" w:eastAsia="宋体"/>
              </w:rPr>
            </w:pPr>
            <w:r>
              <w:rPr>
                <w:rFonts w:hint="eastAsia" w:ascii="Times New Roman" w:hAnsi="Times New Roman" w:eastAsia="宋体"/>
              </w:rPr>
              <w:t>本项目所在区域的主要地表水体为</w:t>
            </w:r>
            <w:r>
              <w:rPr>
                <w:rFonts w:hint="eastAsia" w:ascii="Times New Roman" w:hAnsi="Times New Roman" w:eastAsia="宋体"/>
                <w:lang w:val="en-US" w:eastAsia="zh-CN"/>
              </w:rPr>
              <w:t>志溪河</w:t>
            </w:r>
            <w:r>
              <w:rPr>
                <w:rFonts w:hint="eastAsia" w:ascii="Times New Roman" w:hAnsi="Times New Roman" w:eastAsia="宋体"/>
              </w:rPr>
              <w:t>。本项目为了解项目所在区域地表水志溪河的环境质量现状，本评价引用益阳市生态环境局于202</w:t>
            </w:r>
            <w:r>
              <w:rPr>
                <w:rFonts w:hint="eastAsia" w:ascii="Times New Roman" w:hAnsi="Times New Roman" w:eastAsia="宋体"/>
                <w:lang w:val="en-US" w:eastAsia="zh-CN"/>
              </w:rPr>
              <w:t>5</w:t>
            </w:r>
            <w:r>
              <w:rPr>
                <w:rFonts w:hint="eastAsia" w:ascii="Times New Roman" w:hAnsi="Times New Roman" w:eastAsia="宋体"/>
              </w:rPr>
              <w:t>年1月-12月对志溪河牛扼湾断面和新市渡断面环境质量现状监测结论，作为本项目的地表水质量现状分析。监测统计情况见下表：</w:t>
            </w:r>
          </w:p>
          <w:p w14:paraId="0994308A">
            <w:pPr>
              <w:pStyle w:val="77"/>
              <w:keepNext w:val="0"/>
              <w:keepLines w:val="0"/>
              <w:pageBreakBefore w:val="0"/>
              <w:widowControl w:val="0"/>
              <w:kinsoku/>
              <w:wordWrap/>
              <w:overflowPunct/>
              <w:topLinePunct w:val="0"/>
              <w:autoSpaceDE/>
              <w:autoSpaceDN/>
              <w:bidi w:val="0"/>
              <w:adjustRightInd/>
              <w:snapToGrid/>
              <w:spacing w:line="240" w:lineRule="atLeast"/>
              <w:textAlignment w:val="auto"/>
              <w:rPr>
                <w:sz w:val="18"/>
                <w:szCs w:val="20"/>
              </w:rPr>
            </w:pPr>
            <w:r>
              <w:rPr>
                <w:rFonts w:hint="eastAsia"/>
                <w:sz w:val="21"/>
                <w:szCs w:val="20"/>
              </w:rPr>
              <w:t>表3-3</w:t>
            </w:r>
            <w:r>
              <w:rPr>
                <w:rFonts w:hint="eastAsia"/>
                <w:sz w:val="21"/>
                <w:szCs w:val="20"/>
                <w:lang w:val="en-US" w:eastAsia="zh-CN"/>
              </w:rPr>
              <w:t xml:space="preserve">  </w:t>
            </w:r>
            <w:r>
              <w:rPr>
                <w:rFonts w:hint="eastAsia"/>
                <w:sz w:val="21"/>
                <w:szCs w:val="20"/>
              </w:rPr>
              <w:t>地表水监测断面水质情况</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5"/>
              <w:gridCol w:w="2527"/>
              <w:gridCol w:w="2935"/>
            </w:tblGrid>
            <w:tr w14:paraId="76A45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5" w:type="dxa"/>
                  <w:vMerge w:val="restart"/>
                  <w:noWrap w:val="0"/>
                  <w:vAlign w:val="center"/>
                </w:tcPr>
                <w:p w14:paraId="78CE4D97">
                  <w:pPr>
                    <w:pStyle w:val="57"/>
                    <w:ind w:left="0" w:leftChars="0" w:right="0" w:rightChars="0" w:firstLine="0" w:firstLineChars="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时间</w:t>
                  </w:r>
                </w:p>
              </w:tc>
              <w:tc>
                <w:tcPr>
                  <w:tcW w:w="5462" w:type="dxa"/>
                  <w:gridSpan w:val="2"/>
                  <w:noWrap w:val="0"/>
                  <w:vAlign w:val="center"/>
                </w:tcPr>
                <w:p w14:paraId="34AE6D15">
                  <w:pPr>
                    <w:pStyle w:val="57"/>
                    <w:ind w:left="0" w:leftChars="0" w:right="0" w:rightChars="0" w:firstLine="0" w:firstLineChars="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断面名称</w:t>
                  </w:r>
                </w:p>
              </w:tc>
            </w:tr>
            <w:tr w14:paraId="38063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5" w:type="dxa"/>
                  <w:vMerge w:val="continue"/>
                  <w:noWrap w:val="0"/>
                  <w:vAlign w:val="center"/>
                </w:tcPr>
                <w:p w14:paraId="44076D7E">
                  <w:pPr>
                    <w:pStyle w:val="57"/>
                    <w:ind w:left="0" w:leftChars="0" w:right="0" w:rightChars="0" w:firstLine="0" w:firstLineChars="0"/>
                    <w:jc w:val="center"/>
                    <w:rPr>
                      <w:rFonts w:hint="default" w:ascii="Times New Roman" w:hAnsi="Times New Roman" w:eastAsia="宋体" w:cs="Times New Roman"/>
                      <w:lang w:val="en-US" w:eastAsia="zh-CN"/>
                    </w:rPr>
                  </w:pPr>
                </w:p>
              </w:tc>
              <w:tc>
                <w:tcPr>
                  <w:tcW w:w="2527" w:type="dxa"/>
                  <w:noWrap w:val="0"/>
                  <w:vAlign w:val="center"/>
                </w:tcPr>
                <w:p w14:paraId="4E73B520">
                  <w:pPr>
                    <w:pStyle w:val="57"/>
                    <w:ind w:left="0" w:leftChars="0" w:right="0" w:rightChars="0" w:firstLine="0" w:firstLineChars="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牛扼湾断面</w:t>
                  </w:r>
                </w:p>
              </w:tc>
              <w:tc>
                <w:tcPr>
                  <w:tcW w:w="2935" w:type="dxa"/>
                  <w:noWrap w:val="0"/>
                  <w:vAlign w:val="center"/>
                </w:tcPr>
                <w:p w14:paraId="1BB14411">
                  <w:pPr>
                    <w:pStyle w:val="57"/>
                    <w:ind w:left="0" w:leftChars="0" w:right="0" w:rightChars="0" w:firstLine="0" w:firstLineChars="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新市渡断面</w:t>
                  </w:r>
                </w:p>
              </w:tc>
            </w:tr>
            <w:tr w14:paraId="7D10A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5" w:type="dxa"/>
                  <w:noWrap w:val="0"/>
                  <w:vAlign w:val="center"/>
                </w:tcPr>
                <w:p w14:paraId="5DE0C193">
                  <w:pPr>
                    <w:pStyle w:val="57"/>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202</w:t>
                  </w:r>
                  <w:r>
                    <w:rPr>
                      <w:rFonts w:hint="eastAsia" w:cs="Times New Roman"/>
                      <w:lang w:val="en-US" w:eastAsia="zh-CN"/>
                    </w:rPr>
                    <w:t>5</w:t>
                  </w:r>
                  <w:r>
                    <w:rPr>
                      <w:rFonts w:hint="eastAsia" w:ascii="Times New Roman" w:hAnsi="Times New Roman" w:eastAsia="宋体" w:cs="Times New Roman"/>
                      <w:lang w:val="en-US" w:eastAsia="zh-CN"/>
                    </w:rPr>
                    <w:t>年1月</w:t>
                  </w:r>
                </w:p>
              </w:tc>
              <w:tc>
                <w:tcPr>
                  <w:tcW w:w="2527" w:type="dxa"/>
                  <w:shd w:val="clear" w:color="auto" w:fill="auto"/>
                  <w:noWrap w:val="0"/>
                  <w:vAlign w:val="center"/>
                </w:tcPr>
                <w:p w14:paraId="6A636D75">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Ⅱ</w:t>
                  </w:r>
                </w:p>
              </w:tc>
              <w:tc>
                <w:tcPr>
                  <w:tcW w:w="2935" w:type="dxa"/>
                  <w:shd w:val="clear" w:color="auto" w:fill="auto"/>
                  <w:noWrap w:val="0"/>
                  <w:vAlign w:val="center"/>
                </w:tcPr>
                <w:p w14:paraId="5C9A93A1">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Ⅲ</w:t>
                  </w:r>
                </w:p>
              </w:tc>
            </w:tr>
            <w:tr w14:paraId="3D3C3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5" w:type="dxa"/>
                  <w:noWrap w:val="0"/>
                  <w:vAlign w:val="center"/>
                </w:tcPr>
                <w:p w14:paraId="41BEA6D8">
                  <w:pPr>
                    <w:pStyle w:val="57"/>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202</w:t>
                  </w:r>
                  <w:r>
                    <w:rPr>
                      <w:rFonts w:hint="eastAsia" w:cs="Times New Roman"/>
                      <w:lang w:val="en-US" w:eastAsia="zh-CN"/>
                    </w:rPr>
                    <w:t>5</w:t>
                  </w:r>
                  <w:r>
                    <w:rPr>
                      <w:rFonts w:hint="eastAsia" w:ascii="Times New Roman" w:hAnsi="Times New Roman" w:eastAsia="宋体" w:cs="Times New Roman"/>
                      <w:lang w:val="en-US" w:eastAsia="zh-CN"/>
                    </w:rPr>
                    <w:t>年2月</w:t>
                  </w:r>
                </w:p>
              </w:tc>
              <w:tc>
                <w:tcPr>
                  <w:tcW w:w="2527" w:type="dxa"/>
                  <w:noWrap w:val="0"/>
                  <w:vAlign w:val="center"/>
                </w:tcPr>
                <w:p w14:paraId="024B5B36">
                  <w:pPr>
                    <w:pStyle w:val="57"/>
                    <w:ind w:left="0" w:leftChars="0" w:right="0" w:rightChars="0"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w:t>
                  </w:r>
                </w:p>
              </w:tc>
              <w:tc>
                <w:tcPr>
                  <w:tcW w:w="2935" w:type="dxa"/>
                  <w:noWrap w:val="0"/>
                  <w:vAlign w:val="center"/>
                </w:tcPr>
                <w:p w14:paraId="78EDBDD2">
                  <w:pPr>
                    <w:pStyle w:val="57"/>
                    <w:ind w:left="0" w:leftChars="0" w:right="0" w:rightChars="0"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Ⅱ</w:t>
                  </w:r>
                </w:p>
              </w:tc>
            </w:tr>
            <w:tr w14:paraId="3C706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5" w:type="dxa"/>
                  <w:noWrap w:val="0"/>
                  <w:vAlign w:val="center"/>
                </w:tcPr>
                <w:p w14:paraId="2BB038BF">
                  <w:pPr>
                    <w:pStyle w:val="57"/>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202</w:t>
                  </w:r>
                  <w:r>
                    <w:rPr>
                      <w:rFonts w:hint="eastAsia" w:cs="Times New Roman"/>
                      <w:lang w:val="en-US" w:eastAsia="zh-CN"/>
                    </w:rPr>
                    <w:t>5</w:t>
                  </w:r>
                  <w:r>
                    <w:rPr>
                      <w:rFonts w:hint="eastAsia" w:ascii="Times New Roman" w:hAnsi="Times New Roman" w:eastAsia="宋体" w:cs="Times New Roman"/>
                      <w:lang w:val="en-US" w:eastAsia="zh-CN"/>
                    </w:rPr>
                    <w:t>年3月</w:t>
                  </w:r>
                </w:p>
              </w:tc>
              <w:tc>
                <w:tcPr>
                  <w:tcW w:w="2527" w:type="dxa"/>
                  <w:shd w:val="clear" w:color="auto" w:fill="auto"/>
                  <w:noWrap w:val="0"/>
                  <w:vAlign w:val="center"/>
                </w:tcPr>
                <w:p w14:paraId="03F8B01F">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Ⅱ</w:t>
                  </w:r>
                </w:p>
              </w:tc>
              <w:tc>
                <w:tcPr>
                  <w:tcW w:w="2935" w:type="dxa"/>
                  <w:shd w:val="clear" w:color="auto" w:fill="auto"/>
                  <w:noWrap w:val="0"/>
                  <w:vAlign w:val="center"/>
                </w:tcPr>
                <w:p w14:paraId="30D98D10">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Ⅲ</w:t>
                  </w:r>
                </w:p>
              </w:tc>
            </w:tr>
            <w:tr w14:paraId="5B1CF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5" w:type="dxa"/>
                  <w:noWrap w:val="0"/>
                  <w:vAlign w:val="center"/>
                </w:tcPr>
                <w:p w14:paraId="7346B03F">
                  <w:pPr>
                    <w:pStyle w:val="57"/>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202</w:t>
                  </w:r>
                  <w:r>
                    <w:rPr>
                      <w:rFonts w:hint="eastAsia" w:cs="Times New Roman"/>
                      <w:lang w:val="en-US" w:eastAsia="zh-CN"/>
                    </w:rPr>
                    <w:t>5</w:t>
                  </w:r>
                  <w:r>
                    <w:rPr>
                      <w:rFonts w:hint="eastAsia" w:ascii="Times New Roman" w:hAnsi="Times New Roman" w:eastAsia="宋体" w:cs="Times New Roman"/>
                      <w:lang w:val="en-US" w:eastAsia="zh-CN"/>
                    </w:rPr>
                    <w:t>年4月</w:t>
                  </w:r>
                </w:p>
              </w:tc>
              <w:tc>
                <w:tcPr>
                  <w:tcW w:w="2527" w:type="dxa"/>
                  <w:shd w:val="clear" w:color="auto" w:fill="auto"/>
                  <w:noWrap w:val="0"/>
                  <w:vAlign w:val="center"/>
                </w:tcPr>
                <w:p w14:paraId="4874D61A">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Ⅱ</w:t>
                  </w:r>
                </w:p>
              </w:tc>
              <w:tc>
                <w:tcPr>
                  <w:tcW w:w="2935" w:type="dxa"/>
                  <w:shd w:val="clear" w:color="auto" w:fill="auto"/>
                  <w:noWrap w:val="0"/>
                  <w:vAlign w:val="center"/>
                </w:tcPr>
                <w:p w14:paraId="50338545">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Ⅲ</w:t>
                  </w:r>
                </w:p>
              </w:tc>
            </w:tr>
            <w:tr w14:paraId="76AEB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5" w:type="dxa"/>
                  <w:noWrap w:val="0"/>
                  <w:vAlign w:val="center"/>
                </w:tcPr>
                <w:p w14:paraId="4935006E">
                  <w:pPr>
                    <w:pStyle w:val="57"/>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202</w:t>
                  </w:r>
                  <w:r>
                    <w:rPr>
                      <w:rFonts w:hint="eastAsia" w:cs="Times New Roman"/>
                      <w:lang w:val="en-US" w:eastAsia="zh-CN"/>
                    </w:rPr>
                    <w:t>5</w:t>
                  </w:r>
                  <w:r>
                    <w:rPr>
                      <w:rFonts w:hint="eastAsia" w:ascii="Times New Roman" w:hAnsi="Times New Roman" w:eastAsia="宋体" w:cs="Times New Roman"/>
                      <w:lang w:val="en-US" w:eastAsia="zh-CN"/>
                    </w:rPr>
                    <w:t>年5月</w:t>
                  </w:r>
                </w:p>
              </w:tc>
              <w:tc>
                <w:tcPr>
                  <w:tcW w:w="2527" w:type="dxa"/>
                  <w:shd w:val="clear" w:color="auto" w:fill="auto"/>
                  <w:noWrap w:val="0"/>
                  <w:vAlign w:val="center"/>
                </w:tcPr>
                <w:p w14:paraId="0382AF61">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Ⅱ</w:t>
                  </w:r>
                </w:p>
              </w:tc>
              <w:tc>
                <w:tcPr>
                  <w:tcW w:w="2935" w:type="dxa"/>
                  <w:shd w:val="clear" w:color="auto" w:fill="auto"/>
                  <w:noWrap w:val="0"/>
                  <w:vAlign w:val="center"/>
                </w:tcPr>
                <w:p w14:paraId="3DA793EF">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Ⅲ</w:t>
                  </w:r>
                </w:p>
              </w:tc>
            </w:tr>
            <w:tr w14:paraId="64874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5" w:type="dxa"/>
                  <w:noWrap w:val="0"/>
                  <w:vAlign w:val="center"/>
                </w:tcPr>
                <w:p w14:paraId="6BE7687E">
                  <w:pPr>
                    <w:pStyle w:val="57"/>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202</w:t>
                  </w:r>
                  <w:r>
                    <w:rPr>
                      <w:rFonts w:hint="eastAsia" w:cs="Times New Roman"/>
                      <w:lang w:val="en-US" w:eastAsia="zh-CN"/>
                    </w:rPr>
                    <w:t>5</w:t>
                  </w:r>
                  <w:r>
                    <w:rPr>
                      <w:rFonts w:hint="eastAsia" w:ascii="Times New Roman" w:hAnsi="Times New Roman" w:eastAsia="宋体" w:cs="Times New Roman"/>
                      <w:lang w:val="en-US" w:eastAsia="zh-CN"/>
                    </w:rPr>
                    <w:t>年6月</w:t>
                  </w:r>
                </w:p>
              </w:tc>
              <w:tc>
                <w:tcPr>
                  <w:tcW w:w="2527" w:type="dxa"/>
                  <w:shd w:val="clear" w:color="auto" w:fill="auto"/>
                  <w:noWrap w:val="0"/>
                  <w:vAlign w:val="center"/>
                </w:tcPr>
                <w:p w14:paraId="1DEBA1E2">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Ⅱ</w:t>
                  </w:r>
                </w:p>
              </w:tc>
              <w:tc>
                <w:tcPr>
                  <w:tcW w:w="2935" w:type="dxa"/>
                  <w:shd w:val="clear" w:color="auto" w:fill="auto"/>
                  <w:noWrap w:val="0"/>
                  <w:vAlign w:val="center"/>
                </w:tcPr>
                <w:p w14:paraId="7F55B6F6">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Ⅱ</w:t>
                  </w:r>
                </w:p>
              </w:tc>
            </w:tr>
            <w:tr w14:paraId="612D6FEB">
              <w:tblPrEx>
                <w:tblCellMar>
                  <w:top w:w="0" w:type="dxa"/>
                  <w:left w:w="108" w:type="dxa"/>
                  <w:bottom w:w="0" w:type="dxa"/>
                  <w:right w:w="108" w:type="dxa"/>
                </w:tblCellMar>
              </w:tblPrEx>
              <w:trPr>
                <w:trHeight w:val="397" w:hRule="atLeast"/>
              </w:trPr>
              <w:tc>
                <w:tcPr>
                  <w:tcW w:w="2525" w:type="dxa"/>
                  <w:noWrap w:val="0"/>
                  <w:vAlign w:val="center"/>
                </w:tcPr>
                <w:p w14:paraId="72A6532C">
                  <w:pPr>
                    <w:pStyle w:val="57"/>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202</w:t>
                  </w:r>
                  <w:r>
                    <w:rPr>
                      <w:rFonts w:hint="eastAsia" w:cs="Times New Roman"/>
                      <w:lang w:val="en-US" w:eastAsia="zh-CN"/>
                    </w:rPr>
                    <w:t>5</w:t>
                  </w:r>
                  <w:r>
                    <w:rPr>
                      <w:rFonts w:hint="eastAsia" w:ascii="Times New Roman" w:hAnsi="Times New Roman" w:eastAsia="宋体" w:cs="Times New Roman"/>
                      <w:lang w:val="en-US" w:eastAsia="zh-CN"/>
                    </w:rPr>
                    <w:t>年7月</w:t>
                  </w:r>
                </w:p>
              </w:tc>
              <w:tc>
                <w:tcPr>
                  <w:tcW w:w="2527" w:type="dxa"/>
                  <w:shd w:val="clear" w:color="auto" w:fill="auto"/>
                  <w:noWrap w:val="0"/>
                  <w:vAlign w:val="center"/>
                </w:tcPr>
                <w:p w14:paraId="0C411F4C">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Ⅱ</w:t>
                  </w:r>
                </w:p>
              </w:tc>
              <w:tc>
                <w:tcPr>
                  <w:tcW w:w="2935" w:type="dxa"/>
                  <w:shd w:val="clear" w:color="auto" w:fill="auto"/>
                  <w:noWrap w:val="0"/>
                  <w:vAlign w:val="center"/>
                </w:tcPr>
                <w:p w14:paraId="6AF91182">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Ⅲ</w:t>
                  </w:r>
                </w:p>
              </w:tc>
            </w:tr>
            <w:tr w14:paraId="2431D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5" w:type="dxa"/>
                  <w:noWrap w:val="0"/>
                  <w:vAlign w:val="center"/>
                </w:tcPr>
                <w:p w14:paraId="40DA6304">
                  <w:pPr>
                    <w:pStyle w:val="57"/>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202</w:t>
                  </w:r>
                  <w:r>
                    <w:rPr>
                      <w:rFonts w:hint="eastAsia" w:cs="Times New Roman"/>
                      <w:lang w:val="en-US" w:eastAsia="zh-CN"/>
                    </w:rPr>
                    <w:t>5</w:t>
                  </w:r>
                  <w:r>
                    <w:rPr>
                      <w:rFonts w:hint="eastAsia" w:ascii="Times New Roman" w:hAnsi="Times New Roman" w:eastAsia="宋体" w:cs="Times New Roman"/>
                      <w:lang w:val="en-US" w:eastAsia="zh-CN"/>
                    </w:rPr>
                    <w:t>年8月</w:t>
                  </w:r>
                </w:p>
              </w:tc>
              <w:tc>
                <w:tcPr>
                  <w:tcW w:w="2527" w:type="dxa"/>
                  <w:shd w:val="clear" w:color="auto" w:fill="auto"/>
                  <w:noWrap w:val="0"/>
                  <w:vAlign w:val="center"/>
                </w:tcPr>
                <w:p w14:paraId="18C6FA8A">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Ⅱ</w:t>
                  </w:r>
                </w:p>
              </w:tc>
              <w:tc>
                <w:tcPr>
                  <w:tcW w:w="2935" w:type="dxa"/>
                  <w:shd w:val="clear" w:color="auto" w:fill="auto"/>
                  <w:noWrap w:val="0"/>
                  <w:vAlign w:val="center"/>
                </w:tcPr>
                <w:p w14:paraId="7FF94A65">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Ⅱ</w:t>
                  </w:r>
                </w:p>
              </w:tc>
            </w:tr>
            <w:tr w14:paraId="48FA0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5" w:type="dxa"/>
                  <w:noWrap w:val="0"/>
                  <w:vAlign w:val="center"/>
                </w:tcPr>
                <w:p w14:paraId="550BD245">
                  <w:pPr>
                    <w:pStyle w:val="57"/>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202</w:t>
                  </w:r>
                  <w:r>
                    <w:rPr>
                      <w:rFonts w:hint="eastAsia" w:cs="Times New Roman"/>
                      <w:lang w:val="en-US" w:eastAsia="zh-CN"/>
                    </w:rPr>
                    <w:t>5</w:t>
                  </w:r>
                  <w:r>
                    <w:rPr>
                      <w:rFonts w:hint="eastAsia" w:ascii="Times New Roman" w:hAnsi="Times New Roman" w:eastAsia="宋体" w:cs="Times New Roman"/>
                      <w:lang w:val="en-US" w:eastAsia="zh-CN"/>
                    </w:rPr>
                    <w:t>年9月</w:t>
                  </w:r>
                </w:p>
              </w:tc>
              <w:tc>
                <w:tcPr>
                  <w:tcW w:w="2527" w:type="dxa"/>
                  <w:shd w:val="clear" w:color="auto" w:fill="auto"/>
                  <w:noWrap w:val="0"/>
                  <w:vAlign w:val="center"/>
                </w:tcPr>
                <w:p w14:paraId="5744C82D">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Ⅱ</w:t>
                  </w:r>
                </w:p>
              </w:tc>
              <w:tc>
                <w:tcPr>
                  <w:tcW w:w="2935" w:type="dxa"/>
                  <w:shd w:val="clear" w:color="auto" w:fill="auto"/>
                  <w:noWrap w:val="0"/>
                  <w:vAlign w:val="center"/>
                </w:tcPr>
                <w:p w14:paraId="0666E730">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Ⅱ</w:t>
                  </w:r>
                </w:p>
              </w:tc>
            </w:tr>
            <w:tr w14:paraId="1C18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5" w:type="dxa"/>
                  <w:noWrap w:val="0"/>
                  <w:vAlign w:val="center"/>
                </w:tcPr>
                <w:p w14:paraId="5B0D917F">
                  <w:pPr>
                    <w:pStyle w:val="57"/>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202</w:t>
                  </w:r>
                  <w:r>
                    <w:rPr>
                      <w:rFonts w:hint="eastAsia" w:cs="Times New Roman"/>
                      <w:lang w:val="en-US" w:eastAsia="zh-CN"/>
                    </w:rPr>
                    <w:t>5</w:t>
                  </w:r>
                  <w:r>
                    <w:rPr>
                      <w:rFonts w:hint="eastAsia" w:ascii="Times New Roman" w:hAnsi="Times New Roman" w:eastAsia="宋体" w:cs="Times New Roman"/>
                      <w:lang w:val="en-US" w:eastAsia="zh-CN"/>
                    </w:rPr>
                    <w:t>年10月</w:t>
                  </w:r>
                </w:p>
              </w:tc>
              <w:tc>
                <w:tcPr>
                  <w:tcW w:w="2527" w:type="dxa"/>
                  <w:shd w:val="clear" w:color="auto" w:fill="auto"/>
                  <w:noWrap w:val="0"/>
                  <w:vAlign w:val="center"/>
                </w:tcPr>
                <w:p w14:paraId="65A7B20B">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Ⅱ</w:t>
                  </w:r>
                </w:p>
              </w:tc>
              <w:tc>
                <w:tcPr>
                  <w:tcW w:w="2935" w:type="dxa"/>
                  <w:shd w:val="clear" w:color="auto" w:fill="auto"/>
                  <w:noWrap w:val="0"/>
                  <w:vAlign w:val="center"/>
                </w:tcPr>
                <w:p w14:paraId="58758FF5">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Ⅱ</w:t>
                  </w:r>
                </w:p>
              </w:tc>
            </w:tr>
            <w:tr w14:paraId="1E00E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5" w:type="dxa"/>
                  <w:noWrap w:val="0"/>
                  <w:vAlign w:val="center"/>
                </w:tcPr>
                <w:p w14:paraId="4D2CE19A">
                  <w:pPr>
                    <w:pStyle w:val="57"/>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202</w:t>
                  </w:r>
                  <w:r>
                    <w:rPr>
                      <w:rFonts w:hint="eastAsia" w:cs="Times New Roman"/>
                      <w:lang w:val="en-US" w:eastAsia="zh-CN"/>
                    </w:rPr>
                    <w:t>5</w:t>
                  </w:r>
                  <w:r>
                    <w:rPr>
                      <w:rFonts w:hint="eastAsia" w:ascii="Times New Roman" w:hAnsi="Times New Roman" w:eastAsia="宋体" w:cs="Times New Roman"/>
                      <w:lang w:val="en-US" w:eastAsia="zh-CN"/>
                    </w:rPr>
                    <w:t>年11月</w:t>
                  </w:r>
                </w:p>
              </w:tc>
              <w:tc>
                <w:tcPr>
                  <w:tcW w:w="2527" w:type="dxa"/>
                  <w:noWrap w:val="0"/>
                  <w:vAlign w:val="center"/>
                </w:tcPr>
                <w:p w14:paraId="276DBF22">
                  <w:pPr>
                    <w:pStyle w:val="57"/>
                    <w:ind w:left="0" w:leftChars="0" w:right="0" w:rightChars="0" w:firstLine="0" w:firstLineChars="0"/>
                    <w:jc w:val="center"/>
                    <w:rPr>
                      <w:rFonts w:hint="eastAsia" w:ascii="Times New Roman" w:hAnsi="Times New Roman" w:eastAsia="宋体" w:cs="Times New Roman"/>
                      <w:lang w:val="en-US" w:eastAsia="zh-CN"/>
                    </w:rPr>
                  </w:pPr>
                  <w:r>
                    <w:rPr>
                      <w:rFonts w:hint="default" w:ascii="Times New Roman" w:hAnsi="Times New Roman" w:eastAsia="宋体" w:cs="Times New Roman"/>
                      <w:lang w:val="en-US" w:eastAsia="zh-CN"/>
                    </w:rPr>
                    <w:t>Ⅱ</w:t>
                  </w:r>
                </w:p>
              </w:tc>
              <w:tc>
                <w:tcPr>
                  <w:tcW w:w="2935" w:type="dxa"/>
                  <w:noWrap w:val="0"/>
                  <w:vAlign w:val="center"/>
                </w:tcPr>
                <w:p w14:paraId="4818C7CE">
                  <w:pPr>
                    <w:pStyle w:val="57"/>
                    <w:ind w:left="0" w:leftChars="0" w:right="0" w:rightChars="0" w:firstLine="0" w:firstLineChars="0"/>
                    <w:jc w:val="center"/>
                    <w:rPr>
                      <w:rFonts w:hint="eastAsia" w:ascii="Times New Roman" w:hAnsi="Times New Roman" w:eastAsia="宋体" w:cs="Times New Roman"/>
                      <w:lang w:val="en-US" w:eastAsia="zh-CN"/>
                    </w:rPr>
                  </w:pPr>
                  <w:r>
                    <w:rPr>
                      <w:rFonts w:hint="default" w:ascii="Times New Roman" w:hAnsi="Times New Roman" w:eastAsia="宋体" w:cs="Times New Roman"/>
                      <w:lang w:val="en-US" w:eastAsia="zh-CN"/>
                    </w:rPr>
                    <w:t>Ⅲ</w:t>
                  </w:r>
                </w:p>
              </w:tc>
            </w:tr>
            <w:tr w14:paraId="61A08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5" w:type="dxa"/>
                  <w:noWrap w:val="0"/>
                  <w:vAlign w:val="center"/>
                </w:tcPr>
                <w:p w14:paraId="3C3693A9">
                  <w:pPr>
                    <w:pStyle w:val="57"/>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202</w:t>
                  </w:r>
                  <w:r>
                    <w:rPr>
                      <w:rFonts w:hint="eastAsia" w:cs="Times New Roman"/>
                      <w:lang w:val="en-US" w:eastAsia="zh-CN"/>
                    </w:rPr>
                    <w:t>5</w:t>
                  </w:r>
                  <w:r>
                    <w:rPr>
                      <w:rFonts w:hint="eastAsia" w:ascii="Times New Roman" w:hAnsi="Times New Roman" w:eastAsia="宋体" w:cs="Times New Roman"/>
                      <w:lang w:val="en-US" w:eastAsia="zh-CN"/>
                    </w:rPr>
                    <w:t>年12月</w:t>
                  </w:r>
                </w:p>
              </w:tc>
              <w:tc>
                <w:tcPr>
                  <w:tcW w:w="2527" w:type="dxa"/>
                  <w:noWrap w:val="0"/>
                  <w:vAlign w:val="center"/>
                </w:tcPr>
                <w:p w14:paraId="260E1084">
                  <w:pPr>
                    <w:pStyle w:val="57"/>
                    <w:ind w:left="0" w:leftChars="0" w:right="0" w:rightChars="0" w:firstLine="0" w:firstLineChars="0"/>
                    <w:jc w:val="center"/>
                    <w:rPr>
                      <w:rFonts w:hint="eastAsia" w:ascii="Times New Roman" w:hAnsi="Times New Roman" w:eastAsia="宋体" w:cs="Times New Roman"/>
                      <w:lang w:val="en-US" w:eastAsia="zh-CN"/>
                    </w:rPr>
                  </w:pPr>
                  <w:r>
                    <w:rPr>
                      <w:rFonts w:hint="default" w:ascii="Times New Roman" w:hAnsi="Times New Roman" w:eastAsia="宋体" w:cs="Times New Roman"/>
                      <w:lang w:val="en-US" w:eastAsia="zh-CN"/>
                    </w:rPr>
                    <w:t>Ⅱ</w:t>
                  </w:r>
                </w:p>
              </w:tc>
              <w:tc>
                <w:tcPr>
                  <w:tcW w:w="2935" w:type="dxa"/>
                  <w:noWrap w:val="0"/>
                  <w:vAlign w:val="center"/>
                </w:tcPr>
                <w:p w14:paraId="52483222">
                  <w:pPr>
                    <w:pStyle w:val="57"/>
                    <w:ind w:left="0" w:leftChars="0" w:right="0" w:rightChars="0" w:firstLine="0" w:firstLineChars="0"/>
                    <w:jc w:val="center"/>
                    <w:rPr>
                      <w:rFonts w:hint="eastAsia" w:ascii="Times New Roman" w:hAnsi="Times New Roman" w:eastAsia="宋体" w:cs="Times New Roman"/>
                      <w:lang w:val="en-US" w:eastAsia="zh-CN"/>
                    </w:rPr>
                  </w:pPr>
                  <w:r>
                    <w:rPr>
                      <w:rFonts w:hint="default" w:ascii="Times New Roman" w:hAnsi="Times New Roman" w:eastAsia="宋体" w:cs="Times New Roman"/>
                      <w:lang w:val="en-US" w:eastAsia="zh-CN"/>
                    </w:rPr>
                    <w:t>Ⅱ</w:t>
                  </w:r>
                </w:p>
              </w:tc>
            </w:tr>
          </w:tbl>
          <w:p w14:paraId="185B2185">
            <w:pPr>
              <w:pStyle w:val="75"/>
              <w:ind w:firstLine="480"/>
              <w:rPr>
                <w:rFonts w:hint="default" w:ascii="Times New Roman" w:hAnsi="Times New Roman" w:cs="Times New Roman"/>
              </w:rPr>
            </w:pPr>
            <w:r>
              <w:rPr>
                <w:rFonts w:hint="default" w:ascii="Times New Roman" w:hAnsi="Times New Roman" w:cs="Times New Roman"/>
              </w:rPr>
              <w:t>由上表监测数据表明</w:t>
            </w:r>
            <w:r>
              <w:rPr>
                <w:rFonts w:hint="eastAsia" w:cs="Times New Roman"/>
                <w:lang w:eastAsia="zh-CN"/>
              </w:rPr>
              <w:t>，</w:t>
            </w:r>
            <w:r>
              <w:rPr>
                <w:rFonts w:hint="eastAsia" w:ascii="Times New Roman" w:hAnsi="Times New Roman" w:eastAsia="宋体" w:cs="Times New Roman"/>
                <w:lang w:val="en-US" w:eastAsia="zh-CN"/>
              </w:rPr>
              <w:t>牛扼湾断面水质</w:t>
            </w:r>
            <w:r>
              <w:rPr>
                <w:rFonts w:hint="default" w:ascii="Times New Roman" w:hAnsi="Times New Roman" w:cs="Times New Roman"/>
              </w:rPr>
              <w:t>、</w:t>
            </w:r>
            <w:r>
              <w:rPr>
                <w:rFonts w:hint="eastAsia" w:ascii="Times New Roman" w:hAnsi="Times New Roman" w:eastAsia="宋体" w:cs="Times New Roman"/>
                <w:lang w:val="en-US" w:eastAsia="zh-CN"/>
              </w:rPr>
              <w:t>新市渡断面水质</w:t>
            </w:r>
            <w:r>
              <w:rPr>
                <w:rFonts w:hint="default" w:ascii="Times New Roman" w:hAnsi="Times New Roman" w:cs="Times New Roman"/>
              </w:rPr>
              <w:t>均能满足《地表水环境质量标准》（GB3838-2002）</w:t>
            </w:r>
            <w:r>
              <w:rPr>
                <w:rFonts w:hint="default" w:ascii="Times New Roman" w:hAnsi="Times New Roman" w:eastAsia="宋体" w:cs="Times New Roman"/>
              </w:rPr>
              <w:t>Ⅲ</w:t>
            </w:r>
            <w:r>
              <w:rPr>
                <w:rFonts w:hint="default" w:ascii="Times New Roman" w:hAnsi="Times New Roman" w:cs="Times New Roman"/>
              </w:rPr>
              <w:t>类标准的要求，项目所在区域地表水环境质量现状较好。</w:t>
            </w:r>
          </w:p>
          <w:p w14:paraId="1E3C54F1">
            <w:pPr>
              <w:pStyle w:val="75"/>
              <w:ind w:firstLine="480"/>
              <w:rPr>
                <w:b/>
                <w:bCs/>
              </w:rPr>
            </w:pPr>
            <w:r>
              <w:rPr>
                <w:rFonts w:hint="eastAsia"/>
                <w:b/>
                <w:bCs/>
              </w:rPr>
              <w:t>3、声环境</w:t>
            </w:r>
          </w:p>
          <w:p w14:paraId="17C18C8B">
            <w:pPr>
              <w:widowControl/>
              <w:spacing w:line="360" w:lineRule="auto"/>
              <w:ind w:firstLine="480" w:firstLineChars="200"/>
              <w:jc w:val="left"/>
              <w:rPr>
                <w:rFonts w:hint="default" w:ascii="Times New Roman" w:hAnsi="Times New Roman" w:eastAsia="宋体" w:cs="Times New Roman"/>
                <w:color w:val="000000"/>
                <w:kern w:val="2"/>
                <w:sz w:val="24"/>
                <w:szCs w:val="24"/>
                <w:u w:val="none" w:color="auto"/>
                <w:lang w:val="en-US" w:eastAsia="zh-CN" w:bidi="ar-SA"/>
              </w:rPr>
            </w:pPr>
            <w:bookmarkStart w:id="26" w:name="_Toc490209421"/>
            <w:bookmarkStart w:id="27" w:name="_Toc490209422"/>
            <w:r>
              <w:rPr>
                <w:rFonts w:hint="eastAsia" w:ascii="Times New Roman" w:hAnsi="Times New Roman" w:eastAsia="宋体" w:cs="Times New Roman"/>
                <w:color w:val="000000"/>
                <w:kern w:val="2"/>
                <w:sz w:val="24"/>
                <w:szCs w:val="24"/>
                <w:u w:val="none" w:color="auto"/>
                <w:lang w:val="en-US" w:eastAsia="zh-CN" w:bidi="ar-SA"/>
              </w:rPr>
              <w:t>依据《建设项目环境影响报告表编制技术指南 污染影响类（试行）》，厂界外周边50米范围内存在声环境保护目标的建设项目，应监测保护目标声环境质量现状并评价达标情况。各点位应监测昼夜间噪声，监测时间不少于1天，项目夜间不生产则仅监测昼间噪声。</w:t>
            </w:r>
          </w:p>
          <w:bookmarkEnd w:id="26"/>
          <w:bookmarkEnd w:id="27"/>
          <w:p w14:paraId="41400D22">
            <w:pPr>
              <w:widowControl/>
              <w:spacing w:line="360" w:lineRule="auto"/>
              <w:ind w:firstLine="480" w:firstLineChars="200"/>
              <w:jc w:val="left"/>
              <w:rPr>
                <w:rFonts w:hint="eastAsia" w:ascii="Times New Roman" w:hAnsi="Times New Roman" w:eastAsia="宋体" w:cs="Times New Roman"/>
                <w:color w:val="000000"/>
                <w:kern w:val="2"/>
                <w:sz w:val="24"/>
                <w:szCs w:val="24"/>
                <w:u w:val="none" w:color="auto"/>
                <w:lang w:val="en-US" w:eastAsia="zh-CN" w:bidi="ar-SA"/>
              </w:rPr>
            </w:pPr>
            <w:r>
              <w:rPr>
                <w:rFonts w:hint="eastAsia" w:ascii="Times New Roman" w:hAnsi="Times New Roman" w:eastAsia="宋体" w:cs="Times New Roman"/>
                <w:color w:val="000000"/>
                <w:kern w:val="2"/>
                <w:sz w:val="24"/>
                <w:szCs w:val="24"/>
                <w:u w:val="none" w:color="auto"/>
                <w:lang w:val="en-US" w:eastAsia="zh-CN" w:bidi="ar-SA"/>
              </w:rPr>
              <w:t>经现场勘查，本项目厂界周边50m范围有敏感目标，本次评价特委托湖南瑞鉴检测有限公司于2026年5月16日对项目西北侧15m处居民点、东北侧15m处居民点、东侧30m处居民点进行现场噪声监测，声环境质量现状监测数据见表3-4。</w:t>
            </w:r>
          </w:p>
          <w:p w14:paraId="320B6263">
            <w:pPr>
              <w:pStyle w:val="114"/>
              <w:rPr>
                <w:rFonts w:hint="eastAsia"/>
                <w:color w:val="000000" w:themeColor="text1"/>
                <w:szCs w:val="21"/>
                <w:highlight w:val="none"/>
                <w:u w:val="none"/>
                <w14:textFill>
                  <w14:solidFill>
                    <w14:schemeClr w14:val="tx1"/>
                  </w14:solidFill>
                </w14:textFill>
              </w:rPr>
            </w:pPr>
            <w:r>
              <w:rPr>
                <w:color w:val="000000" w:themeColor="text1"/>
                <w:szCs w:val="21"/>
                <w:highlight w:val="none"/>
                <w:u w:val="none"/>
                <w14:textFill>
                  <w14:solidFill>
                    <w14:schemeClr w14:val="tx1"/>
                  </w14:solidFill>
                </w14:textFill>
              </w:rPr>
              <w:t>表3-</w:t>
            </w:r>
            <w:r>
              <w:rPr>
                <w:rFonts w:hint="eastAsia"/>
                <w:color w:val="000000" w:themeColor="text1"/>
                <w:szCs w:val="21"/>
                <w:highlight w:val="none"/>
                <w:u w:val="none"/>
                <w:lang w:val="en-US" w:eastAsia="zh-CN"/>
                <w14:textFill>
                  <w14:solidFill>
                    <w14:schemeClr w14:val="tx1"/>
                  </w14:solidFill>
                </w14:textFill>
              </w:rPr>
              <w:t>4</w:t>
            </w:r>
            <w:r>
              <w:rPr>
                <w:color w:val="000000" w:themeColor="text1"/>
                <w:szCs w:val="21"/>
                <w:highlight w:val="none"/>
                <w:u w:val="none"/>
                <w14:textFill>
                  <w14:solidFill>
                    <w14:schemeClr w14:val="tx1"/>
                  </w14:solidFill>
                </w14:textFill>
              </w:rPr>
              <w:t xml:space="preserve">  </w:t>
            </w:r>
            <w:r>
              <w:rPr>
                <w:rFonts w:hint="eastAsia"/>
                <w:color w:val="000000" w:themeColor="text1"/>
                <w:szCs w:val="21"/>
                <w:highlight w:val="none"/>
                <w:u w:val="none"/>
                <w:lang w:eastAsia="zh-CN"/>
                <w14:textFill>
                  <w14:solidFill>
                    <w14:schemeClr w14:val="tx1"/>
                  </w14:solidFill>
                </w14:textFill>
              </w:rPr>
              <w:t>噪声现状监测结果</w:t>
            </w:r>
            <w:r>
              <w:rPr>
                <w:color w:val="000000" w:themeColor="text1"/>
                <w:szCs w:val="21"/>
                <w:highlight w:val="none"/>
                <w:u w:val="none"/>
                <w14:textFill>
                  <w14:solidFill>
                    <w14:schemeClr w14:val="tx1"/>
                  </w14:solidFill>
                </w14:textFill>
              </w:rPr>
              <w:t>表</w:t>
            </w:r>
          </w:p>
          <w:tbl>
            <w:tblPr>
              <w:tblStyle w:val="27"/>
              <w:tblW w:w="796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175"/>
              <w:gridCol w:w="1440"/>
              <w:gridCol w:w="966"/>
              <w:gridCol w:w="1181"/>
              <w:gridCol w:w="1063"/>
              <w:gridCol w:w="1140"/>
            </w:tblGrid>
            <w:tr w14:paraId="7CD97F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175" w:type="dxa"/>
                  <w:vMerge w:val="restart"/>
                  <w:tcBorders>
                    <w:tl2br w:val="nil"/>
                    <w:tr2bl w:val="nil"/>
                  </w:tcBorders>
                  <w:noWrap w:val="0"/>
                  <w:vAlign w:val="center"/>
                </w:tcPr>
                <w:p w14:paraId="0C2FDA8B">
                  <w:pPr>
                    <w:jc w:val="cente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t>检测点位</w:t>
                  </w:r>
                </w:p>
              </w:tc>
              <w:tc>
                <w:tcPr>
                  <w:tcW w:w="1440" w:type="dxa"/>
                  <w:vMerge w:val="restart"/>
                  <w:tcBorders>
                    <w:tl2br w:val="nil"/>
                    <w:tr2bl w:val="nil"/>
                  </w:tcBorders>
                  <w:noWrap w:val="0"/>
                  <w:vAlign w:val="center"/>
                </w:tcPr>
                <w:p w14:paraId="2FA39F5F">
                  <w:pPr>
                    <w:jc w:val="cente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t>检测日期</w:t>
                  </w:r>
                </w:p>
              </w:tc>
              <w:tc>
                <w:tcPr>
                  <w:tcW w:w="2147" w:type="dxa"/>
                  <w:gridSpan w:val="2"/>
                  <w:tcBorders>
                    <w:tl2br w:val="nil"/>
                    <w:tr2bl w:val="nil"/>
                  </w:tcBorders>
                  <w:noWrap w:val="0"/>
                  <w:vAlign w:val="center"/>
                </w:tcPr>
                <w:p w14:paraId="42E7CB83">
                  <w:pPr>
                    <w:jc w:val="cente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t>检测结果</w:t>
                  </w:r>
                </w:p>
              </w:tc>
              <w:tc>
                <w:tcPr>
                  <w:tcW w:w="2203" w:type="dxa"/>
                  <w:gridSpan w:val="2"/>
                  <w:tcBorders>
                    <w:tl2br w:val="nil"/>
                    <w:tr2bl w:val="nil"/>
                  </w:tcBorders>
                  <w:noWrap w:val="0"/>
                  <w:vAlign w:val="center"/>
                </w:tcPr>
                <w:p w14:paraId="5F719BC7">
                  <w:pPr>
                    <w:jc w:val="cente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t>标准限值</w:t>
                  </w:r>
                </w:p>
              </w:tc>
            </w:tr>
            <w:tr w14:paraId="3AF946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175" w:type="dxa"/>
                  <w:vMerge w:val="continue"/>
                  <w:tcBorders>
                    <w:tl2br w:val="nil"/>
                    <w:tr2bl w:val="nil"/>
                  </w:tcBorders>
                  <w:noWrap w:val="0"/>
                  <w:vAlign w:val="center"/>
                </w:tcPr>
                <w:p w14:paraId="43C7B143">
                  <w:pPr>
                    <w:jc w:val="cente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pPr>
                </w:p>
              </w:tc>
              <w:tc>
                <w:tcPr>
                  <w:tcW w:w="1440" w:type="dxa"/>
                  <w:vMerge w:val="continue"/>
                  <w:tcBorders>
                    <w:tl2br w:val="nil"/>
                    <w:tr2bl w:val="nil"/>
                  </w:tcBorders>
                  <w:noWrap w:val="0"/>
                  <w:vAlign w:val="center"/>
                </w:tcPr>
                <w:p w14:paraId="75872C07">
                  <w:pPr>
                    <w:jc w:val="cente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pPr>
                </w:p>
              </w:tc>
              <w:tc>
                <w:tcPr>
                  <w:tcW w:w="966" w:type="dxa"/>
                  <w:tcBorders>
                    <w:tl2br w:val="nil"/>
                    <w:tr2bl w:val="nil"/>
                  </w:tcBorders>
                  <w:noWrap w:val="0"/>
                  <w:vAlign w:val="center"/>
                </w:tcPr>
                <w:p w14:paraId="61C4A5F6">
                  <w:pPr>
                    <w:jc w:val="cente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t>昼间</w:t>
                  </w:r>
                </w:p>
              </w:tc>
              <w:tc>
                <w:tcPr>
                  <w:tcW w:w="1181" w:type="dxa"/>
                  <w:tcBorders>
                    <w:tl2br w:val="nil"/>
                    <w:tr2bl w:val="nil"/>
                  </w:tcBorders>
                  <w:noWrap w:val="0"/>
                  <w:vAlign w:val="center"/>
                </w:tcPr>
                <w:p w14:paraId="48224D73">
                  <w:pPr>
                    <w:jc w:val="cente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t>夜间</w:t>
                  </w:r>
                </w:p>
              </w:tc>
              <w:tc>
                <w:tcPr>
                  <w:tcW w:w="1063" w:type="dxa"/>
                  <w:tcBorders>
                    <w:tl2br w:val="nil"/>
                    <w:tr2bl w:val="nil"/>
                  </w:tcBorders>
                  <w:noWrap w:val="0"/>
                  <w:vAlign w:val="center"/>
                </w:tcPr>
                <w:p w14:paraId="253C8669">
                  <w:pPr>
                    <w:jc w:val="cente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t>昼间</w:t>
                  </w:r>
                </w:p>
              </w:tc>
              <w:tc>
                <w:tcPr>
                  <w:tcW w:w="1140" w:type="dxa"/>
                  <w:tcBorders>
                    <w:tl2br w:val="nil"/>
                    <w:tr2bl w:val="nil"/>
                  </w:tcBorders>
                  <w:noWrap w:val="0"/>
                  <w:vAlign w:val="center"/>
                </w:tcPr>
                <w:p w14:paraId="5347D754">
                  <w:pPr>
                    <w:jc w:val="cente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t>夜间</w:t>
                  </w:r>
                </w:p>
              </w:tc>
            </w:tr>
            <w:tr w14:paraId="7F2DE6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175" w:type="dxa"/>
                  <w:tcBorders>
                    <w:tl2br w:val="nil"/>
                    <w:tr2bl w:val="nil"/>
                  </w:tcBorders>
                  <w:noWrap w:val="0"/>
                  <w:vAlign w:val="center"/>
                </w:tcPr>
                <w:p w14:paraId="0B521F85">
                  <w:pPr>
                    <w:jc w:val="center"/>
                    <w:rPr>
                      <w:rFonts w:hint="eastAsia" w:ascii="Times New Roman" w:hAnsi="Times New Roman" w:eastAsia="宋体" w:cs="Times New Roman"/>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lang w:val="en-US" w:eastAsia="zh-CN"/>
                      <w14:textFill>
                        <w14:solidFill>
                          <w14:schemeClr w14:val="tx1"/>
                        </w14:solidFill>
                      </w14:textFill>
                    </w:rPr>
                    <w:t>西北侧15m处居民点</w:t>
                  </w:r>
                </w:p>
              </w:tc>
              <w:tc>
                <w:tcPr>
                  <w:tcW w:w="1440" w:type="dxa"/>
                  <w:vMerge w:val="restart"/>
                  <w:tcBorders>
                    <w:tl2br w:val="nil"/>
                    <w:tr2bl w:val="nil"/>
                  </w:tcBorders>
                  <w:noWrap w:val="0"/>
                  <w:vAlign w:val="center"/>
                </w:tcPr>
                <w:p w14:paraId="02AF90C3">
                  <w:pPr>
                    <w:jc w:val="center"/>
                    <w:rPr>
                      <w:rFonts w:hint="default" w:ascii="Times New Roman" w:hAnsi="Times New Roman" w:eastAsia="宋体" w:cs="Times New Roman"/>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lang w:val="en-US" w:eastAsia="zh-CN"/>
                      <w14:textFill>
                        <w14:solidFill>
                          <w14:schemeClr w14:val="tx1"/>
                        </w14:solidFill>
                      </w14:textFill>
                    </w:rPr>
                    <w:t>2026.5.16</w:t>
                  </w:r>
                </w:p>
              </w:tc>
              <w:tc>
                <w:tcPr>
                  <w:tcW w:w="966" w:type="dxa"/>
                  <w:tcBorders>
                    <w:tl2br w:val="nil"/>
                    <w:tr2bl w:val="nil"/>
                  </w:tcBorders>
                  <w:noWrap w:val="0"/>
                  <w:vAlign w:val="center"/>
                </w:tcPr>
                <w:p w14:paraId="2912C06E">
                  <w:pPr>
                    <w:jc w:val="center"/>
                    <w:rPr>
                      <w:rFonts w:hint="default" w:ascii="Times New Roman" w:hAnsi="Times New Roman" w:eastAsia="宋体" w:cs="Times New Roman"/>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lang w:val="en-US" w:eastAsia="zh-CN"/>
                      <w14:textFill>
                        <w14:solidFill>
                          <w14:schemeClr w14:val="tx1"/>
                        </w14:solidFill>
                      </w14:textFill>
                    </w:rPr>
                    <w:t>52</w:t>
                  </w:r>
                </w:p>
              </w:tc>
              <w:tc>
                <w:tcPr>
                  <w:tcW w:w="1181" w:type="dxa"/>
                  <w:tcBorders>
                    <w:tl2br w:val="nil"/>
                    <w:tr2bl w:val="nil"/>
                  </w:tcBorders>
                  <w:noWrap w:val="0"/>
                  <w:vAlign w:val="center"/>
                </w:tcPr>
                <w:p w14:paraId="6625BFA6">
                  <w:pPr>
                    <w:jc w:val="center"/>
                    <w:rPr>
                      <w:rFonts w:hint="default" w:ascii="Times New Roman" w:hAnsi="Times New Roman" w:eastAsia="宋体" w:cs="Times New Roman"/>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lang w:val="en-US" w:eastAsia="zh-CN"/>
                      <w14:textFill>
                        <w14:solidFill>
                          <w14:schemeClr w14:val="tx1"/>
                        </w14:solidFill>
                      </w14:textFill>
                    </w:rPr>
                    <w:t>44</w:t>
                  </w:r>
                </w:p>
              </w:tc>
              <w:tc>
                <w:tcPr>
                  <w:tcW w:w="1063" w:type="dxa"/>
                  <w:tcBorders>
                    <w:tl2br w:val="nil"/>
                    <w:tr2bl w:val="nil"/>
                  </w:tcBorders>
                  <w:noWrap w:val="0"/>
                  <w:vAlign w:val="center"/>
                </w:tcPr>
                <w:p w14:paraId="24A6A510">
                  <w:pPr>
                    <w:jc w:val="center"/>
                    <w:rPr>
                      <w:rFonts w:hint="eastAsia" w:ascii="Times New Roman" w:hAnsi="Times New Roman" w:eastAsia="宋体" w:cs="Times New Roman"/>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14:textFill>
                        <w14:solidFill>
                          <w14:schemeClr w14:val="tx1"/>
                        </w14:solidFill>
                      </w14:textFill>
                    </w:rPr>
                    <w:t>60</w:t>
                  </w:r>
                </w:p>
              </w:tc>
              <w:tc>
                <w:tcPr>
                  <w:tcW w:w="1140" w:type="dxa"/>
                  <w:tcBorders>
                    <w:tl2br w:val="nil"/>
                    <w:tr2bl w:val="nil"/>
                  </w:tcBorders>
                  <w:noWrap w:val="0"/>
                  <w:vAlign w:val="center"/>
                </w:tcPr>
                <w:p w14:paraId="0B54C19F">
                  <w:pPr>
                    <w:jc w:val="center"/>
                    <w:rPr>
                      <w:rFonts w:hint="eastAsia" w:ascii="Times New Roman" w:hAnsi="Times New Roman" w:eastAsia="宋体" w:cs="Times New Roman"/>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lang w:val="en-US" w:eastAsia="zh-CN"/>
                      <w14:textFill>
                        <w14:solidFill>
                          <w14:schemeClr w14:val="tx1"/>
                        </w14:solidFill>
                      </w14:textFill>
                    </w:rPr>
                    <w:t>50</w:t>
                  </w:r>
                </w:p>
              </w:tc>
            </w:tr>
            <w:tr w14:paraId="77C45F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175" w:type="dxa"/>
                  <w:tcBorders>
                    <w:tl2br w:val="nil"/>
                    <w:tr2bl w:val="nil"/>
                  </w:tcBorders>
                  <w:noWrap w:val="0"/>
                  <w:vAlign w:val="center"/>
                </w:tcPr>
                <w:p w14:paraId="195D08D2">
                  <w:pPr>
                    <w:jc w:val="center"/>
                    <w:rPr>
                      <w:rFonts w:hint="eastAsia" w:ascii="Times New Roman" w:hAnsi="Times New Roman" w:eastAsia="宋体" w:cs="Times New Roman"/>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lang w:val="en-US" w:eastAsia="zh-CN"/>
                      <w14:textFill>
                        <w14:solidFill>
                          <w14:schemeClr w14:val="tx1"/>
                        </w14:solidFill>
                      </w14:textFill>
                    </w:rPr>
                    <w:t>东北侧15m处居民点</w:t>
                  </w:r>
                </w:p>
              </w:tc>
              <w:tc>
                <w:tcPr>
                  <w:tcW w:w="1440" w:type="dxa"/>
                  <w:vMerge w:val="continue"/>
                  <w:tcBorders>
                    <w:tl2br w:val="nil"/>
                    <w:tr2bl w:val="nil"/>
                  </w:tcBorders>
                  <w:noWrap w:val="0"/>
                  <w:vAlign w:val="center"/>
                </w:tcPr>
                <w:p w14:paraId="6F0471D6">
                  <w:pPr>
                    <w:jc w:val="center"/>
                    <w:rPr>
                      <w:rFonts w:hint="eastAsia" w:ascii="Times New Roman" w:hAnsi="Times New Roman" w:eastAsia="宋体" w:cs="Times New Roman"/>
                      <w:color w:val="000000" w:themeColor="text1"/>
                      <w:szCs w:val="21"/>
                      <w:u w:val="none"/>
                      <w:lang w:val="en-US" w:eastAsia="zh-CN"/>
                      <w14:textFill>
                        <w14:solidFill>
                          <w14:schemeClr w14:val="tx1"/>
                        </w14:solidFill>
                      </w14:textFill>
                    </w:rPr>
                  </w:pPr>
                </w:p>
              </w:tc>
              <w:tc>
                <w:tcPr>
                  <w:tcW w:w="966" w:type="dxa"/>
                  <w:tcBorders>
                    <w:tl2br w:val="nil"/>
                    <w:tr2bl w:val="nil"/>
                  </w:tcBorders>
                  <w:noWrap w:val="0"/>
                  <w:vAlign w:val="center"/>
                </w:tcPr>
                <w:p w14:paraId="0DDC1FEC">
                  <w:pPr>
                    <w:jc w:val="center"/>
                    <w:rPr>
                      <w:rFonts w:hint="default" w:ascii="Times New Roman" w:hAnsi="Times New Roman" w:eastAsia="宋体" w:cs="Times New Roman"/>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lang w:val="en-US" w:eastAsia="zh-CN"/>
                      <w14:textFill>
                        <w14:solidFill>
                          <w14:schemeClr w14:val="tx1"/>
                        </w14:solidFill>
                      </w14:textFill>
                    </w:rPr>
                    <w:t>51</w:t>
                  </w:r>
                </w:p>
              </w:tc>
              <w:tc>
                <w:tcPr>
                  <w:tcW w:w="1181" w:type="dxa"/>
                  <w:tcBorders>
                    <w:tl2br w:val="nil"/>
                    <w:tr2bl w:val="nil"/>
                  </w:tcBorders>
                  <w:noWrap w:val="0"/>
                  <w:vAlign w:val="center"/>
                </w:tcPr>
                <w:p w14:paraId="0C70CE85">
                  <w:pPr>
                    <w:jc w:val="center"/>
                    <w:rPr>
                      <w:rFonts w:hint="default" w:ascii="Times New Roman" w:hAnsi="Times New Roman" w:eastAsia="宋体" w:cs="Times New Roman"/>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lang w:val="en-US" w:eastAsia="zh-CN"/>
                      <w14:textFill>
                        <w14:solidFill>
                          <w14:schemeClr w14:val="tx1"/>
                        </w14:solidFill>
                      </w14:textFill>
                    </w:rPr>
                    <w:t>42</w:t>
                  </w:r>
                </w:p>
              </w:tc>
              <w:tc>
                <w:tcPr>
                  <w:tcW w:w="1063" w:type="dxa"/>
                  <w:tcBorders>
                    <w:tl2br w:val="nil"/>
                    <w:tr2bl w:val="nil"/>
                  </w:tcBorders>
                  <w:noWrap w:val="0"/>
                  <w:vAlign w:val="center"/>
                </w:tcPr>
                <w:p w14:paraId="405DA141">
                  <w:pPr>
                    <w:jc w:val="center"/>
                    <w:rPr>
                      <w:rFonts w:hint="eastAsia" w:ascii="Times New Roman" w:hAnsi="Times New Roman" w:eastAsia="宋体" w:cs="Times New Roman"/>
                      <w:color w:val="000000" w:themeColor="text1"/>
                      <w:szCs w:val="21"/>
                      <w:u w:val="none"/>
                      <w14:textFill>
                        <w14:solidFill>
                          <w14:schemeClr w14:val="tx1"/>
                        </w14:solidFill>
                      </w14:textFill>
                    </w:rPr>
                  </w:pPr>
                  <w:r>
                    <w:rPr>
                      <w:rFonts w:hint="eastAsia" w:ascii="Times New Roman" w:hAnsi="Times New Roman" w:eastAsia="宋体" w:cs="Times New Roman"/>
                      <w:color w:val="000000" w:themeColor="text1"/>
                      <w:szCs w:val="21"/>
                      <w:u w:val="none"/>
                      <w14:textFill>
                        <w14:solidFill>
                          <w14:schemeClr w14:val="tx1"/>
                        </w14:solidFill>
                      </w14:textFill>
                    </w:rPr>
                    <w:t>60</w:t>
                  </w:r>
                </w:p>
              </w:tc>
              <w:tc>
                <w:tcPr>
                  <w:tcW w:w="1140" w:type="dxa"/>
                  <w:tcBorders>
                    <w:tl2br w:val="nil"/>
                    <w:tr2bl w:val="nil"/>
                  </w:tcBorders>
                  <w:noWrap w:val="0"/>
                  <w:vAlign w:val="center"/>
                </w:tcPr>
                <w:p w14:paraId="751E5337">
                  <w:pPr>
                    <w:jc w:val="center"/>
                    <w:rPr>
                      <w:rFonts w:hint="eastAsia" w:ascii="Times New Roman" w:hAnsi="Times New Roman" w:eastAsia="宋体" w:cs="Times New Roman"/>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lang w:val="en-US" w:eastAsia="zh-CN"/>
                      <w14:textFill>
                        <w14:solidFill>
                          <w14:schemeClr w14:val="tx1"/>
                        </w14:solidFill>
                      </w14:textFill>
                    </w:rPr>
                    <w:t>50</w:t>
                  </w:r>
                </w:p>
              </w:tc>
            </w:tr>
            <w:tr w14:paraId="0D66EA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175" w:type="dxa"/>
                  <w:tcBorders>
                    <w:tl2br w:val="nil"/>
                    <w:tr2bl w:val="nil"/>
                  </w:tcBorders>
                  <w:noWrap w:val="0"/>
                  <w:vAlign w:val="center"/>
                </w:tcPr>
                <w:p w14:paraId="53D25180">
                  <w:pPr>
                    <w:jc w:val="center"/>
                    <w:rPr>
                      <w:rFonts w:hint="eastAsia" w:ascii="Times New Roman" w:hAnsi="Times New Roman" w:eastAsia="宋体" w:cs="Times New Roman"/>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lang w:val="en-US" w:eastAsia="zh-CN"/>
                      <w14:textFill>
                        <w14:solidFill>
                          <w14:schemeClr w14:val="tx1"/>
                        </w14:solidFill>
                      </w14:textFill>
                    </w:rPr>
                    <w:t>东侧30m处居民点</w:t>
                  </w:r>
                </w:p>
              </w:tc>
              <w:tc>
                <w:tcPr>
                  <w:tcW w:w="1440" w:type="dxa"/>
                  <w:vMerge w:val="continue"/>
                  <w:tcBorders>
                    <w:tl2br w:val="nil"/>
                    <w:tr2bl w:val="nil"/>
                  </w:tcBorders>
                  <w:noWrap w:val="0"/>
                  <w:vAlign w:val="center"/>
                </w:tcPr>
                <w:p w14:paraId="34CC3D5F">
                  <w:pPr>
                    <w:jc w:val="center"/>
                    <w:rPr>
                      <w:rFonts w:hint="eastAsia" w:ascii="Times New Roman" w:hAnsi="Times New Roman" w:eastAsia="宋体" w:cs="Times New Roman"/>
                      <w:color w:val="000000" w:themeColor="text1"/>
                      <w:szCs w:val="21"/>
                      <w:u w:val="none"/>
                      <w:lang w:val="en-US" w:eastAsia="zh-CN"/>
                      <w14:textFill>
                        <w14:solidFill>
                          <w14:schemeClr w14:val="tx1"/>
                        </w14:solidFill>
                      </w14:textFill>
                    </w:rPr>
                  </w:pPr>
                </w:p>
              </w:tc>
              <w:tc>
                <w:tcPr>
                  <w:tcW w:w="966" w:type="dxa"/>
                  <w:tcBorders>
                    <w:tl2br w:val="nil"/>
                    <w:tr2bl w:val="nil"/>
                  </w:tcBorders>
                  <w:noWrap w:val="0"/>
                  <w:vAlign w:val="center"/>
                </w:tcPr>
                <w:p w14:paraId="51462650">
                  <w:pPr>
                    <w:jc w:val="center"/>
                    <w:rPr>
                      <w:rFonts w:hint="default" w:ascii="Times New Roman" w:hAnsi="Times New Roman" w:eastAsia="宋体" w:cs="Times New Roman"/>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lang w:val="en-US" w:eastAsia="zh-CN"/>
                      <w14:textFill>
                        <w14:solidFill>
                          <w14:schemeClr w14:val="tx1"/>
                        </w14:solidFill>
                      </w14:textFill>
                    </w:rPr>
                    <w:t>55</w:t>
                  </w:r>
                </w:p>
              </w:tc>
              <w:tc>
                <w:tcPr>
                  <w:tcW w:w="1181" w:type="dxa"/>
                  <w:tcBorders>
                    <w:tl2br w:val="nil"/>
                    <w:tr2bl w:val="nil"/>
                  </w:tcBorders>
                  <w:noWrap w:val="0"/>
                  <w:vAlign w:val="center"/>
                </w:tcPr>
                <w:p w14:paraId="4B0B0956">
                  <w:pPr>
                    <w:jc w:val="center"/>
                    <w:rPr>
                      <w:rFonts w:hint="default" w:ascii="Times New Roman" w:hAnsi="Times New Roman" w:eastAsia="宋体" w:cs="Times New Roman"/>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lang w:val="en-US" w:eastAsia="zh-CN"/>
                      <w14:textFill>
                        <w14:solidFill>
                          <w14:schemeClr w14:val="tx1"/>
                        </w14:solidFill>
                      </w14:textFill>
                    </w:rPr>
                    <w:t>45</w:t>
                  </w:r>
                </w:p>
              </w:tc>
              <w:tc>
                <w:tcPr>
                  <w:tcW w:w="1063" w:type="dxa"/>
                  <w:tcBorders>
                    <w:tl2br w:val="nil"/>
                    <w:tr2bl w:val="nil"/>
                  </w:tcBorders>
                  <w:noWrap w:val="0"/>
                  <w:vAlign w:val="center"/>
                </w:tcPr>
                <w:p w14:paraId="50894B50">
                  <w:pPr>
                    <w:jc w:val="center"/>
                    <w:rPr>
                      <w:rFonts w:hint="eastAsia" w:ascii="Times New Roman" w:hAnsi="Times New Roman" w:eastAsia="宋体" w:cs="Times New Roman"/>
                      <w:color w:val="000000" w:themeColor="text1"/>
                      <w:szCs w:val="21"/>
                      <w:u w:val="none"/>
                      <w14:textFill>
                        <w14:solidFill>
                          <w14:schemeClr w14:val="tx1"/>
                        </w14:solidFill>
                      </w14:textFill>
                    </w:rPr>
                  </w:pPr>
                  <w:r>
                    <w:rPr>
                      <w:rFonts w:hint="eastAsia" w:ascii="Times New Roman" w:hAnsi="Times New Roman" w:eastAsia="宋体" w:cs="Times New Roman"/>
                      <w:color w:val="000000" w:themeColor="text1"/>
                      <w:szCs w:val="21"/>
                      <w:u w:val="none"/>
                      <w14:textFill>
                        <w14:solidFill>
                          <w14:schemeClr w14:val="tx1"/>
                        </w14:solidFill>
                      </w14:textFill>
                    </w:rPr>
                    <w:t>60</w:t>
                  </w:r>
                </w:p>
              </w:tc>
              <w:tc>
                <w:tcPr>
                  <w:tcW w:w="1140" w:type="dxa"/>
                  <w:tcBorders>
                    <w:tl2br w:val="nil"/>
                    <w:tr2bl w:val="nil"/>
                  </w:tcBorders>
                  <w:noWrap w:val="0"/>
                  <w:vAlign w:val="center"/>
                </w:tcPr>
                <w:p w14:paraId="2A7C387F">
                  <w:pPr>
                    <w:jc w:val="center"/>
                    <w:rPr>
                      <w:rFonts w:hint="eastAsia" w:ascii="Times New Roman" w:hAnsi="Times New Roman" w:eastAsia="宋体" w:cs="Times New Roman"/>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lang w:val="en-US" w:eastAsia="zh-CN"/>
                      <w14:textFill>
                        <w14:solidFill>
                          <w14:schemeClr w14:val="tx1"/>
                        </w14:solidFill>
                      </w14:textFill>
                    </w:rPr>
                    <w:t>50</w:t>
                  </w:r>
                </w:p>
              </w:tc>
            </w:tr>
          </w:tbl>
          <w:p w14:paraId="46EAC564">
            <w:pPr>
              <w:widowControl/>
              <w:spacing w:line="360" w:lineRule="auto"/>
              <w:ind w:firstLine="480" w:firstLineChars="200"/>
              <w:jc w:val="left"/>
              <w:rPr>
                <w:rFonts w:hint="eastAsia" w:ascii="Times New Roman" w:hAnsi="Times New Roman" w:eastAsia="宋体" w:cs="Times New Roman"/>
                <w:color w:val="000000"/>
                <w:kern w:val="2"/>
                <w:sz w:val="24"/>
                <w:szCs w:val="24"/>
                <w:u w:val="none" w:color="auto"/>
                <w:lang w:val="en-US" w:eastAsia="zh-CN" w:bidi="ar-SA"/>
              </w:rPr>
            </w:pPr>
            <w:r>
              <w:rPr>
                <w:rFonts w:hint="eastAsia" w:ascii="Times New Roman" w:hAnsi="Times New Roman" w:eastAsia="宋体" w:cs="Times New Roman"/>
                <w:color w:val="000000"/>
                <w:kern w:val="2"/>
                <w:sz w:val="24"/>
                <w:szCs w:val="24"/>
                <w:u w:val="none" w:color="auto"/>
                <w:lang w:val="en-US" w:eastAsia="zh-CN" w:bidi="ar-SA"/>
              </w:rPr>
              <w:t>由上表监测结果可知，由上表可知，项目敏感点声环境质量现状值均达到《声环境质量标准》（GB3096-2008）2类标准要求。</w:t>
            </w:r>
          </w:p>
          <w:p w14:paraId="30AFE281">
            <w:pPr>
              <w:pStyle w:val="75"/>
              <w:ind w:firstLine="480"/>
              <w:rPr>
                <w:b/>
                <w:bCs/>
              </w:rPr>
            </w:pPr>
            <w:r>
              <w:rPr>
                <w:rFonts w:hint="eastAsia"/>
                <w:b/>
                <w:bCs/>
              </w:rPr>
              <w:t>4、地下水和土壤环境</w:t>
            </w:r>
          </w:p>
          <w:p w14:paraId="73BB96B4">
            <w:pPr>
              <w:pStyle w:val="75"/>
              <w:ind w:firstLine="480"/>
              <w:rPr>
                <w:rFonts w:hint="eastAsia"/>
              </w:rPr>
            </w:pPr>
            <w:r>
              <w:rPr>
                <w:rFonts w:hint="eastAsia"/>
              </w:rPr>
              <w:t>根据《建设项目环境影响报告表编制技术指南</w:t>
            </w:r>
            <w:r>
              <w:rPr>
                <w:rFonts w:hint="eastAsia"/>
                <w:szCs w:val="24"/>
                <w:lang w:eastAsia="zh-CN"/>
              </w:rPr>
              <w:t>（</w:t>
            </w:r>
            <w:r>
              <w:rPr>
                <w:rFonts w:hint="eastAsia"/>
                <w:szCs w:val="24"/>
              </w:rPr>
              <w:t>污染影响类</w:t>
            </w:r>
            <w:r>
              <w:rPr>
                <w:rFonts w:hint="eastAsia"/>
                <w:szCs w:val="24"/>
                <w:lang w:eastAsia="zh-CN"/>
              </w:rPr>
              <w:t>）（</w:t>
            </w:r>
            <w:r>
              <w:rPr>
                <w:rFonts w:hint="eastAsia"/>
                <w:szCs w:val="24"/>
              </w:rPr>
              <w:t>试行</w:t>
            </w:r>
            <w:r>
              <w:rPr>
                <w:rFonts w:hint="eastAsia"/>
                <w:szCs w:val="24"/>
                <w:lang w:eastAsia="zh-CN"/>
              </w:rPr>
              <w:t>）</w:t>
            </w:r>
            <w:r>
              <w:rPr>
                <w:rFonts w:hint="eastAsia"/>
              </w:rPr>
              <w:t>》“原则上不开展环境质量现状调查。建设项目存在土壤、地下水环境污染途径的，应结合污染源、保护目标分布情况开展现状调查以留作背景值。”本项目正常情况下不存在土壤、地下水环境污染途径，故不进行地下水、土壤环境现状调查。</w:t>
            </w:r>
          </w:p>
          <w:p w14:paraId="6F6DE9C0">
            <w:pPr>
              <w:pStyle w:val="75"/>
              <w:ind w:firstLine="480"/>
              <w:rPr>
                <w:b/>
                <w:bCs/>
              </w:rPr>
            </w:pPr>
            <w:r>
              <w:rPr>
                <w:rFonts w:hint="eastAsia"/>
                <w:b/>
                <w:bCs/>
              </w:rPr>
              <w:t>5、生态环境</w:t>
            </w:r>
          </w:p>
          <w:p w14:paraId="66AD4E54">
            <w:pPr>
              <w:pStyle w:val="75"/>
              <w:ind w:firstLine="480"/>
              <w:rPr>
                <w:rFonts w:hint="eastAsia"/>
                <w:szCs w:val="24"/>
              </w:rPr>
            </w:pPr>
            <w:r>
              <w:rPr>
                <w:rFonts w:hint="eastAsia"/>
                <w:szCs w:val="24"/>
              </w:rPr>
              <w:t>根据《建设项目环境影响报告表编制技术指南</w:t>
            </w:r>
            <w:r>
              <w:rPr>
                <w:rFonts w:hint="eastAsia"/>
                <w:szCs w:val="24"/>
                <w:lang w:eastAsia="zh-CN"/>
              </w:rPr>
              <w:t>（</w:t>
            </w:r>
            <w:r>
              <w:rPr>
                <w:rFonts w:hint="eastAsia"/>
                <w:szCs w:val="24"/>
              </w:rPr>
              <w:t>污染影响类</w:t>
            </w:r>
            <w:r>
              <w:rPr>
                <w:rFonts w:hint="eastAsia"/>
                <w:szCs w:val="24"/>
                <w:lang w:eastAsia="zh-CN"/>
              </w:rPr>
              <w:t>）（</w:t>
            </w:r>
            <w:r>
              <w:rPr>
                <w:rFonts w:hint="eastAsia"/>
                <w:szCs w:val="24"/>
              </w:rPr>
              <w:t>试行</w:t>
            </w:r>
            <w:r>
              <w:rPr>
                <w:rFonts w:hint="eastAsia"/>
                <w:szCs w:val="24"/>
                <w:lang w:eastAsia="zh-CN"/>
              </w:rPr>
              <w:t>）</w:t>
            </w:r>
            <w:r>
              <w:rPr>
                <w:rFonts w:hint="eastAsia"/>
                <w:szCs w:val="24"/>
              </w:rPr>
              <w:t>》“产业园区外建设项目新增用地且用地范围内含有生态环境保护目标时，应进行生态现状调查”。本项目用地范围内没有生态环境保护目标，不进行生态现状调查。</w:t>
            </w:r>
          </w:p>
          <w:p w14:paraId="1E259841">
            <w:pPr>
              <w:adjustRightInd w:val="0"/>
              <w:snapToGrid w:val="0"/>
              <w:spacing w:line="360" w:lineRule="auto"/>
              <w:ind w:firstLine="482" w:firstLineChars="200"/>
              <w:jc w:val="left"/>
              <w:rPr>
                <w:rFonts w:hint="eastAsia" w:ascii="Times New Roman" w:hAnsi="Times New Roman" w:eastAsia="宋体" w:cs="Times New Roman"/>
                <w:b/>
                <w:bCs/>
                <w:sz w:val="24"/>
                <w:u w:val="none" w:color="auto"/>
              </w:rPr>
            </w:pPr>
            <w:r>
              <w:rPr>
                <w:rFonts w:hint="eastAsia" w:ascii="Times New Roman" w:hAnsi="Times New Roman" w:eastAsia="宋体" w:cs="Times New Roman"/>
                <w:b/>
                <w:bCs/>
                <w:sz w:val="24"/>
                <w:u w:val="none" w:color="auto"/>
                <w:lang w:val="en-US" w:eastAsia="zh-CN"/>
              </w:rPr>
              <w:t>6</w:t>
            </w:r>
            <w:r>
              <w:rPr>
                <w:rFonts w:hint="eastAsia" w:ascii="Times New Roman" w:hAnsi="Times New Roman" w:eastAsia="宋体" w:cs="Times New Roman"/>
                <w:b/>
                <w:bCs/>
                <w:sz w:val="24"/>
                <w:u w:val="none" w:color="auto"/>
              </w:rPr>
              <w:t>、电磁辐射</w:t>
            </w:r>
          </w:p>
          <w:p w14:paraId="0B88C7F6">
            <w:pPr>
              <w:pStyle w:val="75"/>
              <w:ind w:firstLine="480"/>
              <w:rPr>
                <w:rFonts w:hint="eastAsia" w:ascii="宋体" w:hAnsi="宋体" w:eastAsia="宋体" w:cs="宋体"/>
                <w:kern w:val="0"/>
                <w:sz w:val="24"/>
                <w:u w:val="none" w:color="auto"/>
                <w:lang w:bidi="ar"/>
              </w:rPr>
            </w:pPr>
            <w:r>
              <w:rPr>
                <w:rFonts w:hint="eastAsia" w:ascii="宋体" w:hAnsi="宋体" w:eastAsia="宋体" w:cs="宋体"/>
                <w:kern w:val="0"/>
                <w:sz w:val="24"/>
                <w:u w:val="none" w:color="auto"/>
                <w:lang w:bidi="ar"/>
              </w:rPr>
              <w:t>本项目不属于新建或改建、扩建广播、差转台、电视塔台、卫星地球上行站、雷达等电磁辐射类项目，不需开展电磁辐射监测与评价。</w:t>
            </w:r>
          </w:p>
        </w:tc>
      </w:tr>
      <w:tr w14:paraId="23011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tcBorders>
              <w:top w:val="single" w:color="000000" w:sz="8" w:space="0"/>
              <w:left w:val="single" w:color="000000" w:sz="8" w:space="0"/>
              <w:bottom w:val="single" w:color="000000" w:sz="8" w:space="0"/>
            </w:tcBorders>
            <w:vAlign w:val="center"/>
          </w:tcPr>
          <w:p w14:paraId="7EF08816">
            <w:pPr>
              <w:pStyle w:val="36"/>
            </w:pPr>
            <w:r>
              <w:rPr>
                <w:rFonts w:hint="eastAsia"/>
              </w:rPr>
              <w:t>环境保护目标</w:t>
            </w:r>
          </w:p>
        </w:tc>
        <w:tc>
          <w:tcPr>
            <w:tcW w:w="8223" w:type="dxa"/>
            <w:tcBorders>
              <w:top w:val="single" w:color="000000" w:sz="8" w:space="0"/>
              <w:bottom w:val="single" w:color="000000" w:sz="8" w:space="0"/>
              <w:right w:val="single" w:color="000000" w:sz="8" w:space="0"/>
            </w:tcBorders>
          </w:tcPr>
          <w:p w14:paraId="6CA1AECC">
            <w:pPr>
              <w:pStyle w:val="35"/>
              <w:ind w:firstLine="480"/>
              <w:rPr>
                <w:b/>
                <w:bCs/>
              </w:rPr>
            </w:pPr>
            <w:r>
              <w:rPr>
                <w:rFonts w:hint="eastAsia"/>
                <w:b/>
                <w:bCs/>
              </w:rPr>
              <w:t>1、环境空气保护目标</w:t>
            </w:r>
          </w:p>
          <w:p w14:paraId="4E844380">
            <w:pPr>
              <w:adjustRightInd w:val="0"/>
              <w:snapToGrid w:val="0"/>
              <w:spacing w:line="360" w:lineRule="auto"/>
              <w:ind w:firstLine="480" w:firstLineChars="200"/>
              <w:rPr>
                <w:rFonts w:hint="eastAsia" w:ascii="Times New Roman" w:hAnsi="Times New Roman" w:eastAsia="宋体" w:cs="Times New Roman"/>
                <w:kern w:val="2"/>
                <w:sz w:val="24"/>
                <w:szCs w:val="24"/>
                <w:u w:val="none"/>
                <w:lang w:val="en-US" w:eastAsia="zh-CN" w:bidi="ar-SA"/>
              </w:rPr>
            </w:pPr>
            <w:r>
              <w:rPr>
                <w:rFonts w:hint="eastAsia" w:ascii="Times New Roman" w:hAnsi="Times New Roman" w:eastAsia="宋体" w:cs="Times New Roman"/>
                <w:kern w:val="2"/>
                <w:sz w:val="24"/>
                <w:szCs w:val="24"/>
                <w:u w:val="none"/>
                <w:lang w:val="en-US" w:eastAsia="zh-CN" w:bidi="ar-SA"/>
              </w:rPr>
              <w:t>根据项目现场调查，本项目厂界外500米范围内大气环境敏感目标主要如下表3-5。</w:t>
            </w:r>
          </w:p>
          <w:p w14:paraId="1C8A9227">
            <w:pPr>
              <w:pStyle w:val="11"/>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表3-</w:t>
            </w:r>
            <w:r>
              <w:rPr>
                <w:rFonts w:hint="eastAsia" w:ascii="Times New Roman" w:hAnsi="Times New Roman" w:eastAsia="宋体" w:cs="Times New Roman"/>
                <w:sz w:val="21"/>
                <w:szCs w:val="21"/>
                <w:lang w:val="en-US" w:eastAsia="zh-CN"/>
              </w:rPr>
              <w:t>5</w:t>
            </w:r>
            <w:r>
              <w:rPr>
                <w:rFonts w:hint="default" w:ascii="Times New Roman" w:hAnsi="Times New Roman" w:eastAsia="宋体" w:cs="Times New Roman"/>
                <w:sz w:val="21"/>
                <w:szCs w:val="21"/>
              </w:rPr>
              <w:t xml:space="preserve">  大气环境保护目标</w:t>
            </w:r>
          </w:p>
          <w:tbl>
            <w:tblPr>
              <w:tblStyle w:val="27"/>
              <w:tblW w:w="7981"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84"/>
              <w:gridCol w:w="884"/>
              <w:gridCol w:w="1722"/>
              <w:gridCol w:w="1312"/>
              <w:gridCol w:w="884"/>
              <w:gridCol w:w="885"/>
              <w:gridCol w:w="1410"/>
            </w:tblGrid>
            <w:tr w14:paraId="426B99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884" w:type="dxa"/>
                  <w:vMerge w:val="restart"/>
                  <w:tcBorders>
                    <w:tl2br w:val="nil"/>
                    <w:tr2bl w:val="nil"/>
                  </w:tcBorders>
                  <w:noWrap w:val="0"/>
                  <w:vAlign w:val="center"/>
                </w:tcPr>
                <w:p w14:paraId="555C5DAB">
                  <w:pPr>
                    <w:pStyle w:val="57"/>
                    <w:rPr>
                      <w:rFonts w:hint="default" w:ascii="Times New Roman" w:hAnsi="Times New Roman" w:eastAsia="宋体"/>
                      <w:lang w:val="en-US" w:eastAsia="zh-CN"/>
                    </w:rPr>
                  </w:pPr>
                  <w:r>
                    <w:rPr>
                      <w:rFonts w:hint="default" w:ascii="Times New Roman" w:hAnsi="Times New Roman" w:eastAsia="宋体"/>
                      <w:lang w:val="en-US" w:eastAsia="zh-CN"/>
                    </w:rPr>
                    <w:t>要素</w:t>
                  </w:r>
                </w:p>
              </w:tc>
              <w:tc>
                <w:tcPr>
                  <w:tcW w:w="884" w:type="dxa"/>
                  <w:vMerge w:val="restart"/>
                  <w:tcBorders>
                    <w:tl2br w:val="nil"/>
                    <w:tr2bl w:val="nil"/>
                  </w:tcBorders>
                  <w:noWrap w:val="0"/>
                  <w:vAlign w:val="center"/>
                </w:tcPr>
                <w:p w14:paraId="626FFFD6">
                  <w:pPr>
                    <w:pStyle w:val="57"/>
                    <w:rPr>
                      <w:rFonts w:hint="default" w:ascii="Times New Roman" w:hAnsi="Times New Roman" w:eastAsia="宋体"/>
                      <w:lang w:val="en-US" w:eastAsia="zh-CN"/>
                    </w:rPr>
                  </w:pPr>
                  <w:r>
                    <w:rPr>
                      <w:rFonts w:hint="default" w:ascii="Times New Roman" w:hAnsi="Times New Roman" w:eastAsia="宋体"/>
                      <w:lang w:val="en-US" w:eastAsia="zh-CN"/>
                    </w:rPr>
                    <w:t>名称</w:t>
                  </w:r>
                </w:p>
              </w:tc>
              <w:tc>
                <w:tcPr>
                  <w:tcW w:w="1722" w:type="dxa"/>
                  <w:vMerge w:val="restart"/>
                  <w:tcBorders>
                    <w:tl2br w:val="nil"/>
                    <w:tr2bl w:val="nil"/>
                  </w:tcBorders>
                  <w:noWrap w:val="0"/>
                  <w:vAlign w:val="center"/>
                </w:tcPr>
                <w:p w14:paraId="30129E51">
                  <w:pPr>
                    <w:pStyle w:val="57"/>
                    <w:rPr>
                      <w:rFonts w:hint="default" w:ascii="Times New Roman" w:hAnsi="Times New Roman" w:eastAsia="宋体"/>
                      <w:lang w:val="en-US" w:eastAsia="zh-CN"/>
                    </w:rPr>
                  </w:pPr>
                  <w:r>
                    <w:rPr>
                      <w:rFonts w:hint="default" w:ascii="Times New Roman" w:hAnsi="Times New Roman" w:eastAsia="宋体"/>
                      <w:lang w:val="en-US" w:eastAsia="zh-CN"/>
                    </w:rPr>
                    <w:t>地理坐标</w:t>
                  </w:r>
                </w:p>
              </w:tc>
              <w:tc>
                <w:tcPr>
                  <w:tcW w:w="1312" w:type="dxa"/>
                  <w:vMerge w:val="restart"/>
                  <w:tcBorders>
                    <w:tl2br w:val="nil"/>
                    <w:tr2bl w:val="nil"/>
                  </w:tcBorders>
                  <w:noWrap w:val="0"/>
                  <w:vAlign w:val="center"/>
                </w:tcPr>
                <w:p w14:paraId="46FCCC3F">
                  <w:pPr>
                    <w:pStyle w:val="57"/>
                    <w:rPr>
                      <w:rFonts w:hint="default" w:ascii="Times New Roman" w:hAnsi="Times New Roman" w:eastAsia="宋体"/>
                      <w:lang w:val="en-US" w:eastAsia="zh-CN"/>
                    </w:rPr>
                  </w:pPr>
                  <w:r>
                    <w:rPr>
                      <w:rFonts w:hint="default" w:ascii="Times New Roman" w:hAnsi="Times New Roman" w:eastAsia="宋体"/>
                      <w:lang w:val="en-US" w:eastAsia="zh-CN"/>
                    </w:rPr>
                    <w:t>保护内容</w:t>
                  </w:r>
                </w:p>
              </w:tc>
              <w:tc>
                <w:tcPr>
                  <w:tcW w:w="884" w:type="dxa"/>
                  <w:vMerge w:val="restart"/>
                  <w:tcBorders>
                    <w:tl2br w:val="nil"/>
                    <w:tr2bl w:val="nil"/>
                  </w:tcBorders>
                  <w:noWrap w:val="0"/>
                  <w:vAlign w:val="center"/>
                </w:tcPr>
                <w:p w14:paraId="169195F8">
                  <w:pPr>
                    <w:pStyle w:val="57"/>
                    <w:rPr>
                      <w:rFonts w:hint="default" w:ascii="Times New Roman" w:hAnsi="Times New Roman" w:eastAsia="宋体"/>
                      <w:lang w:val="en-US" w:eastAsia="zh-CN"/>
                    </w:rPr>
                  </w:pPr>
                  <w:r>
                    <w:rPr>
                      <w:rFonts w:hint="default" w:ascii="Times New Roman" w:hAnsi="Times New Roman" w:eastAsia="宋体"/>
                      <w:lang w:val="en-US" w:eastAsia="zh-CN"/>
                    </w:rPr>
                    <w:t>环境功能区</w:t>
                  </w:r>
                </w:p>
              </w:tc>
              <w:tc>
                <w:tcPr>
                  <w:tcW w:w="885" w:type="dxa"/>
                  <w:vMerge w:val="restart"/>
                  <w:tcBorders>
                    <w:tl2br w:val="nil"/>
                    <w:tr2bl w:val="nil"/>
                  </w:tcBorders>
                  <w:noWrap w:val="0"/>
                  <w:vAlign w:val="center"/>
                </w:tcPr>
                <w:p w14:paraId="0355F4A0">
                  <w:pPr>
                    <w:pStyle w:val="57"/>
                    <w:rPr>
                      <w:rFonts w:hint="default" w:ascii="Times New Roman" w:hAnsi="Times New Roman" w:eastAsia="宋体"/>
                      <w:lang w:val="en-US" w:eastAsia="zh-CN"/>
                    </w:rPr>
                  </w:pPr>
                  <w:r>
                    <w:rPr>
                      <w:rFonts w:hint="default" w:ascii="Times New Roman" w:hAnsi="Times New Roman" w:eastAsia="宋体"/>
                      <w:lang w:val="en-US" w:eastAsia="zh-CN"/>
                    </w:rPr>
                    <w:t>相对厂址方位</w:t>
                  </w:r>
                </w:p>
              </w:tc>
              <w:tc>
                <w:tcPr>
                  <w:tcW w:w="1410" w:type="dxa"/>
                  <w:vMerge w:val="restart"/>
                  <w:tcBorders>
                    <w:tl2br w:val="nil"/>
                    <w:tr2bl w:val="nil"/>
                  </w:tcBorders>
                  <w:noWrap w:val="0"/>
                  <w:vAlign w:val="center"/>
                </w:tcPr>
                <w:p w14:paraId="7DE66AD8">
                  <w:pPr>
                    <w:pStyle w:val="57"/>
                    <w:rPr>
                      <w:rFonts w:hint="default" w:ascii="Times New Roman" w:hAnsi="Times New Roman" w:eastAsia="宋体"/>
                      <w:lang w:val="en-US" w:eastAsia="zh-CN"/>
                    </w:rPr>
                  </w:pPr>
                  <w:r>
                    <w:rPr>
                      <w:rFonts w:hint="default" w:ascii="Times New Roman" w:hAnsi="Times New Roman" w:eastAsia="宋体"/>
                      <w:lang w:val="en-US" w:eastAsia="zh-CN"/>
                    </w:rPr>
                    <w:t>相对厂界距离/m</w:t>
                  </w:r>
                </w:p>
              </w:tc>
            </w:tr>
            <w:tr w14:paraId="46477E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2" w:hRule="atLeast"/>
                <w:jc w:val="center"/>
              </w:trPr>
              <w:tc>
                <w:tcPr>
                  <w:tcW w:w="884" w:type="dxa"/>
                  <w:vMerge w:val="continue"/>
                  <w:tcBorders>
                    <w:tl2br w:val="nil"/>
                    <w:tr2bl w:val="nil"/>
                  </w:tcBorders>
                  <w:noWrap w:val="0"/>
                  <w:vAlign w:val="center"/>
                </w:tcPr>
                <w:p w14:paraId="30DAD4D1">
                  <w:pPr>
                    <w:pStyle w:val="57"/>
                    <w:rPr>
                      <w:rFonts w:hint="default" w:ascii="Times New Roman" w:hAnsi="Times New Roman" w:eastAsia="宋体"/>
                      <w:lang w:val="en-US" w:eastAsia="zh-CN"/>
                    </w:rPr>
                  </w:pPr>
                </w:p>
              </w:tc>
              <w:tc>
                <w:tcPr>
                  <w:tcW w:w="884" w:type="dxa"/>
                  <w:vMerge w:val="continue"/>
                  <w:tcBorders>
                    <w:tl2br w:val="nil"/>
                    <w:tr2bl w:val="nil"/>
                  </w:tcBorders>
                  <w:noWrap w:val="0"/>
                  <w:vAlign w:val="center"/>
                </w:tcPr>
                <w:p w14:paraId="04EBA2B4">
                  <w:pPr>
                    <w:pStyle w:val="57"/>
                    <w:rPr>
                      <w:rFonts w:hint="default" w:ascii="Times New Roman" w:hAnsi="Times New Roman" w:eastAsia="宋体"/>
                      <w:lang w:val="en-US" w:eastAsia="zh-CN"/>
                    </w:rPr>
                  </w:pPr>
                </w:p>
              </w:tc>
              <w:tc>
                <w:tcPr>
                  <w:tcW w:w="1722" w:type="dxa"/>
                  <w:vMerge w:val="continue"/>
                  <w:tcBorders>
                    <w:tl2br w:val="nil"/>
                    <w:tr2bl w:val="nil"/>
                  </w:tcBorders>
                  <w:noWrap w:val="0"/>
                  <w:vAlign w:val="center"/>
                </w:tcPr>
                <w:p w14:paraId="40F33998">
                  <w:pPr>
                    <w:pStyle w:val="57"/>
                    <w:rPr>
                      <w:rFonts w:hint="default" w:ascii="Times New Roman" w:hAnsi="Times New Roman" w:eastAsia="宋体"/>
                      <w:lang w:val="en-US" w:eastAsia="zh-CN"/>
                    </w:rPr>
                  </w:pPr>
                </w:p>
              </w:tc>
              <w:tc>
                <w:tcPr>
                  <w:tcW w:w="1312" w:type="dxa"/>
                  <w:vMerge w:val="continue"/>
                  <w:tcBorders>
                    <w:tl2br w:val="nil"/>
                    <w:tr2bl w:val="nil"/>
                  </w:tcBorders>
                  <w:noWrap w:val="0"/>
                  <w:vAlign w:val="center"/>
                </w:tcPr>
                <w:p w14:paraId="164690CA">
                  <w:pPr>
                    <w:pStyle w:val="57"/>
                    <w:rPr>
                      <w:rFonts w:hint="default" w:ascii="Times New Roman" w:hAnsi="Times New Roman" w:eastAsia="宋体"/>
                      <w:lang w:val="en-US" w:eastAsia="zh-CN"/>
                    </w:rPr>
                  </w:pPr>
                </w:p>
              </w:tc>
              <w:tc>
                <w:tcPr>
                  <w:tcW w:w="884" w:type="dxa"/>
                  <w:vMerge w:val="continue"/>
                  <w:tcBorders>
                    <w:tl2br w:val="nil"/>
                    <w:tr2bl w:val="nil"/>
                  </w:tcBorders>
                  <w:noWrap w:val="0"/>
                  <w:vAlign w:val="center"/>
                </w:tcPr>
                <w:p w14:paraId="3D4B7602">
                  <w:pPr>
                    <w:pStyle w:val="57"/>
                    <w:rPr>
                      <w:rFonts w:hint="default" w:ascii="Times New Roman" w:hAnsi="Times New Roman" w:eastAsia="宋体"/>
                      <w:lang w:val="en-US" w:eastAsia="zh-CN"/>
                    </w:rPr>
                  </w:pPr>
                </w:p>
              </w:tc>
              <w:tc>
                <w:tcPr>
                  <w:tcW w:w="885" w:type="dxa"/>
                  <w:vMerge w:val="continue"/>
                  <w:tcBorders>
                    <w:tl2br w:val="nil"/>
                    <w:tr2bl w:val="nil"/>
                  </w:tcBorders>
                  <w:noWrap w:val="0"/>
                  <w:vAlign w:val="center"/>
                </w:tcPr>
                <w:p w14:paraId="0F7AAB80">
                  <w:pPr>
                    <w:pStyle w:val="57"/>
                    <w:rPr>
                      <w:rFonts w:hint="default" w:ascii="Times New Roman" w:hAnsi="Times New Roman" w:eastAsia="宋体"/>
                      <w:lang w:val="en-US" w:eastAsia="zh-CN"/>
                    </w:rPr>
                  </w:pPr>
                </w:p>
              </w:tc>
              <w:tc>
                <w:tcPr>
                  <w:tcW w:w="1410" w:type="dxa"/>
                  <w:vMerge w:val="continue"/>
                  <w:tcBorders>
                    <w:tl2br w:val="nil"/>
                    <w:tr2bl w:val="nil"/>
                  </w:tcBorders>
                  <w:noWrap w:val="0"/>
                  <w:vAlign w:val="center"/>
                </w:tcPr>
                <w:p w14:paraId="1438DEEC">
                  <w:pPr>
                    <w:pStyle w:val="57"/>
                    <w:rPr>
                      <w:rFonts w:hint="default" w:ascii="Times New Roman" w:hAnsi="Times New Roman" w:eastAsia="宋体"/>
                      <w:lang w:val="en-US" w:eastAsia="zh-CN"/>
                    </w:rPr>
                  </w:pPr>
                </w:p>
              </w:tc>
            </w:tr>
            <w:tr w14:paraId="4CB710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884" w:type="dxa"/>
                  <w:vMerge w:val="restart"/>
                  <w:tcBorders>
                    <w:tl2br w:val="nil"/>
                    <w:tr2bl w:val="nil"/>
                  </w:tcBorders>
                  <w:noWrap w:val="0"/>
                  <w:vAlign w:val="center"/>
                </w:tcPr>
                <w:p w14:paraId="39F4BCE7">
                  <w:pPr>
                    <w:pStyle w:val="57"/>
                    <w:rPr>
                      <w:rFonts w:hint="default" w:ascii="Times New Roman" w:hAnsi="Times New Roman" w:eastAsia="宋体"/>
                      <w:lang w:val="en-US" w:eastAsia="zh-CN"/>
                    </w:rPr>
                  </w:pPr>
                  <w:r>
                    <w:rPr>
                      <w:rFonts w:hint="default" w:ascii="Times New Roman" w:hAnsi="Times New Roman" w:eastAsia="宋体"/>
                      <w:lang w:val="en-US" w:eastAsia="zh-CN"/>
                    </w:rPr>
                    <w:t>环境</w:t>
                  </w:r>
                  <w:r>
                    <w:rPr>
                      <w:rFonts w:hint="eastAsia" w:ascii="Times New Roman" w:hAnsi="Times New Roman" w:eastAsia="宋体"/>
                      <w:lang w:val="en-US" w:eastAsia="zh-CN"/>
                    </w:rPr>
                    <w:t>空气</w:t>
                  </w:r>
                </w:p>
              </w:tc>
              <w:tc>
                <w:tcPr>
                  <w:tcW w:w="884" w:type="dxa"/>
                  <w:tcBorders>
                    <w:tl2br w:val="nil"/>
                    <w:tr2bl w:val="nil"/>
                  </w:tcBorders>
                  <w:noWrap w:val="0"/>
                  <w:vAlign w:val="center"/>
                </w:tcPr>
                <w:p w14:paraId="22FCFEAE">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水满</w:t>
                  </w:r>
                  <w:r>
                    <w:rPr>
                      <w:rFonts w:hint="default"/>
                      <w:lang w:val="en-US" w:eastAsia="zh-CN"/>
                    </w:rPr>
                    <w:t>村</w:t>
                  </w:r>
                  <w:r>
                    <w:rPr>
                      <w:rFonts w:hint="eastAsia"/>
                      <w:lang w:val="en-US" w:eastAsia="zh-CN"/>
                    </w:rPr>
                    <w:t>居民1#</w:t>
                  </w:r>
                </w:p>
              </w:tc>
              <w:tc>
                <w:tcPr>
                  <w:tcW w:w="1722" w:type="dxa"/>
                  <w:tcBorders>
                    <w:tl2br w:val="nil"/>
                    <w:tr2bl w:val="nil"/>
                  </w:tcBorders>
                  <w:noWrap w:val="0"/>
                  <w:vAlign w:val="center"/>
                </w:tcPr>
                <w:p w14:paraId="0DC8257D">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112.340495192</w:t>
                  </w:r>
                  <w:r>
                    <w:rPr>
                      <w:rFonts w:hint="eastAsia"/>
                      <w:lang w:val="en-US" w:eastAsia="zh-CN"/>
                    </w:rPr>
                    <w:t>，</w:t>
                  </w:r>
                  <w:r>
                    <w:rPr>
                      <w:rFonts w:hint="default" w:ascii="Times New Roman" w:hAnsi="Times New Roman" w:eastAsia="宋体"/>
                      <w:lang w:val="en-US" w:eastAsia="zh-CN"/>
                    </w:rPr>
                    <w:t>28.390819390</w:t>
                  </w:r>
                </w:p>
              </w:tc>
              <w:tc>
                <w:tcPr>
                  <w:tcW w:w="1312" w:type="dxa"/>
                  <w:tcBorders>
                    <w:tl2br w:val="nil"/>
                    <w:tr2bl w:val="nil"/>
                  </w:tcBorders>
                  <w:noWrap w:val="0"/>
                  <w:vAlign w:val="center"/>
                </w:tcPr>
                <w:p w14:paraId="02E47995">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居民，33户，约99人</w:t>
                  </w:r>
                </w:p>
              </w:tc>
              <w:tc>
                <w:tcPr>
                  <w:tcW w:w="884" w:type="dxa"/>
                  <w:tcBorders>
                    <w:tl2br w:val="nil"/>
                    <w:tr2bl w:val="nil"/>
                  </w:tcBorders>
                  <w:noWrap w:val="0"/>
                  <w:vAlign w:val="center"/>
                </w:tcPr>
                <w:p w14:paraId="10E3BB8D">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二类</w:t>
                  </w:r>
                </w:p>
              </w:tc>
              <w:tc>
                <w:tcPr>
                  <w:tcW w:w="885" w:type="dxa"/>
                  <w:tcBorders>
                    <w:tl2br w:val="nil"/>
                    <w:tr2bl w:val="nil"/>
                  </w:tcBorders>
                  <w:noWrap w:val="0"/>
                  <w:vAlign w:val="center"/>
                </w:tcPr>
                <w:p w14:paraId="588E563D">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西北</w:t>
                  </w:r>
                </w:p>
              </w:tc>
              <w:tc>
                <w:tcPr>
                  <w:tcW w:w="1410" w:type="dxa"/>
                  <w:tcBorders>
                    <w:tl2br w:val="nil"/>
                    <w:tr2bl w:val="nil"/>
                  </w:tcBorders>
                  <w:noWrap w:val="0"/>
                  <w:vAlign w:val="center"/>
                </w:tcPr>
                <w:p w14:paraId="0CE02CB5">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15-500</w:t>
                  </w:r>
                </w:p>
              </w:tc>
            </w:tr>
            <w:tr w14:paraId="3C3F87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884" w:type="dxa"/>
                  <w:vMerge w:val="continue"/>
                  <w:tcBorders>
                    <w:tl2br w:val="nil"/>
                    <w:tr2bl w:val="nil"/>
                  </w:tcBorders>
                  <w:noWrap w:val="0"/>
                  <w:vAlign w:val="center"/>
                </w:tcPr>
                <w:p w14:paraId="08376AE0">
                  <w:pPr>
                    <w:pStyle w:val="57"/>
                    <w:rPr>
                      <w:rFonts w:hint="default" w:ascii="Times New Roman" w:hAnsi="Times New Roman" w:eastAsia="宋体"/>
                      <w:lang w:val="en-US" w:eastAsia="zh-CN"/>
                    </w:rPr>
                  </w:pPr>
                </w:p>
              </w:tc>
              <w:tc>
                <w:tcPr>
                  <w:tcW w:w="884" w:type="dxa"/>
                  <w:tcBorders>
                    <w:tl2br w:val="nil"/>
                    <w:tr2bl w:val="nil"/>
                  </w:tcBorders>
                  <w:noWrap w:val="0"/>
                  <w:vAlign w:val="center"/>
                </w:tcPr>
                <w:p w14:paraId="3222A7C2">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水满</w:t>
                  </w:r>
                  <w:r>
                    <w:rPr>
                      <w:rFonts w:hint="default"/>
                      <w:lang w:val="en-US" w:eastAsia="zh-CN"/>
                    </w:rPr>
                    <w:t>塘村</w:t>
                  </w:r>
                  <w:r>
                    <w:rPr>
                      <w:rFonts w:hint="eastAsia"/>
                      <w:lang w:val="en-US" w:eastAsia="zh-CN"/>
                    </w:rPr>
                    <w:t>居民2#</w:t>
                  </w:r>
                </w:p>
              </w:tc>
              <w:tc>
                <w:tcPr>
                  <w:tcW w:w="1722" w:type="dxa"/>
                  <w:tcBorders>
                    <w:tl2br w:val="nil"/>
                    <w:tr2bl w:val="nil"/>
                  </w:tcBorders>
                  <w:noWrap w:val="0"/>
                  <w:vAlign w:val="center"/>
                </w:tcPr>
                <w:p w14:paraId="477C6ABE">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112.341771924</w:t>
                  </w:r>
                  <w:r>
                    <w:rPr>
                      <w:rFonts w:hint="eastAsia"/>
                      <w:lang w:val="en-US" w:eastAsia="zh-CN"/>
                    </w:rPr>
                    <w:t>，</w:t>
                  </w:r>
                  <w:r>
                    <w:rPr>
                      <w:rFonts w:hint="default" w:ascii="Times New Roman" w:hAnsi="Times New Roman" w:eastAsia="宋体"/>
                      <w:lang w:val="en-US" w:eastAsia="zh-CN"/>
                    </w:rPr>
                    <w:t>28.390851576</w:t>
                  </w:r>
                </w:p>
              </w:tc>
              <w:tc>
                <w:tcPr>
                  <w:tcW w:w="1312" w:type="dxa"/>
                  <w:tcBorders>
                    <w:tl2br w:val="nil"/>
                    <w:tr2bl w:val="nil"/>
                  </w:tcBorders>
                  <w:noWrap w:val="0"/>
                  <w:vAlign w:val="center"/>
                </w:tcPr>
                <w:p w14:paraId="5772BAAC">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居民，10户，约30人</w:t>
                  </w:r>
                </w:p>
              </w:tc>
              <w:tc>
                <w:tcPr>
                  <w:tcW w:w="884" w:type="dxa"/>
                  <w:tcBorders>
                    <w:tl2br w:val="nil"/>
                    <w:tr2bl w:val="nil"/>
                  </w:tcBorders>
                  <w:noWrap w:val="0"/>
                  <w:vAlign w:val="center"/>
                </w:tcPr>
                <w:p w14:paraId="445D836D">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二类</w:t>
                  </w:r>
                </w:p>
              </w:tc>
              <w:tc>
                <w:tcPr>
                  <w:tcW w:w="885" w:type="dxa"/>
                  <w:tcBorders>
                    <w:tl2br w:val="nil"/>
                    <w:tr2bl w:val="nil"/>
                  </w:tcBorders>
                  <w:noWrap w:val="0"/>
                  <w:vAlign w:val="center"/>
                </w:tcPr>
                <w:p w14:paraId="671505B2">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东北</w:t>
                  </w:r>
                </w:p>
              </w:tc>
              <w:tc>
                <w:tcPr>
                  <w:tcW w:w="1410" w:type="dxa"/>
                  <w:tcBorders>
                    <w:tl2br w:val="nil"/>
                    <w:tr2bl w:val="nil"/>
                  </w:tcBorders>
                  <w:noWrap w:val="0"/>
                  <w:vAlign w:val="center"/>
                </w:tcPr>
                <w:p w14:paraId="77BE631D">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15-500</w:t>
                  </w:r>
                </w:p>
              </w:tc>
            </w:tr>
            <w:tr w14:paraId="3F1B81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884" w:type="dxa"/>
                  <w:vMerge w:val="continue"/>
                  <w:tcBorders>
                    <w:tl2br w:val="nil"/>
                    <w:tr2bl w:val="nil"/>
                  </w:tcBorders>
                  <w:noWrap w:val="0"/>
                  <w:vAlign w:val="center"/>
                </w:tcPr>
                <w:p w14:paraId="58B0680C">
                  <w:pPr>
                    <w:pStyle w:val="57"/>
                    <w:rPr>
                      <w:rFonts w:hint="default" w:ascii="Times New Roman" w:hAnsi="Times New Roman" w:eastAsia="宋体"/>
                      <w:lang w:val="en-US" w:eastAsia="zh-CN"/>
                    </w:rPr>
                  </w:pPr>
                </w:p>
              </w:tc>
              <w:tc>
                <w:tcPr>
                  <w:tcW w:w="884" w:type="dxa"/>
                  <w:tcBorders>
                    <w:tl2br w:val="nil"/>
                    <w:tr2bl w:val="nil"/>
                  </w:tcBorders>
                  <w:noWrap w:val="0"/>
                  <w:vAlign w:val="center"/>
                </w:tcPr>
                <w:p w14:paraId="626192FB">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水满</w:t>
                  </w:r>
                  <w:r>
                    <w:rPr>
                      <w:rFonts w:hint="default"/>
                      <w:lang w:val="en-US" w:eastAsia="zh-CN"/>
                    </w:rPr>
                    <w:t>塘村</w:t>
                  </w:r>
                  <w:r>
                    <w:rPr>
                      <w:rFonts w:hint="eastAsia"/>
                      <w:lang w:val="en-US" w:eastAsia="zh-CN"/>
                    </w:rPr>
                    <w:t>居民3#</w:t>
                  </w:r>
                </w:p>
              </w:tc>
              <w:tc>
                <w:tcPr>
                  <w:tcW w:w="1722" w:type="dxa"/>
                  <w:tcBorders>
                    <w:tl2br w:val="nil"/>
                    <w:tr2bl w:val="nil"/>
                  </w:tcBorders>
                  <w:noWrap w:val="0"/>
                  <w:vAlign w:val="center"/>
                </w:tcPr>
                <w:p w14:paraId="590D0EF8">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112.342362010</w:t>
                  </w:r>
                  <w:r>
                    <w:rPr>
                      <w:rFonts w:hint="eastAsia"/>
                      <w:lang w:val="en-US" w:eastAsia="zh-CN"/>
                    </w:rPr>
                    <w:t>，</w:t>
                  </w:r>
                  <w:r>
                    <w:rPr>
                      <w:rFonts w:hint="default" w:ascii="Times New Roman" w:hAnsi="Times New Roman" w:eastAsia="宋体"/>
                      <w:lang w:val="en-US" w:eastAsia="zh-CN"/>
                    </w:rPr>
                    <w:t>28.389134963</w:t>
                  </w:r>
                </w:p>
              </w:tc>
              <w:tc>
                <w:tcPr>
                  <w:tcW w:w="1312" w:type="dxa"/>
                  <w:tcBorders>
                    <w:tl2br w:val="nil"/>
                    <w:tr2bl w:val="nil"/>
                  </w:tcBorders>
                  <w:noWrap w:val="0"/>
                  <w:vAlign w:val="center"/>
                </w:tcPr>
                <w:p w14:paraId="5852C09F">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居民，12户，约36人</w:t>
                  </w:r>
                </w:p>
              </w:tc>
              <w:tc>
                <w:tcPr>
                  <w:tcW w:w="884" w:type="dxa"/>
                  <w:tcBorders>
                    <w:tl2br w:val="nil"/>
                    <w:tr2bl w:val="nil"/>
                  </w:tcBorders>
                  <w:noWrap w:val="0"/>
                  <w:vAlign w:val="center"/>
                </w:tcPr>
                <w:p w14:paraId="0D145E7F">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二类</w:t>
                  </w:r>
                </w:p>
              </w:tc>
              <w:tc>
                <w:tcPr>
                  <w:tcW w:w="885" w:type="dxa"/>
                  <w:tcBorders>
                    <w:tl2br w:val="nil"/>
                    <w:tr2bl w:val="nil"/>
                  </w:tcBorders>
                  <w:noWrap w:val="0"/>
                  <w:vAlign w:val="center"/>
                </w:tcPr>
                <w:p w14:paraId="6C730FFB">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东南</w:t>
                  </w:r>
                </w:p>
              </w:tc>
              <w:tc>
                <w:tcPr>
                  <w:tcW w:w="1410" w:type="dxa"/>
                  <w:tcBorders>
                    <w:tl2br w:val="nil"/>
                    <w:tr2bl w:val="nil"/>
                  </w:tcBorders>
                  <w:noWrap w:val="0"/>
                  <w:vAlign w:val="center"/>
                </w:tcPr>
                <w:p w14:paraId="571E9A5E">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30-500</w:t>
                  </w:r>
                </w:p>
              </w:tc>
            </w:tr>
            <w:tr w14:paraId="5813E8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884" w:type="dxa"/>
                  <w:vMerge w:val="continue"/>
                  <w:tcBorders>
                    <w:tl2br w:val="nil"/>
                    <w:tr2bl w:val="nil"/>
                  </w:tcBorders>
                  <w:noWrap w:val="0"/>
                  <w:vAlign w:val="center"/>
                </w:tcPr>
                <w:p w14:paraId="458D1321">
                  <w:pPr>
                    <w:pStyle w:val="57"/>
                    <w:rPr>
                      <w:rFonts w:hint="default" w:ascii="Times New Roman" w:hAnsi="Times New Roman" w:eastAsia="宋体"/>
                      <w:lang w:val="en-US" w:eastAsia="zh-CN"/>
                    </w:rPr>
                  </w:pPr>
                </w:p>
              </w:tc>
              <w:tc>
                <w:tcPr>
                  <w:tcW w:w="884" w:type="dxa"/>
                  <w:tcBorders>
                    <w:tl2br w:val="nil"/>
                    <w:tr2bl w:val="nil"/>
                  </w:tcBorders>
                  <w:noWrap w:val="0"/>
                  <w:vAlign w:val="center"/>
                </w:tcPr>
                <w:p w14:paraId="375AABE5">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水满</w:t>
                  </w:r>
                  <w:r>
                    <w:rPr>
                      <w:rFonts w:hint="default"/>
                      <w:lang w:val="en-US" w:eastAsia="zh-CN"/>
                    </w:rPr>
                    <w:t>塘村</w:t>
                  </w:r>
                  <w:r>
                    <w:rPr>
                      <w:rFonts w:hint="eastAsia"/>
                      <w:lang w:val="en-US" w:eastAsia="zh-CN"/>
                    </w:rPr>
                    <w:t>居民4#</w:t>
                  </w:r>
                </w:p>
              </w:tc>
              <w:tc>
                <w:tcPr>
                  <w:tcW w:w="1722" w:type="dxa"/>
                  <w:tcBorders>
                    <w:tl2br w:val="nil"/>
                    <w:tr2bl w:val="nil"/>
                  </w:tcBorders>
                  <w:noWrap w:val="0"/>
                  <w:vAlign w:val="center"/>
                </w:tcPr>
                <w:p w14:paraId="5C002D5B">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112.338306509</w:t>
                  </w:r>
                  <w:r>
                    <w:rPr>
                      <w:rFonts w:hint="eastAsia"/>
                      <w:lang w:val="en-US" w:eastAsia="zh-CN"/>
                    </w:rPr>
                    <w:t>，</w:t>
                  </w:r>
                  <w:r>
                    <w:rPr>
                      <w:rFonts w:hint="default" w:ascii="Times New Roman" w:hAnsi="Times New Roman" w:eastAsia="宋体"/>
                      <w:lang w:val="en-US" w:eastAsia="zh-CN"/>
                    </w:rPr>
                    <w:t>28.387332518</w:t>
                  </w:r>
                </w:p>
              </w:tc>
              <w:tc>
                <w:tcPr>
                  <w:tcW w:w="1312" w:type="dxa"/>
                  <w:tcBorders>
                    <w:tl2br w:val="nil"/>
                    <w:tr2bl w:val="nil"/>
                  </w:tcBorders>
                  <w:noWrap w:val="0"/>
                  <w:vAlign w:val="center"/>
                </w:tcPr>
                <w:p w14:paraId="17C4894C">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居民，16户，约48人</w:t>
                  </w:r>
                </w:p>
              </w:tc>
              <w:tc>
                <w:tcPr>
                  <w:tcW w:w="884" w:type="dxa"/>
                  <w:tcBorders>
                    <w:tl2br w:val="nil"/>
                    <w:tr2bl w:val="nil"/>
                  </w:tcBorders>
                  <w:noWrap w:val="0"/>
                  <w:vAlign w:val="center"/>
                </w:tcPr>
                <w:p w14:paraId="689B9329">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二类</w:t>
                  </w:r>
                </w:p>
              </w:tc>
              <w:tc>
                <w:tcPr>
                  <w:tcW w:w="885" w:type="dxa"/>
                  <w:tcBorders>
                    <w:tl2br w:val="nil"/>
                    <w:tr2bl w:val="nil"/>
                  </w:tcBorders>
                  <w:noWrap w:val="0"/>
                  <w:vAlign w:val="center"/>
                </w:tcPr>
                <w:p w14:paraId="4BAF7CE1">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西南</w:t>
                  </w:r>
                </w:p>
              </w:tc>
              <w:tc>
                <w:tcPr>
                  <w:tcW w:w="1410" w:type="dxa"/>
                  <w:tcBorders>
                    <w:tl2br w:val="nil"/>
                    <w:tr2bl w:val="nil"/>
                  </w:tcBorders>
                  <w:noWrap w:val="0"/>
                  <w:vAlign w:val="center"/>
                </w:tcPr>
                <w:p w14:paraId="0A7A6704">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350-500</w:t>
                  </w:r>
                </w:p>
              </w:tc>
            </w:tr>
          </w:tbl>
          <w:p w14:paraId="6A5709F2">
            <w:pPr>
              <w:pStyle w:val="35"/>
              <w:ind w:firstLine="480"/>
              <w:rPr>
                <w:b/>
                <w:bCs/>
              </w:rPr>
            </w:pPr>
            <w:r>
              <w:rPr>
                <w:rFonts w:hint="eastAsia"/>
                <w:b/>
                <w:bCs/>
              </w:rPr>
              <w:t>2、声环境保护目标</w:t>
            </w:r>
          </w:p>
          <w:p w14:paraId="16291D01">
            <w:pPr>
              <w:adjustRightInd w:val="0"/>
              <w:snapToGrid w:val="0"/>
              <w:spacing w:line="360" w:lineRule="auto"/>
              <w:ind w:left="420" w:leftChars="200"/>
              <w:jc w:val="left"/>
              <w:rPr>
                <w:sz w:val="21"/>
                <w:szCs w:val="21"/>
              </w:rPr>
            </w:pPr>
            <w:r>
              <w:rPr>
                <w:rFonts w:ascii="Times New Roman" w:hAnsi="Times New Roman" w:eastAsia="宋体" w:cs="Times New Roman"/>
                <w:bCs/>
                <w:sz w:val="24"/>
              </w:rPr>
              <w:t>项目周边</w:t>
            </w:r>
            <w:r>
              <w:rPr>
                <w:rFonts w:hint="eastAsia" w:ascii="Times New Roman" w:hAnsi="Times New Roman" w:eastAsia="宋体" w:cs="Times New Roman"/>
                <w:bCs/>
                <w:sz w:val="24"/>
                <w:lang w:val="en-US" w:eastAsia="zh-CN"/>
              </w:rPr>
              <w:t>声环境保护目标见表3-6。</w:t>
            </w:r>
          </w:p>
          <w:p w14:paraId="373F9F86">
            <w:pPr>
              <w:pStyle w:val="11"/>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表3-</w:t>
            </w:r>
            <w:r>
              <w:rPr>
                <w:rFonts w:hint="eastAsia" w:ascii="Times New Roman" w:hAnsi="Times New Roman" w:eastAsia="宋体" w:cs="Times New Roman"/>
                <w:sz w:val="21"/>
                <w:szCs w:val="21"/>
                <w:lang w:val="en-US" w:eastAsia="zh-CN"/>
              </w:rPr>
              <w:t>6</w:t>
            </w:r>
            <w:r>
              <w:rPr>
                <w:rFonts w:hint="default" w:ascii="Times New Roman" w:hAnsi="Times New Roman" w:eastAsia="宋体" w:cs="Times New Roman"/>
                <w:sz w:val="21"/>
                <w:szCs w:val="21"/>
              </w:rPr>
              <w:t xml:space="preserve">  建设项目</w:t>
            </w:r>
            <w:r>
              <w:rPr>
                <w:rFonts w:hint="eastAsia" w:ascii="Times New Roman" w:hAnsi="Times New Roman" w:eastAsia="宋体" w:cs="Times New Roman"/>
                <w:sz w:val="21"/>
                <w:szCs w:val="21"/>
                <w:lang w:eastAsia="zh-CN"/>
              </w:rPr>
              <w:t>声</w:t>
            </w:r>
            <w:r>
              <w:rPr>
                <w:rFonts w:hint="default" w:ascii="Times New Roman" w:hAnsi="Times New Roman" w:eastAsia="宋体" w:cs="Times New Roman"/>
                <w:sz w:val="21"/>
                <w:szCs w:val="21"/>
              </w:rPr>
              <w:t>环境保护目标</w:t>
            </w:r>
          </w:p>
          <w:tbl>
            <w:tblPr>
              <w:tblStyle w:val="2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68"/>
              <w:gridCol w:w="868"/>
              <w:gridCol w:w="1691"/>
              <w:gridCol w:w="1288"/>
              <w:gridCol w:w="868"/>
              <w:gridCol w:w="869"/>
              <w:gridCol w:w="1519"/>
            </w:tblGrid>
            <w:tr w14:paraId="6626DD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3" w:hRule="atLeast"/>
                <w:jc w:val="center"/>
              </w:trPr>
              <w:tc>
                <w:tcPr>
                  <w:tcW w:w="868" w:type="dxa"/>
                  <w:vMerge w:val="restart"/>
                  <w:tcBorders>
                    <w:tl2br w:val="nil"/>
                    <w:tr2bl w:val="nil"/>
                  </w:tcBorders>
                  <w:noWrap w:val="0"/>
                  <w:vAlign w:val="center"/>
                </w:tcPr>
                <w:p w14:paraId="10082AB7">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要素</w:t>
                  </w:r>
                </w:p>
              </w:tc>
              <w:tc>
                <w:tcPr>
                  <w:tcW w:w="868" w:type="dxa"/>
                  <w:vMerge w:val="restart"/>
                  <w:tcBorders>
                    <w:tl2br w:val="nil"/>
                    <w:tr2bl w:val="nil"/>
                  </w:tcBorders>
                  <w:noWrap w:val="0"/>
                  <w:vAlign w:val="center"/>
                </w:tcPr>
                <w:p w14:paraId="34C066E1">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名称</w:t>
                  </w:r>
                </w:p>
              </w:tc>
              <w:tc>
                <w:tcPr>
                  <w:tcW w:w="1691" w:type="dxa"/>
                  <w:vMerge w:val="restart"/>
                  <w:tcBorders>
                    <w:tl2br w:val="nil"/>
                    <w:tr2bl w:val="nil"/>
                  </w:tcBorders>
                  <w:noWrap w:val="0"/>
                  <w:vAlign w:val="center"/>
                </w:tcPr>
                <w:p w14:paraId="70AF07C4">
                  <w:pPr>
                    <w:pStyle w:val="57"/>
                    <w:ind w:left="0" w:leftChars="0" w:right="0" w:rightChars="0" w:firstLine="0" w:firstLineChars="0"/>
                    <w:jc w:val="center"/>
                    <w:rPr>
                      <w:rFonts w:hint="default" w:ascii="Times New Roman" w:hAnsi="Times New Roman" w:eastAsia="宋体"/>
                      <w:lang w:val="en-US" w:eastAsia="zh-CN"/>
                    </w:rPr>
                  </w:pPr>
                  <w:r>
                    <w:rPr>
                      <w:rFonts w:hint="eastAsia" w:ascii="Times New Roman" w:hAnsi="Times New Roman" w:eastAsia="宋体"/>
                      <w:lang w:val="en-US" w:eastAsia="zh-CN"/>
                    </w:rPr>
                    <w:t>地理坐标</w:t>
                  </w:r>
                </w:p>
              </w:tc>
              <w:tc>
                <w:tcPr>
                  <w:tcW w:w="1288" w:type="dxa"/>
                  <w:vMerge w:val="restart"/>
                  <w:tcBorders>
                    <w:tl2br w:val="nil"/>
                    <w:tr2bl w:val="nil"/>
                  </w:tcBorders>
                  <w:noWrap w:val="0"/>
                  <w:vAlign w:val="center"/>
                </w:tcPr>
                <w:p w14:paraId="35D9DFDB">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保护内容</w:t>
                  </w:r>
                </w:p>
              </w:tc>
              <w:tc>
                <w:tcPr>
                  <w:tcW w:w="868" w:type="dxa"/>
                  <w:vMerge w:val="restart"/>
                  <w:tcBorders>
                    <w:tl2br w:val="nil"/>
                    <w:tr2bl w:val="nil"/>
                  </w:tcBorders>
                  <w:noWrap w:val="0"/>
                  <w:vAlign w:val="center"/>
                </w:tcPr>
                <w:p w14:paraId="41E2F87C">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环境功能区</w:t>
                  </w:r>
                </w:p>
              </w:tc>
              <w:tc>
                <w:tcPr>
                  <w:tcW w:w="869" w:type="dxa"/>
                  <w:vMerge w:val="restart"/>
                  <w:tcBorders>
                    <w:tl2br w:val="nil"/>
                    <w:tr2bl w:val="nil"/>
                  </w:tcBorders>
                  <w:noWrap w:val="0"/>
                  <w:vAlign w:val="center"/>
                </w:tcPr>
                <w:p w14:paraId="05A12FCD">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相对厂址方位</w:t>
                  </w:r>
                </w:p>
              </w:tc>
              <w:tc>
                <w:tcPr>
                  <w:tcW w:w="1519" w:type="dxa"/>
                  <w:vMerge w:val="restart"/>
                  <w:tcBorders>
                    <w:tl2br w:val="nil"/>
                    <w:tr2bl w:val="nil"/>
                  </w:tcBorders>
                  <w:noWrap w:val="0"/>
                  <w:vAlign w:val="center"/>
                </w:tcPr>
                <w:p w14:paraId="3DFAA04D">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相对厂界距离/m</w:t>
                  </w:r>
                </w:p>
              </w:tc>
            </w:tr>
            <w:tr w14:paraId="516818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4" w:hRule="atLeast"/>
                <w:jc w:val="center"/>
              </w:trPr>
              <w:tc>
                <w:tcPr>
                  <w:tcW w:w="868" w:type="dxa"/>
                  <w:vMerge w:val="continue"/>
                  <w:tcBorders>
                    <w:tl2br w:val="nil"/>
                    <w:tr2bl w:val="nil"/>
                  </w:tcBorders>
                  <w:noWrap w:val="0"/>
                  <w:vAlign w:val="center"/>
                </w:tcPr>
                <w:p w14:paraId="1812FB38">
                  <w:pPr>
                    <w:pStyle w:val="57"/>
                    <w:ind w:left="0" w:leftChars="0" w:right="0" w:rightChars="0" w:firstLine="0" w:firstLineChars="0"/>
                    <w:jc w:val="center"/>
                    <w:rPr>
                      <w:rFonts w:hint="default" w:ascii="Times New Roman" w:hAnsi="Times New Roman" w:eastAsia="宋体"/>
                      <w:lang w:val="en-US" w:eastAsia="zh-CN"/>
                    </w:rPr>
                  </w:pPr>
                </w:p>
              </w:tc>
              <w:tc>
                <w:tcPr>
                  <w:tcW w:w="868" w:type="dxa"/>
                  <w:vMerge w:val="continue"/>
                  <w:tcBorders>
                    <w:tl2br w:val="nil"/>
                    <w:tr2bl w:val="nil"/>
                  </w:tcBorders>
                  <w:noWrap w:val="0"/>
                  <w:vAlign w:val="center"/>
                </w:tcPr>
                <w:p w14:paraId="236AC18B">
                  <w:pPr>
                    <w:pStyle w:val="57"/>
                    <w:ind w:left="0" w:leftChars="0" w:right="0" w:rightChars="0" w:firstLine="0" w:firstLineChars="0"/>
                    <w:jc w:val="center"/>
                    <w:rPr>
                      <w:rFonts w:hint="default" w:ascii="Times New Roman" w:hAnsi="Times New Roman" w:eastAsia="宋体"/>
                      <w:lang w:val="en-US" w:eastAsia="zh-CN"/>
                    </w:rPr>
                  </w:pPr>
                </w:p>
              </w:tc>
              <w:tc>
                <w:tcPr>
                  <w:tcW w:w="1691" w:type="dxa"/>
                  <w:vMerge w:val="continue"/>
                  <w:tcBorders>
                    <w:tl2br w:val="nil"/>
                    <w:tr2bl w:val="nil"/>
                  </w:tcBorders>
                  <w:noWrap w:val="0"/>
                  <w:vAlign w:val="center"/>
                </w:tcPr>
                <w:p w14:paraId="0BB163FC">
                  <w:pPr>
                    <w:pStyle w:val="57"/>
                    <w:ind w:left="0" w:leftChars="0" w:right="0" w:rightChars="0" w:firstLine="0" w:firstLineChars="0"/>
                    <w:jc w:val="center"/>
                    <w:rPr>
                      <w:rFonts w:hint="default" w:ascii="Times New Roman" w:hAnsi="Times New Roman" w:eastAsia="宋体"/>
                      <w:lang w:val="en-US" w:eastAsia="zh-CN"/>
                    </w:rPr>
                  </w:pPr>
                </w:p>
              </w:tc>
              <w:tc>
                <w:tcPr>
                  <w:tcW w:w="1288" w:type="dxa"/>
                  <w:vMerge w:val="continue"/>
                  <w:tcBorders>
                    <w:tl2br w:val="nil"/>
                    <w:tr2bl w:val="nil"/>
                  </w:tcBorders>
                  <w:noWrap w:val="0"/>
                  <w:vAlign w:val="center"/>
                </w:tcPr>
                <w:p w14:paraId="7A388680">
                  <w:pPr>
                    <w:pStyle w:val="57"/>
                    <w:ind w:left="0" w:leftChars="0" w:right="0" w:rightChars="0" w:firstLine="0" w:firstLineChars="0"/>
                    <w:jc w:val="center"/>
                    <w:rPr>
                      <w:rFonts w:hint="default" w:ascii="Times New Roman" w:hAnsi="Times New Roman" w:eastAsia="宋体"/>
                      <w:lang w:val="en-US" w:eastAsia="zh-CN"/>
                    </w:rPr>
                  </w:pPr>
                </w:p>
              </w:tc>
              <w:tc>
                <w:tcPr>
                  <w:tcW w:w="868" w:type="dxa"/>
                  <w:vMerge w:val="continue"/>
                  <w:tcBorders>
                    <w:tl2br w:val="nil"/>
                    <w:tr2bl w:val="nil"/>
                  </w:tcBorders>
                  <w:noWrap w:val="0"/>
                  <w:vAlign w:val="center"/>
                </w:tcPr>
                <w:p w14:paraId="0C9706E3">
                  <w:pPr>
                    <w:pStyle w:val="57"/>
                    <w:ind w:left="0" w:leftChars="0" w:right="0" w:rightChars="0" w:firstLine="0" w:firstLineChars="0"/>
                    <w:jc w:val="center"/>
                    <w:rPr>
                      <w:rFonts w:hint="default" w:ascii="Times New Roman" w:hAnsi="Times New Roman" w:eastAsia="宋体"/>
                      <w:lang w:val="en-US" w:eastAsia="zh-CN"/>
                    </w:rPr>
                  </w:pPr>
                </w:p>
              </w:tc>
              <w:tc>
                <w:tcPr>
                  <w:tcW w:w="869" w:type="dxa"/>
                  <w:vMerge w:val="continue"/>
                  <w:tcBorders>
                    <w:tl2br w:val="nil"/>
                    <w:tr2bl w:val="nil"/>
                  </w:tcBorders>
                  <w:noWrap w:val="0"/>
                  <w:vAlign w:val="center"/>
                </w:tcPr>
                <w:p w14:paraId="112268AE">
                  <w:pPr>
                    <w:pStyle w:val="57"/>
                    <w:ind w:left="0" w:leftChars="0" w:right="0" w:rightChars="0" w:firstLine="0" w:firstLineChars="0"/>
                    <w:jc w:val="center"/>
                    <w:rPr>
                      <w:rFonts w:hint="default" w:ascii="Times New Roman" w:hAnsi="Times New Roman" w:eastAsia="宋体"/>
                      <w:lang w:val="en-US" w:eastAsia="zh-CN"/>
                    </w:rPr>
                  </w:pPr>
                </w:p>
              </w:tc>
              <w:tc>
                <w:tcPr>
                  <w:tcW w:w="1519" w:type="dxa"/>
                  <w:vMerge w:val="continue"/>
                  <w:tcBorders>
                    <w:tl2br w:val="nil"/>
                    <w:tr2bl w:val="nil"/>
                  </w:tcBorders>
                  <w:noWrap w:val="0"/>
                  <w:vAlign w:val="center"/>
                </w:tcPr>
                <w:p w14:paraId="377E56E3">
                  <w:pPr>
                    <w:pStyle w:val="57"/>
                    <w:ind w:left="0" w:leftChars="0" w:right="0" w:rightChars="0" w:firstLine="0" w:firstLineChars="0"/>
                    <w:jc w:val="center"/>
                    <w:rPr>
                      <w:rFonts w:hint="default" w:ascii="Times New Roman" w:hAnsi="Times New Roman" w:eastAsia="宋体"/>
                      <w:lang w:val="en-US" w:eastAsia="zh-CN"/>
                    </w:rPr>
                  </w:pPr>
                </w:p>
              </w:tc>
            </w:tr>
            <w:tr w14:paraId="4672FB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73" w:hRule="atLeast"/>
                <w:jc w:val="center"/>
              </w:trPr>
              <w:tc>
                <w:tcPr>
                  <w:tcW w:w="868" w:type="dxa"/>
                  <w:vMerge w:val="restart"/>
                  <w:tcBorders>
                    <w:tl2br w:val="nil"/>
                    <w:tr2bl w:val="nil"/>
                  </w:tcBorders>
                  <w:noWrap w:val="0"/>
                  <w:vAlign w:val="center"/>
                </w:tcPr>
                <w:p w14:paraId="47A79665">
                  <w:pPr>
                    <w:pStyle w:val="57"/>
                    <w:ind w:left="0" w:leftChars="0" w:right="0" w:rightChars="0" w:firstLine="0" w:firstLineChars="0"/>
                    <w:jc w:val="center"/>
                    <w:rPr>
                      <w:rFonts w:hint="default" w:ascii="Times New Roman" w:hAnsi="Times New Roman" w:eastAsia="宋体"/>
                      <w:lang w:val="en-US" w:eastAsia="zh-CN"/>
                    </w:rPr>
                  </w:pPr>
                  <w:r>
                    <w:rPr>
                      <w:rFonts w:hint="eastAsia" w:ascii="Times New Roman" w:hAnsi="Times New Roman" w:eastAsia="宋体"/>
                      <w:lang w:val="en-US" w:eastAsia="zh-CN"/>
                    </w:rPr>
                    <w:t>声环境</w:t>
                  </w:r>
                </w:p>
              </w:tc>
              <w:tc>
                <w:tcPr>
                  <w:tcW w:w="868" w:type="dxa"/>
                  <w:tcBorders>
                    <w:tl2br w:val="nil"/>
                    <w:tr2bl w:val="nil"/>
                  </w:tcBorders>
                  <w:noWrap w:val="0"/>
                  <w:vAlign w:val="center"/>
                </w:tcPr>
                <w:p w14:paraId="53C26B85">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水满</w:t>
                  </w:r>
                  <w:r>
                    <w:rPr>
                      <w:rFonts w:hint="default"/>
                      <w:lang w:val="en-US" w:eastAsia="zh-CN"/>
                    </w:rPr>
                    <w:t>村</w:t>
                  </w:r>
                  <w:r>
                    <w:rPr>
                      <w:rFonts w:hint="eastAsia"/>
                      <w:lang w:val="en-US" w:eastAsia="zh-CN"/>
                    </w:rPr>
                    <w:t>居民1#</w:t>
                  </w:r>
                </w:p>
              </w:tc>
              <w:tc>
                <w:tcPr>
                  <w:tcW w:w="1691" w:type="dxa"/>
                  <w:tcBorders>
                    <w:tl2br w:val="nil"/>
                    <w:tr2bl w:val="nil"/>
                  </w:tcBorders>
                  <w:noWrap w:val="0"/>
                  <w:vAlign w:val="center"/>
                </w:tcPr>
                <w:p w14:paraId="660F4602">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112.340495192</w:t>
                  </w:r>
                  <w:r>
                    <w:rPr>
                      <w:rFonts w:hint="eastAsia"/>
                      <w:lang w:val="en-US" w:eastAsia="zh-CN"/>
                    </w:rPr>
                    <w:t>，</w:t>
                  </w:r>
                  <w:r>
                    <w:rPr>
                      <w:rFonts w:hint="default" w:ascii="Times New Roman" w:hAnsi="Times New Roman" w:eastAsia="宋体"/>
                      <w:lang w:val="en-US" w:eastAsia="zh-CN"/>
                    </w:rPr>
                    <w:t>28.390819390</w:t>
                  </w:r>
                </w:p>
              </w:tc>
              <w:tc>
                <w:tcPr>
                  <w:tcW w:w="1288" w:type="dxa"/>
                  <w:tcBorders>
                    <w:tl2br w:val="nil"/>
                    <w:tr2bl w:val="nil"/>
                  </w:tcBorders>
                  <w:noWrap w:val="0"/>
                  <w:vAlign w:val="center"/>
                </w:tcPr>
                <w:p w14:paraId="75072DEA">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2户，约6人</w:t>
                  </w:r>
                </w:p>
              </w:tc>
              <w:tc>
                <w:tcPr>
                  <w:tcW w:w="868" w:type="dxa"/>
                  <w:vMerge w:val="restart"/>
                  <w:tcBorders>
                    <w:tl2br w:val="nil"/>
                    <w:tr2bl w:val="nil"/>
                  </w:tcBorders>
                  <w:noWrap w:val="0"/>
                  <w:vAlign w:val="center"/>
                </w:tcPr>
                <w:p w14:paraId="65664984">
                  <w:pPr>
                    <w:pStyle w:val="57"/>
                    <w:ind w:left="0" w:leftChars="0" w:right="0" w:rightChars="0" w:firstLine="0" w:firstLineChars="0"/>
                    <w:jc w:val="center"/>
                    <w:rPr>
                      <w:rFonts w:hint="default" w:ascii="Times New Roman" w:hAnsi="Times New Roman" w:eastAsia="宋体"/>
                      <w:lang w:val="en-US" w:eastAsia="zh-CN"/>
                    </w:rPr>
                  </w:pPr>
                  <w:r>
                    <w:rPr>
                      <w:rFonts w:hint="eastAsia" w:ascii="Times New Roman" w:hAnsi="Times New Roman" w:eastAsia="宋体"/>
                      <w:lang w:val="en-US" w:eastAsia="zh-CN"/>
                    </w:rPr>
                    <w:t>声环境2类区</w:t>
                  </w:r>
                </w:p>
              </w:tc>
              <w:tc>
                <w:tcPr>
                  <w:tcW w:w="869" w:type="dxa"/>
                  <w:tcBorders>
                    <w:tl2br w:val="nil"/>
                    <w:tr2bl w:val="nil"/>
                  </w:tcBorders>
                  <w:shd w:val="clear" w:color="auto" w:fill="auto"/>
                  <w:noWrap w:val="0"/>
                  <w:vAlign w:val="center"/>
                </w:tcPr>
                <w:p w14:paraId="2EC6F737">
                  <w:pPr>
                    <w:pStyle w:val="57"/>
                    <w:ind w:left="0" w:leftChars="0" w:right="0" w:rightChars="0" w:firstLine="0" w:firstLineChars="0"/>
                    <w:jc w:val="center"/>
                    <w:rPr>
                      <w:rFonts w:hint="eastAsia" w:ascii="Times New Roman" w:hAnsi="Times New Roman" w:eastAsia="宋体" w:cstheme="minorBidi"/>
                      <w:kern w:val="2"/>
                      <w:sz w:val="21"/>
                      <w:szCs w:val="32"/>
                      <w:lang w:val="en-US" w:eastAsia="zh-CN" w:bidi="ar-SA"/>
                    </w:rPr>
                  </w:pPr>
                  <w:r>
                    <w:rPr>
                      <w:rFonts w:hint="eastAsia"/>
                      <w:lang w:val="en-US" w:eastAsia="zh-CN"/>
                    </w:rPr>
                    <w:t>西北</w:t>
                  </w:r>
                </w:p>
              </w:tc>
              <w:tc>
                <w:tcPr>
                  <w:tcW w:w="1519" w:type="dxa"/>
                  <w:tcBorders>
                    <w:tl2br w:val="nil"/>
                    <w:tr2bl w:val="nil"/>
                  </w:tcBorders>
                  <w:noWrap w:val="0"/>
                  <w:vAlign w:val="center"/>
                </w:tcPr>
                <w:p w14:paraId="62044572">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15-50</w:t>
                  </w:r>
                </w:p>
              </w:tc>
            </w:tr>
            <w:tr w14:paraId="249BF0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73" w:hRule="atLeast"/>
                <w:jc w:val="center"/>
              </w:trPr>
              <w:tc>
                <w:tcPr>
                  <w:tcW w:w="868" w:type="dxa"/>
                  <w:vMerge w:val="continue"/>
                  <w:tcBorders>
                    <w:tl2br w:val="nil"/>
                    <w:tr2bl w:val="nil"/>
                  </w:tcBorders>
                  <w:noWrap w:val="0"/>
                  <w:vAlign w:val="center"/>
                </w:tcPr>
                <w:p w14:paraId="19E338CF">
                  <w:pPr>
                    <w:pStyle w:val="57"/>
                    <w:ind w:left="0" w:leftChars="0" w:right="0" w:rightChars="0" w:firstLine="0" w:firstLineChars="0"/>
                    <w:jc w:val="center"/>
                    <w:rPr>
                      <w:rFonts w:hint="eastAsia" w:ascii="Times New Roman" w:hAnsi="Times New Roman" w:eastAsia="宋体"/>
                      <w:lang w:val="en-US" w:eastAsia="zh-CN"/>
                    </w:rPr>
                  </w:pPr>
                </w:p>
              </w:tc>
              <w:tc>
                <w:tcPr>
                  <w:tcW w:w="868" w:type="dxa"/>
                  <w:tcBorders>
                    <w:tl2br w:val="nil"/>
                    <w:tr2bl w:val="nil"/>
                  </w:tcBorders>
                  <w:noWrap w:val="0"/>
                  <w:vAlign w:val="center"/>
                </w:tcPr>
                <w:p w14:paraId="2F983413">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水满</w:t>
                  </w:r>
                  <w:r>
                    <w:rPr>
                      <w:rFonts w:hint="default"/>
                      <w:lang w:val="en-US" w:eastAsia="zh-CN"/>
                    </w:rPr>
                    <w:t>塘村</w:t>
                  </w:r>
                  <w:r>
                    <w:rPr>
                      <w:rFonts w:hint="eastAsia"/>
                      <w:lang w:val="en-US" w:eastAsia="zh-CN"/>
                    </w:rPr>
                    <w:t>居民2#</w:t>
                  </w:r>
                </w:p>
              </w:tc>
              <w:tc>
                <w:tcPr>
                  <w:tcW w:w="1691" w:type="dxa"/>
                  <w:tcBorders>
                    <w:tl2br w:val="nil"/>
                    <w:tr2bl w:val="nil"/>
                  </w:tcBorders>
                  <w:noWrap w:val="0"/>
                  <w:vAlign w:val="center"/>
                </w:tcPr>
                <w:p w14:paraId="64CC32CB">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112.341771924</w:t>
                  </w:r>
                  <w:r>
                    <w:rPr>
                      <w:rFonts w:hint="eastAsia"/>
                      <w:lang w:val="en-US" w:eastAsia="zh-CN"/>
                    </w:rPr>
                    <w:t>，</w:t>
                  </w:r>
                  <w:r>
                    <w:rPr>
                      <w:rFonts w:hint="default" w:ascii="Times New Roman" w:hAnsi="Times New Roman" w:eastAsia="宋体"/>
                      <w:lang w:val="en-US" w:eastAsia="zh-CN"/>
                    </w:rPr>
                    <w:t>28.390851576</w:t>
                  </w:r>
                </w:p>
              </w:tc>
              <w:tc>
                <w:tcPr>
                  <w:tcW w:w="1288" w:type="dxa"/>
                  <w:tcBorders>
                    <w:tl2br w:val="nil"/>
                    <w:tr2bl w:val="nil"/>
                  </w:tcBorders>
                  <w:noWrap w:val="0"/>
                  <w:vAlign w:val="center"/>
                </w:tcPr>
                <w:p w14:paraId="69DED9FB">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4户，约12人</w:t>
                  </w:r>
                </w:p>
              </w:tc>
              <w:tc>
                <w:tcPr>
                  <w:tcW w:w="868" w:type="dxa"/>
                  <w:vMerge w:val="continue"/>
                  <w:tcBorders>
                    <w:tl2br w:val="nil"/>
                    <w:tr2bl w:val="nil"/>
                  </w:tcBorders>
                  <w:noWrap w:val="0"/>
                  <w:vAlign w:val="center"/>
                </w:tcPr>
                <w:p w14:paraId="11A5CECF">
                  <w:pPr>
                    <w:pStyle w:val="57"/>
                    <w:ind w:left="0" w:leftChars="0" w:right="0" w:rightChars="0" w:firstLine="0" w:firstLineChars="0"/>
                    <w:jc w:val="center"/>
                    <w:rPr>
                      <w:rFonts w:hint="eastAsia" w:ascii="Times New Roman" w:hAnsi="Times New Roman" w:eastAsia="宋体"/>
                      <w:lang w:val="en-US" w:eastAsia="zh-CN"/>
                    </w:rPr>
                  </w:pPr>
                </w:p>
              </w:tc>
              <w:tc>
                <w:tcPr>
                  <w:tcW w:w="869" w:type="dxa"/>
                  <w:tcBorders>
                    <w:tl2br w:val="nil"/>
                    <w:tr2bl w:val="nil"/>
                  </w:tcBorders>
                  <w:shd w:val="clear" w:color="auto" w:fill="auto"/>
                  <w:noWrap w:val="0"/>
                  <w:vAlign w:val="center"/>
                </w:tcPr>
                <w:p w14:paraId="0D04BCE3">
                  <w:pPr>
                    <w:pStyle w:val="57"/>
                    <w:ind w:left="0" w:leftChars="0" w:right="0" w:rightChars="0" w:firstLine="0" w:firstLineChars="0"/>
                    <w:jc w:val="center"/>
                    <w:rPr>
                      <w:rFonts w:hint="eastAsia" w:ascii="Times New Roman" w:hAnsi="Times New Roman" w:eastAsia="宋体" w:cstheme="minorBidi"/>
                      <w:kern w:val="2"/>
                      <w:sz w:val="21"/>
                      <w:szCs w:val="32"/>
                      <w:lang w:val="en-US" w:eastAsia="zh-CN" w:bidi="ar-SA"/>
                    </w:rPr>
                  </w:pPr>
                  <w:r>
                    <w:rPr>
                      <w:rFonts w:hint="eastAsia"/>
                      <w:lang w:val="en-US" w:eastAsia="zh-CN"/>
                    </w:rPr>
                    <w:t>东北</w:t>
                  </w:r>
                </w:p>
              </w:tc>
              <w:tc>
                <w:tcPr>
                  <w:tcW w:w="1519" w:type="dxa"/>
                  <w:tcBorders>
                    <w:tl2br w:val="nil"/>
                    <w:tr2bl w:val="nil"/>
                  </w:tcBorders>
                  <w:noWrap w:val="0"/>
                  <w:vAlign w:val="center"/>
                </w:tcPr>
                <w:p w14:paraId="190F8F8A">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15-50</w:t>
                  </w:r>
                </w:p>
              </w:tc>
            </w:tr>
          </w:tbl>
          <w:p w14:paraId="089EBE64">
            <w:pPr>
              <w:pStyle w:val="35"/>
              <w:ind w:firstLine="480"/>
              <w:rPr>
                <w:rFonts w:hint="eastAsia"/>
                <w:b/>
                <w:bCs/>
              </w:rPr>
            </w:pPr>
          </w:p>
          <w:p w14:paraId="088AD59B">
            <w:pPr>
              <w:pStyle w:val="35"/>
              <w:ind w:firstLine="480"/>
              <w:rPr>
                <w:b/>
                <w:bCs/>
              </w:rPr>
            </w:pPr>
            <w:r>
              <w:rPr>
                <w:rFonts w:hint="eastAsia"/>
                <w:b/>
                <w:bCs/>
              </w:rPr>
              <w:t>3、地表水环境</w:t>
            </w:r>
          </w:p>
          <w:p w14:paraId="51315048">
            <w:pPr>
              <w:pStyle w:val="35"/>
              <w:ind w:firstLine="480"/>
              <w:rPr>
                <w:rFonts w:hint="eastAsia" w:ascii="Times New Roman" w:hAnsi="Times New Roman" w:eastAsia="宋体" w:cs="Times New Roman"/>
              </w:rPr>
            </w:pPr>
            <w:r>
              <w:rPr>
                <w:rFonts w:hint="eastAsia"/>
              </w:rPr>
              <w:t>本项目主要地表水环境保护目标</w:t>
            </w:r>
            <w:r>
              <w:rPr>
                <w:rFonts w:hint="eastAsia" w:ascii="Times New Roman" w:hAnsi="Times New Roman" w:eastAsia="宋体" w:cs="Times New Roman"/>
              </w:rPr>
              <w:t>为</w:t>
            </w:r>
            <w:r>
              <w:rPr>
                <w:rFonts w:hint="eastAsia"/>
                <w:lang w:val="en-US" w:eastAsia="zh-CN"/>
              </w:rPr>
              <w:t>志溪河</w:t>
            </w:r>
            <w:r>
              <w:rPr>
                <w:rFonts w:hint="eastAsia" w:ascii="Times New Roman" w:hAnsi="Times New Roman" w:eastAsia="宋体" w:cs="Times New Roman"/>
              </w:rPr>
              <w:t>。</w:t>
            </w:r>
          </w:p>
          <w:p w14:paraId="6BE1C41A">
            <w:pPr>
              <w:pStyle w:val="34"/>
              <w:keepNext w:val="0"/>
              <w:keepLines w:val="0"/>
              <w:pageBreakBefore w:val="0"/>
              <w:widowControl w:val="0"/>
              <w:kinsoku/>
              <w:wordWrap/>
              <w:overflowPunct/>
              <w:topLinePunct w:val="0"/>
              <w:autoSpaceDE/>
              <w:autoSpaceDN/>
              <w:bidi w:val="0"/>
              <w:adjustRightInd/>
              <w:snapToGrid/>
              <w:spacing w:before="0" w:beforeLines="0"/>
              <w:textAlignment w:val="auto"/>
              <w:rPr>
                <w:sz w:val="21"/>
                <w:szCs w:val="21"/>
              </w:rPr>
            </w:pPr>
            <w:r>
              <w:rPr>
                <w:rFonts w:hint="eastAsia"/>
                <w:sz w:val="21"/>
                <w:szCs w:val="21"/>
              </w:rPr>
              <w:t>表3-</w:t>
            </w:r>
            <w:r>
              <w:rPr>
                <w:rFonts w:hint="eastAsia"/>
                <w:sz w:val="21"/>
                <w:szCs w:val="21"/>
                <w:lang w:val="en-US" w:eastAsia="zh-CN"/>
              </w:rPr>
              <w:t>7</w:t>
            </w:r>
            <w:r>
              <w:rPr>
                <w:rFonts w:hint="eastAsia"/>
                <w:sz w:val="21"/>
                <w:szCs w:val="21"/>
              </w:rPr>
              <w:t xml:space="preserve">  地表水环境保护目标</w:t>
            </w:r>
          </w:p>
          <w:tbl>
            <w:tblPr>
              <w:tblStyle w:val="28"/>
              <w:tblW w:w="80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1201"/>
              <w:gridCol w:w="1623"/>
              <w:gridCol w:w="1568"/>
              <w:gridCol w:w="2675"/>
            </w:tblGrid>
            <w:tr w14:paraId="47EDE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47" w:type="dxa"/>
                  <w:noWrap w:val="0"/>
                  <w:vAlign w:val="center"/>
                </w:tcPr>
                <w:p w14:paraId="47B08CB9">
                  <w:pPr>
                    <w:pStyle w:val="57"/>
                    <w:rPr>
                      <w:rFonts w:hint="eastAsia"/>
                    </w:rPr>
                  </w:pPr>
                  <w:r>
                    <w:rPr>
                      <w:rFonts w:hint="default" w:ascii="Times New Roman" w:hAnsi="Times New Roman" w:eastAsia="宋体"/>
                      <w:lang w:val="en-US" w:eastAsia="zh-CN"/>
                    </w:rPr>
                    <w:t>要素</w:t>
                  </w:r>
                </w:p>
              </w:tc>
              <w:tc>
                <w:tcPr>
                  <w:tcW w:w="1201" w:type="dxa"/>
                  <w:noWrap w:val="0"/>
                  <w:vAlign w:val="center"/>
                </w:tcPr>
                <w:p w14:paraId="113FF7A0">
                  <w:pPr>
                    <w:pStyle w:val="57"/>
                    <w:rPr>
                      <w:rFonts w:hint="eastAsia" w:ascii="Times New Roman" w:hAnsi="Times New Roman" w:eastAsia="宋体" w:cs="Times New Roman"/>
                      <w:kern w:val="2"/>
                      <w:sz w:val="21"/>
                      <w:szCs w:val="32"/>
                      <w:lang w:val="en-US" w:eastAsia="zh-CN" w:bidi="ar-SA"/>
                    </w:rPr>
                  </w:pPr>
                  <w:r>
                    <w:rPr>
                      <w:rFonts w:hint="eastAsia"/>
                    </w:rPr>
                    <w:t>名称</w:t>
                  </w:r>
                </w:p>
              </w:tc>
              <w:tc>
                <w:tcPr>
                  <w:tcW w:w="1623" w:type="dxa"/>
                  <w:noWrap w:val="0"/>
                  <w:vAlign w:val="center"/>
                </w:tcPr>
                <w:p w14:paraId="5E856B86">
                  <w:pPr>
                    <w:pStyle w:val="57"/>
                  </w:pPr>
                  <w:r>
                    <w:rPr>
                      <w:rFonts w:hint="eastAsia"/>
                    </w:rPr>
                    <w:t>方位/距离</w:t>
                  </w:r>
                </w:p>
              </w:tc>
              <w:tc>
                <w:tcPr>
                  <w:tcW w:w="1568" w:type="dxa"/>
                  <w:noWrap w:val="0"/>
                  <w:vAlign w:val="center"/>
                </w:tcPr>
                <w:p w14:paraId="11FA1867">
                  <w:pPr>
                    <w:pStyle w:val="57"/>
                  </w:pPr>
                  <w:r>
                    <w:rPr>
                      <w:rFonts w:hint="eastAsia"/>
                    </w:rPr>
                    <w:t>主要功能</w:t>
                  </w:r>
                </w:p>
              </w:tc>
              <w:tc>
                <w:tcPr>
                  <w:tcW w:w="2675" w:type="dxa"/>
                  <w:noWrap w:val="0"/>
                  <w:vAlign w:val="center"/>
                </w:tcPr>
                <w:p w14:paraId="5439A970">
                  <w:pPr>
                    <w:pStyle w:val="57"/>
                  </w:pPr>
                  <w:r>
                    <w:rPr>
                      <w:rFonts w:hint="eastAsia"/>
                    </w:rPr>
                    <w:t>保护目标</w:t>
                  </w:r>
                </w:p>
              </w:tc>
            </w:tr>
            <w:tr w14:paraId="373A7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947" w:type="dxa"/>
                  <w:noWrap w:val="0"/>
                  <w:vAlign w:val="center"/>
                </w:tcPr>
                <w:p w14:paraId="0847E2BE">
                  <w:pPr>
                    <w:pStyle w:val="57"/>
                    <w:rPr>
                      <w:rFonts w:hint="default"/>
                      <w:lang w:val="en-US" w:eastAsia="zh-CN"/>
                    </w:rPr>
                  </w:pPr>
                  <w:r>
                    <w:rPr>
                      <w:rFonts w:hint="eastAsia"/>
                      <w:lang w:val="en-US" w:eastAsia="zh-CN"/>
                    </w:rPr>
                    <w:t>地表水环境</w:t>
                  </w:r>
                </w:p>
              </w:tc>
              <w:tc>
                <w:tcPr>
                  <w:tcW w:w="1201" w:type="dxa"/>
                  <w:noWrap w:val="0"/>
                  <w:vAlign w:val="center"/>
                </w:tcPr>
                <w:p w14:paraId="26C7BF2C">
                  <w:pPr>
                    <w:pStyle w:val="57"/>
                    <w:rPr>
                      <w:rFonts w:hint="eastAsia" w:ascii="Times New Roman" w:hAnsi="Times New Roman" w:eastAsia="宋体" w:cs="Times New Roman"/>
                      <w:kern w:val="2"/>
                      <w:sz w:val="21"/>
                      <w:szCs w:val="32"/>
                      <w:lang w:val="en-US" w:eastAsia="zh-CN" w:bidi="ar-SA"/>
                    </w:rPr>
                  </w:pPr>
                  <w:r>
                    <w:rPr>
                      <w:rFonts w:hint="eastAsia"/>
                      <w:lang w:val="en-US" w:eastAsia="zh-CN"/>
                    </w:rPr>
                    <w:t>志溪河</w:t>
                  </w:r>
                </w:p>
              </w:tc>
              <w:tc>
                <w:tcPr>
                  <w:tcW w:w="1623" w:type="dxa"/>
                  <w:noWrap w:val="0"/>
                  <w:vAlign w:val="center"/>
                </w:tcPr>
                <w:p w14:paraId="669EED01">
                  <w:pPr>
                    <w:pStyle w:val="57"/>
                    <w:rPr>
                      <w:rFonts w:hint="default" w:eastAsia="宋体"/>
                      <w:lang w:val="en-US" w:eastAsia="zh-CN"/>
                    </w:rPr>
                  </w:pPr>
                  <w:r>
                    <w:rPr>
                      <w:rFonts w:hint="eastAsia"/>
                      <w:lang w:val="en-US" w:eastAsia="zh-CN"/>
                    </w:rPr>
                    <w:t>西北，2675m</w:t>
                  </w:r>
                </w:p>
              </w:tc>
              <w:tc>
                <w:tcPr>
                  <w:tcW w:w="1568" w:type="dxa"/>
                  <w:noWrap w:val="0"/>
                  <w:vAlign w:val="center"/>
                </w:tcPr>
                <w:p w14:paraId="45FE4A69">
                  <w:pPr>
                    <w:pStyle w:val="57"/>
                    <w:rPr>
                      <w:rFonts w:hint="default" w:eastAsia="宋体"/>
                      <w:lang w:val="en-US" w:eastAsia="zh-CN"/>
                    </w:rPr>
                  </w:pPr>
                  <w:r>
                    <w:rPr>
                      <w:rFonts w:hint="eastAsia"/>
                      <w:lang w:val="en-US" w:eastAsia="zh-CN"/>
                    </w:rPr>
                    <w:t>渔业用水</w:t>
                  </w:r>
                </w:p>
              </w:tc>
              <w:tc>
                <w:tcPr>
                  <w:tcW w:w="2675" w:type="dxa"/>
                  <w:noWrap w:val="0"/>
                  <w:vAlign w:val="center"/>
                </w:tcPr>
                <w:p w14:paraId="041F5F68">
                  <w:pPr>
                    <w:pStyle w:val="57"/>
                  </w:pPr>
                  <w:r>
                    <w:rPr>
                      <w:rFonts w:hint="default" w:ascii="Times New Roman" w:hAnsi="Times New Roman" w:cs="Times New Roman"/>
                    </w:rPr>
                    <w:t>《地表水环境质量标准》（GB3838-2002）</w:t>
                  </w:r>
                  <w:r>
                    <w:rPr>
                      <w:rFonts w:hint="default" w:ascii="Times New Roman" w:hAnsi="Times New Roman" w:eastAsia="宋体" w:cs="Times New Roman"/>
                    </w:rPr>
                    <w:t>Ⅲ</w:t>
                  </w:r>
                  <w:r>
                    <w:rPr>
                      <w:rFonts w:hint="default" w:ascii="Times New Roman" w:hAnsi="Times New Roman" w:cs="Times New Roman"/>
                    </w:rPr>
                    <w:t>类标准</w:t>
                  </w:r>
                </w:p>
              </w:tc>
            </w:tr>
          </w:tbl>
          <w:p w14:paraId="186443C5">
            <w:pPr>
              <w:pStyle w:val="35"/>
              <w:ind w:firstLine="480"/>
              <w:rPr>
                <w:b/>
                <w:bCs/>
              </w:rPr>
            </w:pPr>
            <w:r>
              <w:rPr>
                <w:rFonts w:hint="eastAsia"/>
                <w:b/>
                <w:bCs/>
              </w:rPr>
              <w:t>4、地下水</w:t>
            </w:r>
          </w:p>
          <w:p w14:paraId="5988997B">
            <w:pPr>
              <w:pStyle w:val="35"/>
              <w:ind w:firstLine="480"/>
            </w:pPr>
            <w:r>
              <w:rPr>
                <w:rFonts w:hint="eastAsia"/>
              </w:rPr>
              <w:t>本项目厂界外500米范围内无地下水饮用水水源和热水、矿泉水、温泉等特殊地下水资源。</w:t>
            </w:r>
          </w:p>
          <w:p w14:paraId="6874F75F">
            <w:pPr>
              <w:pStyle w:val="35"/>
              <w:ind w:firstLine="480"/>
              <w:rPr>
                <w:b/>
                <w:bCs/>
              </w:rPr>
            </w:pPr>
            <w:r>
              <w:rPr>
                <w:rFonts w:hint="eastAsia"/>
                <w:b/>
                <w:bCs/>
              </w:rPr>
              <w:t>5、生态环境</w:t>
            </w:r>
          </w:p>
          <w:p w14:paraId="6A42E2BB">
            <w:pPr>
              <w:pStyle w:val="35"/>
              <w:ind w:firstLine="480"/>
            </w:pPr>
            <w:r>
              <w:rPr>
                <w:rFonts w:hint="eastAsia"/>
              </w:rPr>
              <w:t>本项目用地范围内无生态环境保护目标。</w:t>
            </w:r>
          </w:p>
        </w:tc>
      </w:tr>
      <w:tr w14:paraId="46924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tcBorders>
              <w:top w:val="single" w:color="000000" w:sz="8" w:space="0"/>
            </w:tcBorders>
            <w:vAlign w:val="center"/>
          </w:tcPr>
          <w:p w14:paraId="7CD0552B">
            <w:pPr>
              <w:pStyle w:val="36"/>
            </w:pPr>
            <w:r>
              <w:rPr>
                <w:rFonts w:hint="eastAsia"/>
              </w:rPr>
              <w:t>污染物排放标准</w:t>
            </w:r>
          </w:p>
        </w:tc>
        <w:tc>
          <w:tcPr>
            <w:tcW w:w="8223" w:type="dxa"/>
            <w:tcBorders>
              <w:top w:val="single" w:color="000000" w:sz="8" w:space="0"/>
            </w:tcBorders>
          </w:tcPr>
          <w:p w14:paraId="5F605166">
            <w:pPr>
              <w:adjustRightInd w:val="0"/>
              <w:snapToGrid w:val="0"/>
              <w:spacing w:before="156" w:beforeLines="50" w:line="360" w:lineRule="auto"/>
              <w:ind w:firstLine="482" w:firstLineChars="200"/>
              <w:jc w:val="left"/>
              <w:rPr>
                <w:rFonts w:hint="eastAsia"/>
                <w:b/>
                <w:bCs/>
                <w:szCs w:val="24"/>
              </w:rPr>
            </w:pPr>
            <w:r>
              <w:rPr>
                <w:rFonts w:hint="eastAsia" w:ascii="Times New Roman" w:hAnsi="Times New Roman" w:eastAsia="宋体"/>
                <w:b/>
                <w:bCs/>
                <w:sz w:val="24"/>
                <w:szCs w:val="24"/>
              </w:rPr>
              <w:t>1、大气污染物</w:t>
            </w:r>
          </w:p>
          <w:p w14:paraId="23401815">
            <w:pPr>
              <w:spacing w:line="360" w:lineRule="auto"/>
              <w:ind w:firstLine="480" w:firstLineChars="200"/>
              <w:rPr>
                <w:rFonts w:hint="eastAsia" w:eastAsia="宋体"/>
                <w:lang w:eastAsia="zh-CN"/>
              </w:rPr>
            </w:pPr>
            <w:r>
              <w:rPr>
                <w:rFonts w:hint="eastAsia" w:ascii="Times New Roman" w:hAnsi="Times New Roman" w:eastAsia="宋体" w:cstheme="minorBidi"/>
                <w:kern w:val="2"/>
                <w:sz w:val="24"/>
                <w:szCs w:val="22"/>
                <w:lang w:val="en-US" w:eastAsia="zh-CN" w:bidi="ar-SA"/>
              </w:rPr>
              <w:t>项目加工粉尘废气排放执行《大气污染物综合排放标准》（GB16297-1996）表2中最高允许排放浓度及无组织排放浓度监控限值；生物质锅炉烟气污染物排放执行《锅炉大气污染物排放标准》（GB13271-2014）表3中燃煤锅炉特别排放限值；氨排放浓度参照执行《火电厂烟气脱硝工程技术规范选择性非催化还原法（HJ563-2010）》氨逃逸的规定（低于8.0mg/m</w:t>
            </w:r>
            <w:r>
              <w:rPr>
                <w:rFonts w:hint="eastAsia" w:ascii="Times New Roman" w:hAnsi="Times New Roman" w:eastAsia="宋体" w:cstheme="minorBidi"/>
                <w:kern w:val="2"/>
                <w:sz w:val="24"/>
                <w:szCs w:val="22"/>
                <w:vertAlign w:val="superscript"/>
                <w:lang w:val="en-US" w:eastAsia="zh-CN" w:bidi="ar-SA"/>
              </w:rPr>
              <w:t>3</w:t>
            </w:r>
            <w:r>
              <w:rPr>
                <w:rFonts w:hint="eastAsia" w:ascii="Times New Roman" w:hAnsi="Times New Roman" w:eastAsia="宋体" w:cstheme="minorBidi"/>
                <w:kern w:val="2"/>
                <w:sz w:val="24"/>
                <w:szCs w:val="22"/>
                <w:lang w:val="en-US" w:eastAsia="zh-CN" w:bidi="ar-SA"/>
              </w:rPr>
              <w:t>）。</w:t>
            </w:r>
          </w:p>
          <w:p w14:paraId="398DF136">
            <w:pPr>
              <w:pStyle w:val="11"/>
              <w:spacing w:line="360" w:lineRule="exact"/>
              <w:rPr>
                <w:rFonts w:hint="eastAsia" w:ascii="Times New Roman" w:hAnsi="Times New Roman" w:eastAsia="宋体" w:cs="Times New Roman"/>
                <w:b/>
                <w:color w:val="auto"/>
                <w:kern w:val="2"/>
                <w:sz w:val="21"/>
                <w:szCs w:val="21"/>
                <w:lang w:val="en-US" w:eastAsia="zh-CN" w:bidi="ar-SA"/>
              </w:rPr>
            </w:pPr>
            <w:r>
              <w:rPr>
                <w:rFonts w:hint="eastAsia" w:ascii="Times New Roman" w:hAnsi="Times New Roman" w:eastAsia="宋体" w:cs="Times New Roman"/>
                <w:b/>
                <w:color w:val="auto"/>
                <w:kern w:val="2"/>
                <w:sz w:val="21"/>
                <w:szCs w:val="21"/>
                <w:lang w:val="en-US" w:eastAsia="zh-CN" w:bidi="ar-SA"/>
              </w:rPr>
              <w:t>表3-8  《大气污染物综合排放标准》（GB16297-1996）</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Pr>
            <w:tblGrid>
              <w:gridCol w:w="1395"/>
              <w:gridCol w:w="1612"/>
              <w:gridCol w:w="1265"/>
              <w:gridCol w:w="1015"/>
              <w:gridCol w:w="1478"/>
              <w:gridCol w:w="1231"/>
            </w:tblGrid>
            <w:tr w14:paraId="68552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cantSplit/>
                <w:trHeight w:val="340" w:hRule="atLeast"/>
                <w:jc w:val="center"/>
              </w:trPr>
              <w:tc>
                <w:tcPr>
                  <w:tcW w:w="872" w:type="pct"/>
                  <w:vMerge w:val="restart"/>
                  <w:vAlign w:val="center"/>
                </w:tcPr>
                <w:p w14:paraId="262A2DD7">
                  <w:pPr>
                    <w:pStyle w:val="57"/>
                    <w:ind w:left="0" w:leftChars="0" w:right="0" w:rightChars="0" w:firstLine="0" w:firstLineChars="0"/>
                    <w:jc w:val="center"/>
                    <w:rPr>
                      <w:rFonts w:hint="eastAsia" w:ascii="Times New Roman" w:hAnsi="Times New Roman"/>
                      <w:lang w:val="en-US" w:eastAsia="zh-CN"/>
                    </w:rPr>
                  </w:pPr>
                  <w:r>
                    <w:rPr>
                      <w:rFonts w:hint="eastAsia" w:ascii="Times New Roman" w:hAnsi="Times New Roman"/>
                      <w:lang w:val="en-US" w:eastAsia="zh-CN"/>
                    </w:rPr>
                    <w:t>污染物</w:t>
                  </w:r>
                </w:p>
              </w:tc>
              <w:tc>
                <w:tcPr>
                  <w:tcW w:w="1008" w:type="pct"/>
                  <w:vMerge w:val="restart"/>
                  <w:vAlign w:val="center"/>
                </w:tcPr>
                <w:p w14:paraId="043B1CBC">
                  <w:pPr>
                    <w:pStyle w:val="57"/>
                    <w:ind w:left="0" w:leftChars="0" w:right="0" w:rightChars="0" w:firstLine="0" w:firstLineChars="0"/>
                    <w:jc w:val="center"/>
                    <w:rPr>
                      <w:rFonts w:hint="eastAsia" w:ascii="Times New Roman" w:hAnsi="Times New Roman"/>
                      <w:lang w:val="en-US" w:eastAsia="zh-CN"/>
                    </w:rPr>
                  </w:pPr>
                  <w:r>
                    <w:rPr>
                      <w:rFonts w:hint="eastAsia" w:ascii="Times New Roman" w:hAnsi="Times New Roman"/>
                      <w:lang w:val="en-US" w:eastAsia="zh-CN"/>
                    </w:rPr>
                    <w:t>最高允许排放浓度（mg/m</w:t>
                  </w:r>
                  <w:r>
                    <w:rPr>
                      <w:rFonts w:hint="eastAsia" w:ascii="Times New Roman" w:hAnsi="Times New Roman"/>
                      <w:vertAlign w:val="superscript"/>
                      <w:lang w:val="en-US" w:eastAsia="zh-CN"/>
                    </w:rPr>
                    <w:t>3</w:t>
                  </w:r>
                  <w:r>
                    <w:rPr>
                      <w:rFonts w:hint="eastAsia" w:ascii="Times New Roman" w:hAnsi="Times New Roman"/>
                      <w:lang w:val="en-US" w:eastAsia="zh-CN"/>
                    </w:rPr>
                    <w:t>）</w:t>
                  </w:r>
                </w:p>
              </w:tc>
              <w:tc>
                <w:tcPr>
                  <w:tcW w:w="1426" w:type="pct"/>
                  <w:gridSpan w:val="2"/>
                  <w:vAlign w:val="center"/>
                </w:tcPr>
                <w:p w14:paraId="086F1C35">
                  <w:pPr>
                    <w:pStyle w:val="57"/>
                    <w:ind w:left="0" w:leftChars="0" w:right="0" w:rightChars="0" w:firstLine="0" w:firstLineChars="0"/>
                    <w:jc w:val="center"/>
                    <w:rPr>
                      <w:rFonts w:hint="eastAsia" w:ascii="Times New Roman" w:hAnsi="Times New Roman"/>
                      <w:lang w:val="en-US" w:eastAsia="zh-CN"/>
                    </w:rPr>
                  </w:pPr>
                  <w:r>
                    <w:rPr>
                      <w:rFonts w:hint="eastAsia" w:ascii="Times New Roman" w:hAnsi="Times New Roman"/>
                      <w:lang w:val="en-US" w:eastAsia="zh-CN"/>
                    </w:rPr>
                    <w:t>最高允许排放速率</w:t>
                  </w:r>
                </w:p>
              </w:tc>
              <w:tc>
                <w:tcPr>
                  <w:tcW w:w="1695" w:type="pct"/>
                  <w:gridSpan w:val="2"/>
                  <w:vAlign w:val="center"/>
                </w:tcPr>
                <w:p w14:paraId="1E214050">
                  <w:pPr>
                    <w:pStyle w:val="57"/>
                    <w:ind w:left="0" w:leftChars="0" w:right="0" w:rightChars="0" w:firstLine="0" w:firstLineChars="0"/>
                    <w:jc w:val="center"/>
                    <w:rPr>
                      <w:rFonts w:hint="eastAsia" w:ascii="Times New Roman" w:hAnsi="Times New Roman"/>
                      <w:lang w:val="en-US" w:eastAsia="zh-CN"/>
                    </w:rPr>
                  </w:pPr>
                  <w:r>
                    <w:rPr>
                      <w:rFonts w:hint="eastAsia" w:ascii="Times New Roman" w:hAnsi="Times New Roman"/>
                      <w:lang w:val="en-US" w:eastAsia="zh-CN"/>
                    </w:rPr>
                    <w:t>无组织排放监控浓度限值</w:t>
                  </w:r>
                </w:p>
              </w:tc>
            </w:tr>
            <w:tr w14:paraId="3CAEC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cantSplit/>
                <w:trHeight w:val="340" w:hRule="atLeast"/>
                <w:jc w:val="center"/>
              </w:trPr>
              <w:tc>
                <w:tcPr>
                  <w:tcW w:w="872" w:type="pct"/>
                  <w:vMerge w:val="continue"/>
                  <w:vAlign w:val="center"/>
                </w:tcPr>
                <w:p w14:paraId="5BC8D7B7">
                  <w:pPr>
                    <w:pStyle w:val="57"/>
                    <w:ind w:left="0" w:leftChars="0" w:right="0" w:rightChars="0" w:firstLine="0" w:firstLineChars="0"/>
                    <w:jc w:val="center"/>
                    <w:rPr>
                      <w:rFonts w:hint="eastAsia" w:ascii="Times New Roman" w:hAnsi="Times New Roman"/>
                      <w:lang w:val="en-US" w:eastAsia="zh-CN"/>
                    </w:rPr>
                  </w:pPr>
                </w:p>
              </w:tc>
              <w:tc>
                <w:tcPr>
                  <w:tcW w:w="1008" w:type="pct"/>
                  <w:vMerge w:val="continue"/>
                  <w:vAlign w:val="center"/>
                </w:tcPr>
                <w:p w14:paraId="77A445ED">
                  <w:pPr>
                    <w:pStyle w:val="57"/>
                    <w:ind w:left="0" w:leftChars="0" w:right="0" w:rightChars="0" w:firstLine="0" w:firstLineChars="0"/>
                    <w:jc w:val="center"/>
                    <w:rPr>
                      <w:rFonts w:hint="eastAsia" w:ascii="Times New Roman" w:hAnsi="Times New Roman"/>
                      <w:lang w:val="en-US" w:eastAsia="zh-CN"/>
                    </w:rPr>
                  </w:pPr>
                </w:p>
              </w:tc>
              <w:tc>
                <w:tcPr>
                  <w:tcW w:w="791" w:type="pct"/>
                  <w:vAlign w:val="center"/>
                </w:tcPr>
                <w:p w14:paraId="032E7974">
                  <w:pPr>
                    <w:pStyle w:val="57"/>
                    <w:ind w:left="0" w:leftChars="0" w:right="0" w:rightChars="0" w:firstLine="0" w:firstLineChars="0"/>
                    <w:jc w:val="center"/>
                    <w:rPr>
                      <w:rFonts w:hint="eastAsia" w:ascii="Times New Roman" w:hAnsi="Times New Roman"/>
                      <w:lang w:val="en-US" w:eastAsia="zh-CN"/>
                    </w:rPr>
                  </w:pPr>
                  <w:r>
                    <w:rPr>
                      <w:rFonts w:hint="eastAsia" w:ascii="Times New Roman" w:hAnsi="Times New Roman"/>
                      <w:lang w:val="en-US" w:eastAsia="zh-CN"/>
                    </w:rPr>
                    <w:t>排气筒（m）</w:t>
                  </w:r>
                </w:p>
              </w:tc>
              <w:tc>
                <w:tcPr>
                  <w:tcW w:w="635" w:type="pct"/>
                  <w:vAlign w:val="center"/>
                </w:tcPr>
                <w:p w14:paraId="7F9E24F8">
                  <w:pPr>
                    <w:pStyle w:val="57"/>
                    <w:ind w:left="0" w:leftChars="0" w:right="0" w:rightChars="0" w:firstLine="0" w:firstLineChars="0"/>
                    <w:jc w:val="center"/>
                    <w:rPr>
                      <w:rFonts w:hint="eastAsia" w:ascii="Times New Roman" w:hAnsi="Times New Roman"/>
                      <w:lang w:val="en-US" w:eastAsia="zh-CN"/>
                    </w:rPr>
                  </w:pPr>
                  <w:r>
                    <w:rPr>
                      <w:rFonts w:hint="eastAsia" w:ascii="Times New Roman" w:hAnsi="Times New Roman"/>
                      <w:lang w:val="en-US" w:eastAsia="zh-CN"/>
                    </w:rPr>
                    <w:t>二级</w:t>
                  </w:r>
                </w:p>
                <w:p w14:paraId="2708C6E8">
                  <w:pPr>
                    <w:pStyle w:val="57"/>
                    <w:ind w:left="0" w:leftChars="0" w:right="0" w:rightChars="0" w:firstLine="0" w:firstLineChars="0"/>
                    <w:jc w:val="center"/>
                    <w:rPr>
                      <w:rFonts w:hint="eastAsia" w:ascii="Times New Roman" w:hAnsi="Times New Roman"/>
                      <w:lang w:val="en-US" w:eastAsia="zh-CN"/>
                    </w:rPr>
                  </w:pPr>
                  <w:r>
                    <w:rPr>
                      <w:rFonts w:hint="eastAsia" w:ascii="Times New Roman" w:hAnsi="Times New Roman"/>
                      <w:lang w:val="en-US" w:eastAsia="zh-CN"/>
                    </w:rPr>
                    <w:t>（kg/h）</w:t>
                  </w:r>
                </w:p>
              </w:tc>
              <w:tc>
                <w:tcPr>
                  <w:tcW w:w="924" w:type="pct"/>
                  <w:vAlign w:val="center"/>
                </w:tcPr>
                <w:p w14:paraId="7985EBD4">
                  <w:pPr>
                    <w:pStyle w:val="57"/>
                    <w:ind w:left="0" w:leftChars="0" w:right="0" w:rightChars="0" w:firstLine="0" w:firstLineChars="0"/>
                    <w:jc w:val="center"/>
                    <w:rPr>
                      <w:rFonts w:hint="eastAsia" w:ascii="Times New Roman" w:hAnsi="Times New Roman"/>
                      <w:lang w:val="en-US" w:eastAsia="zh-CN"/>
                    </w:rPr>
                  </w:pPr>
                  <w:r>
                    <w:rPr>
                      <w:rFonts w:hint="eastAsia" w:ascii="Times New Roman" w:hAnsi="Times New Roman"/>
                      <w:lang w:val="en-US" w:eastAsia="zh-CN"/>
                    </w:rPr>
                    <w:t>监控点</w:t>
                  </w:r>
                </w:p>
              </w:tc>
              <w:tc>
                <w:tcPr>
                  <w:tcW w:w="771" w:type="pct"/>
                  <w:vAlign w:val="center"/>
                </w:tcPr>
                <w:p w14:paraId="0E87AC25">
                  <w:pPr>
                    <w:pStyle w:val="57"/>
                    <w:ind w:left="0" w:leftChars="0" w:right="0" w:rightChars="0" w:firstLine="0" w:firstLineChars="0"/>
                    <w:jc w:val="center"/>
                    <w:rPr>
                      <w:rFonts w:hint="eastAsia" w:ascii="Times New Roman" w:hAnsi="Times New Roman"/>
                      <w:lang w:val="en-US" w:eastAsia="zh-CN"/>
                    </w:rPr>
                  </w:pPr>
                  <w:r>
                    <w:rPr>
                      <w:rFonts w:hint="eastAsia" w:ascii="Times New Roman" w:hAnsi="Times New Roman"/>
                      <w:lang w:val="en-US" w:eastAsia="zh-CN"/>
                    </w:rPr>
                    <w:t>浓度（mg/m</w:t>
                  </w:r>
                  <w:r>
                    <w:rPr>
                      <w:rFonts w:hint="eastAsia" w:ascii="Times New Roman" w:hAnsi="Times New Roman"/>
                      <w:vertAlign w:val="superscript"/>
                      <w:lang w:val="en-US" w:eastAsia="zh-CN"/>
                    </w:rPr>
                    <w:t>3</w:t>
                  </w:r>
                  <w:r>
                    <w:rPr>
                      <w:rFonts w:hint="eastAsia" w:ascii="Times New Roman" w:hAnsi="Times New Roman"/>
                      <w:lang w:val="en-US" w:eastAsia="zh-CN"/>
                    </w:rPr>
                    <w:t>）</w:t>
                  </w:r>
                </w:p>
              </w:tc>
            </w:tr>
            <w:tr w14:paraId="454D1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cantSplit/>
                <w:trHeight w:val="340" w:hRule="atLeast"/>
                <w:jc w:val="center"/>
              </w:trPr>
              <w:tc>
                <w:tcPr>
                  <w:tcW w:w="872" w:type="pct"/>
                  <w:vAlign w:val="center"/>
                </w:tcPr>
                <w:p w14:paraId="179568B4">
                  <w:pPr>
                    <w:pStyle w:val="57"/>
                    <w:ind w:left="0" w:leftChars="0" w:right="0" w:rightChars="0" w:firstLine="0" w:firstLineChars="0"/>
                    <w:jc w:val="center"/>
                    <w:rPr>
                      <w:rFonts w:hint="eastAsia" w:ascii="Times New Roman" w:hAnsi="Times New Roman"/>
                      <w:lang w:val="en-US" w:eastAsia="zh-CN"/>
                    </w:rPr>
                  </w:pPr>
                  <w:r>
                    <w:rPr>
                      <w:rFonts w:hint="eastAsia" w:ascii="Times New Roman" w:hAnsi="Times New Roman"/>
                      <w:lang w:val="en-US" w:eastAsia="zh-CN"/>
                    </w:rPr>
                    <w:t>颗粒物</w:t>
                  </w:r>
                </w:p>
              </w:tc>
              <w:tc>
                <w:tcPr>
                  <w:tcW w:w="1008" w:type="pct"/>
                  <w:vAlign w:val="center"/>
                </w:tcPr>
                <w:p w14:paraId="7107EA4B">
                  <w:pPr>
                    <w:pStyle w:val="57"/>
                    <w:ind w:left="0" w:leftChars="0" w:right="0" w:rightChars="0" w:firstLine="0" w:firstLineChars="0"/>
                    <w:jc w:val="center"/>
                    <w:rPr>
                      <w:rFonts w:hint="eastAsia" w:ascii="Times New Roman" w:hAnsi="Times New Roman"/>
                      <w:lang w:val="en-US" w:eastAsia="zh-CN"/>
                    </w:rPr>
                  </w:pPr>
                  <w:r>
                    <w:rPr>
                      <w:rFonts w:hint="eastAsia" w:ascii="Times New Roman" w:hAnsi="Times New Roman"/>
                      <w:lang w:val="en-US" w:eastAsia="zh-CN"/>
                    </w:rPr>
                    <w:t>120</w:t>
                  </w:r>
                </w:p>
              </w:tc>
              <w:tc>
                <w:tcPr>
                  <w:tcW w:w="791" w:type="pct"/>
                  <w:vAlign w:val="center"/>
                </w:tcPr>
                <w:p w14:paraId="5F89CA6B">
                  <w:pPr>
                    <w:pStyle w:val="57"/>
                    <w:ind w:left="0" w:leftChars="0" w:right="0" w:rightChars="0" w:firstLine="0" w:firstLineChars="0"/>
                    <w:jc w:val="center"/>
                    <w:rPr>
                      <w:rFonts w:hint="eastAsia" w:ascii="Times New Roman" w:hAnsi="Times New Roman"/>
                      <w:lang w:val="en-US" w:eastAsia="zh-CN"/>
                    </w:rPr>
                  </w:pPr>
                  <w:r>
                    <w:rPr>
                      <w:rFonts w:hint="eastAsia" w:ascii="Times New Roman" w:hAnsi="Times New Roman"/>
                      <w:lang w:val="en-US" w:eastAsia="zh-CN"/>
                    </w:rPr>
                    <w:t>15</w:t>
                  </w:r>
                </w:p>
              </w:tc>
              <w:tc>
                <w:tcPr>
                  <w:tcW w:w="635" w:type="pct"/>
                  <w:vAlign w:val="center"/>
                </w:tcPr>
                <w:p w14:paraId="25F41EEC">
                  <w:pPr>
                    <w:pStyle w:val="57"/>
                    <w:ind w:left="0" w:leftChars="0" w:right="0" w:rightChars="0" w:firstLine="0" w:firstLineChars="0"/>
                    <w:jc w:val="center"/>
                    <w:rPr>
                      <w:rFonts w:hint="eastAsia" w:ascii="Times New Roman" w:hAnsi="Times New Roman"/>
                      <w:lang w:val="en-US" w:eastAsia="zh-CN"/>
                    </w:rPr>
                  </w:pPr>
                  <w:r>
                    <w:rPr>
                      <w:rFonts w:hint="eastAsia" w:ascii="Times New Roman" w:hAnsi="Times New Roman"/>
                      <w:lang w:val="en-US" w:eastAsia="zh-CN"/>
                    </w:rPr>
                    <w:t>3.5</w:t>
                  </w:r>
                </w:p>
              </w:tc>
              <w:tc>
                <w:tcPr>
                  <w:tcW w:w="924" w:type="pct"/>
                  <w:vAlign w:val="center"/>
                </w:tcPr>
                <w:p w14:paraId="05DB44D8">
                  <w:pPr>
                    <w:pStyle w:val="57"/>
                    <w:ind w:left="0" w:leftChars="0" w:right="0" w:rightChars="0" w:firstLine="0" w:firstLineChars="0"/>
                    <w:jc w:val="center"/>
                    <w:rPr>
                      <w:rFonts w:hint="eastAsia" w:ascii="Times New Roman" w:hAnsi="Times New Roman"/>
                      <w:lang w:val="en-US" w:eastAsia="zh-CN"/>
                    </w:rPr>
                  </w:pPr>
                  <w:r>
                    <w:rPr>
                      <w:rFonts w:hint="eastAsia" w:ascii="Times New Roman" w:hAnsi="Times New Roman"/>
                      <w:lang w:val="en-US" w:eastAsia="zh-CN"/>
                    </w:rPr>
                    <w:t>周界外浓度最高点</w:t>
                  </w:r>
                </w:p>
              </w:tc>
              <w:tc>
                <w:tcPr>
                  <w:tcW w:w="771" w:type="pct"/>
                  <w:vAlign w:val="center"/>
                </w:tcPr>
                <w:p w14:paraId="0E2FCE83">
                  <w:pPr>
                    <w:pStyle w:val="57"/>
                    <w:ind w:left="0" w:leftChars="0" w:right="0" w:rightChars="0" w:firstLine="0" w:firstLineChars="0"/>
                    <w:jc w:val="center"/>
                    <w:rPr>
                      <w:rFonts w:hint="eastAsia" w:ascii="Times New Roman" w:hAnsi="Times New Roman"/>
                      <w:lang w:val="en-US" w:eastAsia="zh-CN"/>
                    </w:rPr>
                  </w:pPr>
                  <w:r>
                    <w:rPr>
                      <w:rFonts w:hint="eastAsia" w:ascii="Times New Roman" w:hAnsi="Times New Roman"/>
                      <w:lang w:val="en-US" w:eastAsia="zh-CN"/>
                    </w:rPr>
                    <w:t>1.0</w:t>
                  </w:r>
                </w:p>
              </w:tc>
            </w:tr>
          </w:tbl>
          <w:p w14:paraId="2505B32A">
            <w:pPr>
              <w:pStyle w:val="34"/>
              <w:keepNext w:val="0"/>
              <w:keepLines w:val="0"/>
              <w:pageBreakBefore w:val="0"/>
              <w:widowControl w:val="0"/>
              <w:kinsoku/>
              <w:wordWrap/>
              <w:overflowPunct/>
              <w:topLinePunct w:val="0"/>
              <w:autoSpaceDE/>
              <w:autoSpaceDN/>
              <w:bidi w:val="0"/>
              <w:adjustRightInd/>
              <w:snapToGrid/>
              <w:spacing w:before="0" w:beforeLines="0"/>
              <w:textAlignment w:val="auto"/>
              <w:rPr>
                <w:sz w:val="21"/>
                <w:szCs w:val="21"/>
              </w:rPr>
            </w:pPr>
            <w:r>
              <w:rPr>
                <w:rFonts w:hint="eastAsia"/>
                <w:sz w:val="21"/>
                <w:szCs w:val="21"/>
              </w:rPr>
              <w:t>表3-</w:t>
            </w:r>
            <w:r>
              <w:rPr>
                <w:rFonts w:hint="eastAsia"/>
                <w:sz w:val="21"/>
                <w:szCs w:val="21"/>
                <w:lang w:val="en-US" w:eastAsia="zh-CN"/>
              </w:rPr>
              <w:t>9</w:t>
            </w:r>
            <w:r>
              <w:rPr>
                <w:rFonts w:hint="eastAsia"/>
                <w:sz w:val="21"/>
                <w:szCs w:val="21"/>
              </w:rPr>
              <w:t xml:space="preserve">  锅炉烟气排放标准限值一览表</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8"/>
              <w:gridCol w:w="2115"/>
              <w:gridCol w:w="2664"/>
            </w:tblGrid>
            <w:tr w14:paraId="5E78F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18" w:type="dxa"/>
                  <w:vAlign w:val="center"/>
                </w:tcPr>
                <w:p w14:paraId="66B725BA">
                  <w:pPr>
                    <w:pStyle w:val="57"/>
                    <w:ind w:left="0" w:leftChars="0" w:right="0" w:rightChars="0" w:firstLine="0" w:firstLineChars="0"/>
                    <w:jc w:val="center"/>
                  </w:pPr>
                  <w:r>
                    <w:rPr>
                      <w:rFonts w:hint="eastAsia"/>
                    </w:rPr>
                    <w:t>污染物项目</w:t>
                  </w:r>
                </w:p>
              </w:tc>
              <w:tc>
                <w:tcPr>
                  <w:tcW w:w="2115" w:type="dxa"/>
                  <w:vAlign w:val="center"/>
                </w:tcPr>
                <w:p w14:paraId="1B2F37C0">
                  <w:pPr>
                    <w:pStyle w:val="57"/>
                    <w:ind w:left="0" w:leftChars="0" w:right="0" w:rightChars="0" w:firstLine="0" w:firstLineChars="0"/>
                    <w:jc w:val="center"/>
                  </w:pPr>
                  <w:r>
                    <w:rPr>
                      <w:rFonts w:hint="eastAsia"/>
                    </w:rPr>
                    <w:t>燃</w:t>
                  </w:r>
                  <w:r>
                    <w:rPr>
                      <w:rFonts w:hint="eastAsia"/>
                      <w:lang w:val="en-US" w:eastAsia="zh-CN"/>
                    </w:rPr>
                    <w:t>煤</w:t>
                  </w:r>
                  <w:r>
                    <w:rPr>
                      <w:rFonts w:hint="eastAsia"/>
                    </w:rPr>
                    <w:t>锅炉</w:t>
                  </w:r>
                </w:p>
              </w:tc>
              <w:tc>
                <w:tcPr>
                  <w:tcW w:w="2664" w:type="dxa"/>
                  <w:vAlign w:val="center"/>
                </w:tcPr>
                <w:p w14:paraId="7D7A78CB">
                  <w:pPr>
                    <w:pStyle w:val="57"/>
                    <w:ind w:left="0" w:leftChars="0" w:right="0" w:rightChars="0" w:firstLine="0" w:firstLineChars="0"/>
                    <w:jc w:val="center"/>
                  </w:pPr>
                  <w:r>
                    <w:rPr>
                      <w:rFonts w:hint="eastAsia"/>
                    </w:rPr>
                    <w:t>污染物排放监控位置</w:t>
                  </w:r>
                </w:p>
              </w:tc>
            </w:tr>
            <w:tr w14:paraId="722A6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18" w:type="dxa"/>
                  <w:vAlign w:val="center"/>
                </w:tcPr>
                <w:p w14:paraId="62D5DBD1">
                  <w:pPr>
                    <w:pStyle w:val="57"/>
                    <w:ind w:left="0" w:leftChars="0" w:right="0" w:rightChars="0" w:firstLine="0" w:firstLineChars="0"/>
                    <w:jc w:val="center"/>
                  </w:pPr>
                  <w:r>
                    <w:rPr>
                      <w:rFonts w:hint="eastAsia"/>
                    </w:rPr>
                    <w:t>颗粒物</w:t>
                  </w:r>
                </w:p>
              </w:tc>
              <w:tc>
                <w:tcPr>
                  <w:tcW w:w="2115" w:type="dxa"/>
                  <w:vAlign w:val="center"/>
                </w:tcPr>
                <w:p w14:paraId="415ECCF9">
                  <w:pPr>
                    <w:pStyle w:val="57"/>
                    <w:ind w:left="0" w:leftChars="0" w:right="0" w:rightChars="0" w:firstLine="0" w:firstLineChars="0"/>
                    <w:jc w:val="center"/>
                    <w:rPr>
                      <w:rFonts w:hint="default" w:eastAsia="宋体"/>
                      <w:lang w:val="en-US" w:eastAsia="zh-CN"/>
                    </w:rPr>
                  </w:pPr>
                  <w:r>
                    <w:rPr>
                      <w:rFonts w:hint="eastAsia"/>
                      <w:lang w:val="en-US" w:eastAsia="zh-CN"/>
                    </w:rPr>
                    <w:t>30</w:t>
                  </w:r>
                </w:p>
              </w:tc>
              <w:tc>
                <w:tcPr>
                  <w:tcW w:w="2664" w:type="dxa"/>
                  <w:vMerge w:val="restart"/>
                  <w:vAlign w:val="center"/>
                </w:tcPr>
                <w:p w14:paraId="6CEA4372">
                  <w:pPr>
                    <w:pStyle w:val="57"/>
                    <w:ind w:left="0" w:leftChars="0" w:right="0" w:rightChars="0" w:firstLine="0" w:firstLineChars="0"/>
                    <w:jc w:val="center"/>
                  </w:pPr>
                  <w:r>
                    <w:rPr>
                      <w:rFonts w:hint="eastAsia"/>
                    </w:rPr>
                    <w:t>烟囱或烟道</w:t>
                  </w:r>
                </w:p>
              </w:tc>
            </w:tr>
            <w:tr w14:paraId="009F5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18" w:type="dxa"/>
                  <w:vAlign w:val="center"/>
                </w:tcPr>
                <w:p w14:paraId="5FEC22B3">
                  <w:pPr>
                    <w:pStyle w:val="57"/>
                    <w:ind w:left="0" w:leftChars="0" w:right="0" w:rightChars="0" w:firstLine="0" w:firstLineChars="0"/>
                    <w:jc w:val="center"/>
                  </w:pPr>
                  <w:r>
                    <w:rPr>
                      <w:rFonts w:hint="eastAsia"/>
                    </w:rPr>
                    <w:t>二氧化硫</w:t>
                  </w:r>
                </w:p>
              </w:tc>
              <w:tc>
                <w:tcPr>
                  <w:tcW w:w="2115" w:type="dxa"/>
                  <w:vAlign w:val="center"/>
                </w:tcPr>
                <w:p w14:paraId="00FC1375">
                  <w:pPr>
                    <w:pStyle w:val="57"/>
                    <w:ind w:left="0" w:leftChars="0" w:right="0" w:rightChars="0" w:firstLine="0" w:firstLineChars="0"/>
                    <w:jc w:val="center"/>
                  </w:pPr>
                  <w:r>
                    <w:rPr>
                      <w:rFonts w:hint="eastAsia"/>
                      <w:lang w:val="en-US" w:eastAsia="zh-CN"/>
                    </w:rPr>
                    <w:t>2</w:t>
                  </w:r>
                  <w:r>
                    <w:rPr>
                      <w:rFonts w:hint="eastAsia"/>
                    </w:rPr>
                    <w:t>00</w:t>
                  </w:r>
                </w:p>
              </w:tc>
              <w:tc>
                <w:tcPr>
                  <w:tcW w:w="2664" w:type="dxa"/>
                  <w:vMerge w:val="continue"/>
                  <w:vAlign w:val="center"/>
                </w:tcPr>
                <w:p w14:paraId="61832E98">
                  <w:pPr>
                    <w:pStyle w:val="57"/>
                    <w:ind w:left="0" w:leftChars="0" w:right="0" w:rightChars="0" w:firstLine="0" w:firstLineChars="0"/>
                    <w:jc w:val="center"/>
                  </w:pPr>
                </w:p>
              </w:tc>
            </w:tr>
            <w:tr w14:paraId="434EC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18" w:type="dxa"/>
                  <w:vAlign w:val="center"/>
                </w:tcPr>
                <w:p w14:paraId="7B857B76">
                  <w:pPr>
                    <w:pStyle w:val="57"/>
                    <w:ind w:left="0" w:leftChars="0" w:right="0" w:rightChars="0" w:firstLine="0" w:firstLineChars="0"/>
                    <w:jc w:val="center"/>
                  </w:pPr>
                  <w:r>
                    <w:rPr>
                      <w:rFonts w:hint="eastAsia"/>
                    </w:rPr>
                    <w:t>氮氧化物</w:t>
                  </w:r>
                </w:p>
              </w:tc>
              <w:tc>
                <w:tcPr>
                  <w:tcW w:w="2115" w:type="dxa"/>
                  <w:vAlign w:val="center"/>
                </w:tcPr>
                <w:p w14:paraId="4ADE5E25">
                  <w:pPr>
                    <w:pStyle w:val="57"/>
                    <w:ind w:left="0" w:leftChars="0" w:right="0" w:rightChars="0" w:firstLine="0" w:firstLineChars="0"/>
                    <w:jc w:val="center"/>
                  </w:pPr>
                  <w:r>
                    <w:rPr>
                      <w:rFonts w:hint="eastAsia"/>
                      <w:lang w:val="en-US" w:eastAsia="zh-CN"/>
                    </w:rPr>
                    <w:t>2</w:t>
                  </w:r>
                  <w:r>
                    <w:rPr>
                      <w:rFonts w:hint="eastAsia"/>
                    </w:rPr>
                    <w:t>00</w:t>
                  </w:r>
                </w:p>
              </w:tc>
              <w:tc>
                <w:tcPr>
                  <w:tcW w:w="2664" w:type="dxa"/>
                  <w:vMerge w:val="continue"/>
                  <w:vAlign w:val="center"/>
                </w:tcPr>
                <w:p w14:paraId="4FCE959F">
                  <w:pPr>
                    <w:pStyle w:val="57"/>
                    <w:ind w:left="0" w:leftChars="0" w:right="0" w:rightChars="0" w:firstLine="0" w:firstLineChars="0"/>
                    <w:jc w:val="center"/>
                  </w:pPr>
                </w:p>
              </w:tc>
            </w:tr>
            <w:tr w14:paraId="67EBD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18" w:type="dxa"/>
                  <w:vAlign w:val="center"/>
                </w:tcPr>
                <w:p w14:paraId="40812551">
                  <w:pPr>
                    <w:pStyle w:val="57"/>
                    <w:ind w:left="0" w:leftChars="0" w:right="0" w:rightChars="0" w:firstLine="0" w:firstLineChars="0"/>
                    <w:jc w:val="center"/>
                  </w:pPr>
                  <w:r>
                    <w:rPr>
                      <w:rFonts w:hint="eastAsia"/>
                    </w:rPr>
                    <w:t>烟气黑度（林格曼黑度，级）</w:t>
                  </w:r>
                </w:p>
              </w:tc>
              <w:tc>
                <w:tcPr>
                  <w:tcW w:w="2115" w:type="dxa"/>
                  <w:vAlign w:val="center"/>
                </w:tcPr>
                <w:p w14:paraId="35816FFD">
                  <w:pPr>
                    <w:pStyle w:val="57"/>
                    <w:ind w:left="0" w:leftChars="0" w:right="0" w:rightChars="0" w:firstLine="0" w:firstLineChars="0"/>
                    <w:jc w:val="center"/>
                  </w:pPr>
                  <w:r>
                    <w:t>≤</w:t>
                  </w:r>
                  <w:r>
                    <w:rPr>
                      <w:rFonts w:hint="eastAsia"/>
                    </w:rPr>
                    <w:t>1</w:t>
                  </w:r>
                </w:p>
              </w:tc>
              <w:tc>
                <w:tcPr>
                  <w:tcW w:w="2664" w:type="dxa"/>
                  <w:vAlign w:val="center"/>
                </w:tcPr>
                <w:p w14:paraId="41B21567">
                  <w:pPr>
                    <w:pStyle w:val="57"/>
                    <w:ind w:left="0" w:leftChars="0" w:right="0" w:rightChars="0" w:firstLine="0" w:firstLineChars="0"/>
                    <w:jc w:val="center"/>
                  </w:pPr>
                  <w:r>
                    <w:rPr>
                      <w:rFonts w:hint="eastAsia"/>
                    </w:rPr>
                    <w:t>烟囱排放口</w:t>
                  </w:r>
                </w:p>
              </w:tc>
            </w:tr>
            <w:tr w14:paraId="6E691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97" w:type="dxa"/>
                  <w:gridSpan w:val="3"/>
                  <w:vAlign w:val="center"/>
                </w:tcPr>
                <w:p w14:paraId="1E89719E">
                  <w:pPr>
                    <w:pStyle w:val="57"/>
                    <w:ind w:left="0" w:leftChars="0" w:right="0" w:rightChars="0" w:firstLine="0" w:firstLineChars="0"/>
                    <w:jc w:val="both"/>
                    <w:rPr>
                      <w:rFonts w:hint="eastAsia"/>
                    </w:rPr>
                  </w:pPr>
                  <w:r>
                    <w:rPr>
                      <w:rFonts w:hint="eastAsia" w:ascii="Times New Roman" w:hAnsi="Times New Roman"/>
                      <w:color w:val="000000" w:themeColor="text1"/>
                      <w:u w:val="none"/>
                      <w14:textFill>
                        <w14:solidFill>
                          <w14:schemeClr w14:val="tx1"/>
                        </w14:solidFill>
                      </w14:textFill>
                    </w:rPr>
                    <w:t>备注：根据《益阳市中心城区生物质锅炉整治工作方案》要求，新建燃气锅炉全部采用低氮燃烧器，NOx排放浓度控制在50mg/m</w:t>
                  </w:r>
                  <w:r>
                    <w:rPr>
                      <w:rFonts w:hint="eastAsia" w:ascii="Times New Roman" w:hAnsi="Times New Roman"/>
                      <w:color w:val="000000" w:themeColor="text1"/>
                      <w:u w:val="none"/>
                      <w:vertAlign w:val="superscript"/>
                      <w14:textFill>
                        <w14:solidFill>
                          <w14:schemeClr w14:val="tx1"/>
                        </w14:solidFill>
                      </w14:textFill>
                    </w:rPr>
                    <w:t>3</w:t>
                  </w:r>
                  <w:r>
                    <w:rPr>
                      <w:rFonts w:hint="eastAsia" w:ascii="Times New Roman" w:hAnsi="Times New Roman"/>
                      <w:color w:val="000000" w:themeColor="text1"/>
                      <w:u w:val="none"/>
                      <w14:textFill>
                        <w14:solidFill>
                          <w14:schemeClr w14:val="tx1"/>
                        </w14:solidFill>
                      </w14:textFill>
                    </w:rPr>
                    <w:t>以内。集中供热覆盖区域全面停用生物质锅炉，优先使用集中供热。确因所在区域天然气管网未铺设、生产工艺不适合用电或未集中供热等条件受限，无法改用清洁能源的生物质锅炉，应使用专用炉具和成型生物质燃料，禁止掺烧其他燃料，并对锅炉废气处理设施进行升级改造，根据实际需要，采用旋风除尘+布袋除尘+水膜除尘或水膜除尘+湿电除尘等高效处理方式进行处理，本项目为泥江口镇，所在区域天然气管网未铺设，故氮氧化物执行《锅炉大气污染物排放标准》（GB13271-2014）中表3燃煤锅炉大气污染物特别排放限值。</w:t>
                  </w:r>
                </w:p>
              </w:tc>
            </w:tr>
          </w:tbl>
          <w:p w14:paraId="5DC0B797">
            <w:pPr>
              <w:pStyle w:val="75"/>
              <w:keepNext w:val="0"/>
              <w:keepLines w:val="0"/>
              <w:pageBreakBefore w:val="0"/>
              <w:widowControl w:val="0"/>
              <w:kinsoku/>
              <w:wordWrap/>
              <w:overflowPunct/>
              <w:topLinePunct w:val="0"/>
              <w:autoSpaceDE/>
              <w:autoSpaceDN/>
              <w:bidi w:val="0"/>
              <w:adjustRightInd/>
              <w:snapToGrid/>
              <w:spacing w:before="157" w:beforeLines="50"/>
              <w:ind w:firstLine="480"/>
              <w:textAlignment w:val="auto"/>
            </w:pPr>
            <w:r>
              <w:rPr>
                <w:rFonts w:hint="eastAsia"/>
              </w:rPr>
              <w:t>生物质锅炉排气筒高度执行《锅炉大气污染物排放标准》（GB13271-2014）表4燃煤锅炉房烟囱最低允许高度要求：</w:t>
            </w:r>
          </w:p>
          <w:p w14:paraId="455009B3">
            <w:pPr>
              <w:pStyle w:val="34"/>
              <w:keepNext w:val="0"/>
              <w:keepLines w:val="0"/>
              <w:pageBreakBefore w:val="0"/>
              <w:widowControl w:val="0"/>
              <w:kinsoku/>
              <w:wordWrap/>
              <w:overflowPunct/>
              <w:topLinePunct w:val="0"/>
              <w:autoSpaceDE/>
              <w:autoSpaceDN/>
              <w:bidi w:val="0"/>
              <w:adjustRightInd/>
              <w:snapToGrid/>
              <w:spacing w:before="0" w:beforeLines="0"/>
              <w:textAlignment w:val="auto"/>
              <w:rPr>
                <w:sz w:val="21"/>
                <w:szCs w:val="21"/>
              </w:rPr>
            </w:pPr>
            <w:r>
              <w:rPr>
                <w:rFonts w:hint="eastAsia"/>
                <w:sz w:val="21"/>
                <w:szCs w:val="21"/>
              </w:rPr>
              <w:t>表3-</w:t>
            </w:r>
            <w:r>
              <w:rPr>
                <w:rFonts w:hint="eastAsia"/>
                <w:sz w:val="21"/>
                <w:szCs w:val="21"/>
                <w:lang w:val="en-US" w:eastAsia="zh-CN"/>
              </w:rPr>
              <w:t>10</w:t>
            </w:r>
            <w:r>
              <w:rPr>
                <w:rFonts w:hint="eastAsia"/>
                <w:sz w:val="21"/>
                <w:szCs w:val="21"/>
              </w:rPr>
              <w:t xml:space="preserve"> 燃煤锅炉房烟囱最低允许高度</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1"/>
              <w:gridCol w:w="689"/>
              <w:gridCol w:w="790"/>
              <w:gridCol w:w="1221"/>
              <w:gridCol w:w="1221"/>
              <w:gridCol w:w="1040"/>
              <w:gridCol w:w="1100"/>
              <w:gridCol w:w="726"/>
            </w:tblGrid>
            <w:tr w14:paraId="4A4A0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6" w:type="pct"/>
                  <w:vMerge w:val="restart"/>
                  <w:vAlign w:val="center"/>
                </w:tcPr>
                <w:p w14:paraId="2A90FCCF">
                  <w:pPr>
                    <w:pStyle w:val="57"/>
                  </w:pPr>
                  <w:r>
                    <w:rPr>
                      <w:rFonts w:hint="eastAsia"/>
                    </w:rPr>
                    <w:t>锅炉房装</w:t>
                  </w:r>
                </w:p>
                <w:p w14:paraId="173F5071">
                  <w:pPr>
                    <w:pStyle w:val="57"/>
                  </w:pPr>
                  <w:r>
                    <w:rPr>
                      <w:rFonts w:hint="eastAsia"/>
                    </w:rPr>
                    <w:t>机总容量</w:t>
                  </w:r>
                </w:p>
              </w:tc>
              <w:tc>
                <w:tcPr>
                  <w:tcW w:w="431" w:type="pct"/>
                  <w:vAlign w:val="center"/>
                </w:tcPr>
                <w:p w14:paraId="72FDBE36">
                  <w:pPr>
                    <w:pStyle w:val="57"/>
                  </w:pPr>
                  <w:r>
                    <w:rPr>
                      <w:rFonts w:hint="eastAsia"/>
                    </w:rPr>
                    <w:t>MW</w:t>
                  </w:r>
                </w:p>
              </w:tc>
              <w:tc>
                <w:tcPr>
                  <w:tcW w:w="494" w:type="pct"/>
                  <w:vAlign w:val="center"/>
                </w:tcPr>
                <w:p w14:paraId="0B77228B">
                  <w:pPr>
                    <w:pStyle w:val="57"/>
                  </w:pPr>
                  <w:r>
                    <w:rPr>
                      <w:rFonts w:hint="eastAsia"/>
                    </w:rPr>
                    <w:t>＜0.7</w:t>
                  </w:r>
                </w:p>
              </w:tc>
              <w:tc>
                <w:tcPr>
                  <w:tcW w:w="763" w:type="pct"/>
                  <w:vAlign w:val="center"/>
                </w:tcPr>
                <w:p w14:paraId="7474EAF6">
                  <w:pPr>
                    <w:pStyle w:val="57"/>
                  </w:pPr>
                  <w:r>
                    <w:rPr>
                      <w:rFonts w:hint="eastAsia"/>
                    </w:rPr>
                    <w:t>0.7~＜1.4</w:t>
                  </w:r>
                </w:p>
              </w:tc>
              <w:tc>
                <w:tcPr>
                  <w:tcW w:w="763" w:type="pct"/>
                  <w:vAlign w:val="center"/>
                </w:tcPr>
                <w:p w14:paraId="4466CF9C">
                  <w:pPr>
                    <w:pStyle w:val="57"/>
                  </w:pPr>
                  <w:r>
                    <w:rPr>
                      <w:rFonts w:hint="eastAsia"/>
                    </w:rPr>
                    <w:t>1.4~＜2.8</w:t>
                  </w:r>
                </w:p>
              </w:tc>
              <w:tc>
                <w:tcPr>
                  <w:tcW w:w="650" w:type="pct"/>
                  <w:vAlign w:val="center"/>
                </w:tcPr>
                <w:p w14:paraId="37377168">
                  <w:pPr>
                    <w:pStyle w:val="57"/>
                  </w:pPr>
                  <w:r>
                    <w:rPr>
                      <w:rFonts w:hint="eastAsia"/>
                    </w:rPr>
                    <w:t>2.8~＜7</w:t>
                  </w:r>
                </w:p>
              </w:tc>
              <w:tc>
                <w:tcPr>
                  <w:tcW w:w="688" w:type="pct"/>
                  <w:vAlign w:val="center"/>
                </w:tcPr>
                <w:p w14:paraId="65068589">
                  <w:pPr>
                    <w:pStyle w:val="57"/>
                  </w:pPr>
                  <w:r>
                    <w:rPr>
                      <w:rFonts w:hint="eastAsia"/>
                    </w:rPr>
                    <w:t>7~＜14</w:t>
                  </w:r>
                </w:p>
              </w:tc>
              <w:tc>
                <w:tcPr>
                  <w:tcW w:w="456" w:type="pct"/>
                  <w:vAlign w:val="center"/>
                </w:tcPr>
                <w:p w14:paraId="463DC20B">
                  <w:pPr>
                    <w:pStyle w:val="57"/>
                  </w:pPr>
                  <w:r>
                    <w:rPr>
                      <w:rFonts w:hint="eastAsia"/>
                    </w:rPr>
                    <w:t>≥14</w:t>
                  </w:r>
                </w:p>
              </w:tc>
            </w:tr>
            <w:tr w14:paraId="5BB99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6" w:type="pct"/>
                  <w:vMerge w:val="continue"/>
                  <w:vAlign w:val="center"/>
                </w:tcPr>
                <w:p w14:paraId="14302AD6">
                  <w:pPr>
                    <w:pStyle w:val="57"/>
                  </w:pPr>
                </w:p>
              </w:tc>
              <w:tc>
                <w:tcPr>
                  <w:tcW w:w="431" w:type="pct"/>
                  <w:vAlign w:val="center"/>
                </w:tcPr>
                <w:p w14:paraId="16E8226B">
                  <w:pPr>
                    <w:pStyle w:val="57"/>
                  </w:pPr>
                  <w:r>
                    <w:rPr>
                      <w:rFonts w:hint="eastAsia"/>
                    </w:rPr>
                    <w:t>t/h</w:t>
                  </w:r>
                </w:p>
              </w:tc>
              <w:tc>
                <w:tcPr>
                  <w:tcW w:w="494" w:type="pct"/>
                  <w:vAlign w:val="center"/>
                </w:tcPr>
                <w:p w14:paraId="627D3212">
                  <w:pPr>
                    <w:pStyle w:val="57"/>
                  </w:pPr>
                  <w:r>
                    <w:rPr>
                      <w:rFonts w:hint="eastAsia"/>
                    </w:rPr>
                    <w:t>＜1</w:t>
                  </w:r>
                </w:p>
              </w:tc>
              <w:tc>
                <w:tcPr>
                  <w:tcW w:w="763" w:type="pct"/>
                  <w:vAlign w:val="center"/>
                </w:tcPr>
                <w:p w14:paraId="77F6B626">
                  <w:pPr>
                    <w:pStyle w:val="57"/>
                  </w:pPr>
                  <w:r>
                    <w:rPr>
                      <w:rFonts w:hint="eastAsia"/>
                    </w:rPr>
                    <w:t>1~＜2</w:t>
                  </w:r>
                </w:p>
              </w:tc>
              <w:tc>
                <w:tcPr>
                  <w:tcW w:w="763" w:type="pct"/>
                  <w:vAlign w:val="center"/>
                </w:tcPr>
                <w:p w14:paraId="4EB6D94C">
                  <w:pPr>
                    <w:pStyle w:val="57"/>
                  </w:pPr>
                  <w:r>
                    <w:rPr>
                      <w:rFonts w:hint="eastAsia"/>
                    </w:rPr>
                    <w:t>2~＜4</w:t>
                  </w:r>
                </w:p>
              </w:tc>
              <w:tc>
                <w:tcPr>
                  <w:tcW w:w="650" w:type="pct"/>
                  <w:vAlign w:val="center"/>
                </w:tcPr>
                <w:p w14:paraId="57BB1E70">
                  <w:pPr>
                    <w:pStyle w:val="57"/>
                  </w:pPr>
                  <w:r>
                    <w:rPr>
                      <w:rFonts w:hint="eastAsia"/>
                    </w:rPr>
                    <w:t>4~＜10</w:t>
                  </w:r>
                </w:p>
              </w:tc>
              <w:tc>
                <w:tcPr>
                  <w:tcW w:w="688" w:type="pct"/>
                  <w:vAlign w:val="center"/>
                </w:tcPr>
                <w:p w14:paraId="408B82C2">
                  <w:pPr>
                    <w:pStyle w:val="57"/>
                  </w:pPr>
                  <w:r>
                    <w:rPr>
                      <w:rFonts w:hint="eastAsia"/>
                    </w:rPr>
                    <w:t>10~＜20</w:t>
                  </w:r>
                </w:p>
              </w:tc>
              <w:tc>
                <w:tcPr>
                  <w:tcW w:w="456" w:type="pct"/>
                  <w:vAlign w:val="center"/>
                </w:tcPr>
                <w:p w14:paraId="43241EAC">
                  <w:pPr>
                    <w:pStyle w:val="57"/>
                  </w:pPr>
                  <w:r>
                    <w:rPr>
                      <w:rFonts w:hint="eastAsia"/>
                    </w:rPr>
                    <w:t>≥20</w:t>
                  </w:r>
                </w:p>
              </w:tc>
            </w:tr>
            <w:tr w14:paraId="1B658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6" w:type="pct"/>
                  <w:vAlign w:val="center"/>
                </w:tcPr>
                <w:p w14:paraId="78E13E9F">
                  <w:pPr>
                    <w:pStyle w:val="57"/>
                  </w:pPr>
                  <w:r>
                    <w:rPr>
                      <w:rFonts w:hint="eastAsia"/>
                    </w:rPr>
                    <w:t>烟囱最低</w:t>
                  </w:r>
                </w:p>
                <w:p w14:paraId="742C4E7F">
                  <w:pPr>
                    <w:pStyle w:val="57"/>
                  </w:pPr>
                  <w:r>
                    <w:rPr>
                      <w:rFonts w:hint="eastAsia"/>
                    </w:rPr>
                    <w:t>允许高度</w:t>
                  </w:r>
                </w:p>
              </w:tc>
              <w:tc>
                <w:tcPr>
                  <w:tcW w:w="431" w:type="pct"/>
                  <w:vAlign w:val="center"/>
                </w:tcPr>
                <w:p w14:paraId="62CC5E56">
                  <w:pPr>
                    <w:pStyle w:val="57"/>
                  </w:pPr>
                  <w:r>
                    <w:rPr>
                      <w:rFonts w:hint="eastAsia"/>
                    </w:rPr>
                    <w:t>m</w:t>
                  </w:r>
                </w:p>
              </w:tc>
              <w:tc>
                <w:tcPr>
                  <w:tcW w:w="494" w:type="pct"/>
                  <w:vAlign w:val="center"/>
                </w:tcPr>
                <w:p w14:paraId="554C015A">
                  <w:pPr>
                    <w:pStyle w:val="57"/>
                  </w:pPr>
                  <w:r>
                    <w:rPr>
                      <w:rFonts w:hint="eastAsia"/>
                    </w:rPr>
                    <w:t>20</w:t>
                  </w:r>
                </w:p>
              </w:tc>
              <w:tc>
                <w:tcPr>
                  <w:tcW w:w="763" w:type="pct"/>
                  <w:vAlign w:val="center"/>
                </w:tcPr>
                <w:p w14:paraId="5FDCBA0D">
                  <w:pPr>
                    <w:pStyle w:val="57"/>
                  </w:pPr>
                  <w:r>
                    <w:rPr>
                      <w:rFonts w:hint="eastAsia"/>
                    </w:rPr>
                    <w:t>25</w:t>
                  </w:r>
                </w:p>
              </w:tc>
              <w:tc>
                <w:tcPr>
                  <w:tcW w:w="763" w:type="pct"/>
                  <w:vAlign w:val="center"/>
                </w:tcPr>
                <w:p w14:paraId="31DA7531">
                  <w:pPr>
                    <w:pStyle w:val="57"/>
                  </w:pPr>
                  <w:r>
                    <w:rPr>
                      <w:rFonts w:hint="eastAsia"/>
                    </w:rPr>
                    <w:t>30</w:t>
                  </w:r>
                </w:p>
              </w:tc>
              <w:tc>
                <w:tcPr>
                  <w:tcW w:w="650" w:type="pct"/>
                  <w:vAlign w:val="center"/>
                </w:tcPr>
                <w:p w14:paraId="24CEA4EE">
                  <w:pPr>
                    <w:pStyle w:val="57"/>
                  </w:pPr>
                  <w:r>
                    <w:rPr>
                      <w:rFonts w:hint="eastAsia"/>
                    </w:rPr>
                    <w:t>35</w:t>
                  </w:r>
                </w:p>
              </w:tc>
              <w:tc>
                <w:tcPr>
                  <w:tcW w:w="688" w:type="pct"/>
                  <w:vAlign w:val="center"/>
                </w:tcPr>
                <w:p w14:paraId="269A06EB">
                  <w:pPr>
                    <w:pStyle w:val="57"/>
                  </w:pPr>
                  <w:r>
                    <w:rPr>
                      <w:rFonts w:hint="eastAsia"/>
                    </w:rPr>
                    <w:t>40</w:t>
                  </w:r>
                </w:p>
              </w:tc>
              <w:tc>
                <w:tcPr>
                  <w:tcW w:w="456" w:type="pct"/>
                  <w:vAlign w:val="center"/>
                </w:tcPr>
                <w:p w14:paraId="7E0831A5">
                  <w:pPr>
                    <w:pStyle w:val="57"/>
                  </w:pPr>
                  <w:r>
                    <w:rPr>
                      <w:rFonts w:hint="eastAsia"/>
                    </w:rPr>
                    <w:t>45</w:t>
                  </w:r>
                </w:p>
              </w:tc>
            </w:tr>
          </w:tbl>
          <w:p w14:paraId="207A2E24">
            <w:pPr>
              <w:pStyle w:val="35"/>
              <w:ind w:firstLine="480"/>
            </w:pPr>
            <w:r>
              <w:rPr>
                <w:rFonts w:hint="eastAsia"/>
              </w:rPr>
              <w:t>本项目锅炉房总装机容量为</w:t>
            </w:r>
            <w:r>
              <w:rPr>
                <w:rFonts w:hint="eastAsia"/>
                <w:lang w:val="en-US" w:eastAsia="zh-CN"/>
              </w:rPr>
              <w:t>2.5</w:t>
            </w:r>
            <w:r>
              <w:rPr>
                <w:rFonts w:hint="eastAsia"/>
              </w:rPr>
              <w:t>t/h，烟囱最低允许高度为3</w:t>
            </w:r>
            <w:r>
              <w:rPr>
                <w:rFonts w:hint="eastAsia"/>
                <w:lang w:val="en-US" w:eastAsia="zh-CN"/>
              </w:rPr>
              <w:t>0</w:t>
            </w:r>
            <w:r>
              <w:rPr>
                <w:rFonts w:hint="eastAsia"/>
              </w:rPr>
              <w:t>m。</w:t>
            </w:r>
          </w:p>
          <w:p w14:paraId="0A48D2D4">
            <w:pPr>
              <w:pStyle w:val="75"/>
              <w:ind w:left="0" w:leftChars="0" w:firstLine="482" w:firstLineChars="200"/>
              <w:rPr>
                <w:b/>
                <w:bCs/>
              </w:rPr>
            </w:pPr>
            <w:r>
              <w:rPr>
                <w:rFonts w:hint="eastAsia"/>
                <w:b/>
                <w:bCs/>
              </w:rPr>
              <w:t>2、水污染物</w:t>
            </w:r>
          </w:p>
          <w:p w14:paraId="035E6FBA">
            <w:pPr>
              <w:pStyle w:val="75"/>
              <w:ind w:left="0" w:leftChars="0" w:firstLine="480" w:firstLineChars="200"/>
              <w:rPr>
                <w:rFonts w:hint="default" w:eastAsia="宋体"/>
                <w:lang w:val="en-US" w:eastAsia="zh-CN"/>
              </w:rPr>
            </w:pPr>
            <w:r>
              <w:rPr>
                <w:rFonts w:hint="eastAsia"/>
                <w:lang w:val="en-US" w:eastAsia="zh-CN"/>
              </w:rPr>
              <w:t>本项目生活污水经化粪池处理后用作周边菜地施肥，不外排；</w:t>
            </w:r>
            <w:r>
              <w:rPr>
                <w:rFonts w:hint="eastAsia"/>
                <w:color w:val="000000" w:themeColor="text1"/>
                <w:u w:val="none" w:color="auto"/>
                <w14:textFill>
                  <w14:solidFill>
                    <w14:schemeClr w14:val="tx1"/>
                  </w14:solidFill>
                </w14:textFill>
              </w:rPr>
              <w:t>锅炉排污水和软水制备废水</w:t>
            </w:r>
            <w:r>
              <w:rPr>
                <w:rFonts w:hint="eastAsia"/>
                <w:color w:val="000000" w:themeColor="text1"/>
                <w:u w:val="none" w:color="auto"/>
                <w:lang w:val="en-US" w:eastAsia="zh-CN"/>
                <w14:textFill>
                  <w14:solidFill>
                    <w14:schemeClr w14:val="tx1"/>
                  </w14:solidFill>
                </w14:textFill>
              </w:rPr>
              <w:t>收集后用于水膜除尘补充用水</w:t>
            </w:r>
            <w:r>
              <w:rPr>
                <w:rFonts w:hint="eastAsia"/>
                <w:lang w:val="en-US" w:eastAsia="zh-CN"/>
              </w:rPr>
              <w:t>，不外排</w:t>
            </w:r>
            <w:r>
              <w:rPr>
                <w:rFonts w:hint="eastAsia"/>
                <w:color w:val="000000" w:themeColor="text1"/>
                <w:u w:val="none" w:color="auto"/>
                <w:lang w:val="en-US" w:eastAsia="zh-CN"/>
                <w14:textFill>
                  <w14:solidFill>
                    <w14:schemeClr w14:val="tx1"/>
                  </w14:solidFill>
                </w14:textFill>
              </w:rPr>
              <w:t>；蒸汽杀菌锅冷凝水收集后部分用于水膜除尘补充用水，部分用于厂区洒水降尘</w:t>
            </w:r>
            <w:r>
              <w:rPr>
                <w:rFonts w:hint="eastAsia"/>
                <w:lang w:val="en-US" w:eastAsia="zh-CN"/>
              </w:rPr>
              <w:t>，不外排。</w:t>
            </w:r>
          </w:p>
          <w:p w14:paraId="48B271C6">
            <w:pPr>
              <w:pStyle w:val="75"/>
              <w:ind w:left="0" w:leftChars="0" w:firstLine="482" w:firstLineChars="200"/>
              <w:rPr>
                <w:b/>
                <w:bCs/>
              </w:rPr>
            </w:pPr>
            <w:r>
              <w:rPr>
                <w:rFonts w:hint="eastAsia"/>
                <w:b/>
                <w:bCs/>
              </w:rPr>
              <w:t>3、噪声</w:t>
            </w:r>
          </w:p>
          <w:p w14:paraId="00C38E21">
            <w:pPr>
              <w:pStyle w:val="75"/>
              <w:ind w:firstLine="480"/>
            </w:pPr>
            <w:r>
              <w:rPr>
                <w:rFonts w:hint="eastAsia"/>
                <w:u w:val="single"/>
              </w:rPr>
              <w:t>项目</w:t>
            </w:r>
            <w:r>
              <w:rPr>
                <w:rFonts w:hint="eastAsia" w:ascii="Times New Roman" w:hAnsi="Times New Roman" w:eastAsia="宋体" w:cs="Times New Roman"/>
                <w:color w:val="000000"/>
                <w:kern w:val="2"/>
                <w:sz w:val="24"/>
                <w:szCs w:val="22"/>
                <w:u w:val="single"/>
                <w:lang w:val="en-US" w:eastAsia="zh-CN" w:bidi="ar-SA"/>
              </w:rPr>
              <w:t>施工期噪声执行《建筑施工噪声排放标准》（GB12523-2025）</w:t>
            </w:r>
            <w:r>
              <w:rPr>
                <w:rFonts w:hint="eastAsia" w:cs="Times New Roman"/>
                <w:color w:val="000000"/>
                <w:kern w:val="2"/>
                <w:sz w:val="24"/>
                <w:szCs w:val="22"/>
                <w:u w:val="none"/>
                <w:lang w:val="en-US" w:eastAsia="zh-CN" w:bidi="ar-SA"/>
              </w:rPr>
              <w:t>；营运</w:t>
            </w:r>
            <w:r>
              <w:rPr>
                <w:rFonts w:hint="eastAsia"/>
                <w:lang w:val="en-US" w:eastAsia="zh-CN"/>
              </w:rPr>
              <w:t>期</w:t>
            </w:r>
            <w:r>
              <w:rPr>
                <w:rFonts w:hint="eastAsia"/>
              </w:rPr>
              <w:t>厂界噪声排放执行《工业企业厂界环境噪声排放标准》（GB12348-2008）2类标准。</w:t>
            </w:r>
          </w:p>
          <w:p w14:paraId="77AB9554">
            <w:pPr>
              <w:pStyle w:val="34"/>
              <w:keepNext w:val="0"/>
              <w:keepLines w:val="0"/>
              <w:pageBreakBefore w:val="0"/>
              <w:widowControl w:val="0"/>
              <w:kinsoku/>
              <w:wordWrap/>
              <w:overflowPunct/>
              <w:topLinePunct w:val="0"/>
              <w:autoSpaceDE/>
              <w:autoSpaceDN/>
              <w:bidi w:val="0"/>
              <w:adjustRightInd/>
              <w:snapToGrid/>
              <w:spacing w:before="0" w:beforeLines="0"/>
              <w:textAlignment w:val="auto"/>
              <w:rPr>
                <w:sz w:val="21"/>
                <w:szCs w:val="21"/>
              </w:rPr>
            </w:pPr>
            <w:r>
              <w:rPr>
                <w:rFonts w:hint="eastAsia"/>
                <w:sz w:val="21"/>
                <w:szCs w:val="21"/>
              </w:rPr>
              <w:t>表3-</w:t>
            </w:r>
            <w:r>
              <w:rPr>
                <w:rFonts w:hint="eastAsia"/>
                <w:sz w:val="21"/>
                <w:szCs w:val="21"/>
                <w:lang w:val="en-US" w:eastAsia="zh-CN"/>
              </w:rPr>
              <w:t>11</w:t>
            </w:r>
            <w:r>
              <w:rPr>
                <w:rFonts w:hint="eastAsia"/>
                <w:sz w:val="21"/>
                <w:szCs w:val="21"/>
              </w:rPr>
              <w:t xml:space="preserve">  噪声污染排放标准限值一览表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1131"/>
              <w:gridCol w:w="1320"/>
              <w:gridCol w:w="1538"/>
              <w:gridCol w:w="2977"/>
            </w:tblGrid>
            <w:tr w14:paraId="339C7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trPr>
              <w:tc>
                <w:tcPr>
                  <w:tcW w:w="644" w:type="pct"/>
                  <w:vAlign w:val="center"/>
                </w:tcPr>
                <w:p w14:paraId="0C8CA058">
                  <w:pPr>
                    <w:jc w:val="center"/>
                    <w:rPr>
                      <w:rFonts w:hint="eastAsia"/>
                      <w:szCs w:val="21"/>
                    </w:rPr>
                  </w:pPr>
                  <w:r>
                    <w:rPr>
                      <w:rFonts w:hint="eastAsia" w:ascii="Times New Roman" w:hAnsi="Times New Roman" w:eastAsia="宋体"/>
                      <w:szCs w:val="21"/>
                    </w:rPr>
                    <w:t>时期</w:t>
                  </w:r>
                </w:p>
              </w:tc>
              <w:tc>
                <w:tcPr>
                  <w:tcW w:w="707" w:type="pct"/>
                  <w:vAlign w:val="center"/>
                </w:tcPr>
                <w:p w14:paraId="09F007F2">
                  <w:pPr>
                    <w:jc w:val="center"/>
                    <w:rPr>
                      <w:rFonts w:hint="eastAsia"/>
                      <w:bCs/>
                      <w:szCs w:val="21"/>
                    </w:rPr>
                  </w:pPr>
                  <w:r>
                    <w:rPr>
                      <w:rFonts w:hint="eastAsia" w:ascii="Times New Roman" w:hAnsi="Times New Roman" w:eastAsia="宋体"/>
                      <w:szCs w:val="21"/>
                    </w:rPr>
                    <w:t>类别</w:t>
                  </w:r>
                </w:p>
              </w:tc>
              <w:tc>
                <w:tcPr>
                  <w:tcW w:w="825" w:type="pct"/>
                  <w:vAlign w:val="center"/>
                </w:tcPr>
                <w:p w14:paraId="586D7653">
                  <w:pPr>
                    <w:jc w:val="center"/>
                    <w:rPr>
                      <w:rFonts w:hint="eastAsia"/>
                      <w:bCs/>
                      <w:szCs w:val="21"/>
                    </w:rPr>
                  </w:pPr>
                  <w:r>
                    <w:rPr>
                      <w:rFonts w:hint="eastAsia" w:ascii="Times New Roman" w:hAnsi="Times New Roman" w:eastAsia="宋体"/>
                      <w:szCs w:val="21"/>
                    </w:rPr>
                    <w:t>昼间dB（A）</w:t>
                  </w:r>
                </w:p>
              </w:tc>
              <w:tc>
                <w:tcPr>
                  <w:tcW w:w="961" w:type="pct"/>
                  <w:vAlign w:val="center"/>
                </w:tcPr>
                <w:p w14:paraId="7A613CD1">
                  <w:pPr>
                    <w:jc w:val="center"/>
                    <w:rPr>
                      <w:rFonts w:hint="eastAsia"/>
                      <w:bCs/>
                      <w:szCs w:val="21"/>
                    </w:rPr>
                  </w:pPr>
                  <w:r>
                    <w:rPr>
                      <w:rFonts w:hint="eastAsia" w:ascii="Times New Roman" w:hAnsi="Times New Roman" w:eastAsia="宋体"/>
                      <w:szCs w:val="21"/>
                    </w:rPr>
                    <w:t>夜间dB（A）</w:t>
                  </w:r>
                </w:p>
              </w:tc>
              <w:tc>
                <w:tcPr>
                  <w:tcW w:w="1860" w:type="pct"/>
                  <w:vAlign w:val="center"/>
                </w:tcPr>
                <w:p w14:paraId="7F6728FD">
                  <w:pPr>
                    <w:jc w:val="center"/>
                    <w:rPr>
                      <w:rFonts w:hint="eastAsia"/>
                      <w:szCs w:val="21"/>
                    </w:rPr>
                  </w:pPr>
                  <w:r>
                    <w:rPr>
                      <w:rFonts w:hint="eastAsia" w:ascii="Times New Roman" w:hAnsi="Times New Roman" w:eastAsia="宋体"/>
                      <w:szCs w:val="21"/>
                    </w:rPr>
                    <w:t>执行标准</w:t>
                  </w:r>
                </w:p>
              </w:tc>
            </w:tr>
            <w:tr w14:paraId="45790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4" w:type="pct"/>
                  <w:vAlign w:val="center"/>
                </w:tcPr>
                <w:p w14:paraId="148A8C02">
                  <w:pPr>
                    <w:jc w:val="center"/>
                    <w:rPr>
                      <w:rFonts w:hint="eastAsia"/>
                      <w:bCs/>
                      <w:szCs w:val="21"/>
                    </w:rPr>
                  </w:pPr>
                  <w:r>
                    <w:rPr>
                      <w:rFonts w:hint="eastAsia" w:ascii="Times New Roman" w:hAnsi="Times New Roman" w:eastAsia="宋体"/>
                      <w:szCs w:val="21"/>
                    </w:rPr>
                    <w:t>营运期</w:t>
                  </w:r>
                </w:p>
              </w:tc>
              <w:tc>
                <w:tcPr>
                  <w:tcW w:w="707" w:type="pct"/>
                  <w:vAlign w:val="center"/>
                </w:tcPr>
                <w:p w14:paraId="2229E785">
                  <w:pPr>
                    <w:jc w:val="center"/>
                    <w:rPr>
                      <w:rFonts w:hint="eastAsia"/>
                      <w:szCs w:val="21"/>
                    </w:rPr>
                  </w:pPr>
                  <w:r>
                    <w:rPr>
                      <w:rFonts w:hint="eastAsia" w:ascii="Times New Roman" w:hAnsi="Times New Roman" w:eastAsia="宋体"/>
                      <w:szCs w:val="21"/>
                    </w:rPr>
                    <w:t>2类</w:t>
                  </w:r>
                </w:p>
              </w:tc>
              <w:tc>
                <w:tcPr>
                  <w:tcW w:w="825" w:type="pct"/>
                  <w:vAlign w:val="center"/>
                </w:tcPr>
                <w:p w14:paraId="3CA39509">
                  <w:pPr>
                    <w:jc w:val="center"/>
                    <w:rPr>
                      <w:rFonts w:hint="eastAsia"/>
                      <w:szCs w:val="21"/>
                    </w:rPr>
                  </w:pPr>
                  <w:r>
                    <w:rPr>
                      <w:rFonts w:hint="eastAsia" w:ascii="Times New Roman" w:hAnsi="Times New Roman" w:eastAsia="宋体"/>
                      <w:szCs w:val="21"/>
                    </w:rPr>
                    <w:t>60</w:t>
                  </w:r>
                </w:p>
              </w:tc>
              <w:tc>
                <w:tcPr>
                  <w:tcW w:w="961" w:type="pct"/>
                  <w:vAlign w:val="center"/>
                </w:tcPr>
                <w:p w14:paraId="6A994B31">
                  <w:pPr>
                    <w:jc w:val="center"/>
                    <w:rPr>
                      <w:rFonts w:hint="eastAsia"/>
                      <w:szCs w:val="21"/>
                    </w:rPr>
                  </w:pPr>
                  <w:r>
                    <w:rPr>
                      <w:rFonts w:hint="eastAsia" w:ascii="Times New Roman" w:hAnsi="Times New Roman" w:eastAsia="宋体"/>
                      <w:szCs w:val="21"/>
                    </w:rPr>
                    <w:t>50</w:t>
                  </w:r>
                </w:p>
              </w:tc>
              <w:tc>
                <w:tcPr>
                  <w:tcW w:w="1860" w:type="pct"/>
                  <w:vAlign w:val="center"/>
                </w:tcPr>
                <w:p w14:paraId="15E6773D">
                  <w:pPr>
                    <w:jc w:val="center"/>
                    <w:rPr>
                      <w:rFonts w:hint="eastAsia"/>
                      <w:szCs w:val="21"/>
                    </w:rPr>
                  </w:pPr>
                  <w:r>
                    <w:rPr>
                      <w:rFonts w:hint="eastAsia" w:ascii="Times New Roman" w:hAnsi="Times New Roman" w:eastAsia="宋体"/>
                      <w:szCs w:val="21"/>
                    </w:rPr>
                    <w:t>《工业企业厂界环境噪声排放标准》（GB12348-2008）</w:t>
                  </w:r>
                </w:p>
              </w:tc>
            </w:tr>
            <w:tr w14:paraId="1DFE9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4" w:type="pct"/>
                  <w:vAlign w:val="center"/>
                </w:tcPr>
                <w:p w14:paraId="26A1D13C">
                  <w:pPr>
                    <w:jc w:val="center"/>
                    <w:rPr>
                      <w:rFonts w:hint="eastAsia" w:ascii="Times New Roman" w:hAnsi="Times New Roman" w:eastAsia="宋体"/>
                      <w:szCs w:val="21"/>
                      <w:u w:val="single"/>
                      <w:lang w:val="en-US" w:eastAsia="zh-CN"/>
                    </w:rPr>
                  </w:pPr>
                  <w:r>
                    <w:rPr>
                      <w:rFonts w:hint="eastAsia" w:ascii="Times New Roman" w:hAnsi="Times New Roman" w:eastAsia="宋体"/>
                      <w:szCs w:val="21"/>
                      <w:u w:val="single"/>
                      <w:lang w:val="en-US" w:eastAsia="zh-CN"/>
                    </w:rPr>
                    <w:t>施工期</w:t>
                  </w:r>
                </w:p>
              </w:tc>
              <w:tc>
                <w:tcPr>
                  <w:tcW w:w="707" w:type="pct"/>
                  <w:vAlign w:val="center"/>
                </w:tcPr>
                <w:p w14:paraId="532CBEDE">
                  <w:pPr>
                    <w:jc w:val="center"/>
                    <w:rPr>
                      <w:rFonts w:hint="eastAsia" w:ascii="Times New Roman" w:hAnsi="Times New Roman" w:eastAsia="宋体"/>
                      <w:szCs w:val="21"/>
                      <w:u w:val="single"/>
                    </w:rPr>
                  </w:pPr>
                  <w:r>
                    <w:rPr>
                      <w:rFonts w:hint="eastAsia" w:ascii="Times New Roman" w:hAnsi="Times New Roman" w:eastAsia="宋体"/>
                      <w:szCs w:val="21"/>
                      <w:u w:val="single"/>
                    </w:rPr>
                    <w:t>2类</w:t>
                  </w:r>
                </w:p>
              </w:tc>
              <w:tc>
                <w:tcPr>
                  <w:tcW w:w="825" w:type="pct"/>
                  <w:vAlign w:val="center"/>
                </w:tcPr>
                <w:p w14:paraId="45F0D8C1">
                  <w:pPr>
                    <w:jc w:val="center"/>
                    <w:rPr>
                      <w:rFonts w:hint="default" w:ascii="Times New Roman" w:hAnsi="Times New Roman" w:eastAsia="宋体"/>
                      <w:szCs w:val="21"/>
                      <w:u w:val="single"/>
                      <w:lang w:val="en-US" w:eastAsia="zh-CN"/>
                    </w:rPr>
                  </w:pPr>
                  <w:r>
                    <w:rPr>
                      <w:rFonts w:hint="eastAsia" w:ascii="Times New Roman" w:hAnsi="Times New Roman" w:eastAsia="宋体"/>
                      <w:szCs w:val="21"/>
                      <w:u w:val="single"/>
                      <w:lang w:val="en-US" w:eastAsia="zh-CN"/>
                    </w:rPr>
                    <w:t>70</w:t>
                  </w:r>
                </w:p>
              </w:tc>
              <w:tc>
                <w:tcPr>
                  <w:tcW w:w="961" w:type="pct"/>
                  <w:vAlign w:val="center"/>
                </w:tcPr>
                <w:p w14:paraId="2A9AE848">
                  <w:pPr>
                    <w:jc w:val="center"/>
                    <w:rPr>
                      <w:rFonts w:hint="default" w:ascii="Times New Roman" w:hAnsi="Times New Roman" w:eastAsia="宋体"/>
                      <w:szCs w:val="21"/>
                      <w:u w:val="single"/>
                      <w:lang w:val="en-US" w:eastAsia="zh-CN"/>
                    </w:rPr>
                  </w:pPr>
                  <w:r>
                    <w:rPr>
                      <w:rFonts w:hint="eastAsia" w:ascii="Times New Roman" w:hAnsi="Times New Roman" w:eastAsia="宋体"/>
                      <w:szCs w:val="21"/>
                      <w:u w:val="single"/>
                      <w:lang w:val="en-US" w:eastAsia="zh-CN"/>
                    </w:rPr>
                    <w:t>55</w:t>
                  </w:r>
                </w:p>
              </w:tc>
              <w:tc>
                <w:tcPr>
                  <w:tcW w:w="1860" w:type="pct"/>
                  <w:vAlign w:val="center"/>
                </w:tcPr>
                <w:p w14:paraId="59FEA097">
                  <w:pPr>
                    <w:jc w:val="center"/>
                    <w:rPr>
                      <w:rFonts w:hint="eastAsia" w:ascii="Times New Roman" w:hAnsi="Times New Roman" w:eastAsia="宋体"/>
                      <w:szCs w:val="21"/>
                      <w:u w:val="single"/>
                    </w:rPr>
                  </w:pPr>
                  <w:r>
                    <w:rPr>
                      <w:rFonts w:hint="eastAsia" w:ascii="Times New Roman" w:hAnsi="Times New Roman" w:eastAsia="宋体"/>
                      <w:szCs w:val="21"/>
                      <w:u w:val="single"/>
                      <w:lang w:val="en-US" w:eastAsia="zh-CN"/>
                    </w:rPr>
                    <w:t>《建筑施工噪声排放标准》（GB12523-2025）</w:t>
                  </w:r>
                </w:p>
              </w:tc>
            </w:tr>
          </w:tbl>
          <w:p w14:paraId="4F7C7804">
            <w:pPr>
              <w:pStyle w:val="75"/>
              <w:ind w:firstLine="480"/>
              <w:rPr>
                <w:b/>
                <w:bCs/>
              </w:rPr>
            </w:pPr>
            <w:r>
              <w:rPr>
                <w:rFonts w:hint="eastAsia"/>
                <w:b/>
                <w:bCs/>
              </w:rPr>
              <w:t>4、固体废物</w:t>
            </w:r>
          </w:p>
          <w:p w14:paraId="74D07331">
            <w:pPr>
              <w:pStyle w:val="75"/>
              <w:ind w:firstLine="480"/>
              <w:rPr>
                <w:rFonts w:hint="eastAsia"/>
              </w:rPr>
            </w:pPr>
            <w:r>
              <w:rPr>
                <w:rFonts w:hint="eastAsia"/>
              </w:rPr>
              <w:t>本项目一般固废暂存间均按照《一般工业固体废物贮存和填埋污染控制标准》（GB18599-2020）进行建设；本项目危险废物的收集、贮存、运输执行《危险废物收集、贮存、运输技术规范》（HJ2025-2012）、《危险废物贮存污染控制标准》（GB18597-2023）标准要求。</w:t>
            </w:r>
          </w:p>
        </w:tc>
      </w:tr>
      <w:tr w14:paraId="66122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vAlign w:val="center"/>
          </w:tcPr>
          <w:p w14:paraId="7509ACAC">
            <w:pPr>
              <w:pStyle w:val="36"/>
            </w:pPr>
            <w:r>
              <w:rPr>
                <w:rFonts w:hint="eastAsia"/>
              </w:rPr>
              <w:t xml:space="preserve">总量控制指标 </w:t>
            </w:r>
          </w:p>
        </w:tc>
        <w:tc>
          <w:tcPr>
            <w:tcW w:w="8223" w:type="dxa"/>
          </w:tcPr>
          <w:p w14:paraId="3F5CCC15">
            <w:pPr>
              <w:autoSpaceDE w:val="0"/>
              <w:autoSpaceDN w:val="0"/>
              <w:adjustRightInd w:val="0"/>
              <w:spacing w:line="360" w:lineRule="auto"/>
              <w:ind w:firstLine="480"/>
              <w:rPr>
                <w:rFonts w:hint="eastAsia" w:ascii="Times New Roman" w:hAnsi="Times New Roman" w:eastAsia="宋体" w:cstheme="minorBidi"/>
                <w:kern w:val="2"/>
                <w:sz w:val="24"/>
                <w:szCs w:val="22"/>
                <w:lang w:val="en-US" w:eastAsia="zh-CN" w:bidi="ar-SA"/>
              </w:rPr>
            </w:pPr>
            <w:r>
              <w:rPr>
                <w:rFonts w:hint="eastAsia" w:ascii="Times New Roman" w:hAnsi="Times New Roman" w:eastAsia="宋体" w:cstheme="minorBidi"/>
                <w:kern w:val="2"/>
                <w:sz w:val="24"/>
                <w:szCs w:val="22"/>
                <w:lang w:val="en-US" w:eastAsia="zh-CN" w:bidi="ar-SA"/>
              </w:rPr>
              <w:t>依据《湖南省主要污染物排污权有偿使用和交易管理办法》（湘政办发〔2022〕23号）及《湖南省主要污染物排污权有偿使用和交易实施细则》，湖南省对化学需氧量、氨氮、二氧化硫、氨氧化物、挥发性有机物、总磷、铅、镉、砷、汞、铬十一类污染物实施总量控制（实施管理的范围为有效实施的国家固定污染源排污许可分类管理名录的工业类排污单位）。</w:t>
            </w:r>
          </w:p>
          <w:p w14:paraId="452F888D">
            <w:pPr>
              <w:keepNext w:val="0"/>
              <w:keepLines w:val="0"/>
              <w:pageBreakBefore w:val="0"/>
              <w:widowControl w:val="0"/>
              <w:kinsoku/>
              <w:wordWrap/>
              <w:overflowPunct/>
              <w:topLinePunct w:val="0"/>
              <w:autoSpaceDE w:val="0"/>
              <w:autoSpaceDN w:val="0"/>
              <w:bidi w:val="0"/>
              <w:adjustRightInd w:val="0"/>
              <w:snapToGrid/>
              <w:spacing w:line="240" w:lineRule="auto"/>
              <w:ind w:firstLine="482"/>
              <w:textAlignment w:val="auto"/>
              <w:rPr>
                <w:rFonts w:hint="eastAsia" w:ascii="Times New Roman" w:hAnsi="Times New Roman" w:eastAsia="宋体" w:cstheme="minorBidi"/>
                <w:color w:val="000000" w:themeColor="text1"/>
                <w:kern w:val="2"/>
                <w:sz w:val="24"/>
                <w:szCs w:val="22"/>
                <w:u w:val="none"/>
                <w:lang w:val="zh-CN" w:eastAsia="zh-CN" w:bidi="ar-SA"/>
                <w14:textFill>
                  <w14:solidFill>
                    <w14:schemeClr w14:val="tx1"/>
                  </w14:solidFill>
                </w14:textFill>
              </w:rPr>
            </w:pPr>
            <w:r>
              <w:rPr>
                <w:rFonts w:hint="eastAsia" w:ascii="Times New Roman" w:hAnsi="Times New Roman" w:eastAsia="宋体" w:cstheme="minorBidi"/>
                <w:color w:val="000000" w:themeColor="text1"/>
                <w:kern w:val="2"/>
                <w:sz w:val="24"/>
                <w:szCs w:val="22"/>
                <w:u w:val="none"/>
                <w:lang w:val="zh-CN" w:eastAsia="zh-CN" w:bidi="ar-SA"/>
                <w14:textFill>
                  <w14:solidFill>
                    <w14:schemeClr w14:val="tx1"/>
                  </w14:solidFill>
                </w14:textFill>
              </w:rPr>
              <w:t>结合本项目工程特征，本项目</w:t>
            </w:r>
            <w:r>
              <w:rPr>
                <w:rFonts w:hint="eastAsia" w:ascii="Times New Roman" w:hAnsi="Times New Roman" w:eastAsia="宋体" w:cstheme="minorBidi"/>
                <w:color w:val="000000" w:themeColor="text1"/>
                <w:kern w:val="2"/>
                <w:sz w:val="24"/>
                <w:szCs w:val="22"/>
                <w:u w:val="none"/>
                <w:lang w:val="en-US" w:eastAsia="zh-CN" w:bidi="ar-SA"/>
                <w14:textFill>
                  <w14:solidFill>
                    <w14:schemeClr w14:val="tx1"/>
                  </w14:solidFill>
                </w14:textFill>
              </w:rPr>
              <w:t>涉及</w:t>
            </w:r>
            <w:r>
              <w:rPr>
                <w:rFonts w:hint="eastAsia" w:ascii="Times New Roman" w:hAnsi="Times New Roman" w:eastAsia="宋体" w:cstheme="minorBidi"/>
                <w:color w:val="000000" w:themeColor="text1"/>
                <w:kern w:val="2"/>
                <w:sz w:val="24"/>
                <w:szCs w:val="22"/>
                <w:u w:val="none"/>
                <w:lang w:val="zh-CN" w:eastAsia="zh-CN" w:bidi="ar-SA"/>
                <w14:textFill>
                  <w14:solidFill>
                    <w14:schemeClr w14:val="tx1"/>
                  </w14:solidFill>
                </w14:textFill>
              </w:rPr>
              <w:t>总量控制指标因子为</w:t>
            </w:r>
            <w:r>
              <w:rPr>
                <w:rFonts w:hint="default" w:ascii="Times New Roman" w:hAnsi="Times New Roman" w:cs="Times New Roman"/>
                <w:color w:val="000000" w:themeColor="text1"/>
                <w:sz w:val="24"/>
                <w:szCs w:val="28"/>
                <w:u w:val="none"/>
                <w14:textFill>
                  <w14:solidFill>
                    <w14:schemeClr w14:val="tx1"/>
                  </w14:solidFill>
                </w14:textFill>
              </w:rPr>
              <w:t>SO</w:t>
            </w:r>
            <w:r>
              <w:rPr>
                <w:rFonts w:hint="default" w:ascii="Times New Roman" w:hAnsi="Times New Roman" w:cs="Times New Roman"/>
                <w:color w:val="000000" w:themeColor="text1"/>
                <w:sz w:val="24"/>
                <w:szCs w:val="28"/>
                <w:u w:val="none"/>
                <w:vertAlign w:val="subscript"/>
                <w14:textFill>
                  <w14:solidFill>
                    <w14:schemeClr w14:val="tx1"/>
                  </w14:solidFill>
                </w14:textFill>
              </w:rPr>
              <w:t>2</w:t>
            </w:r>
            <w:r>
              <w:rPr>
                <w:rFonts w:hint="default" w:ascii="Times New Roman" w:hAnsi="Times New Roman" w:cs="Times New Roman"/>
                <w:color w:val="000000" w:themeColor="text1"/>
                <w:sz w:val="24"/>
                <w:szCs w:val="28"/>
                <w:u w:val="none"/>
                <w:vertAlign w:val="baseline"/>
                <w:lang w:eastAsia="zh-CN"/>
                <w14:textFill>
                  <w14:solidFill>
                    <w14:schemeClr w14:val="tx1"/>
                  </w14:solidFill>
                </w14:textFill>
              </w:rPr>
              <w:t>、</w:t>
            </w:r>
            <w:r>
              <w:rPr>
                <w:rFonts w:hint="default" w:ascii="Times New Roman" w:hAnsi="Times New Roman" w:cs="Times New Roman"/>
                <w:color w:val="000000" w:themeColor="text1"/>
                <w:sz w:val="24"/>
                <w:szCs w:val="28"/>
                <w:u w:val="none"/>
                <w14:textFill>
                  <w14:solidFill>
                    <w14:schemeClr w14:val="tx1"/>
                  </w14:solidFill>
                </w14:textFill>
              </w:rPr>
              <w:t>NOx</w:t>
            </w:r>
            <w:r>
              <w:rPr>
                <w:rFonts w:hint="eastAsia" w:ascii="Times New Roman" w:hAnsi="Times New Roman" w:eastAsia="宋体" w:cstheme="minorBidi"/>
                <w:color w:val="000000" w:themeColor="text1"/>
                <w:kern w:val="2"/>
                <w:sz w:val="24"/>
                <w:szCs w:val="22"/>
                <w:u w:val="none"/>
                <w:lang w:val="zh-CN" w:eastAsia="zh-CN" w:bidi="ar-SA"/>
                <w14:textFill>
                  <w14:solidFill>
                    <w14:schemeClr w14:val="tx1"/>
                  </w14:solidFill>
                </w14:textFill>
              </w:rPr>
              <w:t>。</w:t>
            </w:r>
          </w:p>
          <w:p w14:paraId="6D0073FC">
            <w:pPr>
              <w:pStyle w:val="34"/>
              <w:spacing w:before="156"/>
              <w:rPr>
                <w:rFonts w:hint="default" w:eastAsia="宋体"/>
                <w:color w:val="000000" w:themeColor="text1"/>
                <w:sz w:val="21"/>
                <w:szCs w:val="21"/>
                <w:u w:val="none"/>
                <w:lang w:val="en-US" w:eastAsia="zh-CN"/>
                <w14:textFill>
                  <w14:solidFill>
                    <w14:schemeClr w14:val="tx1"/>
                  </w14:solidFill>
                </w14:textFill>
              </w:rPr>
            </w:pPr>
            <w:r>
              <w:rPr>
                <w:color w:val="000000" w:themeColor="text1"/>
                <w:sz w:val="21"/>
                <w:szCs w:val="21"/>
                <w:u w:val="none"/>
                <w14:textFill>
                  <w14:solidFill>
                    <w14:schemeClr w14:val="tx1"/>
                  </w14:solidFill>
                </w14:textFill>
              </w:rPr>
              <w:t>表</w:t>
            </w:r>
            <w:r>
              <w:rPr>
                <w:rFonts w:hint="eastAsia"/>
                <w:color w:val="000000" w:themeColor="text1"/>
                <w:sz w:val="21"/>
                <w:szCs w:val="21"/>
                <w:u w:val="none"/>
                <w14:textFill>
                  <w14:solidFill>
                    <w14:schemeClr w14:val="tx1"/>
                  </w14:solidFill>
                </w14:textFill>
              </w:rPr>
              <w:t>3-</w:t>
            </w:r>
            <w:r>
              <w:rPr>
                <w:rFonts w:hint="eastAsia"/>
                <w:color w:val="000000" w:themeColor="text1"/>
                <w:sz w:val="21"/>
                <w:szCs w:val="21"/>
                <w:u w:val="none"/>
                <w:lang w:val="en-US" w:eastAsia="zh-CN"/>
                <w14:textFill>
                  <w14:solidFill>
                    <w14:schemeClr w14:val="tx1"/>
                  </w14:solidFill>
                </w14:textFill>
              </w:rPr>
              <w:t>12</w:t>
            </w:r>
            <w:r>
              <w:rPr>
                <w:color w:val="000000" w:themeColor="text1"/>
                <w:sz w:val="21"/>
                <w:szCs w:val="21"/>
                <w:u w:val="none"/>
                <w14:textFill>
                  <w14:solidFill>
                    <w14:schemeClr w14:val="tx1"/>
                  </w14:solidFill>
                </w14:textFill>
              </w:rPr>
              <w:t xml:space="preserve"> 总量控制建议指标</w:t>
            </w:r>
            <w:r>
              <w:rPr>
                <w:rFonts w:hint="eastAsia"/>
                <w:color w:val="000000" w:themeColor="text1"/>
                <w:sz w:val="21"/>
                <w:szCs w:val="21"/>
                <w:u w:val="none"/>
                <w:lang w:val="en-US" w:eastAsia="zh-CN"/>
                <w14:textFill>
                  <w14:solidFill>
                    <w14:schemeClr w14:val="tx1"/>
                  </w14:solidFill>
                </w14:textFill>
              </w:rPr>
              <w:t xml:space="preserve">  t/a</w:t>
            </w:r>
          </w:p>
          <w:tbl>
            <w:tblPr>
              <w:tblStyle w:val="28"/>
              <w:tblW w:w="7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3"/>
              <w:gridCol w:w="1841"/>
              <w:gridCol w:w="1936"/>
              <w:gridCol w:w="2845"/>
            </w:tblGrid>
            <w:tr w14:paraId="6D98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263" w:type="dxa"/>
                  <w:vAlign w:val="center"/>
                </w:tcPr>
                <w:p w14:paraId="0C09CF46">
                  <w:pPr>
                    <w:pStyle w:val="57"/>
                    <w:rPr>
                      <w:color w:val="000000" w:themeColor="text1"/>
                      <w:u w:val="none"/>
                      <w14:textFill>
                        <w14:solidFill>
                          <w14:schemeClr w14:val="tx1"/>
                        </w14:solidFill>
                      </w14:textFill>
                    </w:rPr>
                  </w:pPr>
                  <w:r>
                    <w:rPr>
                      <w:rFonts w:hint="eastAsia"/>
                      <w:color w:val="000000" w:themeColor="text1"/>
                      <w:u w:val="none"/>
                      <w14:textFill>
                        <w14:solidFill>
                          <w14:schemeClr w14:val="tx1"/>
                        </w14:solidFill>
                      </w14:textFill>
                    </w:rPr>
                    <w:t>项目</w:t>
                  </w:r>
                </w:p>
              </w:tc>
              <w:tc>
                <w:tcPr>
                  <w:tcW w:w="1841" w:type="dxa"/>
                  <w:vAlign w:val="center"/>
                </w:tcPr>
                <w:p w14:paraId="4105F1E8">
                  <w:pPr>
                    <w:pStyle w:val="57"/>
                    <w:rPr>
                      <w:color w:val="000000" w:themeColor="text1"/>
                      <w:u w:val="none"/>
                      <w14:textFill>
                        <w14:solidFill>
                          <w14:schemeClr w14:val="tx1"/>
                        </w14:solidFill>
                      </w14:textFill>
                    </w:rPr>
                  </w:pPr>
                  <w:r>
                    <w:rPr>
                      <w:rFonts w:hint="eastAsia"/>
                      <w:color w:val="000000" w:themeColor="text1"/>
                      <w:u w:val="none"/>
                      <w14:textFill>
                        <w14:solidFill>
                          <w14:schemeClr w14:val="tx1"/>
                        </w14:solidFill>
                      </w14:textFill>
                    </w:rPr>
                    <w:t>污染物</w:t>
                  </w:r>
                </w:p>
              </w:tc>
              <w:tc>
                <w:tcPr>
                  <w:tcW w:w="1936" w:type="dxa"/>
                  <w:vAlign w:val="center"/>
                </w:tcPr>
                <w:p w14:paraId="38B2D953">
                  <w:pPr>
                    <w:pStyle w:val="57"/>
                    <w:rPr>
                      <w:rFonts w:hint="eastAsia" w:eastAsia="宋体"/>
                      <w:color w:val="000000" w:themeColor="text1"/>
                      <w:u w:val="none"/>
                      <w:lang w:eastAsia="zh-CN"/>
                      <w14:textFill>
                        <w14:solidFill>
                          <w14:schemeClr w14:val="tx1"/>
                        </w14:solidFill>
                      </w14:textFill>
                    </w:rPr>
                  </w:pPr>
                  <w:r>
                    <w:rPr>
                      <w:rFonts w:hint="eastAsia"/>
                      <w:u w:val="none"/>
                      <w:lang w:val="en-US" w:eastAsia="zh-CN"/>
                    </w:rPr>
                    <w:t>工程排放量</w:t>
                  </w:r>
                </w:p>
              </w:tc>
              <w:tc>
                <w:tcPr>
                  <w:tcW w:w="2845" w:type="dxa"/>
                  <w:vAlign w:val="center"/>
                </w:tcPr>
                <w:p w14:paraId="2FA755C7">
                  <w:pPr>
                    <w:pStyle w:val="57"/>
                    <w:rPr>
                      <w:rFonts w:hint="eastAsia"/>
                      <w:u w:val="none"/>
                      <w:lang w:val="en-US" w:eastAsia="zh-CN"/>
                    </w:rPr>
                  </w:pPr>
                  <w:r>
                    <w:rPr>
                      <w:rFonts w:hint="eastAsia" w:ascii="Times New Roman" w:hAnsi="Times New Roman"/>
                    </w:rPr>
                    <w:t>需购买总量控制指标建议</w:t>
                  </w:r>
                </w:p>
              </w:tc>
            </w:tr>
            <w:tr w14:paraId="03E5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3" w:type="dxa"/>
                  <w:vMerge w:val="restart"/>
                  <w:vAlign w:val="center"/>
                </w:tcPr>
                <w:p w14:paraId="0D79378B">
                  <w:pPr>
                    <w:pStyle w:val="57"/>
                    <w:rPr>
                      <w:color w:val="000000" w:themeColor="text1"/>
                      <w:u w:val="none"/>
                      <w14:textFill>
                        <w14:solidFill>
                          <w14:schemeClr w14:val="tx1"/>
                        </w14:solidFill>
                      </w14:textFill>
                    </w:rPr>
                  </w:pPr>
                  <w:r>
                    <w:rPr>
                      <w:rFonts w:hint="eastAsia"/>
                      <w:color w:val="000000" w:themeColor="text1"/>
                      <w:u w:val="none"/>
                      <w14:textFill>
                        <w14:solidFill>
                          <w14:schemeClr w14:val="tx1"/>
                        </w14:solidFill>
                      </w14:textFill>
                    </w:rPr>
                    <w:t>废气</w:t>
                  </w:r>
                </w:p>
              </w:tc>
              <w:tc>
                <w:tcPr>
                  <w:tcW w:w="1841" w:type="dxa"/>
                  <w:vAlign w:val="center"/>
                </w:tcPr>
                <w:p w14:paraId="224DA24C">
                  <w:pPr>
                    <w:pStyle w:val="57"/>
                    <w:rPr>
                      <w:color w:val="000000" w:themeColor="text1"/>
                      <w:u w:val="none"/>
                      <w14:textFill>
                        <w14:solidFill>
                          <w14:schemeClr w14:val="tx1"/>
                        </w14:solidFill>
                      </w14:textFill>
                    </w:rPr>
                  </w:pPr>
                  <w:r>
                    <w:rPr>
                      <w:rFonts w:hint="eastAsia"/>
                      <w:color w:val="000000" w:themeColor="text1"/>
                      <w:u w:val="none"/>
                      <w14:textFill>
                        <w14:solidFill>
                          <w14:schemeClr w14:val="tx1"/>
                        </w14:solidFill>
                      </w14:textFill>
                    </w:rPr>
                    <w:t>SO</w:t>
                  </w:r>
                  <w:r>
                    <w:rPr>
                      <w:rFonts w:hint="eastAsia"/>
                      <w:color w:val="000000" w:themeColor="text1"/>
                      <w:u w:val="none"/>
                      <w:vertAlign w:val="subscript"/>
                      <w14:textFill>
                        <w14:solidFill>
                          <w14:schemeClr w14:val="tx1"/>
                        </w14:solidFill>
                      </w14:textFill>
                    </w:rPr>
                    <w:t>2</w:t>
                  </w:r>
                </w:p>
              </w:tc>
              <w:tc>
                <w:tcPr>
                  <w:tcW w:w="1936" w:type="dxa"/>
                  <w:shd w:val="clear" w:color="auto" w:fill="auto"/>
                  <w:vAlign w:val="center"/>
                </w:tcPr>
                <w:p w14:paraId="39FC3CC8">
                  <w:pPr>
                    <w:widowControl/>
                    <w:jc w:val="center"/>
                    <w:rPr>
                      <w:rFonts w:hint="default" w:ascii="Times New Roman" w:hAnsi="Times New Roman" w:eastAsia="宋体" w:cstheme="minorBidi"/>
                      <w:kern w:val="2"/>
                      <w:sz w:val="21"/>
                      <w:szCs w:val="32"/>
                      <w:u w:val="none" w:color="auto"/>
                      <w:lang w:val="en-US" w:eastAsia="zh-CN" w:bidi="ar-SA"/>
                    </w:rPr>
                  </w:pPr>
                  <w:r>
                    <w:rPr>
                      <w:rFonts w:hint="default" w:ascii="Times New Roman" w:hAnsi="Times New Roman" w:cs="Times New Roman"/>
                      <w:u w:val="none" w:color="auto"/>
                      <w:lang w:val="en-US" w:eastAsia="zh-CN"/>
                    </w:rPr>
                    <w:t>0.298</w:t>
                  </w:r>
                </w:p>
              </w:tc>
              <w:tc>
                <w:tcPr>
                  <w:tcW w:w="2845" w:type="dxa"/>
                  <w:shd w:val="clear" w:color="auto" w:fill="auto"/>
                  <w:vAlign w:val="center"/>
                </w:tcPr>
                <w:p w14:paraId="7835E9BD">
                  <w:pPr>
                    <w:widowControl/>
                    <w:jc w:val="center"/>
                    <w:rPr>
                      <w:rFonts w:hint="eastAsia" w:ascii="Times New Roman" w:hAnsi="Times New Roman" w:eastAsia="宋体" w:cstheme="minorBidi"/>
                      <w:kern w:val="2"/>
                      <w:sz w:val="21"/>
                      <w:szCs w:val="32"/>
                      <w:u w:val="none" w:color="auto"/>
                      <w:lang w:val="en-US" w:eastAsia="zh-CN" w:bidi="ar-SA"/>
                    </w:rPr>
                  </w:pPr>
                  <w:r>
                    <w:rPr>
                      <w:rFonts w:hint="default" w:ascii="Times New Roman" w:hAnsi="Times New Roman" w:cs="Times New Roman"/>
                      <w:u w:val="none" w:color="auto"/>
                      <w:lang w:val="en-US" w:eastAsia="zh-CN"/>
                    </w:rPr>
                    <w:t>0.298</w:t>
                  </w:r>
                </w:p>
              </w:tc>
            </w:tr>
            <w:tr w14:paraId="7BF6E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3" w:type="dxa"/>
                  <w:vMerge w:val="continue"/>
                  <w:vAlign w:val="center"/>
                </w:tcPr>
                <w:p w14:paraId="178A2650">
                  <w:pPr>
                    <w:pStyle w:val="57"/>
                    <w:rPr>
                      <w:color w:val="000000" w:themeColor="text1"/>
                      <w:u w:val="none"/>
                      <w14:textFill>
                        <w14:solidFill>
                          <w14:schemeClr w14:val="tx1"/>
                        </w14:solidFill>
                      </w14:textFill>
                    </w:rPr>
                  </w:pPr>
                </w:p>
              </w:tc>
              <w:tc>
                <w:tcPr>
                  <w:tcW w:w="1841" w:type="dxa"/>
                  <w:vAlign w:val="center"/>
                </w:tcPr>
                <w:p w14:paraId="739100B5">
                  <w:pPr>
                    <w:pStyle w:val="57"/>
                    <w:rPr>
                      <w:color w:val="000000" w:themeColor="text1"/>
                      <w:u w:val="none"/>
                      <w14:textFill>
                        <w14:solidFill>
                          <w14:schemeClr w14:val="tx1"/>
                        </w14:solidFill>
                      </w14:textFill>
                    </w:rPr>
                  </w:pPr>
                  <w:r>
                    <w:rPr>
                      <w:rFonts w:hint="eastAsia"/>
                      <w:color w:val="000000" w:themeColor="text1"/>
                      <w:u w:val="none"/>
                      <w14:textFill>
                        <w14:solidFill>
                          <w14:schemeClr w14:val="tx1"/>
                        </w14:solidFill>
                      </w14:textFill>
                    </w:rPr>
                    <w:t>NOx</w:t>
                  </w:r>
                </w:p>
              </w:tc>
              <w:tc>
                <w:tcPr>
                  <w:tcW w:w="1936" w:type="dxa"/>
                  <w:shd w:val="clear" w:color="auto" w:fill="auto"/>
                  <w:vAlign w:val="center"/>
                </w:tcPr>
                <w:p w14:paraId="480431E0">
                  <w:pPr>
                    <w:pStyle w:val="11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32"/>
                      <w:u w:val="none" w:color="auto"/>
                      <w:lang w:val="en-US" w:eastAsia="zh-CN" w:bidi="ar-SA"/>
                      <w14:textFill>
                        <w14:solidFill>
                          <w14:schemeClr w14:val="tx1"/>
                        </w14:solidFill>
                      </w14:textFill>
                    </w:rPr>
                    <w:t>0.278</w:t>
                  </w:r>
                </w:p>
              </w:tc>
              <w:tc>
                <w:tcPr>
                  <w:tcW w:w="2845" w:type="dxa"/>
                  <w:shd w:val="clear" w:color="auto" w:fill="auto"/>
                  <w:vAlign w:val="center"/>
                </w:tcPr>
                <w:p w14:paraId="2FB516CD">
                  <w:pPr>
                    <w:pStyle w:val="117"/>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32"/>
                      <w:u w:val="none" w:color="auto"/>
                      <w:lang w:val="en-US" w:eastAsia="zh-CN" w:bidi="ar-SA"/>
                      <w14:textFill>
                        <w14:solidFill>
                          <w14:schemeClr w14:val="tx1"/>
                        </w14:solidFill>
                      </w14:textFill>
                    </w:rPr>
                    <w:t>0.278</w:t>
                  </w:r>
                </w:p>
              </w:tc>
            </w:tr>
          </w:tbl>
          <w:p w14:paraId="197DE590">
            <w:pPr>
              <w:pStyle w:val="75"/>
              <w:ind w:firstLine="480"/>
            </w:pPr>
          </w:p>
        </w:tc>
      </w:tr>
    </w:tbl>
    <w:p w14:paraId="1883467A">
      <w:pPr>
        <w:pStyle w:val="35"/>
        <w:ind w:firstLine="0" w:firstLineChars="0"/>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7C20FBB9">
      <w:pPr>
        <w:pStyle w:val="39"/>
        <w:ind w:left="0" w:leftChars="0" w:right="0" w:rightChars="0" w:firstLine="0" w:firstLineChars="0"/>
        <w:jc w:val="center"/>
      </w:pPr>
      <w:bookmarkStart w:id="28" w:name="_Toc21081"/>
      <w:bookmarkStart w:id="29" w:name="_Toc5386"/>
      <w:bookmarkStart w:id="30" w:name="_Toc28047"/>
      <w:bookmarkStart w:id="31" w:name="_Toc31294"/>
      <w:bookmarkStart w:id="32" w:name="_Toc5443"/>
      <w:bookmarkStart w:id="33" w:name="_Toc19456"/>
      <w:bookmarkStart w:id="34" w:name="_Toc39"/>
      <w:r>
        <w:rPr>
          <w:rFonts w:hint="eastAsia"/>
        </w:rPr>
        <w:t>四、主要环境影响和保护措施</w:t>
      </w:r>
      <w:bookmarkEnd w:id="28"/>
      <w:bookmarkEnd w:id="29"/>
      <w:bookmarkEnd w:id="30"/>
      <w:bookmarkEnd w:id="31"/>
      <w:bookmarkEnd w:id="32"/>
      <w:bookmarkEnd w:id="33"/>
      <w:bookmarkEnd w:id="34"/>
    </w:p>
    <w:tbl>
      <w:tblPr>
        <w:tblStyle w:val="28"/>
        <w:tblW w:w="0" w:type="auto"/>
        <w:tblInd w:w="-1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8011"/>
      </w:tblGrid>
      <w:tr w14:paraId="68159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Align w:val="center"/>
          </w:tcPr>
          <w:p w14:paraId="1865D4A2">
            <w:pPr>
              <w:pStyle w:val="36"/>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施工期环境保护措施</w:t>
            </w:r>
          </w:p>
        </w:tc>
        <w:tc>
          <w:tcPr>
            <w:tcW w:w="8011" w:type="dxa"/>
            <w:vAlign w:val="center"/>
          </w:tcPr>
          <w:p w14:paraId="4DBE96FC">
            <w:pPr>
              <w:spacing w:line="360" w:lineRule="auto"/>
              <w:ind w:firstLine="482"/>
              <w:rPr>
                <w:rFonts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本项目利用已有厂房安装生产设备进行建设。项目入驻只需进行简单的设备安装，不涉及土建工程。据调查，由于施工时间较短，施工量较小，基本在封闭的空间内施工，施工期对项目周边环境敏感目标没有产生明显影响，因此仅对施工期间产生的污染及其对环境的影响做简单分析，并提出相应的防治措施。</w:t>
            </w:r>
          </w:p>
          <w:p w14:paraId="75765A6D">
            <w:pPr>
              <w:spacing w:line="360" w:lineRule="auto"/>
              <w:ind w:firstLine="482"/>
              <w:rPr>
                <w:rFonts w:hint="default"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1、</w:t>
            </w:r>
            <w:r>
              <w:rPr>
                <w:rFonts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施工期</w:t>
            </w:r>
            <w:r>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环境保护措施</w:t>
            </w:r>
          </w:p>
          <w:p w14:paraId="572EFA49">
            <w:pPr>
              <w:adjustRightInd w:val="0"/>
              <w:snapToGrid w:val="0"/>
              <w:spacing w:line="360" w:lineRule="auto"/>
              <w:ind w:firstLine="480" w:firstLineChars="200"/>
              <w:jc w:val="left"/>
              <w:rPr>
                <w:rFonts w:hint="default"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（1）水环境影响分析</w:t>
            </w:r>
          </w:p>
          <w:p w14:paraId="03EC9F22">
            <w:pPr>
              <w:widowControl/>
              <w:adjustRightInd w:val="0"/>
              <w:snapToGrid w:val="0"/>
              <w:spacing w:line="360" w:lineRule="auto"/>
              <w:ind w:firstLine="480" w:firstLineChars="200"/>
              <w:jc w:val="left"/>
              <w:rPr>
                <w:rFonts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项目施工期所产生的污水主要是施工人员产生的生活污水。考虑到本项目施工期短，施工人员不在施工场地居住、用餐，生活污水产生量很少，主要为粪便污水。生活污水中污染物较简单，主要成分为CODcr、BOD</w:t>
            </w:r>
            <w:r>
              <w:rPr>
                <w:rFonts w:hint="eastAsia" w:ascii="Times New Roman" w:hAnsi="宋体" w:eastAsia="宋体" w:cs="Times New Roman"/>
                <w:color w:val="000000" w:themeColor="text1"/>
                <w:kern w:val="2"/>
                <w:sz w:val="24"/>
                <w:szCs w:val="24"/>
                <w:u w:val="none" w:color="auto"/>
                <w:vertAlign w:val="subscript"/>
                <w:lang w:val="en-US" w:eastAsia="zh-CN" w:bidi="ar-SA"/>
                <w14:textFill>
                  <w14:solidFill>
                    <w14:schemeClr w14:val="tx1"/>
                  </w14:solidFill>
                </w14:textFill>
              </w:rPr>
              <w:t>5</w:t>
            </w:r>
            <w:r>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、SS、NH</w:t>
            </w:r>
            <w:r>
              <w:rPr>
                <w:rFonts w:hint="eastAsia" w:ascii="Times New Roman" w:hAnsi="宋体" w:eastAsia="宋体" w:cs="Times New Roman"/>
                <w:color w:val="000000" w:themeColor="text1"/>
                <w:kern w:val="2"/>
                <w:sz w:val="24"/>
                <w:szCs w:val="24"/>
                <w:u w:val="none" w:color="auto"/>
                <w:vertAlign w:val="subscript"/>
                <w:lang w:val="en-US" w:eastAsia="zh-CN" w:bidi="ar-SA"/>
                <w14:textFill>
                  <w14:solidFill>
                    <w14:schemeClr w14:val="tx1"/>
                  </w14:solidFill>
                </w14:textFill>
              </w:rPr>
              <w:t>3</w:t>
            </w:r>
            <w:r>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-N等，经化粪池处理后用作周边菜地施肥，对环境影响较小。</w:t>
            </w:r>
          </w:p>
          <w:p w14:paraId="00ABAE89">
            <w:pPr>
              <w:widowControl/>
              <w:adjustRightInd w:val="0"/>
              <w:snapToGrid w:val="0"/>
              <w:spacing w:line="360" w:lineRule="auto"/>
              <w:ind w:firstLine="480" w:firstLineChars="200"/>
              <w:jc w:val="left"/>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（2）大气环境影响分析</w:t>
            </w:r>
          </w:p>
          <w:p w14:paraId="706711A6">
            <w:pPr>
              <w:widowControl/>
              <w:adjustRightInd w:val="0"/>
              <w:snapToGrid w:val="0"/>
              <w:spacing w:line="360" w:lineRule="auto"/>
              <w:ind w:firstLine="480" w:firstLineChars="200"/>
              <w:jc w:val="left"/>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本项目施工期所产生的大气污染主要是运输过程中的施工机械废气。</w:t>
            </w:r>
          </w:p>
          <w:p w14:paraId="78564412">
            <w:pPr>
              <w:widowControl/>
              <w:adjustRightInd w:val="0"/>
              <w:snapToGrid w:val="0"/>
              <w:spacing w:line="360" w:lineRule="auto"/>
              <w:ind w:firstLine="480" w:firstLineChars="200"/>
              <w:jc w:val="left"/>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本项目施工过程用到的施工机械，主要是对外购设备进行运输的轻型载重卡车，运输过程中，此机械会产生一定量废气，考虑其量不大，影响范围有限，故可以认为其环境可以接受。</w:t>
            </w:r>
          </w:p>
          <w:p w14:paraId="305F8786">
            <w:pPr>
              <w:widowControl/>
              <w:adjustRightInd w:val="0"/>
              <w:snapToGrid w:val="0"/>
              <w:spacing w:line="360" w:lineRule="auto"/>
              <w:ind w:firstLine="480" w:firstLineChars="200"/>
              <w:jc w:val="left"/>
              <w:rPr>
                <w:rFonts w:hint="default"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（3）声环境影响分析</w:t>
            </w:r>
          </w:p>
          <w:p w14:paraId="2067DDD0">
            <w:pPr>
              <w:widowControl/>
              <w:adjustRightInd w:val="0"/>
              <w:snapToGrid w:val="0"/>
              <w:spacing w:line="360" w:lineRule="auto"/>
              <w:ind w:firstLine="480" w:firstLineChars="200"/>
              <w:jc w:val="left"/>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本项目施工期噪声源主要为对外购设备的运输、安装和调试。运输过程中车辆产生的噪声值在75~80dB（A）之间，安装调试过程中，项目噪声值可达到65~85dB（A）之间。为保障施工厂界噪声值达标，建设单位须采取以下降噪措施：采取合理的安装，合理布局噪声源，并设置减振底座进行降噪处理，合理安排施工时间和施工进度，对现场工作人员进行培训，严格按操作规范使用各类机械。</w:t>
            </w:r>
          </w:p>
          <w:p w14:paraId="2EFB0666">
            <w:pPr>
              <w:widowControl/>
              <w:adjustRightInd w:val="0"/>
              <w:snapToGrid w:val="0"/>
              <w:spacing w:line="360" w:lineRule="auto"/>
              <w:ind w:firstLine="480" w:firstLineChars="200"/>
              <w:jc w:val="left"/>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采取上述降噪措施后，项目施工期噪声对区域环境不会产生明显不利影响，对周围声环境的影响可得到有效缓解。</w:t>
            </w:r>
          </w:p>
          <w:p w14:paraId="6FFDB4D0">
            <w:pPr>
              <w:widowControl/>
              <w:adjustRightInd w:val="0"/>
              <w:snapToGrid w:val="0"/>
              <w:spacing w:line="360" w:lineRule="auto"/>
              <w:ind w:firstLine="480" w:firstLineChars="200"/>
              <w:jc w:val="left"/>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（4）固体废物环境影响分析</w:t>
            </w:r>
          </w:p>
          <w:p w14:paraId="54264A8B">
            <w:pPr>
              <w:pStyle w:val="75"/>
              <w:ind w:firstLine="480"/>
              <w:rPr>
                <w:rFonts w:hint="eastAsia" w:ascii="Times New Roman" w:hAnsi="Times New Roman" w:eastAsia="宋体"/>
                <w:color w:val="000000" w:themeColor="text1"/>
                <w:u w:val="none" w:color="auto"/>
                <w:lang w:eastAsia="zh-CN"/>
                <w14:textFill>
                  <w14:solidFill>
                    <w14:schemeClr w14:val="tx1"/>
                  </w14:solidFill>
                </w14:textFill>
              </w:rPr>
            </w:pPr>
            <w:r>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项目施工期固体废物主要为设备包装垃圾和生活垃圾。根据项目建设性质，该项目所产生的设备包装垃圾为包装纸盒、塑料、泡沫等，生活垃圾和设备包装垃圾集中收集，由环卫部门统一处理。</w:t>
            </w:r>
          </w:p>
        </w:tc>
      </w:tr>
      <w:tr w14:paraId="44813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Align w:val="center"/>
          </w:tcPr>
          <w:p w14:paraId="1ED27EB4">
            <w:pPr>
              <w:pStyle w:val="36"/>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运营期环境影响和保护措施</w:t>
            </w:r>
          </w:p>
        </w:tc>
        <w:tc>
          <w:tcPr>
            <w:tcW w:w="8011" w:type="dxa"/>
          </w:tcPr>
          <w:p w14:paraId="0C537139">
            <w:pPr>
              <w:pStyle w:val="35"/>
              <w:ind w:firstLine="480"/>
              <w:rPr>
                <w:b/>
                <w:bCs/>
                <w:color w:val="000000" w:themeColor="text1"/>
                <w:u w:val="none" w:color="auto"/>
                <w14:textFill>
                  <w14:solidFill>
                    <w14:schemeClr w14:val="tx1"/>
                  </w14:solidFill>
                </w14:textFill>
              </w:rPr>
            </w:pPr>
            <w:r>
              <w:rPr>
                <w:rFonts w:hint="eastAsia"/>
                <w:b/>
                <w:bCs/>
                <w:color w:val="000000" w:themeColor="text1"/>
                <w:u w:val="none" w:color="auto"/>
                <w14:textFill>
                  <w14:solidFill>
                    <w14:schemeClr w14:val="tx1"/>
                  </w14:solidFill>
                </w14:textFill>
              </w:rPr>
              <w:t>1、废气</w:t>
            </w:r>
          </w:p>
          <w:p w14:paraId="782B432A">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项目废气主要为</w:t>
            </w:r>
            <w:r>
              <w:rPr>
                <w:rFonts w:hint="eastAsia"/>
                <w:color w:val="000000" w:themeColor="text1"/>
                <w:u w:val="none" w:color="auto"/>
                <w:lang w:val="en-US" w:eastAsia="zh-CN"/>
                <w14:textFill>
                  <w14:solidFill>
                    <w14:schemeClr w14:val="tx1"/>
                  </w14:solidFill>
                </w14:textFill>
              </w:rPr>
              <w:t>竹筷加工粉尘、燃</w:t>
            </w:r>
            <w:r>
              <w:rPr>
                <w:rFonts w:hint="eastAsia"/>
                <w:color w:val="000000" w:themeColor="text1"/>
                <w:u w:val="none" w:color="auto"/>
                <w14:textFill>
                  <w14:solidFill>
                    <w14:schemeClr w14:val="tx1"/>
                  </w14:solidFill>
                </w14:textFill>
              </w:rPr>
              <w:t>生物质锅炉</w:t>
            </w:r>
            <w:r>
              <w:rPr>
                <w:rFonts w:hint="eastAsia"/>
                <w:color w:val="000000" w:themeColor="text1"/>
                <w:u w:val="none" w:color="auto"/>
                <w:lang w:val="en-US" w:eastAsia="zh-CN"/>
                <w14:textFill>
                  <w14:solidFill>
                    <w14:schemeClr w14:val="tx1"/>
                  </w14:solidFill>
                </w14:textFill>
              </w:rPr>
              <w:t>废气、</w:t>
            </w:r>
            <w:r>
              <w:rPr>
                <w:rStyle w:val="119"/>
                <w:rFonts w:hint="eastAsia" w:ascii="Times New Roman" w:hAnsi="Times New Roman"/>
                <w:color w:val="000000" w:themeColor="text1"/>
                <w14:textFill>
                  <w14:solidFill>
                    <w14:schemeClr w14:val="tx1"/>
                  </w14:solidFill>
                </w14:textFill>
              </w:rPr>
              <w:t>逃逸氨</w:t>
            </w:r>
            <w:r>
              <w:rPr>
                <w:rFonts w:hint="eastAsia"/>
                <w:color w:val="000000" w:themeColor="text1"/>
                <w:u w:val="none" w:color="auto"/>
                <w14:textFill>
                  <w14:solidFill>
                    <w14:schemeClr w14:val="tx1"/>
                  </w14:solidFill>
                </w14:textFill>
              </w:rPr>
              <w:t>。由于烘干过程不对物料进行扰动，采取静置间接烘干方式，烘干过程在密闭烘干房内进行，仅水蒸气蒸发损耗，基本无粉尘产生，故本次评价不考虑烘干工序的污染源分析。</w:t>
            </w:r>
          </w:p>
          <w:p w14:paraId="068F3C03">
            <w:pPr>
              <w:pStyle w:val="35"/>
              <w:ind w:firstLine="480"/>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（1）污染源强分析</w:t>
            </w:r>
          </w:p>
          <w:p w14:paraId="2EBC8996">
            <w:pPr>
              <w:pStyle w:val="35"/>
              <w:ind w:firstLine="480"/>
              <w:rPr>
                <w:rFonts w:hint="default" w:eastAsia="宋体"/>
                <w:color w:val="000000" w:themeColor="text1"/>
                <w:u w:val="single" w:color="auto"/>
                <w:lang w:val="en-US" w:eastAsia="zh-CN"/>
                <w14:textFill>
                  <w14:solidFill>
                    <w14:schemeClr w14:val="tx1"/>
                  </w14:solidFill>
                </w14:textFill>
              </w:rPr>
            </w:pPr>
            <w:r>
              <w:rPr>
                <w:rFonts w:hint="eastAsia"/>
                <w:color w:val="000000" w:themeColor="text1"/>
                <w:u w:val="single" w:color="auto"/>
                <w14:textFill>
                  <w14:solidFill>
                    <w14:schemeClr w14:val="tx1"/>
                  </w14:solidFill>
                </w14:textFill>
              </w:rPr>
              <w:t>1</w:t>
            </w:r>
            <w:r>
              <w:rPr>
                <w:rFonts w:hint="eastAsia"/>
                <w:color w:val="000000" w:themeColor="text1"/>
                <w:u w:val="single" w:color="auto"/>
                <w:lang w:eastAsia="zh-CN"/>
                <w14:textFill>
                  <w14:solidFill>
                    <w14:schemeClr w14:val="tx1"/>
                  </w14:solidFill>
                </w14:textFill>
              </w:rPr>
              <w:t>）</w:t>
            </w:r>
            <w:r>
              <w:rPr>
                <w:rFonts w:hint="eastAsia"/>
                <w:color w:val="000000" w:themeColor="text1"/>
                <w:u w:val="single" w:color="auto"/>
                <w:lang w:val="en-US" w:eastAsia="zh-CN"/>
                <w14:textFill>
                  <w14:solidFill>
                    <w14:schemeClr w14:val="tx1"/>
                  </w14:solidFill>
                </w14:textFill>
              </w:rPr>
              <w:t>竹筷加工粉尘</w:t>
            </w:r>
          </w:p>
          <w:p w14:paraId="7F86B47D">
            <w:pPr>
              <w:pStyle w:val="35"/>
              <w:ind w:firstLine="480"/>
              <w:rPr>
                <w:rFonts w:hint="eastAsia"/>
                <w:color w:val="000000" w:themeColor="text1"/>
                <w:u w:val="single" w:color="auto"/>
                <w:lang w:val="en-US" w:eastAsia="zh-CN"/>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本项目竹筷加工生产过程中废气主要来源于断料、开片、拉丝、成型等工序产生的粉尘。根据建设单位提供资料，本项目年产竹筷2000吨，竹子密度1.0t/m</w:t>
            </w:r>
            <w:r>
              <w:rPr>
                <w:rFonts w:hint="eastAsia"/>
                <w:color w:val="000000" w:themeColor="text1"/>
                <w:u w:val="single" w:color="auto"/>
                <w:vertAlign w:val="superscript"/>
                <w:lang w:val="en-US" w:eastAsia="zh-CN"/>
                <w14:textFill>
                  <w14:solidFill>
                    <w14:schemeClr w14:val="tx1"/>
                  </w14:solidFill>
                </w14:textFill>
              </w:rPr>
              <w:t>3</w:t>
            </w:r>
            <w:r>
              <w:rPr>
                <w:rFonts w:hint="eastAsia"/>
                <w:color w:val="000000" w:themeColor="text1"/>
                <w:u w:val="single" w:color="auto"/>
                <w:lang w:val="en-US" w:eastAsia="zh-CN"/>
                <w14:textFill>
                  <w14:solidFill>
                    <w14:schemeClr w14:val="tx1"/>
                  </w14:solidFill>
                </w14:textFill>
              </w:rPr>
              <w:t>，折算为2000m</w:t>
            </w:r>
            <w:r>
              <w:rPr>
                <w:rFonts w:hint="eastAsia"/>
                <w:color w:val="000000" w:themeColor="text1"/>
                <w:u w:val="single" w:color="auto"/>
                <w:vertAlign w:val="superscript"/>
                <w:lang w:val="en-US" w:eastAsia="zh-CN"/>
                <w14:textFill>
                  <w14:solidFill>
                    <w14:schemeClr w14:val="tx1"/>
                  </w14:solidFill>
                </w14:textFill>
              </w:rPr>
              <w:t>3</w:t>
            </w:r>
            <w:r>
              <w:rPr>
                <w:rFonts w:hint="eastAsia"/>
                <w:color w:val="000000" w:themeColor="text1"/>
                <w:u w:val="single" w:color="auto"/>
                <w:lang w:val="en-US" w:eastAsia="zh-CN"/>
                <w14:textFill>
                  <w14:solidFill>
                    <w14:schemeClr w14:val="tx1"/>
                  </w14:solidFill>
                </w14:textFill>
              </w:rPr>
              <w:t>/a。根据《排放源统计调查产排污核算方法和系数手册》-204竹藤棕草等制品制造行业系数手册，下料“竹片制备/断条、开片/疏解”颗粒物产生系数为0.44kg/m</w:t>
            </w:r>
            <w:r>
              <w:rPr>
                <w:rFonts w:hint="eastAsia"/>
                <w:color w:val="000000" w:themeColor="text1"/>
                <w:u w:val="single" w:color="auto"/>
                <w:vertAlign w:val="superscript"/>
                <w:lang w:val="en-US" w:eastAsia="zh-CN"/>
                <w14:textFill>
                  <w14:solidFill>
                    <w14:schemeClr w14:val="tx1"/>
                  </w14:solidFill>
                </w14:textFill>
              </w:rPr>
              <w:t>3</w:t>
            </w:r>
            <w:r>
              <w:rPr>
                <w:rFonts w:hint="eastAsia"/>
                <w:color w:val="000000" w:themeColor="text1"/>
                <w:u w:val="single" w:color="auto"/>
                <w:lang w:val="en-US" w:eastAsia="zh-CN"/>
                <w14:textFill>
                  <w14:solidFill>
                    <w14:schemeClr w14:val="tx1"/>
                  </w14:solidFill>
                </w14:textFill>
              </w:rPr>
              <w:t>-产品，则本项目竹筷加工过程产生的粉尘量为0.88t/a。</w:t>
            </w:r>
          </w:p>
          <w:p w14:paraId="317490BE">
            <w:pPr>
              <w:pStyle w:val="35"/>
              <w:ind w:firstLine="480"/>
              <w:rPr>
                <w:rFonts w:hint="default" w:ascii="Times New Roman" w:hAnsi="Times New Roman" w:cs="Times New Roman"/>
                <w:color w:val="000000" w:themeColor="text1"/>
                <w:u w:val="single" w:color="auto"/>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u w:val="single" w:color="auto"/>
                <w14:textFill>
                  <w14:solidFill>
                    <w14:schemeClr w14:val="tx1"/>
                  </w14:solidFill>
                </w14:textFill>
              </w:rPr>
              <w:t>结合各工序加工工况及同类竹制品项目产污实测数据对粉尘进行工序分配，其中拉丝工序高速切削竹条，粉尘产生占比最高，各工序产污分配为：断料20%（0.176t/a）、开片30%（0.264t/a）、拉丝40%（0.352t/a）、成型10%（0.088t/a）。</w:t>
            </w:r>
          </w:p>
          <w:p w14:paraId="24F8ED75">
            <w:pPr>
              <w:pStyle w:val="35"/>
              <w:ind w:firstLine="480"/>
              <w:rPr>
                <w:rFonts w:hint="default" w:eastAsia="宋体"/>
                <w:color w:val="000000" w:themeColor="text1"/>
                <w:u w:val="single" w:color="auto"/>
                <w:lang w:val="en-US" w:eastAsia="zh-CN"/>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①断料、开片、成型工序粉尘</w:t>
            </w:r>
          </w:p>
          <w:p w14:paraId="717FFCA2">
            <w:pPr>
              <w:pStyle w:val="35"/>
              <w:ind w:firstLine="480"/>
              <w:rPr>
                <w:rFonts w:hint="eastAsia"/>
                <w:color w:val="000000" w:themeColor="text1"/>
                <w:u w:val="single" w:color="auto"/>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断料、开片、成型工序粉尘产生量为0.528t/a，</w:t>
            </w:r>
            <w:r>
              <w:rPr>
                <w:rFonts w:hint="eastAsia"/>
                <w:color w:val="000000" w:themeColor="text1"/>
                <w:u w:val="single" w:color="auto"/>
                <w14:textFill>
                  <w14:solidFill>
                    <w14:schemeClr w14:val="tx1"/>
                  </w14:solidFill>
                </w14:textFill>
              </w:rPr>
              <w:t>因</w:t>
            </w:r>
            <w:r>
              <w:rPr>
                <w:rFonts w:hint="eastAsia"/>
                <w:color w:val="000000" w:themeColor="text1"/>
                <w:u w:val="single" w:color="auto"/>
                <w:lang w:val="en-US" w:eastAsia="zh-CN"/>
                <w14:textFill>
                  <w14:solidFill>
                    <w14:schemeClr w14:val="tx1"/>
                  </w14:solidFill>
                </w14:textFill>
              </w:rPr>
              <w:t>各工序</w:t>
            </w:r>
            <w:r>
              <w:rPr>
                <w:rFonts w:hint="eastAsia"/>
                <w:color w:val="000000" w:themeColor="text1"/>
                <w:u w:val="single" w:color="auto"/>
                <w14:textFill>
                  <w14:solidFill>
                    <w14:schemeClr w14:val="tx1"/>
                  </w14:solidFill>
                </w14:textFill>
              </w:rPr>
              <w:t>在生产厂房内较为分散，作业区域较为灵活，粉尘不易收集，原料含水率较高，约为35%，且原竹锯裁加工产生粉尘颗粒相对</w:t>
            </w:r>
            <w:r>
              <w:rPr>
                <w:rFonts w:hint="eastAsia"/>
                <w:color w:val="000000" w:themeColor="text1"/>
                <w:u w:val="single" w:color="auto"/>
                <w:lang w:eastAsia="zh-CN"/>
                <w14:textFill>
                  <w14:solidFill>
                    <w14:schemeClr w14:val="tx1"/>
                  </w14:solidFill>
                </w14:textFill>
              </w:rPr>
              <w:t>较</w:t>
            </w:r>
            <w:r>
              <w:rPr>
                <w:rFonts w:hint="eastAsia"/>
                <w:color w:val="000000" w:themeColor="text1"/>
                <w:u w:val="single" w:color="auto"/>
                <w14:textFill>
                  <w14:solidFill>
                    <w14:schemeClr w14:val="tx1"/>
                  </w14:solidFill>
                </w14:textFill>
              </w:rPr>
              <w:t>大，产品含水率为8%，一般不会形成高浓度含尘废气，</w:t>
            </w:r>
            <w:r>
              <w:rPr>
                <w:rFonts w:hint="eastAsia"/>
                <w:color w:val="000000" w:themeColor="text1"/>
                <w:u w:val="single" w:color="auto"/>
                <w:lang w:val="en-US" w:eastAsia="zh-CN"/>
                <w14:textFill>
                  <w14:solidFill>
                    <w14:schemeClr w14:val="tx1"/>
                  </w14:solidFill>
                </w14:textFill>
              </w:rPr>
              <w:t>参考</w:t>
            </w:r>
            <w:r>
              <w:rPr>
                <w:rFonts w:ascii="宋体" w:hAnsi="宋体" w:eastAsia="宋体" w:cs="宋体"/>
                <w:color w:val="000000" w:themeColor="text1"/>
                <w:sz w:val="24"/>
                <w:szCs w:val="24"/>
                <w:u w:val="single" w:color="auto"/>
                <w14:textFill>
                  <w14:solidFill>
                    <w14:schemeClr w14:val="tx1"/>
                  </w14:solidFill>
                </w14:textFill>
              </w:rPr>
              <w:t>《第二次全国污染源普查工业污染源产排污系数手册》</w:t>
            </w:r>
            <w:r>
              <w:rPr>
                <w:rFonts w:hint="eastAsia" w:ascii="宋体" w:hAnsi="宋体" w:eastAsia="宋体" w:cs="宋体"/>
                <w:color w:val="000000" w:themeColor="text1"/>
                <w:sz w:val="24"/>
                <w:szCs w:val="24"/>
                <w:u w:val="single" w:color="auto"/>
                <w:lang w:eastAsia="zh-CN"/>
                <w14:textFill>
                  <w14:solidFill>
                    <w14:schemeClr w14:val="tx1"/>
                  </w14:solidFill>
                </w14:textFill>
              </w:rPr>
              <w:t>，</w:t>
            </w:r>
            <w:r>
              <w:rPr>
                <w:rFonts w:hint="eastAsia" w:ascii="宋体" w:hAnsi="宋体" w:eastAsia="宋体" w:cs="宋体"/>
                <w:color w:val="000000" w:themeColor="text1"/>
                <w:sz w:val="24"/>
                <w:szCs w:val="24"/>
                <w:u w:val="single" w:color="auto"/>
                <w:lang w:val="en-US" w:eastAsia="zh-CN"/>
                <w14:textFill>
                  <w14:solidFill>
                    <w14:schemeClr w14:val="tx1"/>
                  </w14:solidFill>
                </w14:textFill>
              </w:rPr>
              <w:t>车间</w:t>
            </w:r>
            <w:r>
              <w:rPr>
                <w:rFonts w:ascii="宋体" w:hAnsi="宋体" w:eastAsia="宋体" w:cs="宋体"/>
                <w:color w:val="000000" w:themeColor="text1"/>
                <w:sz w:val="24"/>
                <w:szCs w:val="24"/>
                <w:u w:val="single" w:color="auto"/>
                <w14:textFill>
                  <w14:solidFill>
                    <w14:schemeClr w14:val="tx1"/>
                  </w14:solidFill>
                </w14:textFill>
              </w:rPr>
              <w:t>洒水喷淋</w:t>
            </w:r>
            <w:r>
              <w:rPr>
                <w:rFonts w:hint="default" w:ascii="Times New Roman" w:hAnsi="Times New Roman" w:eastAsia="宋体" w:cs="Times New Roman"/>
                <w:color w:val="000000" w:themeColor="text1"/>
                <w:sz w:val="24"/>
                <w:szCs w:val="24"/>
                <w:u w:val="single" w:color="auto"/>
                <w14:textFill>
                  <w14:solidFill>
                    <w14:schemeClr w14:val="tx1"/>
                  </w14:solidFill>
                </w14:textFill>
              </w:rPr>
              <w:t>可沉降约70%的粉尘</w:t>
            </w:r>
            <w:r>
              <w:rPr>
                <w:rFonts w:hint="eastAsia"/>
                <w:color w:val="000000" w:themeColor="text1"/>
                <w:u w:val="single" w:color="auto"/>
                <w14:textFill>
                  <w14:solidFill>
                    <w14:schemeClr w14:val="tx1"/>
                  </w14:solidFill>
                </w14:textFill>
              </w:rPr>
              <w:t>，剩余粉尘无组织排放。则本项目加工粉尘排放量为</w:t>
            </w:r>
            <w:r>
              <w:rPr>
                <w:rFonts w:hint="eastAsia"/>
                <w:color w:val="000000" w:themeColor="text1"/>
                <w:u w:val="single" w:color="auto"/>
                <w:lang w:val="en-US" w:eastAsia="zh-CN"/>
                <w14:textFill>
                  <w14:solidFill>
                    <w14:schemeClr w14:val="tx1"/>
                  </w14:solidFill>
                </w14:textFill>
              </w:rPr>
              <w:t>0.1584t/a</w:t>
            </w:r>
            <w:r>
              <w:rPr>
                <w:rFonts w:hint="eastAsia"/>
                <w:color w:val="000000" w:themeColor="text1"/>
                <w:u w:val="single" w:color="auto"/>
                <w14:textFill>
                  <w14:solidFill>
                    <w14:schemeClr w14:val="tx1"/>
                  </w14:solidFill>
                </w14:textFill>
              </w:rPr>
              <w:t>，排放速率为</w:t>
            </w:r>
            <w:r>
              <w:rPr>
                <w:rFonts w:hint="eastAsia"/>
                <w:color w:val="000000" w:themeColor="text1"/>
                <w:u w:val="single" w:color="auto"/>
                <w:lang w:val="en-US" w:eastAsia="zh-CN"/>
                <w14:textFill>
                  <w14:solidFill>
                    <w14:schemeClr w14:val="tx1"/>
                  </w14:solidFill>
                </w14:textFill>
              </w:rPr>
              <w:t>0.124</w:t>
            </w:r>
            <w:r>
              <w:rPr>
                <w:rFonts w:hint="eastAsia"/>
                <w:color w:val="000000" w:themeColor="text1"/>
                <w:u w:val="single" w:color="auto"/>
                <w14:textFill>
                  <w14:solidFill>
                    <w14:schemeClr w14:val="tx1"/>
                  </w14:solidFill>
                </w14:textFill>
              </w:rPr>
              <w:t>kg/h，地面收集尘产生量为</w:t>
            </w:r>
            <w:r>
              <w:rPr>
                <w:rFonts w:hint="eastAsia"/>
                <w:color w:val="000000" w:themeColor="text1"/>
                <w:u w:val="single" w:color="auto"/>
                <w:lang w:val="en-US" w:eastAsia="zh-CN"/>
                <w14:textFill>
                  <w14:solidFill>
                    <w14:schemeClr w14:val="tx1"/>
                  </w14:solidFill>
                </w14:textFill>
              </w:rPr>
              <w:t>0.3696t/a</w:t>
            </w:r>
            <w:r>
              <w:rPr>
                <w:rFonts w:hint="eastAsia"/>
                <w:color w:val="000000" w:themeColor="text1"/>
                <w:u w:val="single" w:color="auto"/>
                <w14:textFill>
                  <w14:solidFill>
                    <w14:schemeClr w14:val="tx1"/>
                  </w14:solidFill>
                </w14:textFill>
              </w:rPr>
              <w:t>。</w:t>
            </w:r>
          </w:p>
          <w:p w14:paraId="7A450062">
            <w:pPr>
              <w:pStyle w:val="35"/>
              <w:ind w:firstLine="480"/>
              <w:rPr>
                <w:rFonts w:hint="default"/>
                <w:color w:val="000000" w:themeColor="text1"/>
                <w:u w:val="single" w:color="auto"/>
                <w:lang w:val="en-US" w:eastAsia="zh-CN"/>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②拉丝工序粉尘</w:t>
            </w:r>
          </w:p>
          <w:p w14:paraId="67C0BA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拉丝工序粉尘量为0.352t/a，</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本项目拟在生产车间的</w:t>
            </w: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拉丝</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工段设置集气罩，采取“布袋除尘”装置（TA001）处理后通过15m高排气筒（DA001）排放，收集效率按</w:t>
            </w: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5</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0%计，</w:t>
            </w: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根据《排放源统计调查产排污核算方法和系数手册》-204竹藤棕草等制品制造行业系数手册</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，布袋除尘器</w:t>
            </w: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处理效率</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以9</w:t>
            </w: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0</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%计，则有组织</w:t>
            </w: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收集</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粉尘量为</w:t>
            </w: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0.176</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t/a，风机风量为</w:t>
            </w: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8</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000m</w:t>
            </w:r>
            <w:r>
              <w:rPr>
                <w:rFonts w:hint="eastAsia" w:ascii="Times New Roman" w:hAnsi="Times New Roman" w:eastAsia="宋体" w:cs="Times New Roman"/>
                <w:color w:val="000000" w:themeColor="text1"/>
                <w:kern w:val="2"/>
                <w:sz w:val="24"/>
                <w:szCs w:val="24"/>
                <w:u w:val="single" w:color="auto"/>
                <w:vertAlign w:val="superscript"/>
                <w:lang w:val="en-US" w:eastAsia="zh-CN" w:bidi="ar-SA"/>
                <w14:textFill>
                  <w14:solidFill>
                    <w14:schemeClr w14:val="tx1"/>
                  </w14:solidFill>
                </w14:textFill>
              </w:rPr>
              <w:t>3</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/h，则经处理后有组织颗粒物排放量为</w:t>
            </w: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0.0176</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t/a（</w:t>
            </w: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0.014</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kg/h），排放浓度为</w:t>
            </w: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1.75</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mg/m</w:t>
            </w:r>
            <w:r>
              <w:rPr>
                <w:rFonts w:hint="eastAsia" w:ascii="Times New Roman" w:hAnsi="Times New Roman" w:eastAsia="宋体" w:cs="Times New Roman"/>
                <w:color w:val="000000" w:themeColor="text1"/>
                <w:kern w:val="2"/>
                <w:sz w:val="24"/>
                <w:szCs w:val="24"/>
                <w:u w:val="single" w:color="auto"/>
                <w:vertAlign w:val="superscript"/>
                <w:lang w:val="en-US" w:eastAsia="zh-CN" w:bidi="ar-SA"/>
                <w14:textFill>
                  <w14:solidFill>
                    <w14:schemeClr w14:val="tx1"/>
                  </w14:solidFill>
                </w14:textFill>
              </w:rPr>
              <w:t>3</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未</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收集的粉尘量为</w:t>
            </w: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0.176</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t/a</w:t>
            </w: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（0.138</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kg/h</w:t>
            </w: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，呈无组织形式排放。</w:t>
            </w:r>
          </w:p>
          <w:p w14:paraId="11119CB7">
            <w:pPr>
              <w:pStyle w:val="35"/>
              <w:ind w:firstLine="480"/>
              <w:rPr>
                <w:rFonts w:hint="eastAsia" w:eastAsia="宋体"/>
                <w:color w:val="000000" w:themeColor="text1"/>
                <w:u w:val="none" w:color="auto"/>
                <w:lang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2</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lang w:val="en-US" w:eastAsia="zh-CN"/>
                <w14:textFill>
                  <w14:solidFill>
                    <w14:schemeClr w14:val="tx1"/>
                  </w14:solidFill>
                </w14:textFill>
              </w:rPr>
              <w:t>燃</w:t>
            </w:r>
            <w:r>
              <w:rPr>
                <w:rFonts w:hint="eastAsia"/>
                <w:color w:val="000000" w:themeColor="text1"/>
                <w:u w:val="none" w:color="auto"/>
                <w14:textFill>
                  <w14:solidFill>
                    <w14:schemeClr w14:val="tx1"/>
                  </w14:solidFill>
                </w14:textFill>
              </w:rPr>
              <w:t>生物质锅炉</w:t>
            </w:r>
            <w:r>
              <w:rPr>
                <w:rFonts w:hint="eastAsia"/>
                <w:color w:val="000000" w:themeColor="text1"/>
                <w:u w:val="none" w:color="auto"/>
                <w:lang w:val="en-US" w:eastAsia="zh-CN"/>
                <w14:textFill>
                  <w14:solidFill>
                    <w14:schemeClr w14:val="tx1"/>
                  </w14:solidFill>
                </w14:textFill>
              </w:rPr>
              <w:t>废气</w:t>
            </w:r>
          </w:p>
          <w:p w14:paraId="0CE1D009">
            <w:pPr>
              <w:pStyle w:val="35"/>
              <w:ind w:firstLine="480"/>
              <w:rPr>
                <w:rFonts w:hint="eastAsia" w:eastAsia="宋体"/>
                <w:color w:val="000000" w:themeColor="text1"/>
                <w:u w:val="none" w:color="auto"/>
                <w:lang w:val="en-US" w:eastAsia="zh-CN"/>
                <w14:textFill>
                  <w14:solidFill>
                    <w14:schemeClr w14:val="tx1"/>
                  </w14:solidFill>
                </w14:textFill>
              </w:rPr>
            </w:pPr>
            <w:r>
              <w:rPr>
                <w:rFonts w:hint="eastAsia"/>
                <w:color w:val="000000" w:themeColor="text1"/>
                <w:u w:val="none" w:color="auto"/>
                <w14:textFill>
                  <w14:solidFill>
                    <w14:schemeClr w14:val="tx1"/>
                  </w14:solidFill>
                </w14:textFill>
              </w:rPr>
              <w:t>项目使用一台</w:t>
            </w:r>
            <w:r>
              <w:rPr>
                <w:rFonts w:hint="eastAsia"/>
                <w:color w:val="000000" w:themeColor="text1"/>
                <w:u w:val="none" w:color="auto"/>
                <w:lang w:val="en-US" w:eastAsia="zh-CN"/>
                <w14:textFill>
                  <w14:solidFill>
                    <w14:schemeClr w14:val="tx1"/>
                  </w14:solidFill>
                </w14:textFill>
              </w:rPr>
              <w:t>2.5</w:t>
            </w:r>
            <w:r>
              <w:rPr>
                <w:rFonts w:hint="eastAsia"/>
                <w:color w:val="000000" w:themeColor="text1"/>
                <w:u w:val="none" w:color="auto"/>
                <w14:textFill>
                  <w14:solidFill>
                    <w14:schemeClr w14:val="tx1"/>
                  </w14:solidFill>
                </w14:textFill>
              </w:rPr>
              <w:t>t/h的生物质</w:t>
            </w:r>
            <w:r>
              <w:rPr>
                <w:rFonts w:hint="eastAsia"/>
                <w:color w:val="000000" w:themeColor="text1"/>
                <w:u w:val="none" w:color="auto"/>
                <w:lang w:val="en-US" w:eastAsia="zh-CN"/>
                <w14:textFill>
                  <w14:solidFill>
                    <w14:schemeClr w14:val="tx1"/>
                  </w14:solidFill>
                </w14:textFill>
              </w:rPr>
              <w:t>蒸汽</w:t>
            </w:r>
            <w:r>
              <w:rPr>
                <w:rFonts w:hint="eastAsia"/>
                <w:color w:val="000000" w:themeColor="text1"/>
                <w:u w:val="none" w:color="auto"/>
                <w14:textFill>
                  <w14:solidFill>
                    <w14:schemeClr w14:val="tx1"/>
                  </w14:solidFill>
                </w14:textFill>
              </w:rPr>
              <w:t>锅炉供热，生物质颗粒用量为</w:t>
            </w:r>
            <w:r>
              <w:rPr>
                <w:rFonts w:hint="eastAsia"/>
                <w:color w:val="000000" w:themeColor="text1"/>
                <w:u w:val="none" w:color="auto"/>
                <w:lang w:val="en-US" w:eastAsia="zh-CN"/>
                <w14:textFill>
                  <w14:solidFill>
                    <w14:schemeClr w14:val="tx1"/>
                  </w14:solidFill>
                </w14:textFill>
              </w:rPr>
              <w:t>350</w:t>
            </w:r>
            <w:r>
              <w:rPr>
                <w:rFonts w:hint="eastAsia"/>
                <w:color w:val="000000" w:themeColor="text1"/>
                <w:u w:val="none" w:color="auto"/>
                <w14:textFill>
                  <w14:solidFill>
                    <w14:schemeClr w14:val="tx1"/>
                  </w14:solidFill>
                </w14:textFill>
              </w:rPr>
              <w:t>t/a，根据建设单位提供的生物质颗粒检测报告</w:t>
            </w:r>
            <w:r>
              <w:rPr>
                <w:rFonts w:hint="eastAsia"/>
                <w:color w:val="000000" w:themeColor="text1"/>
                <w:u w:val="none" w:color="auto"/>
                <w:lang w:val="en-US" w:eastAsia="zh-CN"/>
                <w14:textFill>
                  <w14:solidFill>
                    <w14:schemeClr w14:val="tx1"/>
                  </w14:solidFill>
                </w14:textFill>
              </w:rPr>
              <w:t>计算</w:t>
            </w:r>
            <w:r>
              <w:rPr>
                <w:rFonts w:hint="eastAsia"/>
                <w:color w:val="000000" w:themeColor="text1"/>
                <w:u w:val="none" w:color="auto"/>
                <w14:textFill>
                  <w14:solidFill>
                    <w14:schemeClr w14:val="tx1"/>
                  </w14:solidFill>
                </w14:textFill>
              </w:rPr>
              <w:t>，其低位发热量为</w:t>
            </w:r>
            <w:r>
              <w:rPr>
                <w:rFonts w:hint="eastAsia"/>
                <w:bCs/>
                <w:color w:val="000000" w:themeColor="text1"/>
                <w:sz w:val="24"/>
                <w:szCs w:val="24"/>
                <w:lang w:val="en-US" w:eastAsia="zh-CN"/>
                <w14:textFill>
                  <w14:solidFill>
                    <w14:schemeClr w14:val="tx1"/>
                  </w14:solidFill>
                </w14:textFill>
              </w:rPr>
              <w:t>4048</w:t>
            </w:r>
            <w:r>
              <w:rPr>
                <w:bCs/>
                <w:color w:val="000000" w:themeColor="text1"/>
                <w:sz w:val="24"/>
                <w:szCs w:val="24"/>
                <w14:textFill>
                  <w14:solidFill>
                    <w14:schemeClr w14:val="tx1"/>
                  </w14:solidFill>
                </w14:textFill>
              </w:rPr>
              <w:t>kcal/kg</w:t>
            </w:r>
            <w:r>
              <w:rPr>
                <w:rFonts w:hint="eastAsia"/>
                <w:color w:val="000000" w:themeColor="text1"/>
                <w:u w:val="none" w:color="auto"/>
                <w:lang w:val="en-US" w:eastAsia="zh-CN"/>
                <w14:textFill>
                  <w14:solidFill>
                    <w14:schemeClr w14:val="tx1"/>
                  </w14:solidFill>
                </w14:textFill>
              </w:rPr>
              <w:t>（16.95MJ/kg）</w:t>
            </w:r>
            <w:r>
              <w:rPr>
                <w:rFonts w:hint="eastAsia"/>
                <w:color w:val="000000" w:themeColor="text1"/>
                <w:u w:val="none" w:color="auto"/>
                <w14:textFill>
                  <w14:solidFill>
                    <w14:schemeClr w14:val="tx1"/>
                  </w14:solidFill>
                </w14:textFill>
              </w:rPr>
              <w:t>，全硫量为</w:t>
            </w:r>
            <w:r>
              <w:rPr>
                <w:rFonts w:hint="eastAsia"/>
                <w:color w:val="000000" w:themeColor="text1"/>
                <w:u w:val="none" w:color="auto"/>
                <w:lang w:val="en-US" w:eastAsia="zh-CN"/>
                <w14:textFill>
                  <w14:solidFill>
                    <w14:schemeClr w14:val="tx1"/>
                  </w14:solidFill>
                </w14:textFill>
              </w:rPr>
              <w:t>0.05</w:t>
            </w:r>
            <w:r>
              <w:rPr>
                <w:rFonts w:hint="eastAsia"/>
                <w:color w:val="000000" w:themeColor="text1"/>
                <w:u w:val="none" w:color="auto"/>
                <w14:textFill>
                  <w14:solidFill>
                    <w14:schemeClr w14:val="tx1"/>
                  </w14:solidFill>
                </w14:textFill>
              </w:rPr>
              <w:t>%</w:t>
            </w:r>
            <w:r>
              <w:rPr>
                <w:rFonts w:hint="eastAsia"/>
                <w:color w:val="000000" w:themeColor="text1"/>
                <w:u w:val="none" w:color="auto"/>
                <w:lang w:eastAsia="zh-CN"/>
                <w14:textFill>
                  <w14:solidFill>
                    <w14:schemeClr w14:val="tx1"/>
                  </w14:solidFill>
                </w14:textFill>
              </w:rPr>
              <w:t>。</w:t>
            </w:r>
          </w:p>
          <w:p w14:paraId="4DF69B52">
            <w:pPr>
              <w:pStyle w:val="35"/>
              <w:ind w:firstLine="480"/>
              <w:rPr>
                <w:rFonts w:hint="eastAsia" w:hAnsi="宋体" w:eastAsia="宋体"/>
                <w:color w:val="000000" w:themeColor="text1"/>
                <w:u w:val="none" w:color="auto"/>
                <w:lang w:val="en-US" w:eastAsia="zh-CN"/>
                <w14:textFill>
                  <w14:solidFill>
                    <w14:schemeClr w14:val="tx1"/>
                  </w14:solidFill>
                </w14:textFill>
              </w:rPr>
            </w:pPr>
            <w:r>
              <w:rPr>
                <w:rFonts w:hint="eastAsia" w:hAnsi="宋体"/>
                <w:color w:val="000000" w:themeColor="text1"/>
                <w:u w:val="none" w:color="auto"/>
                <w14:textFill>
                  <w14:solidFill>
                    <w14:schemeClr w14:val="tx1"/>
                  </w14:solidFill>
                </w14:textFill>
              </w:rPr>
              <w:t>根据</w:t>
            </w:r>
            <w:r>
              <w:rPr>
                <w:rFonts w:hAnsi="宋体"/>
                <w:color w:val="000000" w:themeColor="text1"/>
                <w:u w:val="none" w:color="auto"/>
                <w14:textFill>
                  <w14:solidFill>
                    <w14:schemeClr w14:val="tx1"/>
                  </w14:solidFill>
                </w14:textFill>
              </w:rPr>
              <w:t>《排污许可证申请与核发技术规范 锅炉》（HJ953-2018），</w:t>
            </w:r>
            <w:r>
              <w:rPr>
                <w:rFonts w:hint="eastAsia" w:hAnsi="宋体"/>
                <w:color w:val="000000" w:themeColor="text1"/>
                <w:u w:val="none" w:color="auto"/>
                <w14:textFill>
                  <w14:solidFill>
                    <w14:schemeClr w14:val="tx1"/>
                  </w14:solidFill>
                </w14:textFill>
              </w:rPr>
              <w:t>本项目锅炉废气核算方法采用产污系数法。</w:t>
            </w:r>
          </w:p>
          <w:p w14:paraId="08B17F85">
            <w:pPr>
              <w:pStyle w:val="35"/>
              <w:ind w:firstLine="480"/>
              <w:rPr>
                <w:rFonts w:hint="eastAsia" w:hAnsi="宋体"/>
                <w:color w:val="000000" w:themeColor="text1"/>
                <w:u w:val="none" w:color="auto"/>
                <w14:textFill>
                  <w14:solidFill>
                    <w14:schemeClr w14:val="tx1"/>
                  </w14:solidFill>
                </w14:textFill>
              </w:rPr>
            </w:pPr>
            <w:r>
              <w:rPr>
                <w:rFonts w:hint="eastAsia" w:hAnsi="宋体"/>
                <w:color w:val="000000" w:themeColor="text1"/>
                <w:u w:val="none" w:color="auto"/>
                <w14:textFill>
                  <w14:solidFill>
                    <w14:schemeClr w14:val="tx1"/>
                  </w14:solidFill>
                </w14:textFill>
              </w:rPr>
              <w:t>①烟气量</w:t>
            </w:r>
          </w:p>
          <w:p w14:paraId="1C75C5EB">
            <w:pPr>
              <w:pStyle w:val="35"/>
              <w:ind w:firstLine="480"/>
              <w:rPr>
                <w:rFonts w:hint="eastAsia" w:hAnsi="宋体"/>
                <w:color w:val="000000" w:themeColor="text1"/>
                <w:u w:val="none" w:color="auto"/>
                <w14:textFill>
                  <w14:solidFill>
                    <w14:schemeClr w14:val="tx1"/>
                  </w14:solidFill>
                </w14:textFill>
              </w:rPr>
            </w:pPr>
            <w:r>
              <w:rPr>
                <w:rFonts w:hint="eastAsia" w:hAnsi="宋体"/>
                <w:color w:val="000000" w:themeColor="text1"/>
                <w:u w:val="none" w:color="auto"/>
                <w14:textFill>
                  <w14:solidFill>
                    <w14:schemeClr w14:val="tx1"/>
                  </w14:solidFill>
                </w14:textFill>
              </w:rPr>
              <w:t>采用</w:t>
            </w:r>
            <w:r>
              <w:rPr>
                <w:rFonts w:hAnsi="宋体"/>
                <w:color w:val="000000" w:themeColor="text1"/>
                <w:u w:val="none" w:color="auto"/>
                <w14:textFill>
                  <w14:solidFill>
                    <w14:schemeClr w14:val="tx1"/>
                  </w14:solidFill>
                </w14:textFill>
              </w:rPr>
              <w:t>《排污许可证申请与核发技术规范 锅炉》（HJ953-2018）</w:t>
            </w:r>
            <w:r>
              <w:rPr>
                <w:rFonts w:hint="eastAsia" w:hAnsi="宋体"/>
                <w:color w:val="000000" w:themeColor="text1"/>
                <w:u w:val="none" w:color="auto"/>
                <w14:textFill>
                  <w14:solidFill>
                    <w14:schemeClr w14:val="tx1"/>
                  </w14:solidFill>
                </w14:textFill>
              </w:rPr>
              <w:t>中表5基准烟气量取值表进行取值计算，本项目生物质颗粒Q</w:t>
            </w:r>
            <w:r>
              <w:rPr>
                <w:rFonts w:hint="eastAsia" w:hAnsi="宋体"/>
                <w:color w:val="000000" w:themeColor="text1"/>
                <w:u w:val="none" w:color="auto"/>
                <w:vertAlign w:val="subscript"/>
                <w14:textFill>
                  <w14:solidFill>
                    <w14:schemeClr w14:val="tx1"/>
                  </w14:solidFill>
                </w14:textFill>
              </w:rPr>
              <w:t>net,ar</w:t>
            </w:r>
            <w:r>
              <w:rPr>
                <w:rFonts w:hint="eastAsia" w:hAnsi="宋体"/>
                <w:color w:val="000000" w:themeColor="text1"/>
                <w:u w:val="none" w:color="auto"/>
                <w14:textFill>
                  <w14:solidFill>
                    <w14:schemeClr w14:val="tx1"/>
                  </w14:solidFill>
                </w14:textFill>
              </w:rPr>
              <w:t>=</w:t>
            </w:r>
            <w:r>
              <w:rPr>
                <w:rFonts w:hint="eastAsia" w:hAnsi="宋体"/>
                <w:color w:val="000000" w:themeColor="text1"/>
                <w:u w:val="none" w:color="auto"/>
                <w:lang w:val="en-US" w:eastAsia="zh-CN"/>
                <w14:textFill>
                  <w14:solidFill>
                    <w14:schemeClr w14:val="tx1"/>
                  </w14:solidFill>
                </w14:textFill>
              </w:rPr>
              <w:t>16.95</w:t>
            </w:r>
            <w:r>
              <w:rPr>
                <w:rFonts w:hint="eastAsia" w:hAnsi="宋体"/>
                <w:color w:val="000000" w:themeColor="text1"/>
                <w:u w:val="none" w:color="auto"/>
                <w14:textFill>
                  <w14:solidFill>
                    <w14:schemeClr w14:val="tx1"/>
                  </w14:solidFill>
                </w14:textFill>
              </w:rPr>
              <w:t>M</w:t>
            </w:r>
            <w:r>
              <w:rPr>
                <w:rFonts w:hint="eastAsia"/>
                <w:color w:val="000000" w:themeColor="text1"/>
                <w:u w:val="none" w:color="auto"/>
                <w:lang w:val="en-US" w:eastAsia="zh-CN"/>
                <w14:textFill>
                  <w14:solidFill>
                    <w14:schemeClr w14:val="tx1"/>
                  </w14:solidFill>
                </w14:textFill>
              </w:rPr>
              <w:t>J</w:t>
            </w:r>
            <w:r>
              <w:rPr>
                <w:rFonts w:hint="eastAsia" w:hAnsi="宋体"/>
                <w:color w:val="000000" w:themeColor="text1"/>
                <w:u w:val="none" w:color="auto"/>
                <w14:textFill>
                  <w14:solidFill>
                    <w14:schemeClr w14:val="tx1"/>
                  </w14:solidFill>
                </w14:textFill>
              </w:rPr>
              <w:t>/kg＞12.54M</w:t>
            </w:r>
            <w:r>
              <w:rPr>
                <w:rFonts w:hint="eastAsia"/>
                <w:color w:val="000000" w:themeColor="text1"/>
                <w:u w:val="none" w:color="auto"/>
                <w:lang w:val="en-US" w:eastAsia="zh-CN"/>
                <w14:textFill>
                  <w14:solidFill>
                    <w14:schemeClr w14:val="tx1"/>
                  </w14:solidFill>
                </w14:textFill>
              </w:rPr>
              <w:t>J</w:t>
            </w:r>
            <w:r>
              <w:rPr>
                <w:rFonts w:hint="eastAsia" w:hAnsi="宋体"/>
                <w:color w:val="000000" w:themeColor="text1"/>
                <w:u w:val="none" w:color="auto"/>
                <w14:textFill>
                  <w14:solidFill>
                    <w14:schemeClr w14:val="tx1"/>
                  </w14:solidFill>
                </w14:textFill>
              </w:rPr>
              <w:t>/kg，V</w:t>
            </w:r>
            <w:r>
              <w:rPr>
                <w:rFonts w:hint="eastAsia" w:hAnsi="宋体"/>
                <w:color w:val="000000" w:themeColor="text1"/>
                <w:u w:val="none" w:color="auto"/>
                <w:vertAlign w:val="subscript"/>
                <w14:textFill>
                  <w14:solidFill>
                    <w14:schemeClr w14:val="tx1"/>
                  </w14:solidFill>
                </w14:textFill>
              </w:rPr>
              <w:t>daf</w:t>
            </w:r>
            <w:r>
              <w:rPr>
                <w:rFonts w:hint="eastAsia" w:hAnsi="宋体"/>
                <w:color w:val="000000" w:themeColor="text1"/>
                <w:u w:val="none" w:color="auto"/>
                <w14:textFill>
                  <w14:solidFill>
                    <w14:schemeClr w14:val="tx1"/>
                  </w14:solidFill>
                </w14:textFill>
              </w:rPr>
              <w:t>（燃烧干燥基挥发分）=</w:t>
            </w:r>
            <w:r>
              <w:rPr>
                <w:rFonts w:hint="eastAsia" w:hAnsi="宋体"/>
                <w:color w:val="000000" w:themeColor="text1"/>
                <w:u w:val="none" w:color="auto"/>
                <w:lang w:val="en-US" w:eastAsia="zh-CN"/>
                <w14:textFill>
                  <w14:solidFill>
                    <w14:schemeClr w14:val="tx1"/>
                  </w14:solidFill>
                </w14:textFill>
              </w:rPr>
              <w:t>76.27</w:t>
            </w:r>
            <w:r>
              <w:rPr>
                <w:rFonts w:hint="eastAsia" w:hAnsi="宋体"/>
                <w:color w:val="000000" w:themeColor="text1"/>
                <w:u w:val="none" w:color="auto"/>
                <w14:textFill>
                  <w14:solidFill>
                    <w14:schemeClr w14:val="tx1"/>
                  </w14:solidFill>
                </w14:textFill>
              </w:rPr>
              <w:t>%＞15%，因此项目的烟气量V</w:t>
            </w:r>
            <w:r>
              <w:rPr>
                <w:rFonts w:hint="eastAsia" w:hAnsi="宋体"/>
                <w:color w:val="000000" w:themeColor="text1"/>
                <w:u w:val="none" w:color="auto"/>
                <w:vertAlign w:val="subscript"/>
                <w14:textFill>
                  <w14:solidFill>
                    <w14:schemeClr w14:val="tx1"/>
                  </w14:solidFill>
                </w14:textFill>
              </w:rPr>
              <w:t>gy</w:t>
            </w:r>
            <w:r>
              <w:rPr>
                <w:rFonts w:hint="eastAsia" w:hAnsi="宋体"/>
                <w:color w:val="000000" w:themeColor="text1"/>
                <w:u w:val="none" w:color="auto"/>
                <w14:textFill>
                  <w14:solidFill>
                    <w14:schemeClr w14:val="tx1"/>
                  </w14:solidFill>
                </w14:textFill>
              </w:rPr>
              <w:t>=0.393Q</w:t>
            </w:r>
            <w:r>
              <w:rPr>
                <w:rFonts w:hint="eastAsia" w:hAnsi="宋体"/>
                <w:color w:val="000000" w:themeColor="text1"/>
                <w:u w:val="none" w:color="auto"/>
                <w:vertAlign w:val="subscript"/>
                <w14:textFill>
                  <w14:solidFill>
                    <w14:schemeClr w14:val="tx1"/>
                  </w14:solidFill>
                </w14:textFill>
              </w:rPr>
              <w:t>net,ar</w:t>
            </w:r>
            <w:r>
              <w:rPr>
                <w:rFonts w:hint="eastAsia" w:hAnsi="宋体"/>
                <w:color w:val="000000" w:themeColor="text1"/>
                <w:u w:val="none" w:color="auto"/>
                <w14:textFill>
                  <w14:solidFill>
                    <w14:schemeClr w14:val="tx1"/>
                  </w14:solidFill>
                </w14:textFill>
              </w:rPr>
              <w:t>+0.876=</w:t>
            </w:r>
            <w:r>
              <w:rPr>
                <w:rFonts w:hint="eastAsia" w:hAnsi="宋体"/>
                <w:color w:val="000000" w:themeColor="text1"/>
                <w:u w:val="none" w:color="auto"/>
                <w:lang w:val="en-US" w:eastAsia="zh-CN"/>
                <w14:textFill>
                  <w14:solidFill>
                    <w14:schemeClr w14:val="tx1"/>
                  </w14:solidFill>
                </w14:textFill>
              </w:rPr>
              <w:t>8.15</w:t>
            </w:r>
            <w:r>
              <w:rPr>
                <w:rFonts w:hint="eastAsia" w:hAnsi="宋体"/>
                <w:color w:val="000000" w:themeColor="text1"/>
                <w:u w:val="none" w:color="auto"/>
                <w14:textFill>
                  <w14:solidFill>
                    <w14:schemeClr w14:val="tx1"/>
                  </w14:solidFill>
                </w14:textFill>
              </w:rPr>
              <w:t>Nm</w:t>
            </w:r>
            <w:r>
              <w:rPr>
                <w:rFonts w:hint="eastAsia" w:hAnsi="宋体"/>
                <w:color w:val="000000" w:themeColor="text1"/>
                <w:u w:val="none" w:color="auto"/>
                <w:vertAlign w:val="superscript"/>
                <w14:textFill>
                  <w14:solidFill>
                    <w14:schemeClr w14:val="tx1"/>
                  </w14:solidFill>
                </w14:textFill>
              </w:rPr>
              <w:t>3</w:t>
            </w:r>
            <w:r>
              <w:rPr>
                <w:rFonts w:hint="eastAsia" w:hAnsi="宋体"/>
                <w:color w:val="000000" w:themeColor="text1"/>
                <w:u w:val="none" w:color="auto"/>
                <w14:textFill>
                  <w14:solidFill>
                    <w14:schemeClr w14:val="tx1"/>
                  </w14:solidFill>
                </w14:textFill>
              </w:rPr>
              <w:t>/kg，本项目生物质颗粒燃料用量为</w:t>
            </w:r>
            <w:r>
              <w:rPr>
                <w:rFonts w:hint="eastAsia" w:hAnsi="宋体"/>
                <w:color w:val="000000" w:themeColor="text1"/>
                <w:u w:val="none" w:color="auto"/>
                <w:lang w:val="en-US" w:eastAsia="zh-CN"/>
                <w14:textFill>
                  <w14:solidFill>
                    <w14:schemeClr w14:val="tx1"/>
                  </w14:solidFill>
                </w14:textFill>
              </w:rPr>
              <w:t>350000</w:t>
            </w:r>
            <w:r>
              <w:rPr>
                <w:rFonts w:hint="eastAsia" w:hAnsi="宋体"/>
                <w:color w:val="000000" w:themeColor="text1"/>
                <w:u w:val="none" w:color="auto"/>
                <w14:textFill>
                  <w14:solidFill>
                    <w14:schemeClr w14:val="tx1"/>
                  </w14:solidFill>
                </w14:textFill>
              </w:rPr>
              <w:t>kg/a，则烟气量为</w:t>
            </w:r>
            <w:r>
              <w:rPr>
                <w:rFonts w:hint="eastAsia" w:hAnsi="宋体"/>
                <w:color w:val="000000" w:themeColor="text1"/>
                <w:u w:val="none" w:color="auto"/>
                <w:lang w:val="en-US" w:eastAsia="zh-CN"/>
                <w14:textFill>
                  <w14:solidFill>
                    <w14:schemeClr w14:val="tx1"/>
                  </w14:solidFill>
                </w14:textFill>
              </w:rPr>
              <w:t>2852500</w:t>
            </w:r>
            <w:r>
              <w:rPr>
                <w:rFonts w:hint="eastAsia" w:hAnsi="宋体"/>
                <w:color w:val="000000" w:themeColor="text1"/>
                <w:u w:val="none" w:color="auto"/>
                <w14:textFill>
                  <w14:solidFill>
                    <w14:schemeClr w14:val="tx1"/>
                  </w14:solidFill>
                </w14:textFill>
              </w:rPr>
              <w:t>Nm</w:t>
            </w:r>
            <w:r>
              <w:rPr>
                <w:rFonts w:hint="eastAsia" w:hAnsi="宋体"/>
                <w:color w:val="000000" w:themeColor="text1"/>
                <w:u w:val="none" w:color="auto"/>
                <w:vertAlign w:val="superscript"/>
                <w14:textFill>
                  <w14:solidFill>
                    <w14:schemeClr w14:val="tx1"/>
                  </w14:solidFill>
                </w14:textFill>
              </w:rPr>
              <w:t>3</w:t>
            </w:r>
            <w:r>
              <w:rPr>
                <w:rFonts w:hint="eastAsia" w:hAnsi="宋体"/>
                <w:color w:val="000000" w:themeColor="text1"/>
                <w:u w:val="none" w:color="auto"/>
                <w14:textFill>
                  <w14:solidFill>
                    <w14:schemeClr w14:val="tx1"/>
                  </w14:solidFill>
                </w14:textFill>
              </w:rPr>
              <w:t>/a，年运行</w:t>
            </w:r>
            <w:r>
              <w:rPr>
                <w:rFonts w:hint="eastAsia" w:hAnsi="宋体"/>
                <w:color w:val="000000" w:themeColor="text1"/>
                <w:u w:val="none" w:color="auto"/>
                <w:lang w:val="en-US" w:eastAsia="zh-CN"/>
                <w14:textFill>
                  <w14:solidFill>
                    <w14:schemeClr w14:val="tx1"/>
                  </w14:solidFill>
                </w14:textFill>
              </w:rPr>
              <w:t>800</w:t>
            </w:r>
            <w:r>
              <w:rPr>
                <w:rFonts w:hint="eastAsia" w:hAnsi="宋体"/>
                <w:color w:val="000000" w:themeColor="text1"/>
                <w:u w:val="none" w:color="auto"/>
                <w14:textFill>
                  <w14:solidFill>
                    <w14:schemeClr w14:val="tx1"/>
                  </w14:solidFill>
                </w14:textFill>
              </w:rPr>
              <w:t>h，则小时烟气量</w:t>
            </w:r>
            <w:r>
              <w:rPr>
                <w:rFonts w:hint="eastAsia" w:hAnsi="宋体"/>
                <w:color w:val="000000" w:themeColor="text1"/>
                <w:u w:val="none" w:color="auto"/>
                <w:lang w:val="en-US" w:eastAsia="zh-CN"/>
                <w14:textFill>
                  <w14:solidFill>
                    <w14:schemeClr w14:val="tx1"/>
                  </w14:solidFill>
                </w14:textFill>
              </w:rPr>
              <w:t>约</w:t>
            </w:r>
            <w:r>
              <w:rPr>
                <w:rFonts w:hint="eastAsia" w:hAnsi="宋体"/>
                <w:color w:val="000000" w:themeColor="text1"/>
                <w:u w:val="none" w:color="auto"/>
                <w14:textFill>
                  <w14:solidFill>
                    <w14:schemeClr w14:val="tx1"/>
                  </w14:solidFill>
                </w14:textFill>
              </w:rPr>
              <w:t>为</w:t>
            </w:r>
            <w:r>
              <w:rPr>
                <w:rFonts w:hint="eastAsia" w:hAnsi="宋体"/>
                <w:color w:val="000000" w:themeColor="text1"/>
                <w:u w:val="none" w:color="auto"/>
                <w:lang w:val="en-US" w:eastAsia="zh-CN"/>
                <w14:textFill>
                  <w14:solidFill>
                    <w14:schemeClr w14:val="tx1"/>
                  </w14:solidFill>
                </w14:textFill>
              </w:rPr>
              <w:t>3566</w:t>
            </w:r>
            <w:r>
              <w:rPr>
                <w:rFonts w:hint="eastAsia" w:hAnsi="宋体"/>
                <w:color w:val="000000" w:themeColor="text1"/>
                <w:u w:val="none" w:color="auto"/>
                <w14:textFill>
                  <w14:solidFill>
                    <w14:schemeClr w14:val="tx1"/>
                  </w14:solidFill>
                </w14:textFill>
              </w:rPr>
              <w:t>Nm</w:t>
            </w:r>
            <w:r>
              <w:rPr>
                <w:rFonts w:hint="eastAsia" w:hAnsi="宋体"/>
                <w:color w:val="000000" w:themeColor="text1"/>
                <w:u w:val="none" w:color="auto"/>
                <w:vertAlign w:val="superscript"/>
                <w14:textFill>
                  <w14:solidFill>
                    <w14:schemeClr w14:val="tx1"/>
                  </w14:solidFill>
                </w14:textFill>
              </w:rPr>
              <w:t>3</w:t>
            </w:r>
            <w:r>
              <w:rPr>
                <w:rFonts w:hint="eastAsia" w:hAnsi="宋体"/>
                <w:color w:val="000000" w:themeColor="text1"/>
                <w:u w:val="none" w:color="auto"/>
                <w14:textFill>
                  <w14:solidFill>
                    <w14:schemeClr w14:val="tx1"/>
                  </w14:solidFill>
                </w14:textFill>
              </w:rPr>
              <w:t>/h。</w:t>
            </w:r>
          </w:p>
          <w:p w14:paraId="6D368F7A">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②SO</w:t>
            </w:r>
            <w:r>
              <w:rPr>
                <w:rFonts w:hint="eastAsia"/>
                <w:color w:val="000000" w:themeColor="text1"/>
                <w:u w:val="none" w:color="auto"/>
                <w:vertAlign w:val="subscript"/>
                <w14:textFill>
                  <w14:solidFill>
                    <w14:schemeClr w14:val="tx1"/>
                  </w14:solidFill>
                </w14:textFill>
              </w:rPr>
              <w:t>2</w:t>
            </w:r>
          </w:p>
          <w:p w14:paraId="612B239E">
            <w:pPr>
              <w:pStyle w:val="35"/>
              <w:ind w:firstLine="480"/>
              <w:rPr>
                <w:rFonts w:hint="eastAsia" w:hAnsi="宋体"/>
                <w:color w:val="000000" w:themeColor="text1"/>
                <w:u w:val="none" w:color="auto"/>
                <w14:textFill>
                  <w14:solidFill>
                    <w14:schemeClr w14:val="tx1"/>
                  </w14:solidFill>
                </w14:textFill>
              </w:rPr>
            </w:pPr>
            <w:r>
              <w:rPr>
                <w:rFonts w:hint="eastAsia" w:hAnsi="宋体"/>
                <w:color w:val="000000" w:themeColor="text1"/>
                <w:u w:val="none" w:color="auto"/>
                <w14:textFill>
                  <w14:solidFill>
                    <w14:schemeClr w14:val="tx1"/>
                  </w14:solidFill>
                </w14:textFill>
              </w:rPr>
              <w:t>采用</w:t>
            </w:r>
            <w:r>
              <w:rPr>
                <w:rFonts w:hAnsi="宋体"/>
                <w:color w:val="000000" w:themeColor="text1"/>
                <w:u w:val="none" w:color="auto"/>
                <w14:textFill>
                  <w14:solidFill>
                    <w14:schemeClr w14:val="tx1"/>
                  </w14:solidFill>
                </w14:textFill>
              </w:rPr>
              <w:t>《排污许可证申请与核发技术规范 锅炉》（HJ953-2018）</w:t>
            </w:r>
            <w:r>
              <w:rPr>
                <w:rFonts w:hint="eastAsia" w:hAnsi="宋体"/>
                <w:color w:val="000000" w:themeColor="text1"/>
                <w:u w:val="none" w:color="auto"/>
                <w14:textFill>
                  <w14:solidFill>
                    <w14:schemeClr w14:val="tx1"/>
                  </w14:solidFill>
                </w14:textFill>
              </w:rPr>
              <w:t>附录F中表F.4燃生物质工业锅炉的废气产排污系数中生物质锅炉-层燃炉的系数，为17Skg/t燃料，S为燃料的含硫量为0.0</w:t>
            </w:r>
            <w:r>
              <w:rPr>
                <w:rFonts w:hint="eastAsia" w:hAnsi="宋体"/>
                <w:color w:val="000000" w:themeColor="text1"/>
                <w:u w:val="none" w:color="auto"/>
                <w:lang w:val="en-US" w:eastAsia="zh-CN"/>
                <w14:textFill>
                  <w14:solidFill>
                    <w14:schemeClr w14:val="tx1"/>
                  </w14:solidFill>
                </w14:textFill>
              </w:rPr>
              <w:t>5</w:t>
            </w:r>
            <w:r>
              <w:rPr>
                <w:rFonts w:hint="eastAsia" w:hAnsi="宋体"/>
                <w:color w:val="000000" w:themeColor="text1"/>
                <w:u w:val="none" w:color="auto"/>
                <w14:textFill>
                  <w14:solidFill>
                    <w14:schemeClr w14:val="tx1"/>
                  </w14:solidFill>
                </w14:textFill>
              </w:rPr>
              <w:t>%，则本项目SO</w:t>
            </w:r>
            <w:r>
              <w:rPr>
                <w:rFonts w:hint="eastAsia" w:hAnsi="宋体"/>
                <w:color w:val="000000" w:themeColor="text1"/>
                <w:u w:val="none" w:color="auto"/>
                <w:vertAlign w:val="subscript"/>
                <w14:textFill>
                  <w14:solidFill>
                    <w14:schemeClr w14:val="tx1"/>
                  </w14:solidFill>
                </w14:textFill>
              </w:rPr>
              <w:t>2</w:t>
            </w:r>
            <w:r>
              <w:rPr>
                <w:rFonts w:hint="eastAsia" w:hAnsi="宋体"/>
                <w:color w:val="000000" w:themeColor="text1"/>
                <w:u w:val="none" w:color="auto"/>
                <w14:textFill>
                  <w14:solidFill>
                    <w14:schemeClr w14:val="tx1"/>
                  </w14:solidFill>
                </w14:textFill>
              </w:rPr>
              <w:t>产生量为：17×0.0</w:t>
            </w:r>
            <w:r>
              <w:rPr>
                <w:rFonts w:hint="eastAsia" w:hAnsi="宋体"/>
                <w:color w:val="000000" w:themeColor="text1"/>
                <w:u w:val="none" w:color="auto"/>
                <w:lang w:val="en-US" w:eastAsia="zh-CN"/>
                <w14:textFill>
                  <w14:solidFill>
                    <w14:schemeClr w14:val="tx1"/>
                  </w14:solidFill>
                </w14:textFill>
              </w:rPr>
              <w:t>5</w:t>
            </w:r>
            <w:r>
              <w:rPr>
                <w:rFonts w:hint="eastAsia" w:hAnsi="宋体"/>
                <w:color w:val="000000" w:themeColor="text1"/>
                <w:u w:val="none" w:color="auto"/>
                <w14:textFill>
                  <w14:solidFill>
                    <w14:schemeClr w14:val="tx1"/>
                  </w14:solidFill>
                </w14:textFill>
              </w:rPr>
              <w:t>×</w:t>
            </w:r>
            <w:r>
              <w:rPr>
                <w:rFonts w:hint="eastAsia"/>
                <w:color w:val="000000" w:themeColor="text1"/>
                <w:u w:val="none" w:color="auto"/>
                <w:lang w:val="en-US" w:eastAsia="zh-CN"/>
                <w14:textFill>
                  <w14:solidFill>
                    <w14:schemeClr w14:val="tx1"/>
                  </w14:solidFill>
                </w14:textFill>
              </w:rPr>
              <w:t>350</w:t>
            </w:r>
            <w:r>
              <w:rPr>
                <w:rFonts w:hint="eastAsia" w:hAnsi="宋体"/>
                <w:color w:val="000000" w:themeColor="text1"/>
                <w:u w:val="none" w:color="auto"/>
                <w14:textFill>
                  <w14:solidFill>
                    <w14:schemeClr w14:val="tx1"/>
                  </w14:solidFill>
                </w14:textFill>
              </w:rPr>
              <w:t>=</w:t>
            </w:r>
            <w:r>
              <w:rPr>
                <w:rFonts w:hint="eastAsia" w:hAnsi="宋体"/>
                <w:color w:val="000000" w:themeColor="text1"/>
                <w:u w:val="none" w:color="auto"/>
                <w:lang w:val="en-US" w:eastAsia="zh-CN"/>
                <w14:textFill>
                  <w14:solidFill>
                    <w14:schemeClr w14:val="tx1"/>
                  </w14:solidFill>
                </w14:textFill>
              </w:rPr>
              <w:t>297.5</w:t>
            </w:r>
            <w:r>
              <w:rPr>
                <w:rFonts w:hint="eastAsia" w:hAnsi="宋体"/>
                <w:color w:val="000000" w:themeColor="text1"/>
                <w:u w:val="none" w:color="auto"/>
                <w14:textFill>
                  <w14:solidFill>
                    <w14:schemeClr w14:val="tx1"/>
                  </w14:solidFill>
                </w14:textFill>
              </w:rPr>
              <w:t>kg/a≈</w:t>
            </w:r>
            <w:r>
              <w:rPr>
                <w:rFonts w:hint="eastAsia" w:hAnsi="宋体"/>
                <w:color w:val="000000" w:themeColor="text1"/>
                <w:u w:val="none" w:color="auto"/>
                <w:lang w:val="en-US" w:eastAsia="zh-CN"/>
                <w14:textFill>
                  <w14:solidFill>
                    <w14:schemeClr w14:val="tx1"/>
                  </w14:solidFill>
                </w14:textFill>
              </w:rPr>
              <w:t>0.298</w:t>
            </w:r>
            <w:r>
              <w:rPr>
                <w:rFonts w:hint="eastAsia" w:hAnsi="宋体"/>
                <w:color w:val="000000" w:themeColor="text1"/>
                <w:u w:val="none" w:color="auto"/>
                <w14:textFill>
                  <w14:solidFill>
                    <w14:schemeClr w14:val="tx1"/>
                  </w14:solidFill>
                </w14:textFill>
              </w:rPr>
              <w:t>t/a。本项目无末端SO</w:t>
            </w:r>
            <w:r>
              <w:rPr>
                <w:rFonts w:hint="eastAsia" w:hAnsi="宋体"/>
                <w:color w:val="000000" w:themeColor="text1"/>
                <w:u w:val="none" w:color="auto"/>
                <w:vertAlign w:val="subscript"/>
                <w14:textFill>
                  <w14:solidFill>
                    <w14:schemeClr w14:val="tx1"/>
                  </w14:solidFill>
                </w14:textFill>
              </w:rPr>
              <w:t>2</w:t>
            </w:r>
            <w:r>
              <w:rPr>
                <w:rFonts w:hint="eastAsia" w:hAnsi="宋体"/>
                <w:color w:val="000000" w:themeColor="text1"/>
                <w:u w:val="none" w:color="auto"/>
                <w14:textFill>
                  <w14:solidFill>
                    <w14:schemeClr w14:val="tx1"/>
                  </w14:solidFill>
                </w14:textFill>
              </w:rPr>
              <w:t>治理设施，产生量即为排放量。</w:t>
            </w:r>
          </w:p>
          <w:p w14:paraId="4F025E9B">
            <w:pPr>
              <w:pStyle w:val="35"/>
              <w:ind w:firstLine="480"/>
              <w:rPr>
                <w:rFonts w:hint="eastAsia" w:hAnsi="宋体"/>
                <w:color w:val="000000" w:themeColor="text1"/>
                <w:u w:val="none" w:color="auto"/>
                <w14:textFill>
                  <w14:solidFill>
                    <w14:schemeClr w14:val="tx1"/>
                  </w14:solidFill>
                </w14:textFill>
              </w:rPr>
            </w:pPr>
            <w:r>
              <w:rPr>
                <w:rFonts w:hint="eastAsia" w:hAnsi="宋体"/>
                <w:color w:val="000000" w:themeColor="text1"/>
                <w:u w:val="none" w:color="auto"/>
                <w14:textFill>
                  <w14:solidFill>
                    <w14:schemeClr w14:val="tx1"/>
                  </w14:solidFill>
                </w14:textFill>
              </w:rPr>
              <w:t>③NO</w:t>
            </w:r>
            <w:r>
              <w:rPr>
                <w:rFonts w:hint="eastAsia" w:hAnsi="宋体"/>
                <w:color w:val="000000" w:themeColor="text1"/>
                <w:u w:val="none" w:color="auto"/>
                <w:vertAlign w:val="subscript"/>
                <w14:textFill>
                  <w14:solidFill>
                    <w14:schemeClr w14:val="tx1"/>
                  </w14:solidFill>
                </w14:textFill>
              </w:rPr>
              <w:t>x</w:t>
            </w:r>
          </w:p>
          <w:p w14:paraId="28F443F7">
            <w:pPr>
              <w:pStyle w:val="35"/>
              <w:ind w:firstLine="480"/>
              <w:rPr>
                <w:rFonts w:hint="eastAsia" w:hAnsi="宋体"/>
                <w:color w:val="000000" w:themeColor="text1"/>
                <w:u w:val="none" w:color="auto"/>
                <w14:textFill>
                  <w14:solidFill>
                    <w14:schemeClr w14:val="tx1"/>
                  </w14:solidFill>
                </w14:textFill>
              </w:rPr>
            </w:pPr>
            <w:r>
              <w:rPr>
                <w:rFonts w:hint="eastAsia" w:hAnsi="宋体"/>
                <w:color w:val="000000" w:themeColor="text1"/>
                <w:u w:val="none" w:color="auto"/>
                <w14:textFill>
                  <w14:solidFill>
                    <w14:schemeClr w14:val="tx1"/>
                  </w14:solidFill>
                </w14:textFill>
              </w:rPr>
              <w:t>采用</w:t>
            </w:r>
            <w:r>
              <w:rPr>
                <w:rFonts w:hAnsi="宋体"/>
                <w:color w:val="000000" w:themeColor="text1"/>
                <w:u w:val="none" w:color="auto"/>
                <w14:textFill>
                  <w14:solidFill>
                    <w14:schemeClr w14:val="tx1"/>
                  </w14:solidFill>
                </w14:textFill>
              </w:rPr>
              <w:t>《排污许可证申请与核发技术规范 锅炉》（HJ953-2018）</w:t>
            </w:r>
            <w:r>
              <w:rPr>
                <w:rFonts w:hint="eastAsia" w:hAnsi="宋体"/>
                <w:color w:val="000000" w:themeColor="text1"/>
                <w:u w:val="none" w:color="auto"/>
                <w14:textFill>
                  <w14:solidFill>
                    <w14:schemeClr w14:val="tx1"/>
                  </w14:solidFill>
                </w14:textFill>
              </w:rPr>
              <w:t>附录F中表F.4燃生物质工业锅炉的废气产排污系数中生物质锅炉-层燃炉的系数，NO</w:t>
            </w:r>
            <w:r>
              <w:rPr>
                <w:rFonts w:hint="eastAsia" w:hAnsi="宋体"/>
                <w:color w:val="000000" w:themeColor="text1"/>
                <w:u w:val="none" w:color="auto"/>
                <w:vertAlign w:val="subscript"/>
                <w14:textFill>
                  <w14:solidFill>
                    <w14:schemeClr w14:val="tx1"/>
                  </w14:solidFill>
                </w14:textFill>
              </w:rPr>
              <w:t>x</w:t>
            </w:r>
            <w:r>
              <w:rPr>
                <w:rFonts w:hint="eastAsia" w:hAnsi="宋体"/>
                <w:color w:val="000000" w:themeColor="text1"/>
                <w:u w:val="none" w:color="auto"/>
                <w14:textFill>
                  <w14:solidFill>
                    <w14:schemeClr w14:val="tx1"/>
                  </w14:solidFill>
                </w14:textFill>
              </w:rPr>
              <w:t>的产污系数为</w:t>
            </w:r>
            <w:r>
              <w:rPr>
                <w:rFonts w:hint="eastAsia" w:hAnsi="宋体"/>
                <w:color w:val="000000" w:themeColor="text1"/>
                <w:u w:val="none" w:color="auto"/>
                <w:lang w:val="en-US" w:eastAsia="zh-CN"/>
                <w14:textFill>
                  <w14:solidFill>
                    <w14:schemeClr w14:val="tx1"/>
                  </w14:solidFill>
                </w14:textFill>
              </w:rPr>
              <w:t>1.02</w:t>
            </w:r>
            <w:r>
              <w:rPr>
                <w:rFonts w:hint="eastAsia" w:hAnsi="宋体"/>
                <w:color w:val="000000" w:themeColor="text1"/>
                <w:u w:val="none" w:color="auto"/>
                <w14:textFill>
                  <w14:solidFill>
                    <w14:schemeClr w14:val="tx1"/>
                  </w14:solidFill>
                </w14:textFill>
              </w:rPr>
              <w:t>kg/t燃料</w:t>
            </w:r>
            <w:r>
              <w:rPr>
                <w:rFonts w:hint="eastAsia" w:hAnsi="宋体"/>
                <w:color w:val="000000" w:themeColor="text1"/>
                <w:u w:val="none" w:color="auto"/>
                <w:lang w:eastAsia="zh-CN"/>
                <w14:textFill>
                  <w14:solidFill>
                    <w14:schemeClr w14:val="tx1"/>
                  </w14:solidFill>
                </w14:textFill>
              </w:rPr>
              <w:t>（</w:t>
            </w:r>
            <w:r>
              <w:rPr>
                <w:rFonts w:hint="eastAsia" w:hAnsi="宋体"/>
                <w:color w:val="000000" w:themeColor="text1"/>
                <w:u w:val="none" w:color="auto"/>
                <w:lang w:val="en-US" w:eastAsia="zh-CN"/>
                <w14:textFill>
                  <w14:solidFill>
                    <w14:schemeClr w14:val="tx1"/>
                  </w14:solidFill>
                </w14:textFill>
              </w:rPr>
              <w:t>无低氮燃烧</w:t>
            </w:r>
            <w:r>
              <w:rPr>
                <w:rFonts w:hint="eastAsia" w:hAnsi="宋体"/>
                <w:color w:val="000000" w:themeColor="text1"/>
                <w:u w:val="none" w:color="auto"/>
                <w:lang w:eastAsia="zh-CN"/>
                <w14:textFill>
                  <w14:solidFill>
                    <w14:schemeClr w14:val="tx1"/>
                  </w14:solidFill>
                </w14:textFill>
              </w:rPr>
              <w:t>）</w:t>
            </w:r>
            <w:r>
              <w:rPr>
                <w:rFonts w:hint="eastAsia" w:hAnsi="宋体"/>
                <w:color w:val="000000" w:themeColor="text1"/>
                <w:u w:val="none" w:color="auto"/>
                <w14:textFill>
                  <w14:solidFill>
                    <w14:schemeClr w14:val="tx1"/>
                  </w14:solidFill>
                </w14:textFill>
              </w:rPr>
              <w:t>，则NO</w:t>
            </w:r>
            <w:r>
              <w:rPr>
                <w:rFonts w:hint="eastAsia" w:hAnsi="宋体"/>
                <w:color w:val="000000" w:themeColor="text1"/>
                <w:u w:val="none" w:color="auto"/>
                <w:vertAlign w:val="subscript"/>
                <w14:textFill>
                  <w14:solidFill>
                    <w14:schemeClr w14:val="tx1"/>
                  </w14:solidFill>
                </w14:textFill>
              </w:rPr>
              <w:t>x</w:t>
            </w:r>
            <w:r>
              <w:rPr>
                <w:rFonts w:hint="eastAsia" w:hAnsi="宋体"/>
                <w:color w:val="000000" w:themeColor="text1"/>
                <w:u w:val="none" w:color="auto"/>
                <w14:textFill>
                  <w14:solidFill>
                    <w14:schemeClr w14:val="tx1"/>
                  </w14:solidFill>
                </w14:textFill>
              </w:rPr>
              <w:t>产生量为</w:t>
            </w:r>
            <w:r>
              <w:rPr>
                <w:rFonts w:hint="eastAsia" w:hAnsi="宋体"/>
                <w:color w:val="000000" w:themeColor="text1"/>
                <w:u w:val="none" w:color="auto"/>
                <w:lang w:val="en-US" w:eastAsia="zh-CN"/>
                <w14:textFill>
                  <w14:solidFill>
                    <w14:schemeClr w14:val="tx1"/>
                  </w14:solidFill>
                </w14:textFill>
              </w:rPr>
              <w:t>0.357</w:t>
            </w:r>
            <w:r>
              <w:rPr>
                <w:rFonts w:hint="eastAsia" w:hAnsi="宋体"/>
                <w:color w:val="000000" w:themeColor="text1"/>
                <w:u w:val="none" w:color="auto"/>
                <w14:textFill>
                  <w14:solidFill>
                    <w14:schemeClr w14:val="tx1"/>
                  </w14:solidFill>
                </w14:textFill>
              </w:rPr>
              <w:t>t/a。本项目</w:t>
            </w:r>
            <w:r>
              <w:rPr>
                <w:rFonts w:hint="eastAsia" w:hAnsi="宋体"/>
                <w:color w:val="000000" w:themeColor="text1"/>
                <w:u w:val="none" w:color="auto"/>
                <w:lang w:val="en-US" w:eastAsia="zh-CN"/>
                <w14:textFill>
                  <w14:solidFill>
                    <w14:schemeClr w14:val="tx1"/>
                  </w14:solidFill>
                </w14:textFill>
              </w:rPr>
              <w:t>采用</w:t>
            </w:r>
            <w:r>
              <w:rPr>
                <w:rFonts w:hint="eastAsia"/>
                <w:color w:val="000000" w:themeColor="text1"/>
                <w14:textFill>
                  <w14:solidFill>
                    <w14:schemeClr w14:val="tx1"/>
                  </w14:solidFill>
                </w14:textFill>
              </w:rPr>
              <w:t>SN</w:t>
            </w:r>
            <w:r>
              <w:rPr>
                <w:rFonts w:hint="eastAsia"/>
                <w:color w:val="000000" w:themeColor="text1"/>
                <w:u w:val="none" w:color="auto"/>
                <w14:textFill>
                  <w14:solidFill>
                    <w14:schemeClr w14:val="tx1"/>
                  </w14:solidFill>
                </w14:textFill>
              </w:rPr>
              <w:t>CR脱硝技术</w:t>
            </w:r>
            <w:r>
              <w:rPr>
                <w:rFonts w:hint="eastAsia" w:hAnsi="宋体"/>
                <w:color w:val="000000" w:themeColor="text1"/>
                <w:u w:val="none" w:color="auto"/>
                <w14:textFill>
                  <w14:solidFill>
                    <w14:schemeClr w14:val="tx1"/>
                  </w14:solidFill>
                </w14:textFill>
              </w:rPr>
              <w:t>，</w:t>
            </w:r>
            <w:r>
              <w:rPr>
                <w:rFonts w:hint="eastAsia"/>
                <w:color w:val="000000" w:themeColor="text1"/>
                <w:u w:val="none" w:color="auto"/>
                <w:lang w:val="en-US" w:eastAsia="zh-CN"/>
                <w14:textFill>
                  <w14:solidFill>
                    <w14:schemeClr w14:val="tx1"/>
                  </w14:solidFill>
                </w14:textFill>
              </w:rPr>
              <w:t>参考</w:t>
            </w:r>
            <w:r>
              <w:rPr>
                <w:rFonts w:ascii="宋体" w:hAnsi="宋体" w:eastAsia="宋体" w:cs="宋体"/>
                <w:color w:val="000000" w:themeColor="text1"/>
                <w:sz w:val="24"/>
                <w:szCs w:val="24"/>
                <w:u w:val="none" w:color="auto"/>
                <w14:textFill>
                  <w14:solidFill>
                    <w14:schemeClr w14:val="tx1"/>
                  </w14:solidFill>
                </w14:textFill>
              </w:rPr>
              <w:t>《第二次全国污染源普查工业污染源产排污系数手册》</w:t>
            </w:r>
            <w:r>
              <w:rPr>
                <w:rFonts w:hint="eastAsia" w:ascii="宋体" w:hAnsi="宋体" w:eastAsia="宋体" w:cs="宋体"/>
                <w:color w:val="000000" w:themeColor="text1"/>
                <w:sz w:val="24"/>
                <w:szCs w:val="24"/>
                <w:u w:val="none" w:color="auto"/>
                <w:lang w:eastAsia="zh-CN"/>
                <w14:textFill>
                  <w14:solidFill>
                    <w14:schemeClr w14:val="tx1"/>
                  </w14:solidFill>
                </w14:textFill>
              </w:rPr>
              <w:t>，</w:t>
            </w:r>
            <w:r>
              <w:rPr>
                <w:rFonts w:hint="eastAsia"/>
                <w:color w:val="000000" w:themeColor="text1"/>
                <w:sz w:val="24"/>
                <w:szCs w:val="24"/>
                <w:u w:val="none" w:color="auto"/>
                <w14:textFill>
                  <w14:solidFill>
                    <w14:schemeClr w14:val="tx1"/>
                  </w14:solidFill>
                </w14:textFill>
              </w:rPr>
              <w:t>SNCR对氮氧化物的去除效率为</w:t>
            </w:r>
            <w:r>
              <w:rPr>
                <w:rFonts w:hint="eastAsia"/>
                <w:color w:val="000000" w:themeColor="text1"/>
                <w:sz w:val="24"/>
                <w:szCs w:val="24"/>
                <w:u w:val="none" w:color="auto"/>
                <w:lang w:val="en-US" w:eastAsia="zh-CN"/>
                <w14:textFill>
                  <w14:solidFill>
                    <w14:schemeClr w14:val="tx1"/>
                  </w14:solidFill>
                </w14:textFill>
              </w:rPr>
              <w:t>22</w:t>
            </w:r>
            <w:r>
              <w:rPr>
                <w:rFonts w:hint="eastAsia"/>
                <w:color w:val="000000" w:themeColor="text1"/>
                <w:sz w:val="24"/>
                <w:szCs w:val="24"/>
                <w:u w:val="none" w:color="auto"/>
                <w14:textFill>
                  <w14:solidFill>
                    <w14:schemeClr w14:val="tx1"/>
                  </w14:solidFill>
                </w14:textFill>
              </w:rPr>
              <w:t>%，</w:t>
            </w:r>
            <w:r>
              <w:rPr>
                <w:rFonts w:hint="eastAsia" w:hAnsi="宋体"/>
                <w:color w:val="000000" w:themeColor="text1"/>
                <w:u w:val="none" w:color="auto"/>
                <w:lang w:val="en-US" w:eastAsia="zh-CN"/>
                <w14:textFill>
                  <w14:solidFill>
                    <w14:schemeClr w14:val="tx1"/>
                  </w14:solidFill>
                </w14:textFill>
              </w:rPr>
              <w:t>则</w:t>
            </w:r>
            <w:r>
              <w:rPr>
                <w:rFonts w:hint="eastAsia" w:hAnsi="宋体"/>
                <w:color w:val="000000" w:themeColor="text1"/>
                <w:u w:val="none" w:color="auto"/>
                <w14:textFill>
                  <w14:solidFill>
                    <w14:schemeClr w14:val="tx1"/>
                  </w14:solidFill>
                </w14:textFill>
              </w:rPr>
              <w:t>NO</w:t>
            </w:r>
            <w:r>
              <w:rPr>
                <w:rFonts w:hint="eastAsia" w:hAnsi="宋体"/>
                <w:color w:val="000000" w:themeColor="text1"/>
                <w:u w:val="none" w:color="auto"/>
                <w:vertAlign w:val="subscript"/>
                <w14:textFill>
                  <w14:solidFill>
                    <w14:schemeClr w14:val="tx1"/>
                  </w14:solidFill>
                </w14:textFill>
              </w:rPr>
              <w:t>x</w:t>
            </w:r>
            <w:r>
              <w:rPr>
                <w:rFonts w:hint="eastAsia" w:hAnsi="宋体"/>
                <w:color w:val="000000" w:themeColor="text1"/>
                <w:u w:val="none" w:color="auto"/>
                <w:vertAlign w:val="baseline"/>
                <w:lang w:val="en-US" w:eastAsia="zh-CN"/>
                <w14:textFill>
                  <w14:solidFill>
                    <w14:schemeClr w14:val="tx1"/>
                  </w14:solidFill>
                </w14:textFill>
              </w:rPr>
              <w:t>排放量为0.278</w:t>
            </w:r>
            <w:r>
              <w:rPr>
                <w:rFonts w:hint="eastAsia" w:hAnsi="宋体"/>
                <w:color w:val="000000" w:themeColor="text1"/>
                <w:u w:val="none" w:color="auto"/>
                <w14:textFill>
                  <w14:solidFill>
                    <w14:schemeClr w14:val="tx1"/>
                  </w14:solidFill>
                </w14:textFill>
              </w:rPr>
              <w:t>t/a。</w:t>
            </w:r>
          </w:p>
          <w:p w14:paraId="3DE02489">
            <w:pPr>
              <w:pStyle w:val="35"/>
              <w:ind w:firstLine="480"/>
              <w:rPr>
                <w:rFonts w:hint="eastAsia" w:hAnsi="宋体"/>
                <w:color w:val="000000" w:themeColor="text1"/>
                <w:u w:val="none" w:color="auto"/>
                <w14:textFill>
                  <w14:solidFill>
                    <w14:schemeClr w14:val="tx1"/>
                  </w14:solidFill>
                </w14:textFill>
              </w:rPr>
            </w:pPr>
            <w:r>
              <w:rPr>
                <w:rFonts w:hint="eastAsia" w:hAnsi="宋体"/>
                <w:color w:val="000000" w:themeColor="text1"/>
                <w:u w:val="none" w:color="auto"/>
                <w14:textFill>
                  <w14:solidFill>
                    <w14:schemeClr w14:val="tx1"/>
                  </w14:solidFill>
                </w14:textFill>
              </w:rPr>
              <w:t>④颗粒物</w:t>
            </w:r>
          </w:p>
          <w:p w14:paraId="5AE67263">
            <w:pPr>
              <w:pStyle w:val="35"/>
              <w:ind w:firstLine="480"/>
              <w:rPr>
                <w:rFonts w:hint="eastAsia" w:hAnsi="宋体"/>
                <w:color w:val="000000" w:themeColor="text1"/>
                <w:u w:val="none" w:color="auto"/>
                <w14:textFill>
                  <w14:solidFill>
                    <w14:schemeClr w14:val="tx1"/>
                  </w14:solidFill>
                </w14:textFill>
              </w:rPr>
            </w:pPr>
            <w:r>
              <w:rPr>
                <w:rFonts w:hint="eastAsia" w:hAnsi="宋体"/>
                <w:color w:val="000000" w:themeColor="text1"/>
                <w:u w:val="none" w:color="auto"/>
                <w14:textFill>
                  <w14:solidFill>
                    <w14:schemeClr w14:val="tx1"/>
                  </w14:solidFill>
                </w14:textFill>
              </w:rPr>
              <w:t>采用</w:t>
            </w:r>
            <w:r>
              <w:rPr>
                <w:rFonts w:hAnsi="宋体"/>
                <w:color w:val="000000" w:themeColor="text1"/>
                <w:u w:val="none" w:color="auto"/>
                <w14:textFill>
                  <w14:solidFill>
                    <w14:schemeClr w14:val="tx1"/>
                  </w14:solidFill>
                </w14:textFill>
              </w:rPr>
              <w:t>《排污许可证申请与核发技术规范 锅炉》（HJ953-2018）</w:t>
            </w:r>
            <w:r>
              <w:rPr>
                <w:rFonts w:hint="eastAsia" w:hAnsi="宋体"/>
                <w:color w:val="000000" w:themeColor="text1"/>
                <w:u w:val="none" w:color="auto"/>
                <w14:textFill>
                  <w14:solidFill>
                    <w14:schemeClr w14:val="tx1"/>
                  </w14:solidFill>
                </w14:textFill>
              </w:rPr>
              <w:t>附录F中表F.4燃生物质工业锅炉的废气产排污系数中生物质锅炉-层燃炉的系数，本项目采用成型燃料，颗粒物产污系数为0.5kg/t燃料，颗粒物产生量为</w:t>
            </w:r>
            <w:r>
              <w:rPr>
                <w:rFonts w:hint="eastAsia" w:hAnsi="宋体"/>
                <w:color w:val="000000" w:themeColor="text1"/>
                <w:u w:val="none" w:color="auto"/>
                <w:lang w:val="en-US" w:eastAsia="zh-CN"/>
                <w14:textFill>
                  <w14:solidFill>
                    <w14:schemeClr w14:val="tx1"/>
                  </w14:solidFill>
                </w14:textFill>
              </w:rPr>
              <w:t>0.175</w:t>
            </w:r>
            <w:r>
              <w:rPr>
                <w:rFonts w:hint="eastAsia" w:hAnsi="宋体"/>
                <w:color w:val="000000" w:themeColor="text1"/>
                <w:u w:val="none" w:color="auto"/>
                <w14:textFill>
                  <w14:solidFill>
                    <w14:schemeClr w14:val="tx1"/>
                  </w14:solidFill>
                </w14:textFill>
              </w:rPr>
              <w:t>t/a，末端采用“旋风除尘+袋式除尘</w:t>
            </w:r>
            <w:r>
              <w:rPr>
                <w:rFonts w:hint="eastAsia" w:hAnsi="宋体"/>
                <w:color w:val="000000" w:themeColor="text1"/>
                <w:u w:val="none" w:color="auto"/>
                <w:lang w:val="en-US" w:eastAsia="zh-CN"/>
                <w14:textFill>
                  <w14:solidFill>
                    <w14:schemeClr w14:val="tx1"/>
                  </w14:solidFill>
                </w14:textFill>
              </w:rPr>
              <w:t>+水膜除尘</w:t>
            </w:r>
            <w:r>
              <w:rPr>
                <w:rFonts w:hint="eastAsia" w:hAnsi="宋体"/>
                <w:color w:val="000000" w:themeColor="text1"/>
                <w:u w:val="none" w:color="auto"/>
                <w14:textFill>
                  <w14:solidFill>
                    <w14:schemeClr w14:val="tx1"/>
                  </w14:solidFill>
                </w14:textFill>
              </w:rPr>
              <w:t>技术”去除颗粒物，根据系数表排污系数为0.005kg/t燃料（即去除率为99%），颗粒物排放量</w:t>
            </w:r>
            <w:r>
              <w:rPr>
                <w:rFonts w:hint="eastAsia" w:hAnsi="宋体"/>
                <w:color w:val="000000" w:themeColor="text1"/>
                <w:u w:val="none" w:color="auto"/>
                <w:lang w:val="en-US" w:eastAsia="zh-CN"/>
                <w14:textFill>
                  <w14:solidFill>
                    <w14:schemeClr w14:val="tx1"/>
                  </w14:solidFill>
                </w14:textFill>
              </w:rPr>
              <w:t>约</w:t>
            </w:r>
            <w:r>
              <w:rPr>
                <w:rFonts w:hint="eastAsia" w:hAnsi="宋体"/>
                <w:color w:val="000000" w:themeColor="text1"/>
                <w:u w:val="none" w:color="auto"/>
                <w14:textFill>
                  <w14:solidFill>
                    <w14:schemeClr w14:val="tx1"/>
                  </w14:solidFill>
                </w14:textFill>
              </w:rPr>
              <w:t>为</w:t>
            </w:r>
            <w:r>
              <w:rPr>
                <w:rFonts w:hint="eastAsia" w:hAnsi="宋体"/>
                <w:color w:val="000000" w:themeColor="text1"/>
                <w:u w:val="none" w:color="auto"/>
                <w:lang w:val="en-US" w:eastAsia="zh-CN"/>
                <w14:textFill>
                  <w14:solidFill>
                    <w14:schemeClr w14:val="tx1"/>
                  </w14:solidFill>
                </w14:textFill>
              </w:rPr>
              <w:t>0.002</w:t>
            </w:r>
            <w:r>
              <w:rPr>
                <w:rFonts w:hint="eastAsia" w:hAnsi="宋体"/>
                <w:color w:val="000000" w:themeColor="text1"/>
                <w:u w:val="none" w:color="auto"/>
                <w14:textFill>
                  <w14:solidFill>
                    <w14:schemeClr w14:val="tx1"/>
                  </w14:solidFill>
                </w14:textFill>
              </w:rPr>
              <w:t>t/a。</w:t>
            </w:r>
          </w:p>
          <w:p w14:paraId="55BF18E7">
            <w:pPr>
              <w:pStyle w:val="35"/>
              <w:ind w:firstLine="480"/>
              <w:rPr>
                <w:rFonts w:hint="eastAsia" w:hAnsi="宋体"/>
                <w:color w:val="000000" w:themeColor="text1"/>
                <w:u w:val="none" w:color="auto"/>
                <w14:textFill>
                  <w14:solidFill>
                    <w14:schemeClr w14:val="tx1"/>
                  </w14:solidFill>
                </w14:textFill>
              </w:rPr>
            </w:pPr>
            <w:r>
              <w:rPr>
                <w:rFonts w:hint="eastAsia" w:hAnsi="宋体"/>
                <w:color w:val="000000" w:themeColor="text1"/>
                <w:u w:val="none" w:color="auto"/>
                <w14:textFill>
                  <w14:solidFill>
                    <w14:schemeClr w14:val="tx1"/>
                  </w14:solidFill>
                </w14:textFill>
              </w:rPr>
              <w:t>综上所述，锅炉烟气排放情况如下：</w:t>
            </w:r>
          </w:p>
          <w:p w14:paraId="1F2B4710">
            <w:pPr>
              <w:pStyle w:val="34"/>
              <w:keepNext w:val="0"/>
              <w:keepLines w:val="0"/>
              <w:pageBreakBefore w:val="0"/>
              <w:widowControl w:val="0"/>
              <w:kinsoku/>
              <w:wordWrap/>
              <w:overflowPunct/>
              <w:topLinePunct w:val="0"/>
              <w:autoSpaceDE/>
              <w:autoSpaceDN/>
              <w:bidi w:val="0"/>
              <w:adjustRightInd/>
              <w:snapToGrid/>
              <w:spacing w:before="0" w:beforeLines="0"/>
              <w:textAlignment w:val="auto"/>
              <w:rPr>
                <w:color w:val="000000" w:themeColor="text1"/>
                <w:sz w:val="21"/>
                <w:szCs w:val="21"/>
                <w:u w:val="none" w:color="auto"/>
                <w14:textFill>
                  <w14:solidFill>
                    <w14:schemeClr w14:val="tx1"/>
                  </w14:solidFill>
                </w14:textFill>
              </w:rPr>
            </w:pPr>
            <w:r>
              <w:rPr>
                <w:rFonts w:hint="eastAsia"/>
                <w:color w:val="000000" w:themeColor="text1"/>
                <w:sz w:val="21"/>
                <w:szCs w:val="21"/>
                <w:u w:val="none" w:color="auto"/>
                <w14:textFill>
                  <w14:solidFill>
                    <w14:schemeClr w14:val="tx1"/>
                  </w14:solidFill>
                </w14:textFill>
              </w:rPr>
              <w:t>表4-</w:t>
            </w:r>
            <w:r>
              <w:rPr>
                <w:rFonts w:hint="eastAsia"/>
                <w:color w:val="000000" w:themeColor="text1"/>
                <w:sz w:val="21"/>
                <w:szCs w:val="21"/>
                <w:u w:val="none" w:color="auto"/>
                <w:lang w:val="en-US" w:eastAsia="zh-CN"/>
                <w14:textFill>
                  <w14:solidFill>
                    <w14:schemeClr w14:val="tx1"/>
                  </w14:solidFill>
                </w14:textFill>
              </w:rPr>
              <w:t>1</w:t>
            </w:r>
            <w:r>
              <w:rPr>
                <w:rFonts w:hint="eastAsia"/>
                <w:color w:val="000000" w:themeColor="text1"/>
                <w:sz w:val="21"/>
                <w:szCs w:val="21"/>
                <w:u w:val="none" w:color="auto"/>
                <w14:textFill>
                  <w14:solidFill>
                    <w14:schemeClr w14:val="tx1"/>
                  </w14:solidFill>
                </w14:textFill>
              </w:rPr>
              <w:t xml:space="preserve">  锅炉烟气</w:t>
            </w:r>
            <w:r>
              <w:rPr>
                <w:rFonts w:hint="eastAsia"/>
                <w:color w:val="000000" w:themeColor="text1"/>
                <w:sz w:val="21"/>
                <w:szCs w:val="21"/>
                <w:u w:val="none" w:color="auto"/>
                <w:lang w:val="en-US" w:eastAsia="zh-CN"/>
                <w14:textFill>
                  <w14:solidFill>
                    <w14:schemeClr w14:val="tx1"/>
                  </w14:solidFill>
                </w14:textFill>
              </w:rPr>
              <w:t>产排</w:t>
            </w:r>
            <w:r>
              <w:rPr>
                <w:rFonts w:hint="eastAsia"/>
                <w:color w:val="000000" w:themeColor="text1"/>
                <w:sz w:val="21"/>
                <w:szCs w:val="21"/>
                <w:u w:val="none" w:color="auto"/>
                <w14:textFill>
                  <w14:solidFill>
                    <w14:schemeClr w14:val="tx1"/>
                  </w14:solidFill>
                </w14:textFill>
              </w:rPr>
              <w:t>情况表</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807"/>
              <w:gridCol w:w="877"/>
              <w:gridCol w:w="900"/>
              <w:gridCol w:w="854"/>
              <w:gridCol w:w="716"/>
              <w:gridCol w:w="820"/>
              <w:gridCol w:w="1140"/>
              <w:gridCol w:w="895"/>
            </w:tblGrid>
            <w:tr w14:paraId="54578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8" w:type="dxa"/>
                  <w:vAlign w:val="center"/>
                </w:tcPr>
                <w:p w14:paraId="5A51EEED">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污染物</w:t>
                  </w:r>
                </w:p>
              </w:tc>
              <w:tc>
                <w:tcPr>
                  <w:tcW w:w="807" w:type="dxa"/>
                  <w:vAlign w:val="center"/>
                </w:tcPr>
                <w:p w14:paraId="25F02974">
                  <w:pPr>
                    <w:pStyle w:val="57"/>
                    <w:rPr>
                      <w:color w:val="000000" w:themeColor="text1"/>
                      <w:u w:val="none" w:color="auto"/>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产生</w:t>
                  </w:r>
                  <w:r>
                    <w:rPr>
                      <w:rFonts w:hint="eastAsia"/>
                      <w:color w:val="000000" w:themeColor="text1"/>
                      <w:u w:val="none" w:color="auto"/>
                      <w14:textFill>
                        <w14:solidFill>
                          <w14:schemeClr w14:val="tx1"/>
                        </w14:solidFill>
                      </w14:textFill>
                    </w:rPr>
                    <w:t>量t/a</w:t>
                  </w:r>
                </w:p>
              </w:tc>
              <w:tc>
                <w:tcPr>
                  <w:tcW w:w="877" w:type="dxa"/>
                  <w:vAlign w:val="center"/>
                </w:tcPr>
                <w:p w14:paraId="1B80EB83">
                  <w:pPr>
                    <w:pStyle w:val="57"/>
                    <w:rPr>
                      <w:color w:val="000000" w:themeColor="text1"/>
                      <w:u w:val="none" w:color="auto"/>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产生</w:t>
                  </w:r>
                  <w:r>
                    <w:rPr>
                      <w:rFonts w:hint="eastAsia"/>
                      <w:color w:val="000000" w:themeColor="text1"/>
                      <w:u w:val="none" w:color="auto"/>
                      <w14:textFill>
                        <w14:solidFill>
                          <w14:schemeClr w14:val="tx1"/>
                        </w14:solidFill>
                      </w14:textFill>
                    </w:rPr>
                    <w:t>速率kg/h</w:t>
                  </w:r>
                </w:p>
              </w:tc>
              <w:tc>
                <w:tcPr>
                  <w:tcW w:w="900" w:type="dxa"/>
                  <w:vAlign w:val="center"/>
                </w:tcPr>
                <w:p w14:paraId="5F430967">
                  <w:pPr>
                    <w:pStyle w:val="57"/>
                    <w:rPr>
                      <w:color w:val="000000" w:themeColor="text1"/>
                      <w:u w:val="none" w:color="auto"/>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产生</w:t>
                  </w:r>
                  <w:r>
                    <w:rPr>
                      <w:rFonts w:hint="eastAsia"/>
                      <w:color w:val="000000" w:themeColor="text1"/>
                      <w:u w:val="none" w:color="auto"/>
                      <w14:textFill>
                        <w14:solidFill>
                          <w14:schemeClr w14:val="tx1"/>
                        </w14:solidFill>
                      </w14:textFill>
                    </w:rPr>
                    <w:t>浓度mg/m</w:t>
                  </w:r>
                  <w:r>
                    <w:rPr>
                      <w:rFonts w:hint="eastAsia"/>
                      <w:color w:val="000000" w:themeColor="text1"/>
                      <w:u w:val="none" w:color="auto"/>
                      <w:vertAlign w:val="superscript"/>
                      <w14:textFill>
                        <w14:solidFill>
                          <w14:schemeClr w14:val="tx1"/>
                        </w14:solidFill>
                      </w14:textFill>
                    </w:rPr>
                    <w:t>3</w:t>
                  </w:r>
                </w:p>
              </w:tc>
              <w:tc>
                <w:tcPr>
                  <w:tcW w:w="854" w:type="dxa"/>
                  <w:vAlign w:val="center"/>
                </w:tcPr>
                <w:p w14:paraId="2B6B3E42">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采取措施</w:t>
                  </w:r>
                </w:p>
              </w:tc>
              <w:tc>
                <w:tcPr>
                  <w:tcW w:w="716" w:type="dxa"/>
                  <w:vAlign w:val="center"/>
                </w:tcPr>
                <w:p w14:paraId="26C078A0">
                  <w:pPr>
                    <w:pStyle w:val="57"/>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处理效率</w:t>
                  </w:r>
                </w:p>
              </w:tc>
              <w:tc>
                <w:tcPr>
                  <w:tcW w:w="820" w:type="dxa"/>
                  <w:shd w:val="clear" w:color="auto" w:fill="auto"/>
                  <w:vAlign w:val="center"/>
                </w:tcPr>
                <w:p w14:paraId="46E5E2FC">
                  <w:pPr>
                    <w:pStyle w:val="57"/>
                    <w:rPr>
                      <w:rFonts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olor w:val="000000" w:themeColor="text1"/>
                      <w:u w:val="none" w:color="auto"/>
                      <w14:textFill>
                        <w14:solidFill>
                          <w14:schemeClr w14:val="tx1"/>
                        </w14:solidFill>
                      </w14:textFill>
                    </w:rPr>
                    <w:t>排放量t/a</w:t>
                  </w:r>
                </w:p>
              </w:tc>
              <w:tc>
                <w:tcPr>
                  <w:tcW w:w="1140" w:type="dxa"/>
                  <w:shd w:val="clear" w:color="auto" w:fill="auto"/>
                  <w:vAlign w:val="center"/>
                </w:tcPr>
                <w:p w14:paraId="254928B0">
                  <w:pPr>
                    <w:pStyle w:val="57"/>
                    <w:rPr>
                      <w:rFonts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olor w:val="000000" w:themeColor="text1"/>
                      <w:u w:val="none" w:color="auto"/>
                      <w14:textFill>
                        <w14:solidFill>
                          <w14:schemeClr w14:val="tx1"/>
                        </w14:solidFill>
                      </w14:textFill>
                    </w:rPr>
                    <w:t>排放速率kg/h</w:t>
                  </w:r>
                </w:p>
              </w:tc>
              <w:tc>
                <w:tcPr>
                  <w:tcW w:w="895" w:type="dxa"/>
                  <w:shd w:val="clear" w:color="auto" w:fill="auto"/>
                  <w:vAlign w:val="center"/>
                </w:tcPr>
                <w:p w14:paraId="0B79F60B">
                  <w:pPr>
                    <w:pStyle w:val="57"/>
                    <w:rPr>
                      <w:rFonts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olor w:val="000000" w:themeColor="text1"/>
                      <w:u w:val="none" w:color="auto"/>
                      <w14:textFill>
                        <w14:solidFill>
                          <w14:schemeClr w14:val="tx1"/>
                        </w14:solidFill>
                      </w14:textFill>
                    </w:rPr>
                    <w:t>排放浓度mg/m</w:t>
                  </w:r>
                  <w:r>
                    <w:rPr>
                      <w:rFonts w:hint="eastAsia"/>
                      <w:color w:val="000000" w:themeColor="text1"/>
                      <w:u w:val="none" w:color="auto"/>
                      <w:vertAlign w:val="superscript"/>
                      <w14:textFill>
                        <w14:solidFill>
                          <w14:schemeClr w14:val="tx1"/>
                        </w14:solidFill>
                      </w14:textFill>
                    </w:rPr>
                    <w:t>3</w:t>
                  </w:r>
                </w:p>
              </w:tc>
            </w:tr>
            <w:tr w14:paraId="2A08F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8" w:type="dxa"/>
                  <w:vAlign w:val="center"/>
                </w:tcPr>
                <w:p w14:paraId="3D584B19">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烟气量</w:t>
                  </w:r>
                </w:p>
              </w:tc>
              <w:tc>
                <w:tcPr>
                  <w:tcW w:w="2584" w:type="dxa"/>
                  <w:gridSpan w:val="3"/>
                  <w:vAlign w:val="center"/>
                </w:tcPr>
                <w:p w14:paraId="7F45DC43">
                  <w:pPr>
                    <w:pStyle w:val="57"/>
                    <w:rPr>
                      <w:color w:val="000000" w:themeColor="text1"/>
                      <w:u w:val="none" w:color="auto"/>
                      <w14:textFill>
                        <w14:solidFill>
                          <w14:schemeClr w14:val="tx1"/>
                        </w14:solidFill>
                      </w14:textFill>
                    </w:rPr>
                  </w:pPr>
                  <w:r>
                    <w:rPr>
                      <w:rFonts w:hint="eastAsia" w:hAnsi="宋体"/>
                      <w:color w:val="000000" w:themeColor="text1"/>
                      <w:u w:val="none" w:color="auto"/>
                      <w:lang w:val="en-US" w:eastAsia="zh-CN"/>
                      <w14:textFill>
                        <w14:solidFill>
                          <w14:schemeClr w14:val="tx1"/>
                        </w14:solidFill>
                      </w14:textFill>
                    </w:rPr>
                    <w:t>2852500</w:t>
                  </w:r>
                  <w:r>
                    <w:rPr>
                      <w:rFonts w:hint="eastAsia" w:hAnsi="宋体"/>
                      <w:color w:val="000000" w:themeColor="text1"/>
                      <w:u w:val="none" w:color="auto"/>
                      <w14:textFill>
                        <w14:solidFill>
                          <w14:schemeClr w14:val="tx1"/>
                        </w14:solidFill>
                      </w14:textFill>
                    </w:rPr>
                    <w:t>Nm</w:t>
                  </w:r>
                  <w:r>
                    <w:rPr>
                      <w:rFonts w:hint="eastAsia" w:hAnsi="宋体"/>
                      <w:color w:val="000000" w:themeColor="text1"/>
                      <w:u w:val="none" w:color="auto"/>
                      <w:vertAlign w:val="superscript"/>
                      <w14:textFill>
                        <w14:solidFill>
                          <w14:schemeClr w14:val="tx1"/>
                        </w14:solidFill>
                      </w14:textFill>
                    </w:rPr>
                    <w:t>3</w:t>
                  </w:r>
                  <w:r>
                    <w:rPr>
                      <w:rFonts w:hint="eastAsia" w:hAnsi="宋体"/>
                      <w:color w:val="000000" w:themeColor="text1"/>
                      <w:u w:val="none" w:color="auto"/>
                      <w14:textFill>
                        <w14:solidFill>
                          <w14:schemeClr w14:val="tx1"/>
                        </w14:solidFill>
                      </w14:textFill>
                    </w:rPr>
                    <w:t>/a，</w:t>
                  </w:r>
                  <w:r>
                    <w:rPr>
                      <w:rFonts w:hint="eastAsia" w:hAnsi="宋体"/>
                      <w:color w:val="000000" w:themeColor="text1"/>
                      <w:u w:val="none" w:color="auto"/>
                      <w:lang w:val="en-US" w:eastAsia="zh-CN"/>
                      <w14:textFill>
                        <w14:solidFill>
                          <w14:schemeClr w14:val="tx1"/>
                        </w14:solidFill>
                      </w14:textFill>
                    </w:rPr>
                    <w:t>3566</w:t>
                  </w:r>
                  <w:r>
                    <w:rPr>
                      <w:rFonts w:hint="eastAsia" w:hAnsi="宋体"/>
                      <w:color w:val="000000" w:themeColor="text1"/>
                      <w:u w:val="none" w:color="auto"/>
                      <w14:textFill>
                        <w14:solidFill>
                          <w14:schemeClr w14:val="tx1"/>
                        </w14:solidFill>
                      </w14:textFill>
                    </w:rPr>
                    <w:t>Nm</w:t>
                  </w:r>
                  <w:r>
                    <w:rPr>
                      <w:rFonts w:hint="eastAsia" w:hAnsi="宋体"/>
                      <w:color w:val="000000" w:themeColor="text1"/>
                      <w:u w:val="none" w:color="auto"/>
                      <w:vertAlign w:val="superscript"/>
                      <w14:textFill>
                        <w14:solidFill>
                          <w14:schemeClr w14:val="tx1"/>
                        </w14:solidFill>
                      </w14:textFill>
                    </w:rPr>
                    <w:t>3</w:t>
                  </w:r>
                  <w:r>
                    <w:rPr>
                      <w:rFonts w:hint="eastAsia" w:hAnsi="宋体"/>
                      <w:color w:val="000000" w:themeColor="text1"/>
                      <w:u w:val="none" w:color="auto"/>
                      <w14:textFill>
                        <w14:solidFill>
                          <w14:schemeClr w14:val="tx1"/>
                        </w14:solidFill>
                      </w14:textFill>
                    </w:rPr>
                    <w:t>/h</w:t>
                  </w:r>
                </w:p>
              </w:tc>
              <w:tc>
                <w:tcPr>
                  <w:tcW w:w="854" w:type="dxa"/>
                  <w:vAlign w:val="center"/>
                </w:tcPr>
                <w:p w14:paraId="362002E8">
                  <w:pPr>
                    <w:pStyle w:val="57"/>
                    <w:rPr>
                      <w:rFonts w:hint="eastAsia"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w:t>
                  </w:r>
                </w:p>
              </w:tc>
              <w:tc>
                <w:tcPr>
                  <w:tcW w:w="716" w:type="dxa"/>
                  <w:vAlign w:val="center"/>
                </w:tcPr>
                <w:p w14:paraId="151A6D8D">
                  <w:pPr>
                    <w:pStyle w:val="57"/>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w:t>
                  </w:r>
                </w:p>
              </w:tc>
              <w:tc>
                <w:tcPr>
                  <w:tcW w:w="2855" w:type="dxa"/>
                  <w:gridSpan w:val="3"/>
                  <w:vAlign w:val="center"/>
                </w:tcPr>
                <w:p w14:paraId="508FDE89">
                  <w:pPr>
                    <w:pStyle w:val="57"/>
                    <w:rPr>
                      <w:color w:val="000000" w:themeColor="text1"/>
                      <w:u w:val="none" w:color="auto"/>
                      <w14:textFill>
                        <w14:solidFill>
                          <w14:schemeClr w14:val="tx1"/>
                        </w14:solidFill>
                      </w14:textFill>
                    </w:rPr>
                  </w:pPr>
                  <w:r>
                    <w:rPr>
                      <w:rFonts w:hint="eastAsia" w:hAnsi="宋体"/>
                      <w:color w:val="000000" w:themeColor="text1"/>
                      <w:u w:val="none" w:color="auto"/>
                      <w:lang w:val="en-US" w:eastAsia="zh-CN"/>
                      <w14:textFill>
                        <w14:solidFill>
                          <w14:schemeClr w14:val="tx1"/>
                        </w14:solidFill>
                      </w14:textFill>
                    </w:rPr>
                    <w:t>2852500</w:t>
                  </w:r>
                  <w:r>
                    <w:rPr>
                      <w:rFonts w:hint="eastAsia" w:hAnsi="宋体"/>
                      <w:color w:val="000000" w:themeColor="text1"/>
                      <w:u w:val="none" w:color="auto"/>
                      <w14:textFill>
                        <w14:solidFill>
                          <w14:schemeClr w14:val="tx1"/>
                        </w14:solidFill>
                      </w14:textFill>
                    </w:rPr>
                    <w:t>Nm</w:t>
                  </w:r>
                  <w:r>
                    <w:rPr>
                      <w:rFonts w:hint="eastAsia" w:hAnsi="宋体"/>
                      <w:color w:val="000000" w:themeColor="text1"/>
                      <w:u w:val="none" w:color="auto"/>
                      <w:vertAlign w:val="superscript"/>
                      <w14:textFill>
                        <w14:solidFill>
                          <w14:schemeClr w14:val="tx1"/>
                        </w14:solidFill>
                      </w14:textFill>
                    </w:rPr>
                    <w:t>3</w:t>
                  </w:r>
                  <w:r>
                    <w:rPr>
                      <w:rFonts w:hint="eastAsia" w:hAnsi="宋体"/>
                      <w:color w:val="000000" w:themeColor="text1"/>
                      <w:u w:val="none" w:color="auto"/>
                      <w14:textFill>
                        <w14:solidFill>
                          <w14:schemeClr w14:val="tx1"/>
                        </w14:solidFill>
                      </w14:textFill>
                    </w:rPr>
                    <w:t>/a，</w:t>
                  </w:r>
                  <w:r>
                    <w:rPr>
                      <w:rFonts w:hint="eastAsia" w:hAnsi="宋体"/>
                      <w:color w:val="000000" w:themeColor="text1"/>
                      <w:u w:val="none" w:color="auto"/>
                      <w:lang w:val="en-US" w:eastAsia="zh-CN"/>
                      <w14:textFill>
                        <w14:solidFill>
                          <w14:schemeClr w14:val="tx1"/>
                        </w14:solidFill>
                      </w14:textFill>
                    </w:rPr>
                    <w:t>3566</w:t>
                  </w:r>
                  <w:r>
                    <w:rPr>
                      <w:rFonts w:hint="eastAsia" w:hAnsi="宋体"/>
                      <w:color w:val="000000" w:themeColor="text1"/>
                      <w:u w:val="none" w:color="auto"/>
                      <w14:textFill>
                        <w14:solidFill>
                          <w14:schemeClr w14:val="tx1"/>
                        </w14:solidFill>
                      </w14:textFill>
                    </w:rPr>
                    <w:t>Nm</w:t>
                  </w:r>
                  <w:r>
                    <w:rPr>
                      <w:rFonts w:hint="eastAsia" w:hAnsi="宋体"/>
                      <w:color w:val="000000" w:themeColor="text1"/>
                      <w:u w:val="none" w:color="auto"/>
                      <w:vertAlign w:val="superscript"/>
                      <w14:textFill>
                        <w14:solidFill>
                          <w14:schemeClr w14:val="tx1"/>
                        </w14:solidFill>
                      </w14:textFill>
                    </w:rPr>
                    <w:t>3</w:t>
                  </w:r>
                  <w:r>
                    <w:rPr>
                      <w:rFonts w:hint="eastAsia" w:hAnsi="宋体"/>
                      <w:color w:val="000000" w:themeColor="text1"/>
                      <w:u w:val="none" w:color="auto"/>
                      <w14:textFill>
                        <w14:solidFill>
                          <w14:schemeClr w14:val="tx1"/>
                        </w14:solidFill>
                      </w14:textFill>
                    </w:rPr>
                    <w:t>/h</w:t>
                  </w:r>
                </w:p>
              </w:tc>
            </w:tr>
            <w:tr w14:paraId="028CD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8" w:type="dxa"/>
                  <w:vAlign w:val="center"/>
                </w:tcPr>
                <w:p w14:paraId="362A55C6">
                  <w:pPr>
                    <w:pStyle w:val="57"/>
                    <w:rPr>
                      <w:rFonts w:hint="default" w:ascii="Times New Roman" w:hAnsi="Times New Roman" w:cs="Times New Roman"/>
                      <w:color w:val="000000" w:themeColor="text1"/>
                      <w:u w:val="none" w:color="auto"/>
                      <w14:textFill>
                        <w14:solidFill>
                          <w14:schemeClr w14:val="tx1"/>
                        </w14:solidFill>
                      </w14:textFill>
                    </w:rPr>
                  </w:pPr>
                  <w:r>
                    <w:rPr>
                      <w:rFonts w:hint="default" w:ascii="Times New Roman" w:hAnsi="Times New Roman" w:cs="Times New Roman"/>
                      <w:color w:val="000000" w:themeColor="text1"/>
                      <w:u w:val="none" w:color="auto"/>
                      <w14:textFill>
                        <w14:solidFill>
                          <w14:schemeClr w14:val="tx1"/>
                        </w14:solidFill>
                      </w14:textFill>
                    </w:rPr>
                    <w:t>SO</w:t>
                  </w:r>
                  <w:r>
                    <w:rPr>
                      <w:rFonts w:hint="default" w:ascii="Times New Roman" w:hAnsi="Times New Roman" w:cs="Times New Roman"/>
                      <w:color w:val="000000" w:themeColor="text1"/>
                      <w:u w:val="none" w:color="auto"/>
                      <w:vertAlign w:val="subscript"/>
                      <w14:textFill>
                        <w14:solidFill>
                          <w14:schemeClr w14:val="tx1"/>
                        </w14:solidFill>
                      </w14:textFill>
                    </w:rPr>
                    <w:t>2</w:t>
                  </w:r>
                </w:p>
              </w:tc>
              <w:tc>
                <w:tcPr>
                  <w:tcW w:w="807" w:type="dxa"/>
                  <w:vAlign w:val="center"/>
                </w:tcPr>
                <w:p w14:paraId="11295311">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0.298</w:t>
                  </w:r>
                </w:p>
              </w:tc>
              <w:tc>
                <w:tcPr>
                  <w:tcW w:w="877" w:type="dxa"/>
                  <w:vAlign w:val="center"/>
                </w:tcPr>
                <w:p w14:paraId="7964673F">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0.373</w:t>
                  </w:r>
                </w:p>
              </w:tc>
              <w:tc>
                <w:tcPr>
                  <w:tcW w:w="900" w:type="dxa"/>
                  <w:vAlign w:val="center"/>
                </w:tcPr>
                <w:p w14:paraId="1BD9E54F">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104.60</w:t>
                  </w:r>
                </w:p>
              </w:tc>
              <w:tc>
                <w:tcPr>
                  <w:tcW w:w="854" w:type="dxa"/>
                  <w:vAlign w:val="center"/>
                </w:tcPr>
                <w:p w14:paraId="113EC046">
                  <w:pPr>
                    <w:pStyle w:val="57"/>
                    <w:rPr>
                      <w:rFonts w:hint="eastAsia"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w:t>
                  </w:r>
                </w:p>
              </w:tc>
              <w:tc>
                <w:tcPr>
                  <w:tcW w:w="716" w:type="dxa"/>
                  <w:vAlign w:val="center"/>
                </w:tcPr>
                <w:p w14:paraId="625AABE4">
                  <w:pPr>
                    <w:pStyle w:val="57"/>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w:t>
                  </w:r>
                </w:p>
              </w:tc>
              <w:tc>
                <w:tcPr>
                  <w:tcW w:w="820" w:type="dxa"/>
                  <w:shd w:val="clear" w:color="auto" w:fill="auto"/>
                  <w:vAlign w:val="center"/>
                </w:tcPr>
                <w:p w14:paraId="48674A3F">
                  <w:pPr>
                    <w:pStyle w:val="5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0.298</w:t>
                  </w:r>
                </w:p>
              </w:tc>
              <w:tc>
                <w:tcPr>
                  <w:tcW w:w="1140" w:type="dxa"/>
                  <w:shd w:val="clear" w:color="auto" w:fill="auto"/>
                  <w:vAlign w:val="center"/>
                </w:tcPr>
                <w:p w14:paraId="09F7EAF1">
                  <w:pPr>
                    <w:pStyle w:val="5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0.373</w:t>
                  </w:r>
                </w:p>
              </w:tc>
              <w:tc>
                <w:tcPr>
                  <w:tcW w:w="895" w:type="dxa"/>
                  <w:shd w:val="clear" w:color="auto" w:fill="auto"/>
                  <w:vAlign w:val="center"/>
                </w:tcPr>
                <w:p w14:paraId="7B66EDD5">
                  <w:pPr>
                    <w:pStyle w:val="5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104.60</w:t>
                  </w:r>
                </w:p>
              </w:tc>
            </w:tr>
            <w:tr w14:paraId="43D60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8" w:type="dxa"/>
                  <w:vAlign w:val="center"/>
                </w:tcPr>
                <w:p w14:paraId="70FE5944">
                  <w:pPr>
                    <w:pStyle w:val="57"/>
                    <w:rPr>
                      <w:rFonts w:hint="default" w:ascii="Times New Roman" w:hAnsi="Times New Roman" w:cs="Times New Roman"/>
                      <w:color w:val="000000" w:themeColor="text1"/>
                      <w:u w:val="none" w:color="auto"/>
                      <w14:textFill>
                        <w14:solidFill>
                          <w14:schemeClr w14:val="tx1"/>
                        </w14:solidFill>
                      </w14:textFill>
                    </w:rPr>
                  </w:pPr>
                  <w:r>
                    <w:rPr>
                      <w:rFonts w:hint="default" w:ascii="Times New Roman" w:hAnsi="Times New Roman" w:cs="Times New Roman"/>
                      <w:color w:val="000000" w:themeColor="text1"/>
                      <w:u w:val="none" w:color="auto"/>
                      <w14:textFill>
                        <w14:solidFill>
                          <w14:schemeClr w14:val="tx1"/>
                        </w14:solidFill>
                      </w14:textFill>
                    </w:rPr>
                    <w:t>NO</w:t>
                  </w:r>
                  <w:r>
                    <w:rPr>
                      <w:rFonts w:hint="default" w:ascii="Times New Roman" w:hAnsi="Times New Roman" w:cs="Times New Roman"/>
                      <w:color w:val="000000" w:themeColor="text1"/>
                      <w:u w:val="none" w:color="auto"/>
                      <w:vertAlign w:val="subscript"/>
                      <w14:textFill>
                        <w14:solidFill>
                          <w14:schemeClr w14:val="tx1"/>
                        </w14:solidFill>
                      </w14:textFill>
                    </w:rPr>
                    <w:t>x</w:t>
                  </w:r>
                </w:p>
              </w:tc>
              <w:tc>
                <w:tcPr>
                  <w:tcW w:w="807" w:type="dxa"/>
                  <w:vAlign w:val="center"/>
                </w:tcPr>
                <w:p w14:paraId="68B36E87">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0.357</w:t>
                  </w:r>
                </w:p>
              </w:tc>
              <w:tc>
                <w:tcPr>
                  <w:tcW w:w="877" w:type="dxa"/>
                  <w:vAlign w:val="center"/>
                </w:tcPr>
                <w:p w14:paraId="46A4264E">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0.446</w:t>
                  </w:r>
                </w:p>
              </w:tc>
              <w:tc>
                <w:tcPr>
                  <w:tcW w:w="900" w:type="dxa"/>
                  <w:vAlign w:val="center"/>
                </w:tcPr>
                <w:p w14:paraId="225E6271">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125.07</w:t>
                  </w:r>
                </w:p>
              </w:tc>
              <w:tc>
                <w:tcPr>
                  <w:tcW w:w="854" w:type="dxa"/>
                  <w:vAlign w:val="center"/>
                </w:tcPr>
                <w:p w14:paraId="19F3564E">
                  <w:pPr>
                    <w:pStyle w:val="57"/>
                    <w:rPr>
                      <w:rFonts w:hint="eastAsia" w:eastAsia="宋体"/>
                      <w:color w:val="000000" w:themeColor="text1"/>
                      <w:u w:val="none" w:color="auto"/>
                      <w:lang w:val="en-US" w:eastAsia="zh-CN"/>
                      <w14:textFill>
                        <w14:solidFill>
                          <w14:schemeClr w14:val="tx1"/>
                        </w14:solidFill>
                      </w14:textFill>
                    </w:rPr>
                  </w:pPr>
                  <w:r>
                    <w:rPr>
                      <w:rFonts w:hint="eastAsia"/>
                      <w:color w:val="000000" w:themeColor="text1"/>
                      <w14:textFill>
                        <w14:solidFill>
                          <w14:schemeClr w14:val="tx1"/>
                        </w14:solidFill>
                      </w14:textFill>
                    </w:rPr>
                    <w:t>SNCR脱硝</w:t>
                  </w:r>
                </w:p>
              </w:tc>
              <w:tc>
                <w:tcPr>
                  <w:tcW w:w="716" w:type="dxa"/>
                  <w:vAlign w:val="center"/>
                </w:tcPr>
                <w:p w14:paraId="1E158BD9">
                  <w:pPr>
                    <w:pStyle w:val="57"/>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22</w:t>
                  </w:r>
                  <w:r>
                    <w:rPr>
                      <w:rFonts w:hint="eastAsia" w:hAnsi="宋体"/>
                      <w:color w:val="000000" w:themeColor="text1"/>
                      <w:u w:val="none" w:color="auto"/>
                      <w:lang w:val="en-US" w:eastAsia="zh-CN"/>
                      <w14:textFill>
                        <w14:solidFill>
                          <w14:schemeClr w14:val="tx1"/>
                        </w14:solidFill>
                      </w14:textFill>
                    </w:rPr>
                    <w:t>%</w:t>
                  </w:r>
                </w:p>
              </w:tc>
              <w:tc>
                <w:tcPr>
                  <w:tcW w:w="820" w:type="dxa"/>
                  <w:shd w:val="clear" w:color="auto" w:fill="auto"/>
                  <w:vAlign w:val="center"/>
                </w:tcPr>
                <w:p w14:paraId="663EBE47">
                  <w:pPr>
                    <w:pStyle w:val="5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stheme="minorBidi"/>
                      <w:color w:val="000000" w:themeColor="text1"/>
                      <w:kern w:val="2"/>
                      <w:sz w:val="21"/>
                      <w:szCs w:val="32"/>
                      <w:u w:val="none" w:color="auto"/>
                      <w:lang w:val="en-US" w:eastAsia="zh-CN" w:bidi="ar-SA"/>
                      <w14:textFill>
                        <w14:solidFill>
                          <w14:schemeClr w14:val="tx1"/>
                        </w14:solidFill>
                      </w14:textFill>
                    </w:rPr>
                    <w:t>0.278</w:t>
                  </w:r>
                </w:p>
              </w:tc>
              <w:tc>
                <w:tcPr>
                  <w:tcW w:w="1140" w:type="dxa"/>
                  <w:shd w:val="clear" w:color="auto" w:fill="auto"/>
                  <w:vAlign w:val="center"/>
                </w:tcPr>
                <w:p w14:paraId="4629B982">
                  <w:pPr>
                    <w:pStyle w:val="5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stheme="minorBidi"/>
                      <w:color w:val="000000" w:themeColor="text1"/>
                      <w:kern w:val="2"/>
                      <w:sz w:val="21"/>
                      <w:szCs w:val="32"/>
                      <w:u w:val="none" w:color="auto"/>
                      <w:lang w:val="en-US" w:eastAsia="zh-CN" w:bidi="ar-SA"/>
                      <w14:textFill>
                        <w14:solidFill>
                          <w14:schemeClr w14:val="tx1"/>
                        </w14:solidFill>
                      </w14:textFill>
                    </w:rPr>
                    <w:t>0.348</w:t>
                  </w:r>
                </w:p>
              </w:tc>
              <w:tc>
                <w:tcPr>
                  <w:tcW w:w="895" w:type="dxa"/>
                  <w:shd w:val="clear" w:color="auto" w:fill="auto"/>
                  <w:vAlign w:val="center"/>
                </w:tcPr>
                <w:p w14:paraId="47BFE28F">
                  <w:pPr>
                    <w:pStyle w:val="5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stheme="minorBidi"/>
                      <w:color w:val="000000" w:themeColor="text1"/>
                      <w:kern w:val="2"/>
                      <w:sz w:val="21"/>
                      <w:szCs w:val="32"/>
                      <w:u w:val="none" w:color="auto"/>
                      <w:lang w:val="en-US" w:eastAsia="zh-CN" w:bidi="ar-SA"/>
                      <w14:textFill>
                        <w14:solidFill>
                          <w14:schemeClr w14:val="tx1"/>
                        </w14:solidFill>
                      </w14:textFill>
                    </w:rPr>
                    <w:t>97.59</w:t>
                  </w:r>
                </w:p>
              </w:tc>
            </w:tr>
            <w:tr w14:paraId="033AC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8" w:type="dxa"/>
                  <w:vAlign w:val="center"/>
                </w:tcPr>
                <w:p w14:paraId="0507A7FE">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颗粒物</w:t>
                  </w:r>
                </w:p>
              </w:tc>
              <w:tc>
                <w:tcPr>
                  <w:tcW w:w="807" w:type="dxa"/>
                  <w:vAlign w:val="center"/>
                </w:tcPr>
                <w:p w14:paraId="11C470DA">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0.175</w:t>
                  </w:r>
                </w:p>
              </w:tc>
              <w:tc>
                <w:tcPr>
                  <w:tcW w:w="877" w:type="dxa"/>
                  <w:vAlign w:val="center"/>
                </w:tcPr>
                <w:p w14:paraId="382A09CD">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0.219</w:t>
                  </w:r>
                </w:p>
              </w:tc>
              <w:tc>
                <w:tcPr>
                  <w:tcW w:w="900" w:type="dxa"/>
                  <w:vAlign w:val="center"/>
                </w:tcPr>
                <w:p w14:paraId="3FC6D690">
                  <w:pPr>
                    <w:pStyle w:val="57"/>
                    <w:rPr>
                      <w:rFonts w:hint="default" w:hAnsi="宋体"/>
                      <w:color w:val="000000" w:themeColor="text1"/>
                      <w:u w:val="none" w:color="auto"/>
                      <w:lang w:val="en-US" w:eastAsia="zh-CN"/>
                      <w14:textFill>
                        <w14:solidFill>
                          <w14:schemeClr w14:val="tx1"/>
                        </w14:solidFill>
                      </w14:textFill>
                    </w:rPr>
                  </w:pPr>
                  <w:r>
                    <w:rPr>
                      <w:rFonts w:hint="eastAsia" w:hAnsi="宋体"/>
                      <w:color w:val="000000" w:themeColor="text1"/>
                      <w:u w:val="none" w:color="auto"/>
                      <w:lang w:val="en-US" w:eastAsia="zh-CN"/>
                      <w14:textFill>
                        <w14:solidFill>
                          <w14:schemeClr w14:val="tx1"/>
                        </w14:solidFill>
                      </w14:textFill>
                    </w:rPr>
                    <w:t>61.41</w:t>
                  </w:r>
                </w:p>
              </w:tc>
              <w:tc>
                <w:tcPr>
                  <w:tcW w:w="854" w:type="dxa"/>
                  <w:vAlign w:val="center"/>
                </w:tcPr>
                <w:p w14:paraId="4A222B07">
                  <w:pPr>
                    <w:pStyle w:val="57"/>
                    <w:rPr>
                      <w:rFonts w:hint="default" w:hAnsi="宋体"/>
                      <w:color w:val="000000" w:themeColor="text1"/>
                      <w:u w:val="none" w:color="auto"/>
                      <w:lang w:val="en-US" w:eastAsia="zh-CN"/>
                      <w14:textFill>
                        <w14:solidFill>
                          <w14:schemeClr w14:val="tx1"/>
                        </w14:solidFill>
                      </w14:textFill>
                    </w:rPr>
                  </w:pPr>
                  <w:r>
                    <w:rPr>
                      <w:rFonts w:hint="eastAsia" w:hAnsi="宋体"/>
                      <w:color w:val="000000" w:themeColor="text1"/>
                      <w:u w:val="none" w:color="auto"/>
                      <w:lang w:val="en-US" w:eastAsia="zh-CN"/>
                      <w14:textFill>
                        <w14:solidFill>
                          <w14:schemeClr w14:val="tx1"/>
                        </w14:solidFill>
                      </w14:textFill>
                    </w:rPr>
                    <w:t>旋风除尘+袋式除尘+水膜除尘</w:t>
                  </w:r>
                </w:p>
              </w:tc>
              <w:tc>
                <w:tcPr>
                  <w:tcW w:w="716" w:type="dxa"/>
                  <w:vAlign w:val="center"/>
                </w:tcPr>
                <w:p w14:paraId="79B7BB0D">
                  <w:pPr>
                    <w:pStyle w:val="57"/>
                    <w:rPr>
                      <w:rFonts w:hint="default" w:hAnsi="宋体"/>
                      <w:color w:val="000000" w:themeColor="text1"/>
                      <w:u w:val="none" w:color="auto"/>
                      <w:lang w:val="en-US" w:eastAsia="zh-CN"/>
                      <w14:textFill>
                        <w14:solidFill>
                          <w14:schemeClr w14:val="tx1"/>
                        </w14:solidFill>
                      </w14:textFill>
                    </w:rPr>
                  </w:pPr>
                  <w:r>
                    <w:rPr>
                      <w:rFonts w:hint="eastAsia" w:hAnsi="宋体"/>
                      <w:color w:val="000000" w:themeColor="text1"/>
                      <w:u w:val="none" w:color="auto"/>
                      <w:lang w:val="en-US" w:eastAsia="zh-CN"/>
                      <w14:textFill>
                        <w14:solidFill>
                          <w14:schemeClr w14:val="tx1"/>
                        </w14:solidFill>
                      </w14:textFill>
                    </w:rPr>
                    <w:t>99%</w:t>
                  </w:r>
                </w:p>
              </w:tc>
              <w:tc>
                <w:tcPr>
                  <w:tcW w:w="820" w:type="dxa"/>
                  <w:shd w:val="clear" w:color="auto" w:fill="auto"/>
                  <w:vAlign w:val="center"/>
                </w:tcPr>
                <w:p w14:paraId="4A47C9E9">
                  <w:pPr>
                    <w:pStyle w:val="5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stheme="minorBidi"/>
                      <w:color w:val="000000" w:themeColor="text1"/>
                      <w:kern w:val="2"/>
                      <w:sz w:val="21"/>
                      <w:szCs w:val="32"/>
                      <w:u w:val="none" w:color="auto"/>
                      <w:lang w:val="en-US" w:eastAsia="zh-CN" w:bidi="ar-SA"/>
                      <w14:textFill>
                        <w14:solidFill>
                          <w14:schemeClr w14:val="tx1"/>
                        </w14:solidFill>
                      </w14:textFill>
                    </w:rPr>
                    <w:t>0.002</w:t>
                  </w:r>
                </w:p>
              </w:tc>
              <w:tc>
                <w:tcPr>
                  <w:tcW w:w="1140" w:type="dxa"/>
                  <w:shd w:val="clear" w:color="auto" w:fill="auto"/>
                  <w:vAlign w:val="center"/>
                </w:tcPr>
                <w:p w14:paraId="042AE4BB">
                  <w:pPr>
                    <w:pStyle w:val="5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stheme="minorBidi"/>
                      <w:color w:val="000000" w:themeColor="text1"/>
                      <w:kern w:val="2"/>
                      <w:sz w:val="21"/>
                      <w:szCs w:val="32"/>
                      <w:u w:val="none" w:color="auto"/>
                      <w:lang w:val="en-US" w:eastAsia="zh-CN" w:bidi="ar-SA"/>
                      <w14:textFill>
                        <w14:solidFill>
                          <w14:schemeClr w14:val="tx1"/>
                        </w14:solidFill>
                      </w14:textFill>
                    </w:rPr>
                    <w:t>0.003</w:t>
                  </w:r>
                </w:p>
              </w:tc>
              <w:tc>
                <w:tcPr>
                  <w:tcW w:w="895" w:type="dxa"/>
                  <w:shd w:val="clear" w:color="auto" w:fill="auto"/>
                  <w:vAlign w:val="center"/>
                </w:tcPr>
                <w:p w14:paraId="37B1C977">
                  <w:pPr>
                    <w:pStyle w:val="5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stheme="minorBidi"/>
                      <w:color w:val="000000" w:themeColor="text1"/>
                      <w:kern w:val="2"/>
                      <w:sz w:val="21"/>
                      <w:szCs w:val="32"/>
                      <w:u w:val="none" w:color="auto"/>
                      <w:lang w:val="en-US" w:eastAsia="zh-CN" w:bidi="ar-SA"/>
                      <w14:textFill>
                        <w14:solidFill>
                          <w14:schemeClr w14:val="tx1"/>
                        </w14:solidFill>
                      </w14:textFill>
                    </w:rPr>
                    <w:t>0.84</w:t>
                  </w:r>
                </w:p>
              </w:tc>
            </w:tr>
          </w:tbl>
          <w:p w14:paraId="3DB85A26">
            <w:pPr>
              <w:pStyle w:val="35"/>
              <w:ind w:firstLine="480"/>
              <w:rPr>
                <w:rFonts w:hint="eastAsia"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根据上表分析，项目锅炉烟气末端采用“SNCR脱硝+旋风除尘+袋式除尘</w:t>
            </w:r>
            <w:r>
              <w:rPr>
                <w:rFonts w:hint="eastAsia" w:cs="Times New Roman"/>
                <w:color w:val="000000" w:themeColor="text1"/>
                <w:u w:val="none" w:color="auto"/>
                <w:lang w:val="en-US" w:eastAsia="zh-CN"/>
                <w14:textFill>
                  <w14:solidFill>
                    <w14:schemeClr w14:val="tx1"/>
                  </w14:solidFill>
                </w14:textFill>
              </w:rPr>
              <w:t>+水膜除尘</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w:t>
            </w:r>
            <w:r>
              <w:rPr>
                <w:rFonts w:hint="eastAsia" w:cs="Times New Roman"/>
                <w:color w:val="000000" w:themeColor="text1"/>
                <w:u w:val="none" w:color="auto"/>
                <w:lang w:val="en-US" w:eastAsia="zh-CN"/>
                <w14:textFill>
                  <w14:solidFill>
                    <w14:schemeClr w14:val="tx1"/>
                  </w14:solidFill>
                </w14:textFill>
              </w:rPr>
              <w:t>（TA002）</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处理后通过1根30m高的排气筒（DA00</w:t>
            </w:r>
            <w:r>
              <w:rPr>
                <w:rFonts w:hint="eastAsia" w:cs="Times New Roman"/>
                <w:color w:val="000000" w:themeColor="text1"/>
                <w:u w:val="none" w:color="auto"/>
                <w:lang w:val="en-US" w:eastAsia="zh-CN"/>
                <w14:textFill>
                  <w14:solidFill>
                    <w14:schemeClr w14:val="tx1"/>
                  </w14:solidFill>
                </w14:textFill>
              </w:rPr>
              <w:t>2</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）排放，SO</w:t>
            </w:r>
            <w:r>
              <w:rPr>
                <w:rFonts w:hint="eastAsia" w:ascii="Times New Roman" w:hAnsi="Times New Roman" w:eastAsia="宋体" w:cs="Times New Roman"/>
                <w:color w:val="000000" w:themeColor="text1"/>
                <w:u w:val="none" w:color="auto"/>
                <w:vertAlign w:val="subscript"/>
                <w:lang w:val="en-US" w:eastAsia="zh-CN"/>
                <w14:textFill>
                  <w14:solidFill>
                    <w14:schemeClr w14:val="tx1"/>
                  </w14:solidFill>
                </w14:textFill>
              </w:rPr>
              <w:t>2</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、NOx、颗粒物排放浓度均能满足《锅炉大气污染物排放标准》（GB13271-2014）表3特别排放限值中燃煤锅炉标准限值要求（颗粒物浓度：30mg/m</w:t>
            </w:r>
            <w:r>
              <w:rPr>
                <w:rFonts w:hint="eastAsia" w:ascii="Times New Roman" w:hAnsi="Times New Roman" w:eastAsia="宋体" w:cs="Times New Roman"/>
                <w:color w:val="000000" w:themeColor="text1"/>
                <w:u w:val="none" w:color="auto"/>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，SO</w:t>
            </w:r>
            <w:r>
              <w:rPr>
                <w:rFonts w:hint="eastAsia" w:ascii="Times New Roman" w:hAnsi="Times New Roman" w:eastAsia="宋体" w:cs="Times New Roman"/>
                <w:color w:val="000000" w:themeColor="text1"/>
                <w:u w:val="none" w:color="auto"/>
                <w:vertAlign w:val="subscript"/>
                <w:lang w:val="en-US" w:eastAsia="zh-CN"/>
                <w14:textFill>
                  <w14:solidFill>
                    <w14:schemeClr w14:val="tx1"/>
                  </w14:solidFill>
                </w14:textFill>
              </w:rPr>
              <w:t>2</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浓度：200mg/m</w:t>
            </w:r>
            <w:r>
              <w:rPr>
                <w:rFonts w:hint="eastAsia" w:ascii="Times New Roman" w:hAnsi="Times New Roman" w:eastAsia="宋体" w:cs="Times New Roman"/>
                <w:color w:val="000000" w:themeColor="text1"/>
                <w:u w:val="none" w:color="auto"/>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，NOx浓度：200mg/m</w:t>
            </w:r>
            <w:r>
              <w:rPr>
                <w:rFonts w:hint="eastAsia" w:ascii="Times New Roman" w:hAnsi="Times New Roman" w:eastAsia="宋体" w:cs="Times New Roman"/>
                <w:color w:val="000000" w:themeColor="text1"/>
                <w:u w:val="none" w:color="auto"/>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w:t>
            </w:r>
          </w:p>
          <w:p w14:paraId="0CE656F4">
            <w:pPr>
              <w:spacing w:line="360" w:lineRule="auto"/>
              <w:ind w:firstLine="480" w:firstLineChars="200"/>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3）逃逸氨</w:t>
            </w:r>
          </w:p>
          <w:p w14:paraId="47CDC832">
            <w:pPr>
              <w:pStyle w:val="35"/>
              <w:ind w:firstLine="480"/>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SNCR工艺是在没有催化剂作用下，向炉膛中喷入还原剂尿素，还原剂迅速热解成NH</w:t>
            </w:r>
            <w:r>
              <w:rPr>
                <w:rFonts w:hint="eastAsia" w:ascii="Times New Roman" w:hAnsi="Times New Roman" w:eastAsia="宋体" w:cs="Times New Roman"/>
                <w:color w:val="000000" w:themeColor="text1"/>
                <w:kern w:val="2"/>
                <w:sz w:val="24"/>
                <w:szCs w:val="24"/>
                <w:u w:val="none" w:color="auto"/>
                <w:vertAlign w:val="subscript"/>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与烟气中NOx反应生成N</w:t>
            </w:r>
            <w:r>
              <w:rPr>
                <w:rFonts w:hint="eastAsia" w:ascii="Times New Roman" w:hAnsi="Times New Roman" w:eastAsia="宋体" w:cs="Times New Roman"/>
                <w:color w:val="000000" w:themeColor="text1"/>
                <w:kern w:val="2"/>
                <w:sz w:val="24"/>
                <w:szCs w:val="24"/>
                <w:u w:val="none" w:color="auto"/>
                <w:vertAlign w:val="subscript"/>
                <w:lang w:val="en-US" w:eastAsia="zh-CN" w:bidi="ar-SA"/>
                <w14:textFill>
                  <w14:solidFill>
                    <w14:schemeClr w14:val="tx1"/>
                  </w14:solidFill>
                </w14:textFill>
              </w:rPr>
              <w:t>2</w:t>
            </w: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，从而降低NOx排放量。技术原理是：烟气通过吸收塔入口从浆液池进入塔体，在吸收塔内，</w:t>
            </w:r>
            <w:r>
              <w:rPr>
                <w:rFonts w:hint="eastAsia" w:cs="Times New Roman"/>
                <w:color w:val="000000" w:themeColor="text1"/>
                <w:kern w:val="2"/>
                <w:sz w:val="24"/>
                <w:szCs w:val="24"/>
                <w:u w:val="none" w:color="auto"/>
                <w:lang w:val="en-US" w:eastAsia="zh-CN" w:bidi="ar-SA"/>
                <w14:textFill>
                  <w14:solidFill>
                    <w14:schemeClr w14:val="tx1"/>
                  </w14:solidFill>
                </w14:textFill>
              </w:rPr>
              <w:t>使用</w:t>
            </w: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尿素还原剂喷入炉内与NO</w:t>
            </w:r>
            <w:r>
              <w:rPr>
                <w:rFonts w:hint="eastAsia" w:ascii="Times New Roman" w:hAnsi="Times New Roman" w:eastAsia="宋体" w:cs="Times New Roman"/>
                <w:color w:val="000000" w:themeColor="text1"/>
                <w:kern w:val="2"/>
                <w:sz w:val="24"/>
                <w:szCs w:val="24"/>
                <w:u w:val="none" w:color="auto"/>
                <w:vertAlign w:val="subscript"/>
                <w:lang w:val="en-US" w:eastAsia="zh-CN" w:bidi="ar-SA"/>
                <w14:textFill>
                  <w14:solidFill>
                    <w14:schemeClr w14:val="tx1"/>
                  </w14:solidFill>
                </w14:textFill>
              </w:rPr>
              <w:t>X</w:t>
            </w: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进行选择性反应。还原剂喷入炉膛温度为800℃-1000℃的区域，还原剂迅速热分解成NH</w:t>
            </w:r>
            <w:r>
              <w:rPr>
                <w:rFonts w:hint="eastAsia" w:ascii="Times New Roman" w:hAnsi="Times New Roman" w:eastAsia="宋体" w:cs="Times New Roman"/>
                <w:color w:val="000000" w:themeColor="text1"/>
                <w:kern w:val="2"/>
                <w:sz w:val="24"/>
                <w:szCs w:val="24"/>
                <w:u w:val="none" w:color="auto"/>
                <w:vertAlign w:val="subscript"/>
                <w:lang w:val="en-US" w:eastAsia="zh-CN" w:bidi="ar-SA"/>
                <w14:textFill>
                  <w14:solidFill>
                    <w14:schemeClr w14:val="tx1"/>
                  </w14:solidFill>
                </w14:textFill>
              </w:rPr>
              <w:t>2</w:t>
            </w: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并与烟气中的NOx进行SNCR反应生成N</w:t>
            </w:r>
            <w:r>
              <w:rPr>
                <w:rFonts w:hint="eastAsia" w:ascii="Times New Roman" w:hAnsi="Times New Roman" w:eastAsia="宋体" w:cs="Times New Roman"/>
                <w:color w:val="000000" w:themeColor="text1"/>
                <w:kern w:val="2"/>
                <w:sz w:val="24"/>
                <w:szCs w:val="24"/>
                <w:u w:val="none" w:color="auto"/>
                <w:vertAlign w:val="subscript"/>
                <w:lang w:val="en-US" w:eastAsia="zh-CN" w:bidi="ar-SA"/>
                <w14:textFill>
                  <w14:solidFill>
                    <w14:schemeClr w14:val="tx1"/>
                  </w14:solidFill>
                </w14:textFill>
              </w:rPr>
              <w:t>2</w:t>
            </w: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该方法是以炉膛为反应器。SNCR法的还原反应温度范围比较小，由于炉内温度场随锅炉负荷变化而变化，对于大容量锅炉，炉膛断面尺寸大，同一炉膛断面上的温度也不均匀，因此炉膛中各处NOx浓度变化较大，要随时根据各处NOx浓度变化和温度变化调节喷入的还原剂量才能有效地还原NOx，降低其排放量。</w:t>
            </w:r>
          </w:p>
          <w:p w14:paraId="22D62AC1">
            <w:pPr>
              <w:pStyle w:val="35"/>
              <w:ind w:firstLine="480"/>
              <w:rPr>
                <w:rFonts w:hint="default"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本项目锅炉采用 SNCR 脱硝工艺，氨逃逸浓度按5mg/Nm</w:t>
            </w:r>
            <w:r>
              <w:rPr>
                <w:rFonts w:hint="default"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计，项目</w:t>
            </w:r>
            <w:r>
              <w:rPr>
                <w:rFonts w:hint="default" w:ascii="Times New Roman" w:hAnsi="Times New Roman" w:eastAsia="宋体" w:cs="Times New Roman"/>
                <w:color w:val="000000" w:themeColor="text1"/>
                <w:sz w:val="24"/>
                <w:szCs w:val="24"/>
                <w14:textFill>
                  <w14:solidFill>
                    <w14:schemeClr w14:val="tx1"/>
                  </w14:solidFill>
                </w14:textFill>
              </w:rPr>
              <w:t>锅炉烟气量为</w:t>
            </w:r>
            <w:r>
              <w:rPr>
                <w:rFonts w:hint="eastAsia" w:cs="Times New Roman"/>
                <w:color w:val="000000" w:themeColor="text1"/>
                <w:sz w:val="24"/>
                <w:szCs w:val="24"/>
                <w:lang w:val="en-US" w:eastAsia="zh-CN"/>
                <w14:textFill>
                  <w14:solidFill>
                    <w14:schemeClr w14:val="tx1"/>
                  </w14:solidFill>
                </w14:textFill>
              </w:rPr>
              <w:t>3566</w:t>
            </w:r>
            <w:r>
              <w:rPr>
                <w:rFonts w:hint="default" w:ascii="Times New Roman" w:hAnsi="Times New Roman" w:eastAsia="宋体" w:cs="Times New Roman"/>
                <w:color w:val="000000" w:themeColor="text1"/>
                <w:sz w:val="24"/>
                <w:szCs w:val="24"/>
                <w14:textFill>
                  <w14:solidFill>
                    <w14:schemeClr w14:val="tx1"/>
                  </w14:solidFill>
                </w14:textFill>
              </w:rPr>
              <w:t>Nm³/h，设备年运行800h。经计算，逃逸氨排放速率为0.</w:t>
            </w:r>
            <w:r>
              <w:rPr>
                <w:rFonts w:hint="eastAsia" w:cs="Times New Roman"/>
                <w:color w:val="000000" w:themeColor="text1"/>
                <w:sz w:val="24"/>
                <w:szCs w:val="24"/>
                <w:lang w:val="en-US" w:eastAsia="zh-CN"/>
                <w14:textFill>
                  <w14:solidFill>
                    <w14:schemeClr w14:val="tx1"/>
                  </w14:solidFill>
                </w14:textFill>
              </w:rPr>
              <w:t>018</w:t>
            </w:r>
            <w:r>
              <w:rPr>
                <w:rFonts w:hint="default" w:ascii="Times New Roman" w:hAnsi="Times New Roman" w:eastAsia="宋体" w:cs="Times New Roman"/>
                <w:color w:val="000000" w:themeColor="text1"/>
                <w:sz w:val="24"/>
                <w:szCs w:val="24"/>
                <w14:textFill>
                  <w14:solidFill>
                    <w14:schemeClr w14:val="tx1"/>
                  </w14:solidFill>
                </w14:textFill>
              </w:rPr>
              <w:t>kg/h，年排放量</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约</w:t>
            </w:r>
            <w:r>
              <w:rPr>
                <w:rFonts w:hint="default" w:ascii="Times New Roman" w:hAnsi="Times New Roman" w:eastAsia="宋体" w:cs="Times New Roman"/>
                <w:color w:val="000000" w:themeColor="text1"/>
                <w:sz w:val="24"/>
                <w:szCs w:val="24"/>
                <w14:textFill>
                  <w14:solidFill>
                    <w14:schemeClr w14:val="tx1"/>
                  </w14:solidFill>
                </w14:textFill>
              </w:rPr>
              <w:t>为0.01</w:t>
            </w:r>
            <w:r>
              <w:rPr>
                <w:rFonts w:hint="eastAsia" w:cs="Times New Roman"/>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14:textFill>
                  <w14:solidFill>
                    <w14:schemeClr w14:val="tx1"/>
                  </w14:solidFill>
                </w14:textFill>
              </w:rPr>
              <w:t>t/a。</w:t>
            </w:r>
          </w:p>
          <w:p w14:paraId="021037F1">
            <w:pPr>
              <w:pStyle w:val="34"/>
              <w:keepNext w:val="0"/>
              <w:keepLines w:val="0"/>
              <w:pageBreakBefore w:val="0"/>
              <w:widowControl w:val="0"/>
              <w:kinsoku/>
              <w:wordWrap/>
              <w:overflowPunct/>
              <w:topLinePunct w:val="0"/>
              <w:autoSpaceDE/>
              <w:autoSpaceDN/>
              <w:bidi w:val="0"/>
              <w:adjustRightInd/>
              <w:snapToGrid/>
              <w:spacing w:before="0" w:beforeLines="0"/>
              <w:textAlignment w:val="auto"/>
              <w:rPr>
                <w:rFonts w:hint="eastAsia" w:ascii="Times New Roman" w:hAnsi="Times New Roman" w:eastAsia="宋体" w:cs="Times New Roman"/>
                <w:color w:val="000000" w:themeColor="text1"/>
                <w:sz w:val="21"/>
                <w:szCs w:val="21"/>
                <w:u w:val="none" w:color="auto"/>
                <w14:textFill>
                  <w14:solidFill>
                    <w14:schemeClr w14:val="tx1"/>
                  </w14:solidFill>
                </w14:textFill>
              </w:rPr>
            </w:pPr>
            <w:r>
              <w:rPr>
                <w:rFonts w:hint="eastAsia" w:ascii="Times New Roman" w:hAnsi="Times New Roman" w:eastAsia="宋体" w:cs="Times New Roman"/>
                <w:color w:val="000000" w:themeColor="text1"/>
                <w:sz w:val="21"/>
                <w:szCs w:val="21"/>
                <w:u w:val="none" w:color="auto"/>
                <w14:textFill>
                  <w14:solidFill>
                    <w14:schemeClr w14:val="tx1"/>
                  </w14:solidFill>
                </w14:textFill>
              </w:rPr>
              <w:t>表4-2  废气污染物信息表</w:t>
            </w:r>
          </w:p>
          <w:tbl>
            <w:tblPr>
              <w:tblStyle w:val="27"/>
              <w:tblW w:w="7830"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0" w:type="dxa"/>
                <w:bottom w:w="0" w:type="dxa"/>
                <w:right w:w="0" w:type="dxa"/>
              </w:tblCellMar>
            </w:tblPr>
            <w:tblGrid>
              <w:gridCol w:w="516"/>
              <w:gridCol w:w="463"/>
              <w:gridCol w:w="614"/>
              <w:gridCol w:w="706"/>
              <w:gridCol w:w="570"/>
              <w:gridCol w:w="476"/>
              <w:gridCol w:w="549"/>
              <w:gridCol w:w="552"/>
              <w:gridCol w:w="708"/>
              <w:gridCol w:w="502"/>
              <w:gridCol w:w="709"/>
              <w:gridCol w:w="655"/>
              <w:gridCol w:w="810"/>
            </w:tblGrid>
            <w:tr w14:paraId="7023A2F1">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414" w:hRule="atLeast"/>
                <w:jc w:val="center"/>
              </w:trPr>
              <w:tc>
                <w:tcPr>
                  <w:tcW w:w="329" w:type="pct"/>
                  <w:vMerge w:val="restart"/>
                  <w:tcBorders>
                    <w:tl2br w:val="nil"/>
                    <w:tr2bl w:val="nil"/>
                  </w:tcBorders>
                  <w:noWrap w:val="0"/>
                  <w:vAlign w:val="center"/>
                </w:tcPr>
                <w:p w14:paraId="43753761">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产生部位</w:t>
                  </w:r>
                </w:p>
              </w:tc>
              <w:tc>
                <w:tcPr>
                  <w:tcW w:w="295" w:type="pct"/>
                  <w:vMerge w:val="restart"/>
                  <w:tcBorders>
                    <w:tl2br w:val="nil"/>
                    <w:tr2bl w:val="nil"/>
                  </w:tcBorders>
                  <w:noWrap w:val="0"/>
                  <w:vAlign w:val="center"/>
                </w:tcPr>
                <w:p w14:paraId="340DDCBF">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污染物</w:t>
                  </w:r>
                </w:p>
              </w:tc>
              <w:tc>
                <w:tcPr>
                  <w:tcW w:w="1206" w:type="pct"/>
                  <w:gridSpan w:val="3"/>
                  <w:vMerge w:val="restart"/>
                  <w:tcBorders>
                    <w:tl2br w:val="nil"/>
                    <w:tr2bl w:val="nil"/>
                  </w:tcBorders>
                  <w:noWrap w:val="0"/>
                  <w:vAlign w:val="center"/>
                </w:tcPr>
                <w:p w14:paraId="293F6353">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产生</w:t>
                  </w:r>
                </w:p>
              </w:tc>
              <w:tc>
                <w:tcPr>
                  <w:tcW w:w="1007" w:type="pct"/>
                  <w:gridSpan w:val="3"/>
                  <w:vMerge w:val="restart"/>
                  <w:tcBorders>
                    <w:tl2br w:val="nil"/>
                    <w:tr2bl w:val="nil"/>
                  </w:tcBorders>
                  <w:noWrap w:val="0"/>
                  <w:vAlign w:val="center"/>
                </w:tcPr>
                <w:p w14:paraId="0D548F9F">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处理情况</w:t>
                  </w:r>
                </w:p>
              </w:tc>
              <w:tc>
                <w:tcPr>
                  <w:tcW w:w="2160" w:type="pct"/>
                  <w:gridSpan w:val="5"/>
                  <w:tcBorders>
                    <w:tl2br w:val="nil"/>
                    <w:tr2bl w:val="nil"/>
                  </w:tcBorders>
                  <w:noWrap w:val="0"/>
                  <w:vAlign w:val="center"/>
                </w:tcPr>
                <w:p w14:paraId="3108389F">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排放情况</w:t>
                  </w:r>
                </w:p>
              </w:tc>
            </w:tr>
            <w:tr w14:paraId="19D86AB1">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400" w:hRule="atLeast"/>
                <w:jc w:val="center"/>
              </w:trPr>
              <w:tc>
                <w:tcPr>
                  <w:tcW w:w="329" w:type="pct"/>
                  <w:vMerge w:val="continue"/>
                  <w:tcBorders>
                    <w:tl2br w:val="nil"/>
                    <w:tr2bl w:val="nil"/>
                  </w:tcBorders>
                  <w:noWrap w:val="0"/>
                  <w:vAlign w:val="center"/>
                </w:tcPr>
                <w:p w14:paraId="529398D6">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295" w:type="pct"/>
                  <w:vMerge w:val="continue"/>
                  <w:tcBorders>
                    <w:tl2br w:val="nil"/>
                    <w:tr2bl w:val="nil"/>
                  </w:tcBorders>
                  <w:noWrap w:val="0"/>
                  <w:vAlign w:val="center"/>
                </w:tcPr>
                <w:p w14:paraId="70EBDC31">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1206" w:type="pct"/>
                  <w:gridSpan w:val="3"/>
                  <w:vMerge w:val="continue"/>
                  <w:tcBorders>
                    <w:tl2br w:val="nil"/>
                    <w:tr2bl w:val="nil"/>
                  </w:tcBorders>
                  <w:noWrap w:val="0"/>
                  <w:vAlign w:val="center"/>
                </w:tcPr>
                <w:p w14:paraId="1BD6F07F">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1007" w:type="pct"/>
                  <w:gridSpan w:val="3"/>
                  <w:vMerge w:val="continue"/>
                  <w:tcBorders>
                    <w:tl2br w:val="nil"/>
                    <w:tr2bl w:val="nil"/>
                  </w:tcBorders>
                  <w:noWrap w:val="0"/>
                  <w:vAlign w:val="center"/>
                </w:tcPr>
                <w:p w14:paraId="75B1175A">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772" w:type="pct"/>
                  <w:gridSpan w:val="2"/>
                  <w:tcBorders>
                    <w:tl2br w:val="nil"/>
                    <w:tr2bl w:val="nil"/>
                  </w:tcBorders>
                  <w:noWrap w:val="0"/>
                  <w:vAlign w:val="center"/>
                </w:tcPr>
                <w:p w14:paraId="2F8804E1">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无组织排放</w:t>
                  </w:r>
                </w:p>
              </w:tc>
              <w:tc>
                <w:tcPr>
                  <w:tcW w:w="1388" w:type="pct"/>
                  <w:gridSpan w:val="3"/>
                  <w:tcBorders>
                    <w:tl2br w:val="nil"/>
                    <w:tr2bl w:val="nil"/>
                  </w:tcBorders>
                  <w:noWrap w:val="0"/>
                  <w:vAlign w:val="center"/>
                </w:tcPr>
                <w:p w14:paraId="2B37D69F">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有组织排放</w:t>
                  </w:r>
                </w:p>
              </w:tc>
            </w:tr>
            <w:tr w14:paraId="7E55AFBE">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842" w:hRule="atLeast"/>
                <w:jc w:val="center"/>
              </w:trPr>
              <w:tc>
                <w:tcPr>
                  <w:tcW w:w="329" w:type="pct"/>
                  <w:vMerge w:val="continue"/>
                  <w:tcBorders>
                    <w:tl2br w:val="nil"/>
                    <w:tr2bl w:val="nil"/>
                  </w:tcBorders>
                  <w:noWrap w:val="0"/>
                  <w:vAlign w:val="center"/>
                </w:tcPr>
                <w:p w14:paraId="3574433B">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295" w:type="pct"/>
                  <w:vMerge w:val="continue"/>
                  <w:tcBorders>
                    <w:tl2br w:val="nil"/>
                    <w:tr2bl w:val="nil"/>
                  </w:tcBorders>
                  <w:noWrap w:val="0"/>
                  <w:vAlign w:val="center"/>
                </w:tcPr>
                <w:p w14:paraId="6D156FD2">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392" w:type="pct"/>
                  <w:tcBorders>
                    <w:tl2br w:val="nil"/>
                    <w:tr2bl w:val="nil"/>
                  </w:tcBorders>
                  <w:noWrap w:val="0"/>
                  <w:vAlign w:val="center"/>
                </w:tcPr>
                <w:p w14:paraId="65EFA91D">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浓度（mg/m³）</w:t>
                  </w:r>
                </w:p>
              </w:tc>
              <w:tc>
                <w:tcPr>
                  <w:tcW w:w="450" w:type="pct"/>
                  <w:tcBorders>
                    <w:tl2br w:val="nil"/>
                    <w:tr2bl w:val="nil"/>
                  </w:tcBorders>
                  <w:noWrap w:val="0"/>
                  <w:vAlign w:val="center"/>
                </w:tcPr>
                <w:p w14:paraId="7D1BC15C">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速率</w:t>
                  </w:r>
                </w:p>
                <w:p w14:paraId="68E8E12C">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（kg/h）</w:t>
                  </w:r>
                </w:p>
              </w:tc>
              <w:tc>
                <w:tcPr>
                  <w:tcW w:w="363" w:type="pct"/>
                  <w:tcBorders>
                    <w:tl2br w:val="nil"/>
                    <w:tr2bl w:val="nil"/>
                  </w:tcBorders>
                  <w:noWrap w:val="0"/>
                  <w:vAlign w:val="center"/>
                </w:tcPr>
                <w:p w14:paraId="5E6739B9">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产生量</w:t>
                  </w:r>
                  <w:r>
                    <w:rPr>
                      <w:rFonts w:hint="default" w:ascii="Times New Roman" w:hAnsi="Times New Roman" w:eastAsia="宋体" w:cs="Times New Roman"/>
                      <w:b w:val="0"/>
                      <w:bCs w:val="0"/>
                      <w:color w:val="000000" w:themeColor="text1"/>
                      <w:sz w:val="21"/>
                      <w:szCs w:val="21"/>
                      <w14:textFill>
                        <w14:solidFill>
                          <w14:schemeClr w14:val="tx1"/>
                        </w14:solidFill>
                      </w14:textFill>
                    </w:rPr>
                    <w:t>（t/a）</w:t>
                  </w:r>
                </w:p>
              </w:tc>
              <w:tc>
                <w:tcPr>
                  <w:tcW w:w="303" w:type="pct"/>
                  <w:tcBorders>
                    <w:tl2br w:val="nil"/>
                    <w:tr2bl w:val="nil"/>
                  </w:tcBorders>
                  <w:noWrap w:val="0"/>
                  <w:vAlign w:val="center"/>
                </w:tcPr>
                <w:p w14:paraId="6A515AF5">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处理设施</w:t>
                  </w:r>
                </w:p>
              </w:tc>
              <w:tc>
                <w:tcPr>
                  <w:tcW w:w="350" w:type="pct"/>
                  <w:tcBorders>
                    <w:tl2br w:val="nil"/>
                    <w:tr2bl w:val="nil"/>
                  </w:tcBorders>
                  <w:noWrap w:val="0"/>
                  <w:vAlign w:val="center"/>
                </w:tcPr>
                <w:p w14:paraId="51647889">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收集效率（%）</w:t>
                  </w:r>
                </w:p>
              </w:tc>
              <w:tc>
                <w:tcPr>
                  <w:tcW w:w="352" w:type="pct"/>
                  <w:tcBorders>
                    <w:tl2br w:val="nil"/>
                    <w:tr2bl w:val="nil"/>
                  </w:tcBorders>
                  <w:noWrap w:val="0"/>
                  <w:vAlign w:val="center"/>
                </w:tcPr>
                <w:p w14:paraId="4185A498">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处理效率（%）</w:t>
                  </w:r>
                </w:p>
              </w:tc>
              <w:tc>
                <w:tcPr>
                  <w:tcW w:w="452" w:type="pct"/>
                  <w:tcBorders>
                    <w:tl2br w:val="nil"/>
                    <w:tr2bl w:val="nil"/>
                  </w:tcBorders>
                  <w:noWrap w:val="0"/>
                  <w:vAlign w:val="center"/>
                </w:tcPr>
                <w:p w14:paraId="18EC904D">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速率（kg/h）</w:t>
                  </w:r>
                </w:p>
              </w:tc>
              <w:tc>
                <w:tcPr>
                  <w:tcW w:w="320" w:type="pct"/>
                  <w:tcBorders>
                    <w:tl2br w:val="nil"/>
                    <w:tr2bl w:val="nil"/>
                  </w:tcBorders>
                  <w:noWrap w:val="0"/>
                  <w:vAlign w:val="center"/>
                </w:tcPr>
                <w:p w14:paraId="68357A37">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排放</w:t>
                  </w:r>
                  <w:r>
                    <w:rPr>
                      <w:rFonts w:hint="default" w:ascii="Times New Roman" w:hAnsi="Times New Roman" w:eastAsia="宋体" w:cs="Times New Roman"/>
                      <w:b w:val="0"/>
                      <w:bCs w:val="0"/>
                      <w:color w:val="000000" w:themeColor="text1"/>
                      <w:sz w:val="21"/>
                      <w:szCs w:val="21"/>
                      <w14:textFill>
                        <w14:solidFill>
                          <w14:schemeClr w14:val="tx1"/>
                        </w14:solidFill>
                      </w14:textFill>
                    </w:rPr>
                    <w:t>量</w:t>
                  </w:r>
                </w:p>
                <w:p w14:paraId="721421A5">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（t/a）</w:t>
                  </w:r>
                </w:p>
              </w:tc>
              <w:tc>
                <w:tcPr>
                  <w:tcW w:w="452" w:type="pct"/>
                  <w:tcBorders>
                    <w:tl2br w:val="nil"/>
                    <w:tr2bl w:val="nil"/>
                  </w:tcBorders>
                  <w:noWrap w:val="0"/>
                  <w:vAlign w:val="center"/>
                </w:tcPr>
                <w:p w14:paraId="60B0FCBA">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浓度</w:t>
                  </w:r>
                </w:p>
                <w:p w14:paraId="7C7624D0">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（mg/m³）</w:t>
                  </w:r>
                </w:p>
              </w:tc>
              <w:tc>
                <w:tcPr>
                  <w:tcW w:w="418" w:type="pct"/>
                  <w:tcBorders>
                    <w:tl2br w:val="nil"/>
                    <w:tr2bl w:val="nil"/>
                  </w:tcBorders>
                  <w:noWrap w:val="0"/>
                  <w:vAlign w:val="center"/>
                </w:tcPr>
                <w:p w14:paraId="2F0D53D0">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速率</w:t>
                  </w:r>
                </w:p>
                <w:p w14:paraId="7C78EE54">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（kg/h）</w:t>
                  </w:r>
                </w:p>
              </w:tc>
              <w:tc>
                <w:tcPr>
                  <w:tcW w:w="517" w:type="pct"/>
                  <w:tcBorders>
                    <w:tl2br w:val="nil"/>
                    <w:tr2bl w:val="nil"/>
                  </w:tcBorders>
                  <w:noWrap w:val="0"/>
                  <w:vAlign w:val="center"/>
                </w:tcPr>
                <w:p w14:paraId="605A21E4">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排放</w:t>
                  </w:r>
                  <w:r>
                    <w:rPr>
                      <w:rFonts w:hint="default" w:ascii="Times New Roman" w:hAnsi="Times New Roman" w:eastAsia="宋体" w:cs="Times New Roman"/>
                      <w:b w:val="0"/>
                      <w:bCs w:val="0"/>
                      <w:color w:val="000000" w:themeColor="text1"/>
                      <w:sz w:val="21"/>
                      <w:szCs w:val="21"/>
                      <w14:textFill>
                        <w14:solidFill>
                          <w14:schemeClr w14:val="tx1"/>
                        </w14:solidFill>
                      </w14:textFill>
                    </w:rPr>
                    <w:t>量</w:t>
                  </w:r>
                </w:p>
                <w:p w14:paraId="72DFEC03">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（t/a）</w:t>
                  </w:r>
                </w:p>
              </w:tc>
            </w:tr>
            <w:tr w14:paraId="490B18F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1117" w:hRule="atLeast"/>
                <w:jc w:val="center"/>
              </w:trPr>
              <w:tc>
                <w:tcPr>
                  <w:tcW w:w="329" w:type="pct"/>
                  <w:tcBorders>
                    <w:tl2br w:val="nil"/>
                    <w:tr2bl w:val="nil"/>
                  </w:tcBorders>
                  <w:noWrap w:val="0"/>
                  <w:vAlign w:val="center"/>
                </w:tcPr>
                <w:p w14:paraId="27398416">
                  <w:pPr>
                    <w:jc w:val="center"/>
                    <w:rPr>
                      <w:rFonts w:hint="eastAsia" w:ascii="宋体" w:hAnsi="宋体" w:eastAsia="宋体" w:cs="宋体"/>
                      <w:color w:val="000000" w:themeColor="text1"/>
                      <w:u w:val="none" w:color="auto"/>
                      <w:lang w:val="en-US" w:eastAsia="zh-CN"/>
                      <w14:textFill>
                        <w14:solidFill>
                          <w14:schemeClr w14:val="tx1"/>
                        </w14:solidFill>
                      </w14:textFill>
                    </w:rPr>
                  </w:pPr>
                  <w:r>
                    <w:rPr>
                      <w:rFonts w:hint="eastAsia" w:ascii="宋体" w:hAnsi="宋体" w:eastAsia="宋体" w:cs="宋体"/>
                      <w:color w:val="000000" w:themeColor="text1"/>
                      <w:u w:val="none" w:color="auto"/>
                      <w:lang w:val="en-US" w:eastAsia="zh-CN"/>
                      <w14:textFill>
                        <w14:solidFill>
                          <w14:schemeClr w14:val="tx1"/>
                        </w14:solidFill>
                      </w14:textFill>
                    </w:rPr>
                    <w:t>断料、开片、成型工序</w:t>
                  </w:r>
                </w:p>
              </w:tc>
              <w:tc>
                <w:tcPr>
                  <w:tcW w:w="295" w:type="pct"/>
                  <w:tcBorders>
                    <w:tl2br w:val="nil"/>
                    <w:tr2bl w:val="nil"/>
                  </w:tcBorders>
                  <w:noWrap w:val="0"/>
                  <w:vAlign w:val="center"/>
                </w:tcPr>
                <w:p w14:paraId="103436D7">
                  <w:pPr>
                    <w:jc w:val="center"/>
                    <w:rPr>
                      <w:rFonts w:hint="eastAsia" w:ascii="宋体" w:hAnsi="宋体" w:eastAsia="宋体" w:cs="宋体"/>
                      <w:color w:val="000000" w:themeColor="text1"/>
                      <w:u w:val="none" w:color="auto"/>
                      <w:lang w:val="en-US" w:eastAsia="zh-CN"/>
                      <w14:textFill>
                        <w14:solidFill>
                          <w14:schemeClr w14:val="tx1"/>
                        </w14:solidFill>
                      </w14:textFill>
                    </w:rPr>
                  </w:pPr>
                  <w:r>
                    <w:rPr>
                      <w:rFonts w:hint="eastAsia" w:ascii="宋体" w:hAnsi="宋体" w:eastAsia="宋体" w:cs="宋体"/>
                      <w:color w:val="000000" w:themeColor="text1"/>
                      <w:u w:val="none" w:color="auto"/>
                      <w:lang w:val="en-US" w:eastAsia="zh-CN"/>
                      <w14:textFill>
                        <w14:solidFill>
                          <w14:schemeClr w14:val="tx1"/>
                        </w14:solidFill>
                      </w14:textFill>
                    </w:rPr>
                    <w:t>颗粒物</w:t>
                  </w:r>
                </w:p>
              </w:tc>
              <w:tc>
                <w:tcPr>
                  <w:tcW w:w="392" w:type="pct"/>
                  <w:tcBorders>
                    <w:tl2br w:val="nil"/>
                    <w:tr2bl w:val="nil"/>
                  </w:tcBorders>
                  <w:noWrap w:val="0"/>
                  <w:vAlign w:val="center"/>
                </w:tcPr>
                <w:p w14:paraId="73D8524B">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t>/</w:t>
                  </w:r>
                </w:p>
              </w:tc>
              <w:tc>
                <w:tcPr>
                  <w:tcW w:w="450" w:type="pct"/>
                  <w:tcBorders>
                    <w:tl2br w:val="nil"/>
                    <w:tr2bl w:val="nil"/>
                  </w:tcBorders>
                  <w:noWrap w:val="0"/>
                  <w:vAlign w:val="center"/>
                </w:tcPr>
                <w:p w14:paraId="06986ADE">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lang w:val="en-US" w:eastAsia="zh-CN"/>
                      <w14:textFill>
                        <w14:solidFill>
                          <w14:schemeClr w14:val="tx1"/>
                        </w14:solidFill>
                      </w14:textFill>
                    </w:rPr>
                    <w:t>0.413</w:t>
                  </w:r>
                </w:p>
              </w:tc>
              <w:tc>
                <w:tcPr>
                  <w:tcW w:w="363" w:type="pct"/>
                  <w:tcBorders>
                    <w:tl2br w:val="nil"/>
                    <w:tr2bl w:val="nil"/>
                  </w:tcBorders>
                  <w:noWrap w:val="0"/>
                  <w:vAlign w:val="center"/>
                </w:tcPr>
                <w:p w14:paraId="2A160241">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lang w:val="en-US" w:eastAsia="zh-CN"/>
                      <w14:textFill>
                        <w14:solidFill>
                          <w14:schemeClr w14:val="tx1"/>
                        </w14:solidFill>
                      </w14:textFill>
                    </w:rPr>
                    <w:t>0.528</w:t>
                  </w:r>
                </w:p>
              </w:tc>
              <w:tc>
                <w:tcPr>
                  <w:tcW w:w="303" w:type="pct"/>
                  <w:tcBorders>
                    <w:tl2br w:val="nil"/>
                    <w:tr2bl w:val="nil"/>
                  </w:tcBorders>
                  <w:noWrap w:val="0"/>
                  <w:vAlign w:val="center"/>
                </w:tcPr>
                <w:p w14:paraId="72C590E3">
                  <w:pPr>
                    <w:pStyle w:val="117"/>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洒水降尘</w:t>
                  </w:r>
                </w:p>
              </w:tc>
              <w:tc>
                <w:tcPr>
                  <w:tcW w:w="350" w:type="pct"/>
                  <w:tcBorders>
                    <w:tl2br w:val="nil"/>
                    <w:tr2bl w:val="nil"/>
                  </w:tcBorders>
                  <w:noWrap w:val="0"/>
                  <w:vAlign w:val="center"/>
                </w:tcPr>
                <w:p w14:paraId="2E6C52D4">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352" w:type="pct"/>
                  <w:tcBorders>
                    <w:tl2br w:val="nil"/>
                    <w:tr2bl w:val="nil"/>
                  </w:tcBorders>
                  <w:noWrap w:val="0"/>
                  <w:vAlign w:val="center"/>
                </w:tcPr>
                <w:p w14:paraId="5D3FADBD">
                  <w:pPr>
                    <w:pStyle w:val="117"/>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70</w:t>
                  </w:r>
                </w:p>
              </w:tc>
              <w:tc>
                <w:tcPr>
                  <w:tcW w:w="452" w:type="pct"/>
                  <w:tcBorders>
                    <w:tl2br w:val="nil"/>
                    <w:tr2bl w:val="nil"/>
                  </w:tcBorders>
                  <w:noWrap w:val="0"/>
                  <w:vAlign w:val="center"/>
                </w:tcPr>
                <w:p w14:paraId="4A332D88">
                  <w:pPr>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0.124</w:t>
                  </w:r>
                </w:p>
              </w:tc>
              <w:tc>
                <w:tcPr>
                  <w:tcW w:w="320" w:type="pct"/>
                  <w:tcBorders>
                    <w:tl2br w:val="nil"/>
                    <w:tr2bl w:val="nil"/>
                  </w:tcBorders>
                  <w:noWrap w:val="0"/>
                  <w:vAlign w:val="center"/>
                </w:tcPr>
                <w:p w14:paraId="13D4A7B2">
                  <w:pPr>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0.1584</w:t>
                  </w:r>
                </w:p>
              </w:tc>
              <w:tc>
                <w:tcPr>
                  <w:tcW w:w="452" w:type="pct"/>
                  <w:tcBorders>
                    <w:tl2br w:val="nil"/>
                    <w:tr2bl w:val="nil"/>
                  </w:tcBorders>
                  <w:noWrap w:val="0"/>
                  <w:vAlign w:val="center"/>
                </w:tcPr>
                <w:p w14:paraId="62B0B23A">
                  <w:pPr>
                    <w:pStyle w:val="117"/>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w:t>
                  </w:r>
                </w:p>
              </w:tc>
              <w:tc>
                <w:tcPr>
                  <w:tcW w:w="418" w:type="pct"/>
                  <w:tcBorders>
                    <w:tl2br w:val="nil"/>
                    <w:tr2bl w:val="nil"/>
                  </w:tcBorders>
                  <w:noWrap w:val="0"/>
                  <w:vAlign w:val="center"/>
                </w:tcPr>
                <w:p w14:paraId="60B92FD3">
                  <w:pPr>
                    <w:pStyle w:val="117"/>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w:t>
                  </w:r>
                </w:p>
              </w:tc>
              <w:tc>
                <w:tcPr>
                  <w:tcW w:w="517" w:type="pct"/>
                  <w:tcBorders>
                    <w:tl2br w:val="nil"/>
                    <w:tr2bl w:val="nil"/>
                  </w:tcBorders>
                  <w:noWrap w:val="0"/>
                  <w:vAlign w:val="center"/>
                </w:tcPr>
                <w:p w14:paraId="4024C1E8">
                  <w:pPr>
                    <w:pStyle w:val="117"/>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w:t>
                  </w:r>
                </w:p>
              </w:tc>
            </w:tr>
            <w:tr w14:paraId="1EE7648B">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1117" w:hRule="atLeast"/>
                <w:jc w:val="center"/>
              </w:trPr>
              <w:tc>
                <w:tcPr>
                  <w:tcW w:w="329" w:type="pct"/>
                  <w:tcBorders>
                    <w:tl2br w:val="nil"/>
                    <w:tr2bl w:val="nil"/>
                  </w:tcBorders>
                  <w:noWrap w:val="0"/>
                  <w:vAlign w:val="center"/>
                </w:tcPr>
                <w:p w14:paraId="61DD0961">
                  <w:pPr>
                    <w:pStyle w:val="117"/>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拉丝工序</w:t>
                  </w:r>
                </w:p>
              </w:tc>
              <w:tc>
                <w:tcPr>
                  <w:tcW w:w="295" w:type="pct"/>
                  <w:tcBorders>
                    <w:tl2br w:val="nil"/>
                    <w:tr2bl w:val="nil"/>
                  </w:tcBorders>
                  <w:noWrap w:val="0"/>
                  <w:vAlign w:val="center"/>
                </w:tcPr>
                <w:p w14:paraId="17D564E2">
                  <w:pPr>
                    <w:jc w:val="cente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颗粒物</w:t>
                  </w:r>
                </w:p>
              </w:tc>
              <w:tc>
                <w:tcPr>
                  <w:tcW w:w="392" w:type="pct"/>
                  <w:tcBorders>
                    <w:tl2br w:val="nil"/>
                    <w:tr2bl w:val="nil"/>
                  </w:tcBorders>
                  <w:noWrap w:val="0"/>
                  <w:vAlign w:val="center"/>
                </w:tcPr>
                <w:p w14:paraId="61B80AA3">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lang w:val="en-US" w:eastAsia="zh-CN"/>
                      <w14:textFill>
                        <w14:solidFill>
                          <w14:schemeClr w14:val="tx1"/>
                        </w14:solidFill>
                      </w14:textFill>
                    </w:rPr>
                    <w:t>17.25</w:t>
                  </w:r>
                </w:p>
              </w:tc>
              <w:tc>
                <w:tcPr>
                  <w:tcW w:w="450" w:type="pct"/>
                  <w:tcBorders>
                    <w:tl2br w:val="nil"/>
                    <w:tr2bl w:val="nil"/>
                  </w:tcBorders>
                  <w:noWrap w:val="0"/>
                  <w:vAlign w:val="center"/>
                </w:tcPr>
                <w:p w14:paraId="7AAB318B">
                  <w:pPr>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0.138</w:t>
                  </w:r>
                </w:p>
              </w:tc>
              <w:tc>
                <w:tcPr>
                  <w:tcW w:w="363" w:type="pct"/>
                  <w:tcBorders>
                    <w:tl2br w:val="nil"/>
                    <w:tr2bl w:val="nil"/>
                  </w:tcBorders>
                  <w:noWrap w:val="0"/>
                  <w:vAlign w:val="center"/>
                </w:tcPr>
                <w:p w14:paraId="50511682">
                  <w:pPr>
                    <w:jc w:val="center"/>
                    <w:rPr>
                      <w:rFonts w:hint="default" w:ascii="Times New Roman" w:hAnsi="Times New Roman" w:cs="Times New Roman"/>
                      <w:color w:val="000000" w:themeColor="text1"/>
                      <w:u w:val="none" w:color="auto"/>
                      <w:lang w:val="en-US" w:eastAsia="zh-CN"/>
                      <w14:textFill>
                        <w14:solidFill>
                          <w14:schemeClr w14:val="tx1"/>
                        </w14:solidFill>
                      </w14:textFill>
                    </w:rPr>
                  </w:pPr>
                  <w:r>
                    <w:rPr>
                      <w:rFonts w:hint="eastAsia" w:ascii="Times New Roman" w:hAnsi="Times New Roman" w:cs="Times New Roman"/>
                      <w:color w:val="000000" w:themeColor="text1"/>
                      <w:u w:val="none" w:color="auto"/>
                      <w:lang w:val="en-US" w:eastAsia="zh-CN"/>
                      <w14:textFill>
                        <w14:solidFill>
                          <w14:schemeClr w14:val="tx1"/>
                        </w14:solidFill>
                      </w14:textFill>
                    </w:rPr>
                    <w:t>0.176</w:t>
                  </w:r>
                </w:p>
              </w:tc>
              <w:tc>
                <w:tcPr>
                  <w:tcW w:w="303" w:type="pct"/>
                  <w:tcBorders>
                    <w:tl2br w:val="nil"/>
                    <w:tr2bl w:val="nil"/>
                  </w:tcBorders>
                  <w:noWrap w:val="0"/>
                  <w:vAlign w:val="center"/>
                </w:tcPr>
                <w:p w14:paraId="12395CD2">
                  <w:pPr>
                    <w:pStyle w:val="117"/>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布袋除尘器</w:t>
                  </w:r>
                </w:p>
              </w:tc>
              <w:tc>
                <w:tcPr>
                  <w:tcW w:w="350" w:type="pct"/>
                  <w:tcBorders>
                    <w:tl2br w:val="nil"/>
                    <w:tr2bl w:val="nil"/>
                  </w:tcBorders>
                  <w:noWrap w:val="0"/>
                  <w:vAlign w:val="center"/>
                </w:tcPr>
                <w:p w14:paraId="3D83B603">
                  <w:pPr>
                    <w:pStyle w:val="117"/>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50</w:t>
                  </w:r>
                </w:p>
              </w:tc>
              <w:tc>
                <w:tcPr>
                  <w:tcW w:w="352" w:type="pct"/>
                  <w:tcBorders>
                    <w:tl2br w:val="nil"/>
                    <w:tr2bl w:val="nil"/>
                  </w:tcBorders>
                  <w:noWrap w:val="0"/>
                  <w:vAlign w:val="center"/>
                </w:tcPr>
                <w:p w14:paraId="031FA8AA">
                  <w:pPr>
                    <w:pStyle w:val="117"/>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90</w:t>
                  </w:r>
                </w:p>
              </w:tc>
              <w:tc>
                <w:tcPr>
                  <w:tcW w:w="452" w:type="pct"/>
                  <w:tcBorders>
                    <w:tl2br w:val="nil"/>
                    <w:tr2bl w:val="nil"/>
                  </w:tcBorders>
                  <w:noWrap w:val="0"/>
                  <w:vAlign w:val="center"/>
                </w:tcPr>
                <w:p w14:paraId="716487E2">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lang w:val="en-US" w:eastAsia="zh-CN"/>
                      <w14:textFill>
                        <w14:solidFill>
                          <w14:schemeClr w14:val="tx1"/>
                        </w14:solidFill>
                      </w14:textFill>
                    </w:rPr>
                    <w:t>0.138</w:t>
                  </w:r>
                </w:p>
              </w:tc>
              <w:tc>
                <w:tcPr>
                  <w:tcW w:w="320" w:type="pct"/>
                  <w:tcBorders>
                    <w:tl2br w:val="nil"/>
                    <w:tr2bl w:val="nil"/>
                  </w:tcBorders>
                  <w:noWrap w:val="0"/>
                  <w:vAlign w:val="center"/>
                </w:tcPr>
                <w:p w14:paraId="0E77581D">
                  <w:pPr>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0.176</w:t>
                  </w:r>
                </w:p>
              </w:tc>
              <w:tc>
                <w:tcPr>
                  <w:tcW w:w="452" w:type="pct"/>
                  <w:tcBorders>
                    <w:tl2br w:val="nil"/>
                    <w:tr2bl w:val="nil"/>
                  </w:tcBorders>
                  <w:noWrap w:val="0"/>
                  <w:vAlign w:val="center"/>
                </w:tcPr>
                <w:p w14:paraId="36403441">
                  <w:pPr>
                    <w:pStyle w:val="117"/>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1.75</w:t>
                  </w:r>
                </w:p>
              </w:tc>
              <w:tc>
                <w:tcPr>
                  <w:tcW w:w="418" w:type="pct"/>
                  <w:tcBorders>
                    <w:tl2br w:val="nil"/>
                    <w:tr2bl w:val="nil"/>
                  </w:tcBorders>
                  <w:noWrap w:val="0"/>
                  <w:vAlign w:val="center"/>
                </w:tcPr>
                <w:p w14:paraId="0640A460">
                  <w:pPr>
                    <w:pStyle w:val="117"/>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0.014</w:t>
                  </w:r>
                </w:p>
              </w:tc>
              <w:tc>
                <w:tcPr>
                  <w:tcW w:w="517" w:type="pct"/>
                  <w:tcBorders>
                    <w:tl2br w:val="nil"/>
                    <w:tr2bl w:val="nil"/>
                  </w:tcBorders>
                  <w:noWrap w:val="0"/>
                  <w:vAlign w:val="center"/>
                </w:tcPr>
                <w:p w14:paraId="2E92793D">
                  <w:pPr>
                    <w:pStyle w:val="117"/>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0.0176</w:t>
                  </w:r>
                </w:p>
              </w:tc>
            </w:tr>
            <w:tr w14:paraId="5958DCC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842" w:hRule="atLeast"/>
                <w:jc w:val="center"/>
              </w:trPr>
              <w:tc>
                <w:tcPr>
                  <w:tcW w:w="329" w:type="pct"/>
                  <w:vMerge w:val="restart"/>
                  <w:tcBorders>
                    <w:tl2br w:val="nil"/>
                    <w:tr2bl w:val="nil"/>
                  </w:tcBorders>
                  <w:noWrap w:val="0"/>
                  <w:vAlign w:val="center"/>
                </w:tcPr>
                <w:p w14:paraId="34546553">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生物质锅炉</w:t>
                  </w:r>
                </w:p>
              </w:tc>
              <w:tc>
                <w:tcPr>
                  <w:tcW w:w="295" w:type="pct"/>
                  <w:tcBorders>
                    <w:tl2br w:val="nil"/>
                    <w:tr2bl w:val="nil"/>
                  </w:tcBorders>
                  <w:noWrap w:val="0"/>
                  <w:vAlign w:val="center"/>
                </w:tcPr>
                <w:p w14:paraId="3C81E945">
                  <w:pPr>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SO</w:t>
                  </w:r>
                  <w:r>
                    <w:rPr>
                      <w:rFonts w:hint="default" w:ascii="Times New Roman" w:hAnsi="Times New Roman" w:eastAsia="宋体" w:cs="Times New Roman"/>
                      <w:b w:val="0"/>
                      <w:bCs w:val="0"/>
                      <w:color w:val="000000" w:themeColor="text1"/>
                      <w:sz w:val="21"/>
                      <w:szCs w:val="21"/>
                      <w:vertAlign w:val="subscript"/>
                      <w14:textFill>
                        <w14:solidFill>
                          <w14:schemeClr w14:val="tx1"/>
                        </w14:solidFill>
                      </w14:textFill>
                    </w:rPr>
                    <w:t>2</w:t>
                  </w:r>
                </w:p>
              </w:tc>
              <w:tc>
                <w:tcPr>
                  <w:tcW w:w="392" w:type="pct"/>
                  <w:tcBorders>
                    <w:tl2br w:val="nil"/>
                    <w:tr2bl w:val="nil"/>
                  </w:tcBorders>
                  <w:noWrap w:val="0"/>
                  <w:vAlign w:val="center"/>
                </w:tcPr>
                <w:p w14:paraId="55D13ADD">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104.60</w:t>
                  </w:r>
                </w:p>
              </w:tc>
              <w:tc>
                <w:tcPr>
                  <w:tcW w:w="450" w:type="pct"/>
                  <w:tcBorders>
                    <w:tl2br w:val="nil"/>
                    <w:tr2bl w:val="nil"/>
                  </w:tcBorders>
                  <w:noWrap w:val="0"/>
                  <w:vAlign w:val="center"/>
                </w:tcPr>
                <w:p w14:paraId="0D21AA4F">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0.373</w:t>
                  </w:r>
                </w:p>
              </w:tc>
              <w:tc>
                <w:tcPr>
                  <w:tcW w:w="363" w:type="pct"/>
                  <w:tcBorders>
                    <w:tl2br w:val="nil"/>
                    <w:tr2bl w:val="nil"/>
                  </w:tcBorders>
                  <w:noWrap w:val="0"/>
                  <w:vAlign w:val="center"/>
                </w:tcPr>
                <w:p w14:paraId="7B1EC315">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0.298</w:t>
                  </w:r>
                </w:p>
              </w:tc>
              <w:tc>
                <w:tcPr>
                  <w:tcW w:w="303" w:type="pct"/>
                  <w:tcBorders>
                    <w:tl2br w:val="nil"/>
                    <w:tr2bl w:val="nil"/>
                  </w:tcBorders>
                  <w:noWrap w:val="0"/>
                  <w:vAlign w:val="center"/>
                </w:tcPr>
                <w:p w14:paraId="4B153955">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350" w:type="pct"/>
                  <w:tcBorders>
                    <w:tl2br w:val="nil"/>
                    <w:tr2bl w:val="nil"/>
                  </w:tcBorders>
                  <w:noWrap w:val="0"/>
                  <w:vAlign w:val="center"/>
                </w:tcPr>
                <w:p w14:paraId="249CEB5F">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100</w:t>
                  </w:r>
                </w:p>
              </w:tc>
              <w:tc>
                <w:tcPr>
                  <w:tcW w:w="352" w:type="pct"/>
                  <w:tcBorders>
                    <w:tl2br w:val="nil"/>
                    <w:tr2bl w:val="nil"/>
                  </w:tcBorders>
                  <w:noWrap w:val="0"/>
                  <w:vAlign w:val="center"/>
                </w:tcPr>
                <w:p w14:paraId="2950917F">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0</w:t>
                  </w:r>
                </w:p>
              </w:tc>
              <w:tc>
                <w:tcPr>
                  <w:tcW w:w="452" w:type="pct"/>
                  <w:tcBorders>
                    <w:tl2br w:val="nil"/>
                    <w:tr2bl w:val="nil"/>
                  </w:tcBorders>
                  <w:noWrap w:val="0"/>
                  <w:vAlign w:val="center"/>
                </w:tcPr>
                <w:p w14:paraId="7C6A3543">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320" w:type="pct"/>
                  <w:tcBorders>
                    <w:tl2br w:val="nil"/>
                    <w:tr2bl w:val="nil"/>
                  </w:tcBorders>
                  <w:noWrap w:val="0"/>
                  <w:vAlign w:val="center"/>
                </w:tcPr>
                <w:p w14:paraId="0FBF1137">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452" w:type="pct"/>
                  <w:tcBorders>
                    <w:tl2br w:val="nil"/>
                    <w:tr2bl w:val="nil"/>
                  </w:tcBorders>
                  <w:shd w:val="clear" w:color="auto" w:fill="auto"/>
                  <w:noWrap w:val="0"/>
                  <w:vAlign w:val="center"/>
                </w:tcPr>
                <w:p w14:paraId="2457787E">
                  <w:pPr>
                    <w:widowControl/>
                    <w:jc w:val="cente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104.60</w:t>
                  </w:r>
                </w:p>
              </w:tc>
              <w:tc>
                <w:tcPr>
                  <w:tcW w:w="418" w:type="pct"/>
                  <w:tcBorders>
                    <w:tl2br w:val="nil"/>
                    <w:tr2bl w:val="nil"/>
                  </w:tcBorders>
                  <w:shd w:val="clear" w:color="auto" w:fill="auto"/>
                  <w:noWrap w:val="0"/>
                  <w:vAlign w:val="center"/>
                </w:tcPr>
                <w:p w14:paraId="0981EF74">
                  <w:pPr>
                    <w:widowControl/>
                    <w:jc w:val="cente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0.373</w:t>
                  </w:r>
                </w:p>
              </w:tc>
              <w:tc>
                <w:tcPr>
                  <w:tcW w:w="517" w:type="pct"/>
                  <w:tcBorders>
                    <w:tl2br w:val="nil"/>
                    <w:tr2bl w:val="nil"/>
                  </w:tcBorders>
                  <w:shd w:val="clear" w:color="auto" w:fill="auto"/>
                  <w:noWrap w:val="0"/>
                  <w:vAlign w:val="center"/>
                </w:tcPr>
                <w:p w14:paraId="36A5B95C">
                  <w:pPr>
                    <w:widowControl/>
                    <w:jc w:val="cente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0.298</w:t>
                  </w:r>
                </w:p>
              </w:tc>
            </w:tr>
            <w:tr w14:paraId="04ACDCB9">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842" w:hRule="atLeast"/>
                <w:jc w:val="center"/>
              </w:trPr>
              <w:tc>
                <w:tcPr>
                  <w:tcW w:w="329" w:type="pct"/>
                  <w:vMerge w:val="continue"/>
                  <w:tcBorders>
                    <w:tl2br w:val="nil"/>
                    <w:tr2bl w:val="nil"/>
                  </w:tcBorders>
                  <w:noWrap w:val="0"/>
                  <w:vAlign w:val="center"/>
                </w:tcPr>
                <w:p w14:paraId="604133BC">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295" w:type="pct"/>
                  <w:tcBorders>
                    <w:tl2br w:val="nil"/>
                    <w:tr2bl w:val="nil"/>
                  </w:tcBorders>
                  <w:noWrap w:val="0"/>
                  <w:vAlign w:val="center"/>
                </w:tcPr>
                <w:p w14:paraId="2AAC38E7">
                  <w:pPr>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NO</w:t>
                  </w:r>
                  <w:r>
                    <w:rPr>
                      <w:rFonts w:hint="default" w:ascii="Times New Roman" w:hAnsi="Times New Roman" w:eastAsia="宋体" w:cs="Times New Roman"/>
                      <w:b w:val="0"/>
                      <w:bCs w:val="0"/>
                      <w:color w:val="000000" w:themeColor="text1"/>
                      <w:sz w:val="21"/>
                      <w:szCs w:val="21"/>
                      <w:vertAlign w:val="subscript"/>
                      <w14:textFill>
                        <w14:solidFill>
                          <w14:schemeClr w14:val="tx1"/>
                        </w14:solidFill>
                      </w14:textFill>
                    </w:rPr>
                    <w:t>x</w:t>
                  </w:r>
                </w:p>
              </w:tc>
              <w:tc>
                <w:tcPr>
                  <w:tcW w:w="392" w:type="pct"/>
                  <w:tcBorders>
                    <w:tl2br w:val="nil"/>
                    <w:tr2bl w:val="nil"/>
                  </w:tcBorders>
                  <w:noWrap w:val="0"/>
                  <w:vAlign w:val="center"/>
                </w:tcPr>
                <w:p w14:paraId="0BAB46EE">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125.07</w:t>
                  </w:r>
                </w:p>
              </w:tc>
              <w:tc>
                <w:tcPr>
                  <w:tcW w:w="450" w:type="pct"/>
                  <w:tcBorders>
                    <w:tl2br w:val="nil"/>
                    <w:tr2bl w:val="nil"/>
                  </w:tcBorders>
                  <w:noWrap w:val="0"/>
                  <w:vAlign w:val="center"/>
                </w:tcPr>
                <w:p w14:paraId="697D2E28">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0.446</w:t>
                  </w:r>
                </w:p>
              </w:tc>
              <w:tc>
                <w:tcPr>
                  <w:tcW w:w="363" w:type="pct"/>
                  <w:tcBorders>
                    <w:tl2br w:val="nil"/>
                    <w:tr2bl w:val="nil"/>
                  </w:tcBorders>
                  <w:noWrap w:val="0"/>
                  <w:vAlign w:val="center"/>
                </w:tcPr>
                <w:p w14:paraId="02125155">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0.357</w:t>
                  </w:r>
                </w:p>
              </w:tc>
              <w:tc>
                <w:tcPr>
                  <w:tcW w:w="303" w:type="pct"/>
                  <w:tcBorders>
                    <w:tl2br w:val="nil"/>
                    <w:tr2bl w:val="nil"/>
                  </w:tcBorders>
                  <w:noWrap w:val="0"/>
                  <w:vAlign w:val="center"/>
                </w:tcPr>
                <w:p w14:paraId="5EC9CC29">
                  <w:pPr>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SNCR</w:t>
                  </w:r>
                </w:p>
              </w:tc>
              <w:tc>
                <w:tcPr>
                  <w:tcW w:w="350" w:type="pct"/>
                  <w:tcBorders>
                    <w:tl2br w:val="nil"/>
                    <w:tr2bl w:val="nil"/>
                  </w:tcBorders>
                  <w:noWrap w:val="0"/>
                  <w:vAlign w:val="center"/>
                </w:tcPr>
                <w:p w14:paraId="4E410EC6">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100</w:t>
                  </w:r>
                </w:p>
              </w:tc>
              <w:tc>
                <w:tcPr>
                  <w:tcW w:w="352" w:type="pct"/>
                  <w:tcBorders>
                    <w:tl2br w:val="nil"/>
                    <w:tr2bl w:val="nil"/>
                  </w:tcBorders>
                  <w:noWrap w:val="0"/>
                  <w:vAlign w:val="center"/>
                </w:tcPr>
                <w:p w14:paraId="15A4B5D6">
                  <w:pPr>
                    <w:pStyle w:val="117"/>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22</w:t>
                  </w:r>
                </w:p>
              </w:tc>
              <w:tc>
                <w:tcPr>
                  <w:tcW w:w="452" w:type="pct"/>
                  <w:tcBorders>
                    <w:tl2br w:val="nil"/>
                    <w:tr2bl w:val="nil"/>
                  </w:tcBorders>
                  <w:noWrap w:val="0"/>
                  <w:vAlign w:val="center"/>
                </w:tcPr>
                <w:p w14:paraId="0CC8753C">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320" w:type="pct"/>
                  <w:tcBorders>
                    <w:tl2br w:val="nil"/>
                    <w:tr2bl w:val="nil"/>
                  </w:tcBorders>
                  <w:noWrap w:val="0"/>
                  <w:vAlign w:val="center"/>
                </w:tcPr>
                <w:p w14:paraId="5C07EC96">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452" w:type="pct"/>
                  <w:tcBorders>
                    <w:tl2br w:val="nil"/>
                    <w:tr2bl w:val="nil"/>
                  </w:tcBorders>
                  <w:noWrap w:val="0"/>
                  <w:vAlign w:val="center"/>
                </w:tcPr>
                <w:p w14:paraId="05F244E5">
                  <w:pPr>
                    <w:widowControl/>
                    <w:jc w:val="center"/>
                    <w:rPr>
                      <w:rFonts w:hint="default" w:ascii="Times New Roman" w:hAnsi="Times New Roman" w:cs="Times New Roman"/>
                      <w:color w:val="000000" w:themeColor="text1"/>
                      <w:u w:val="none" w:color="auto"/>
                      <w:lang w:val="en-US" w:eastAsia="zh-CN"/>
                      <w14:textFill>
                        <w14:solidFill>
                          <w14:schemeClr w14:val="tx1"/>
                        </w14:solidFill>
                      </w14:textFill>
                    </w:rPr>
                  </w:pPr>
                  <w:r>
                    <w:rPr>
                      <w:rFonts w:hint="eastAsia" w:ascii="Times New Roman" w:hAnsi="Times New Roman" w:cs="Times New Roman"/>
                      <w:color w:val="000000" w:themeColor="text1"/>
                      <w:u w:val="none" w:color="auto"/>
                      <w:lang w:val="en-US" w:eastAsia="zh-CN"/>
                      <w14:textFill>
                        <w14:solidFill>
                          <w14:schemeClr w14:val="tx1"/>
                        </w14:solidFill>
                      </w14:textFill>
                    </w:rPr>
                    <w:t>97.59</w:t>
                  </w:r>
                </w:p>
              </w:tc>
              <w:tc>
                <w:tcPr>
                  <w:tcW w:w="418" w:type="pct"/>
                  <w:tcBorders>
                    <w:tl2br w:val="nil"/>
                    <w:tr2bl w:val="nil"/>
                  </w:tcBorders>
                  <w:noWrap w:val="0"/>
                  <w:vAlign w:val="center"/>
                </w:tcPr>
                <w:p w14:paraId="16D1937D">
                  <w:pPr>
                    <w:widowControl/>
                    <w:jc w:val="center"/>
                    <w:rPr>
                      <w:rFonts w:hint="default" w:ascii="Times New Roman" w:hAnsi="Times New Roman" w:cs="Times New Roman"/>
                      <w:color w:val="000000" w:themeColor="text1"/>
                      <w:u w:val="none" w:color="auto"/>
                      <w:lang w:val="en-US" w:eastAsia="zh-CN"/>
                      <w14:textFill>
                        <w14:solidFill>
                          <w14:schemeClr w14:val="tx1"/>
                        </w14:solidFill>
                      </w14:textFill>
                    </w:rPr>
                  </w:pPr>
                  <w:r>
                    <w:rPr>
                      <w:rFonts w:hint="eastAsia" w:ascii="Times New Roman" w:hAnsi="Times New Roman" w:cs="Times New Roman"/>
                      <w:color w:val="000000" w:themeColor="text1"/>
                      <w:u w:val="none" w:color="auto"/>
                      <w:lang w:val="en-US" w:eastAsia="zh-CN"/>
                      <w14:textFill>
                        <w14:solidFill>
                          <w14:schemeClr w14:val="tx1"/>
                        </w14:solidFill>
                      </w14:textFill>
                    </w:rPr>
                    <w:t>0.348</w:t>
                  </w:r>
                </w:p>
              </w:tc>
              <w:tc>
                <w:tcPr>
                  <w:tcW w:w="517" w:type="pct"/>
                  <w:tcBorders>
                    <w:tl2br w:val="nil"/>
                    <w:tr2bl w:val="nil"/>
                  </w:tcBorders>
                  <w:noWrap w:val="0"/>
                  <w:vAlign w:val="center"/>
                </w:tcPr>
                <w:p w14:paraId="561453BB">
                  <w:pPr>
                    <w:widowControl/>
                    <w:jc w:val="center"/>
                    <w:rPr>
                      <w:rFonts w:hint="default" w:ascii="Times New Roman" w:hAnsi="Times New Roman" w:cs="Times New Roman"/>
                      <w:color w:val="000000" w:themeColor="text1"/>
                      <w:u w:val="none" w:color="auto"/>
                      <w:lang w:val="en-US" w:eastAsia="zh-CN"/>
                      <w14:textFill>
                        <w14:solidFill>
                          <w14:schemeClr w14:val="tx1"/>
                        </w14:solidFill>
                      </w14:textFill>
                    </w:rPr>
                  </w:pPr>
                  <w:r>
                    <w:rPr>
                      <w:rFonts w:hint="eastAsia" w:ascii="Times New Roman" w:hAnsi="Times New Roman" w:cs="Times New Roman"/>
                      <w:color w:val="000000" w:themeColor="text1"/>
                      <w:u w:val="none" w:color="auto"/>
                      <w:lang w:val="en-US" w:eastAsia="zh-CN"/>
                      <w14:textFill>
                        <w14:solidFill>
                          <w14:schemeClr w14:val="tx1"/>
                        </w14:solidFill>
                      </w14:textFill>
                    </w:rPr>
                    <w:t>0.278</w:t>
                  </w:r>
                </w:p>
              </w:tc>
            </w:tr>
            <w:tr w14:paraId="6C5789BA">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856" w:hRule="atLeast"/>
                <w:jc w:val="center"/>
              </w:trPr>
              <w:tc>
                <w:tcPr>
                  <w:tcW w:w="329" w:type="pct"/>
                  <w:vMerge w:val="continue"/>
                  <w:tcBorders>
                    <w:tl2br w:val="nil"/>
                    <w:tr2bl w:val="nil"/>
                  </w:tcBorders>
                  <w:noWrap w:val="0"/>
                  <w:vAlign w:val="center"/>
                </w:tcPr>
                <w:p w14:paraId="39AC8BAB">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295" w:type="pct"/>
                  <w:tcBorders>
                    <w:tl2br w:val="nil"/>
                    <w:tr2bl w:val="nil"/>
                  </w:tcBorders>
                  <w:noWrap w:val="0"/>
                  <w:vAlign w:val="center"/>
                </w:tcPr>
                <w:p w14:paraId="0795A934">
                  <w:pPr>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颗粒物</w:t>
                  </w:r>
                </w:p>
              </w:tc>
              <w:tc>
                <w:tcPr>
                  <w:tcW w:w="392" w:type="pct"/>
                  <w:tcBorders>
                    <w:tl2br w:val="nil"/>
                    <w:tr2bl w:val="nil"/>
                  </w:tcBorders>
                  <w:noWrap w:val="0"/>
                  <w:vAlign w:val="center"/>
                </w:tcPr>
                <w:p w14:paraId="04BA3A05">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61.41</w:t>
                  </w:r>
                </w:p>
              </w:tc>
              <w:tc>
                <w:tcPr>
                  <w:tcW w:w="450" w:type="pct"/>
                  <w:tcBorders>
                    <w:tl2br w:val="nil"/>
                    <w:tr2bl w:val="nil"/>
                  </w:tcBorders>
                  <w:noWrap w:val="0"/>
                  <w:vAlign w:val="center"/>
                </w:tcPr>
                <w:p w14:paraId="0243FE1E">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0.219</w:t>
                  </w:r>
                </w:p>
              </w:tc>
              <w:tc>
                <w:tcPr>
                  <w:tcW w:w="363" w:type="pct"/>
                  <w:tcBorders>
                    <w:tl2br w:val="nil"/>
                    <w:tr2bl w:val="nil"/>
                  </w:tcBorders>
                  <w:noWrap w:val="0"/>
                  <w:vAlign w:val="center"/>
                </w:tcPr>
                <w:p w14:paraId="3A814DB6">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0.175</w:t>
                  </w:r>
                </w:p>
              </w:tc>
              <w:tc>
                <w:tcPr>
                  <w:tcW w:w="303" w:type="pct"/>
                  <w:tcBorders>
                    <w:tl2br w:val="nil"/>
                    <w:tr2bl w:val="nil"/>
                  </w:tcBorders>
                  <w:noWrap w:val="0"/>
                  <w:vAlign w:val="center"/>
                </w:tcPr>
                <w:p w14:paraId="6850C1C0">
                  <w:pPr>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旋风+布袋除尘</w:t>
                  </w: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+水膜除尘</w:t>
                  </w:r>
                </w:p>
              </w:tc>
              <w:tc>
                <w:tcPr>
                  <w:tcW w:w="350" w:type="pct"/>
                  <w:tcBorders>
                    <w:tl2br w:val="nil"/>
                    <w:tr2bl w:val="nil"/>
                  </w:tcBorders>
                  <w:noWrap w:val="0"/>
                  <w:vAlign w:val="center"/>
                </w:tcPr>
                <w:p w14:paraId="50BA3A12">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100</w:t>
                  </w:r>
                </w:p>
              </w:tc>
              <w:tc>
                <w:tcPr>
                  <w:tcW w:w="352" w:type="pct"/>
                  <w:tcBorders>
                    <w:tl2br w:val="nil"/>
                    <w:tr2bl w:val="nil"/>
                  </w:tcBorders>
                  <w:noWrap w:val="0"/>
                  <w:vAlign w:val="center"/>
                </w:tcPr>
                <w:p w14:paraId="04B8BC02">
                  <w:pPr>
                    <w:pStyle w:val="117"/>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99</w:t>
                  </w:r>
                </w:p>
              </w:tc>
              <w:tc>
                <w:tcPr>
                  <w:tcW w:w="452" w:type="pct"/>
                  <w:tcBorders>
                    <w:tl2br w:val="nil"/>
                    <w:tr2bl w:val="nil"/>
                  </w:tcBorders>
                  <w:noWrap w:val="0"/>
                  <w:vAlign w:val="center"/>
                </w:tcPr>
                <w:p w14:paraId="5066EE3C">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320" w:type="pct"/>
                  <w:tcBorders>
                    <w:tl2br w:val="nil"/>
                    <w:tr2bl w:val="nil"/>
                  </w:tcBorders>
                  <w:noWrap w:val="0"/>
                  <w:vAlign w:val="center"/>
                </w:tcPr>
                <w:p w14:paraId="6B56CE85">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452" w:type="pct"/>
                  <w:tcBorders>
                    <w:tl2br w:val="nil"/>
                    <w:tr2bl w:val="nil"/>
                  </w:tcBorders>
                  <w:noWrap w:val="0"/>
                  <w:vAlign w:val="center"/>
                </w:tcPr>
                <w:p w14:paraId="4D645250">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2"/>
                      <w:sz w:val="21"/>
                      <w:szCs w:val="32"/>
                      <w:u w:val="none" w:color="auto"/>
                      <w:lang w:val="en-US" w:eastAsia="zh-CN" w:bidi="ar-SA"/>
                      <w14:textFill>
                        <w14:solidFill>
                          <w14:schemeClr w14:val="tx1"/>
                        </w14:solidFill>
                      </w14:textFill>
                    </w:rPr>
                    <w:t>0.84</w:t>
                  </w:r>
                </w:p>
              </w:tc>
              <w:tc>
                <w:tcPr>
                  <w:tcW w:w="418" w:type="pct"/>
                  <w:tcBorders>
                    <w:tl2br w:val="nil"/>
                    <w:tr2bl w:val="nil"/>
                  </w:tcBorders>
                  <w:noWrap w:val="0"/>
                  <w:vAlign w:val="center"/>
                </w:tcPr>
                <w:p w14:paraId="3DF83BFA">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2"/>
                      <w:sz w:val="21"/>
                      <w:szCs w:val="32"/>
                      <w:u w:val="none" w:color="auto"/>
                      <w:lang w:val="en-US" w:eastAsia="zh-CN" w:bidi="ar-SA"/>
                      <w14:textFill>
                        <w14:solidFill>
                          <w14:schemeClr w14:val="tx1"/>
                        </w14:solidFill>
                      </w14:textFill>
                    </w:rPr>
                    <w:t>0.003</w:t>
                  </w:r>
                </w:p>
              </w:tc>
              <w:tc>
                <w:tcPr>
                  <w:tcW w:w="517" w:type="pct"/>
                  <w:tcBorders>
                    <w:tl2br w:val="nil"/>
                    <w:tr2bl w:val="nil"/>
                  </w:tcBorders>
                  <w:noWrap w:val="0"/>
                  <w:vAlign w:val="center"/>
                </w:tcPr>
                <w:p w14:paraId="0E0C867D">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2"/>
                      <w:sz w:val="21"/>
                      <w:szCs w:val="32"/>
                      <w:u w:val="none" w:color="auto"/>
                      <w:lang w:val="en-US" w:eastAsia="zh-CN" w:bidi="ar-SA"/>
                      <w14:textFill>
                        <w14:solidFill>
                          <w14:schemeClr w14:val="tx1"/>
                        </w14:solidFill>
                      </w14:textFill>
                    </w:rPr>
                    <w:t>0.002</w:t>
                  </w:r>
                </w:p>
              </w:tc>
            </w:tr>
            <w:tr w14:paraId="236F5631">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429" w:hRule="atLeast"/>
                <w:jc w:val="center"/>
              </w:trPr>
              <w:tc>
                <w:tcPr>
                  <w:tcW w:w="329" w:type="pct"/>
                  <w:tcBorders>
                    <w:tl2br w:val="nil"/>
                    <w:tr2bl w:val="nil"/>
                  </w:tcBorders>
                  <w:noWrap w:val="0"/>
                  <w:vAlign w:val="center"/>
                </w:tcPr>
                <w:p w14:paraId="19FAF11C">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脱硝</w:t>
                  </w:r>
                </w:p>
              </w:tc>
              <w:tc>
                <w:tcPr>
                  <w:tcW w:w="295" w:type="pct"/>
                  <w:tcBorders>
                    <w:tl2br w:val="nil"/>
                    <w:tr2bl w:val="nil"/>
                  </w:tcBorders>
                  <w:noWrap w:val="0"/>
                  <w:vAlign w:val="center"/>
                </w:tcPr>
                <w:p w14:paraId="150943D5">
                  <w:pPr>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氨</w:t>
                  </w:r>
                </w:p>
              </w:tc>
              <w:tc>
                <w:tcPr>
                  <w:tcW w:w="392" w:type="pct"/>
                  <w:tcBorders>
                    <w:tl2br w:val="nil"/>
                    <w:tr2bl w:val="nil"/>
                  </w:tcBorders>
                  <w:noWrap w:val="0"/>
                  <w:vAlign w:val="center"/>
                </w:tcPr>
                <w:p w14:paraId="0B454708">
                  <w:pPr>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450" w:type="pct"/>
                  <w:tcBorders>
                    <w:tl2br w:val="nil"/>
                    <w:tr2bl w:val="nil"/>
                  </w:tcBorders>
                  <w:noWrap w:val="0"/>
                  <w:vAlign w:val="center"/>
                </w:tcPr>
                <w:p w14:paraId="7A610CD8">
                  <w:pPr>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363" w:type="pct"/>
                  <w:tcBorders>
                    <w:tl2br w:val="nil"/>
                    <w:tr2bl w:val="nil"/>
                  </w:tcBorders>
                  <w:noWrap w:val="0"/>
                  <w:vAlign w:val="center"/>
                </w:tcPr>
                <w:p w14:paraId="265C3876">
                  <w:pPr>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303" w:type="pct"/>
                  <w:tcBorders>
                    <w:tl2br w:val="nil"/>
                    <w:tr2bl w:val="nil"/>
                  </w:tcBorders>
                  <w:noWrap w:val="0"/>
                  <w:vAlign w:val="center"/>
                </w:tcPr>
                <w:p w14:paraId="07E60C1F">
                  <w:pPr>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350" w:type="pct"/>
                  <w:tcBorders>
                    <w:tl2br w:val="nil"/>
                    <w:tr2bl w:val="nil"/>
                  </w:tcBorders>
                  <w:noWrap w:val="0"/>
                  <w:vAlign w:val="center"/>
                </w:tcPr>
                <w:p w14:paraId="13C9B8D2">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352" w:type="pct"/>
                  <w:tcBorders>
                    <w:tl2br w:val="nil"/>
                    <w:tr2bl w:val="nil"/>
                  </w:tcBorders>
                  <w:noWrap w:val="0"/>
                  <w:vAlign w:val="center"/>
                </w:tcPr>
                <w:p w14:paraId="66A1BFFA">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452" w:type="pct"/>
                  <w:tcBorders>
                    <w:tl2br w:val="nil"/>
                    <w:tr2bl w:val="nil"/>
                  </w:tcBorders>
                  <w:noWrap w:val="0"/>
                  <w:vAlign w:val="center"/>
                </w:tcPr>
                <w:p w14:paraId="6FF051FE">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320" w:type="pct"/>
                  <w:tcBorders>
                    <w:tl2br w:val="nil"/>
                    <w:tr2bl w:val="nil"/>
                  </w:tcBorders>
                  <w:noWrap w:val="0"/>
                  <w:vAlign w:val="center"/>
                </w:tcPr>
                <w:p w14:paraId="39EDE199">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452" w:type="pct"/>
                  <w:tcBorders>
                    <w:tl2br w:val="nil"/>
                    <w:tr2bl w:val="nil"/>
                  </w:tcBorders>
                  <w:noWrap w:val="0"/>
                  <w:vAlign w:val="center"/>
                </w:tcPr>
                <w:p w14:paraId="164F0DFB">
                  <w:pPr>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5</w:t>
                  </w:r>
                </w:p>
              </w:tc>
              <w:tc>
                <w:tcPr>
                  <w:tcW w:w="418" w:type="pct"/>
                  <w:tcBorders>
                    <w:tl2br w:val="nil"/>
                    <w:tr2bl w:val="nil"/>
                  </w:tcBorders>
                  <w:noWrap w:val="0"/>
                  <w:vAlign w:val="center"/>
                </w:tcPr>
                <w:p w14:paraId="53317873">
                  <w:pPr>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0.018</w:t>
                  </w:r>
                </w:p>
              </w:tc>
              <w:tc>
                <w:tcPr>
                  <w:tcW w:w="517" w:type="pct"/>
                  <w:tcBorders>
                    <w:tl2br w:val="nil"/>
                    <w:tr2bl w:val="nil"/>
                  </w:tcBorders>
                  <w:noWrap w:val="0"/>
                  <w:vAlign w:val="center"/>
                </w:tcPr>
                <w:p w14:paraId="10B4D1D8">
                  <w:pPr>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0.014</w:t>
                  </w:r>
                </w:p>
              </w:tc>
            </w:tr>
          </w:tbl>
          <w:p w14:paraId="644E7D3D">
            <w:pPr>
              <w:pStyle w:val="35"/>
              <w:keepNext w:val="0"/>
              <w:keepLines w:val="0"/>
              <w:pageBreakBefore w:val="0"/>
              <w:widowControl w:val="0"/>
              <w:kinsoku/>
              <w:wordWrap/>
              <w:overflowPunct/>
              <w:topLinePunct w:val="0"/>
              <w:autoSpaceDE/>
              <w:autoSpaceDN/>
              <w:bidi w:val="0"/>
              <w:adjustRightInd/>
              <w:snapToGrid/>
              <w:spacing w:before="157" w:beforeLines="50"/>
              <w:ind w:firstLine="480"/>
              <w:textAlignment w:val="auto"/>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w:t>
            </w:r>
            <w:r>
              <w:rPr>
                <w:rFonts w:hint="eastAsia"/>
                <w:color w:val="000000" w:themeColor="text1"/>
                <w:u w:val="none" w:color="auto"/>
                <w:lang w:val="en-US" w:eastAsia="zh-CN"/>
                <w14:textFill>
                  <w14:solidFill>
                    <w14:schemeClr w14:val="tx1"/>
                  </w14:solidFill>
                </w14:textFill>
              </w:rPr>
              <w:t>2</w:t>
            </w:r>
            <w:r>
              <w:rPr>
                <w:rFonts w:hint="eastAsia"/>
                <w:color w:val="000000" w:themeColor="text1"/>
                <w:u w:val="none" w:color="auto"/>
                <w14:textFill>
                  <w14:solidFill>
                    <w14:schemeClr w14:val="tx1"/>
                  </w14:solidFill>
                </w14:textFill>
              </w:rPr>
              <w:t>）废气污染物排放量核算</w:t>
            </w:r>
          </w:p>
          <w:p w14:paraId="14500C78">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本项目污染物排放量核算主要包括有组织排放量核算、</w:t>
            </w:r>
            <w:r>
              <w:rPr>
                <w:rFonts w:hint="eastAsia"/>
                <w:color w:val="000000" w:themeColor="text1"/>
                <w:u w:val="none" w:color="auto"/>
                <w:lang w:val="en-US" w:eastAsia="zh-CN"/>
                <w14:textFill>
                  <w14:solidFill>
                    <w14:schemeClr w14:val="tx1"/>
                  </w14:solidFill>
                </w14:textFill>
              </w:rPr>
              <w:t>无组织排放量核算、</w:t>
            </w:r>
            <w:r>
              <w:rPr>
                <w:rFonts w:hint="eastAsia"/>
                <w:color w:val="000000" w:themeColor="text1"/>
                <w:u w:val="none" w:color="auto"/>
                <w14:textFill>
                  <w14:solidFill>
                    <w14:schemeClr w14:val="tx1"/>
                  </w14:solidFill>
                </w14:textFill>
              </w:rPr>
              <w:t>大气污染物年排放量核算、非正常排放量核算。具体情况见下表：</w:t>
            </w:r>
          </w:p>
          <w:p w14:paraId="5DFB1615">
            <w:pPr>
              <w:pStyle w:val="34"/>
              <w:keepNext w:val="0"/>
              <w:keepLines w:val="0"/>
              <w:pageBreakBefore w:val="0"/>
              <w:widowControl w:val="0"/>
              <w:kinsoku/>
              <w:wordWrap/>
              <w:overflowPunct/>
              <w:topLinePunct w:val="0"/>
              <w:autoSpaceDE/>
              <w:autoSpaceDN/>
              <w:bidi w:val="0"/>
              <w:adjustRightInd/>
              <w:snapToGrid/>
              <w:spacing w:before="0" w:beforeLines="0"/>
              <w:textAlignment w:val="auto"/>
              <w:rPr>
                <w:color w:val="000000" w:themeColor="text1"/>
                <w:u w:val="none" w:color="auto"/>
                <w14:textFill>
                  <w14:solidFill>
                    <w14:schemeClr w14:val="tx1"/>
                  </w14:solidFill>
                </w14:textFill>
              </w:rPr>
            </w:pPr>
            <w:r>
              <w:rPr>
                <w:rFonts w:hint="eastAsia"/>
                <w:color w:val="000000" w:themeColor="text1"/>
                <w:sz w:val="21"/>
                <w:szCs w:val="21"/>
                <w:u w:val="none" w:color="auto"/>
                <w14:textFill>
                  <w14:solidFill>
                    <w14:schemeClr w14:val="tx1"/>
                  </w14:solidFill>
                </w14:textFill>
              </w:rPr>
              <w:t>表4-</w:t>
            </w:r>
            <w:r>
              <w:rPr>
                <w:rFonts w:hint="eastAsia"/>
                <w:color w:val="000000" w:themeColor="text1"/>
                <w:sz w:val="21"/>
                <w:szCs w:val="21"/>
                <w:u w:val="none" w:color="auto"/>
                <w:lang w:val="en-US" w:eastAsia="zh-CN"/>
                <w14:textFill>
                  <w14:solidFill>
                    <w14:schemeClr w14:val="tx1"/>
                  </w14:solidFill>
                </w14:textFill>
              </w:rPr>
              <w:t xml:space="preserve">3  </w:t>
            </w:r>
            <w:r>
              <w:rPr>
                <w:rFonts w:hint="eastAsia"/>
                <w:color w:val="000000" w:themeColor="text1"/>
                <w:sz w:val="21"/>
                <w:szCs w:val="21"/>
                <w:u w:val="none" w:color="auto"/>
                <w14:textFill>
                  <w14:solidFill>
                    <w14:schemeClr w14:val="tx1"/>
                  </w14:solidFill>
                </w14:textFill>
              </w:rPr>
              <w:t>大气污染物有组织排放量核算表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2"/>
              <w:gridCol w:w="1189"/>
              <w:gridCol w:w="1015"/>
              <w:gridCol w:w="1489"/>
              <w:gridCol w:w="1442"/>
              <w:gridCol w:w="1568"/>
            </w:tblGrid>
            <w:tr w14:paraId="5EDDD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4" w:type="pct"/>
                  <w:vAlign w:val="center"/>
                </w:tcPr>
                <w:p w14:paraId="048B1034">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序号</w:t>
                  </w:r>
                </w:p>
              </w:tc>
              <w:tc>
                <w:tcPr>
                  <w:tcW w:w="763" w:type="pct"/>
                  <w:vAlign w:val="center"/>
                </w:tcPr>
                <w:p w14:paraId="65F955EF">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排放口</w:t>
                  </w:r>
                </w:p>
                <w:p w14:paraId="296290C3">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编号</w:t>
                  </w:r>
                </w:p>
              </w:tc>
              <w:tc>
                <w:tcPr>
                  <w:tcW w:w="651" w:type="pct"/>
                  <w:vAlign w:val="center"/>
                </w:tcPr>
                <w:p w14:paraId="455841A3">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污染物</w:t>
                  </w:r>
                </w:p>
              </w:tc>
              <w:tc>
                <w:tcPr>
                  <w:tcW w:w="956" w:type="pct"/>
                  <w:vAlign w:val="center"/>
                </w:tcPr>
                <w:p w14:paraId="65DAD7EA">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核算排放浓度（mg/m</w:t>
                  </w:r>
                  <w:r>
                    <w:rPr>
                      <w:color w:val="000000" w:themeColor="text1"/>
                      <w:u w:val="none" w:color="auto"/>
                      <w:vertAlign w:val="superscript"/>
                      <w14:textFill>
                        <w14:solidFill>
                          <w14:schemeClr w14:val="tx1"/>
                        </w14:solidFill>
                      </w14:textFill>
                    </w:rPr>
                    <w:t>3</w:t>
                  </w:r>
                  <w:r>
                    <w:rPr>
                      <w:rFonts w:hint="eastAsia"/>
                      <w:color w:val="000000" w:themeColor="text1"/>
                      <w:u w:val="none" w:color="auto"/>
                      <w14:textFill>
                        <w14:solidFill>
                          <w14:schemeClr w14:val="tx1"/>
                        </w14:solidFill>
                      </w14:textFill>
                    </w:rPr>
                    <w:t>）</w:t>
                  </w:r>
                </w:p>
              </w:tc>
              <w:tc>
                <w:tcPr>
                  <w:tcW w:w="926" w:type="pct"/>
                  <w:vAlign w:val="center"/>
                </w:tcPr>
                <w:p w14:paraId="179A13B6">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核算排放速率/（kg/h</w:t>
                  </w:r>
                  <w:r>
                    <w:rPr>
                      <w:rFonts w:hint="eastAsia"/>
                      <w:color w:val="000000" w:themeColor="text1"/>
                      <w:u w:val="none" w:color="auto"/>
                      <w14:textFill>
                        <w14:solidFill>
                          <w14:schemeClr w14:val="tx1"/>
                        </w14:solidFill>
                      </w14:textFill>
                    </w:rPr>
                    <w:t>）</w:t>
                  </w:r>
                </w:p>
              </w:tc>
              <w:tc>
                <w:tcPr>
                  <w:tcW w:w="1007" w:type="pct"/>
                  <w:vAlign w:val="center"/>
                </w:tcPr>
                <w:p w14:paraId="0CF2EF95">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核算年排放量（t/a</w:t>
                  </w:r>
                  <w:r>
                    <w:rPr>
                      <w:rFonts w:hint="eastAsia"/>
                      <w:color w:val="000000" w:themeColor="text1"/>
                      <w:u w:val="none" w:color="auto"/>
                      <w14:textFill>
                        <w14:solidFill>
                          <w14:schemeClr w14:val="tx1"/>
                        </w14:solidFill>
                      </w14:textFill>
                    </w:rPr>
                    <w:t>）</w:t>
                  </w:r>
                </w:p>
              </w:tc>
            </w:tr>
            <w:tr w14:paraId="27490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6"/>
                  <w:vAlign w:val="center"/>
                </w:tcPr>
                <w:p w14:paraId="00C1D65B">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一般排放口</w:t>
                  </w:r>
                </w:p>
              </w:tc>
            </w:tr>
            <w:tr w14:paraId="3E6C8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4" w:type="pct"/>
                  <w:vAlign w:val="center"/>
                </w:tcPr>
                <w:p w14:paraId="430D1262">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1</w:t>
                  </w:r>
                </w:p>
              </w:tc>
              <w:tc>
                <w:tcPr>
                  <w:tcW w:w="763" w:type="pct"/>
                  <w:vAlign w:val="center"/>
                </w:tcPr>
                <w:p w14:paraId="678702BB">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DA001拉丝工序废气</w:t>
                  </w:r>
                </w:p>
              </w:tc>
              <w:tc>
                <w:tcPr>
                  <w:tcW w:w="651" w:type="pct"/>
                  <w:vAlign w:val="center"/>
                </w:tcPr>
                <w:p w14:paraId="4180A490">
                  <w:pPr>
                    <w:pStyle w:val="57"/>
                    <w:rPr>
                      <w:rFonts w:hint="eastAsia"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颗粒物</w:t>
                  </w:r>
                </w:p>
              </w:tc>
              <w:tc>
                <w:tcPr>
                  <w:tcW w:w="956" w:type="pct"/>
                  <w:shd w:val="clear" w:color="auto" w:fill="auto"/>
                  <w:vAlign w:val="center"/>
                </w:tcPr>
                <w:p w14:paraId="7F35FFFA">
                  <w:pPr>
                    <w:pStyle w:val="117"/>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1.75</w:t>
                  </w:r>
                </w:p>
              </w:tc>
              <w:tc>
                <w:tcPr>
                  <w:tcW w:w="926" w:type="pct"/>
                  <w:shd w:val="clear" w:color="auto" w:fill="auto"/>
                  <w:vAlign w:val="center"/>
                </w:tcPr>
                <w:p w14:paraId="55AA0797">
                  <w:pPr>
                    <w:pStyle w:val="117"/>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0.014</w:t>
                  </w:r>
                </w:p>
              </w:tc>
              <w:tc>
                <w:tcPr>
                  <w:tcW w:w="1007" w:type="pct"/>
                  <w:shd w:val="clear" w:color="auto" w:fill="auto"/>
                  <w:vAlign w:val="center"/>
                </w:tcPr>
                <w:p w14:paraId="76F209BD">
                  <w:pPr>
                    <w:pStyle w:val="117"/>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0.0176</w:t>
                  </w:r>
                </w:p>
              </w:tc>
            </w:tr>
            <w:tr w14:paraId="20D55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4" w:type="pct"/>
                  <w:vMerge w:val="restart"/>
                  <w:vAlign w:val="center"/>
                </w:tcPr>
                <w:p w14:paraId="11580B15">
                  <w:pPr>
                    <w:pStyle w:val="57"/>
                    <w:rPr>
                      <w:rFonts w:hint="eastAsia"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2</w:t>
                  </w:r>
                </w:p>
              </w:tc>
              <w:tc>
                <w:tcPr>
                  <w:tcW w:w="763" w:type="pct"/>
                  <w:vMerge w:val="restart"/>
                  <w:vAlign w:val="center"/>
                </w:tcPr>
                <w:p w14:paraId="79295306">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DA00</w:t>
                  </w:r>
                  <w:r>
                    <w:rPr>
                      <w:rFonts w:hint="eastAsia"/>
                      <w:color w:val="000000" w:themeColor="text1"/>
                      <w:u w:val="none" w:color="auto"/>
                      <w:lang w:val="en-US" w:eastAsia="zh-CN"/>
                      <w14:textFill>
                        <w14:solidFill>
                          <w14:schemeClr w14:val="tx1"/>
                        </w14:solidFill>
                      </w14:textFill>
                    </w:rPr>
                    <w:t>2</w:t>
                  </w:r>
                  <w:r>
                    <w:rPr>
                      <w:rFonts w:hint="eastAsia"/>
                      <w:color w:val="000000" w:themeColor="text1"/>
                      <w:u w:val="none" w:color="auto"/>
                      <w14:textFill>
                        <w14:solidFill>
                          <w14:schemeClr w14:val="tx1"/>
                        </w14:solidFill>
                      </w14:textFill>
                    </w:rPr>
                    <w:t>锅炉烟气</w:t>
                  </w:r>
                </w:p>
              </w:tc>
              <w:tc>
                <w:tcPr>
                  <w:tcW w:w="651" w:type="pct"/>
                  <w:shd w:val="clear" w:color="auto" w:fill="auto"/>
                  <w:vAlign w:val="center"/>
                </w:tcPr>
                <w:p w14:paraId="416300F2">
                  <w:pPr>
                    <w:pStyle w:val="57"/>
                    <w:rPr>
                      <w:rFonts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olor w:val="000000" w:themeColor="text1"/>
                      <w:u w:val="none" w:color="auto"/>
                      <w14:textFill>
                        <w14:solidFill>
                          <w14:schemeClr w14:val="tx1"/>
                        </w14:solidFill>
                      </w14:textFill>
                    </w:rPr>
                    <w:t>SO</w:t>
                  </w:r>
                  <w:r>
                    <w:rPr>
                      <w:rFonts w:hint="eastAsia"/>
                      <w:color w:val="000000" w:themeColor="text1"/>
                      <w:u w:val="none" w:color="auto"/>
                      <w:vertAlign w:val="subscript"/>
                      <w14:textFill>
                        <w14:solidFill>
                          <w14:schemeClr w14:val="tx1"/>
                        </w14:solidFill>
                      </w14:textFill>
                    </w:rPr>
                    <w:t>2</w:t>
                  </w:r>
                </w:p>
              </w:tc>
              <w:tc>
                <w:tcPr>
                  <w:tcW w:w="956" w:type="pct"/>
                  <w:shd w:val="clear" w:color="auto" w:fill="auto"/>
                  <w:vAlign w:val="center"/>
                </w:tcPr>
                <w:p w14:paraId="0E280FD2">
                  <w:pPr>
                    <w:widowControl/>
                    <w:jc w:val="center"/>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104.60</w:t>
                  </w:r>
                </w:p>
              </w:tc>
              <w:tc>
                <w:tcPr>
                  <w:tcW w:w="926" w:type="pct"/>
                  <w:shd w:val="clear" w:color="auto" w:fill="auto"/>
                  <w:vAlign w:val="center"/>
                </w:tcPr>
                <w:p w14:paraId="31F39ED7">
                  <w:pPr>
                    <w:widowControl/>
                    <w:jc w:val="center"/>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0.373</w:t>
                  </w:r>
                </w:p>
              </w:tc>
              <w:tc>
                <w:tcPr>
                  <w:tcW w:w="1007" w:type="pct"/>
                  <w:shd w:val="clear" w:color="auto" w:fill="auto"/>
                  <w:vAlign w:val="center"/>
                </w:tcPr>
                <w:p w14:paraId="6A2176BE">
                  <w:pPr>
                    <w:widowControl/>
                    <w:jc w:val="center"/>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0.298</w:t>
                  </w:r>
                </w:p>
              </w:tc>
            </w:tr>
            <w:tr w14:paraId="422BD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4" w:type="pct"/>
                  <w:vMerge w:val="continue"/>
                  <w:vAlign w:val="center"/>
                </w:tcPr>
                <w:p w14:paraId="32D0C5A2">
                  <w:pPr>
                    <w:pStyle w:val="57"/>
                    <w:rPr>
                      <w:color w:val="000000" w:themeColor="text1"/>
                      <w:u w:val="none" w:color="auto"/>
                      <w14:textFill>
                        <w14:solidFill>
                          <w14:schemeClr w14:val="tx1"/>
                        </w14:solidFill>
                      </w14:textFill>
                    </w:rPr>
                  </w:pPr>
                </w:p>
              </w:tc>
              <w:tc>
                <w:tcPr>
                  <w:tcW w:w="763" w:type="pct"/>
                  <w:vMerge w:val="continue"/>
                  <w:vAlign w:val="center"/>
                </w:tcPr>
                <w:p w14:paraId="0E3AA016">
                  <w:pPr>
                    <w:pStyle w:val="57"/>
                    <w:rPr>
                      <w:color w:val="000000" w:themeColor="text1"/>
                      <w:u w:val="none" w:color="auto"/>
                      <w14:textFill>
                        <w14:solidFill>
                          <w14:schemeClr w14:val="tx1"/>
                        </w14:solidFill>
                      </w14:textFill>
                    </w:rPr>
                  </w:pPr>
                </w:p>
              </w:tc>
              <w:tc>
                <w:tcPr>
                  <w:tcW w:w="651" w:type="pct"/>
                  <w:shd w:val="clear" w:color="auto" w:fill="auto"/>
                  <w:vAlign w:val="center"/>
                </w:tcPr>
                <w:p w14:paraId="7A1C235C">
                  <w:pPr>
                    <w:pStyle w:val="57"/>
                    <w:rPr>
                      <w:rFonts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olor w:val="000000" w:themeColor="text1"/>
                      <w:u w:val="none" w:color="auto"/>
                      <w14:textFill>
                        <w14:solidFill>
                          <w14:schemeClr w14:val="tx1"/>
                        </w14:solidFill>
                      </w14:textFill>
                    </w:rPr>
                    <w:t>NO</w:t>
                  </w:r>
                  <w:r>
                    <w:rPr>
                      <w:rFonts w:hint="eastAsia"/>
                      <w:color w:val="000000" w:themeColor="text1"/>
                      <w:u w:val="none" w:color="auto"/>
                      <w:vertAlign w:val="subscript"/>
                      <w14:textFill>
                        <w14:solidFill>
                          <w14:schemeClr w14:val="tx1"/>
                        </w14:solidFill>
                      </w14:textFill>
                    </w:rPr>
                    <w:t>x</w:t>
                  </w:r>
                </w:p>
              </w:tc>
              <w:tc>
                <w:tcPr>
                  <w:tcW w:w="1489" w:type="dxa"/>
                  <w:shd w:val="clear" w:color="auto" w:fill="auto"/>
                  <w:vAlign w:val="center"/>
                </w:tcPr>
                <w:p w14:paraId="2485898B">
                  <w:pPr>
                    <w:widowControl/>
                    <w:jc w:val="center"/>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cs="Times New Roman"/>
                      <w:color w:val="000000" w:themeColor="text1"/>
                      <w:u w:val="none" w:color="auto"/>
                      <w:lang w:val="en-US" w:eastAsia="zh-CN"/>
                      <w14:textFill>
                        <w14:solidFill>
                          <w14:schemeClr w14:val="tx1"/>
                        </w14:solidFill>
                      </w14:textFill>
                    </w:rPr>
                    <w:t>97.59</w:t>
                  </w:r>
                </w:p>
              </w:tc>
              <w:tc>
                <w:tcPr>
                  <w:tcW w:w="1442" w:type="dxa"/>
                  <w:shd w:val="clear" w:color="auto" w:fill="auto"/>
                  <w:vAlign w:val="center"/>
                </w:tcPr>
                <w:p w14:paraId="31FA5C8F">
                  <w:pPr>
                    <w:widowControl/>
                    <w:jc w:val="center"/>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cs="Times New Roman"/>
                      <w:color w:val="000000" w:themeColor="text1"/>
                      <w:u w:val="none" w:color="auto"/>
                      <w:lang w:val="en-US" w:eastAsia="zh-CN"/>
                      <w14:textFill>
                        <w14:solidFill>
                          <w14:schemeClr w14:val="tx1"/>
                        </w14:solidFill>
                      </w14:textFill>
                    </w:rPr>
                    <w:t>0.348</w:t>
                  </w:r>
                </w:p>
              </w:tc>
              <w:tc>
                <w:tcPr>
                  <w:tcW w:w="1568" w:type="dxa"/>
                  <w:shd w:val="clear" w:color="auto" w:fill="auto"/>
                  <w:vAlign w:val="center"/>
                </w:tcPr>
                <w:p w14:paraId="6CBDA33A">
                  <w:pPr>
                    <w:widowControl/>
                    <w:jc w:val="center"/>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cs="Times New Roman"/>
                      <w:color w:val="000000" w:themeColor="text1"/>
                      <w:u w:val="none" w:color="auto"/>
                      <w:lang w:val="en-US" w:eastAsia="zh-CN"/>
                      <w14:textFill>
                        <w14:solidFill>
                          <w14:schemeClr w14:val="tx1"/>
                        </w14:solidFill>
                      </w14:textFill>
                    </w:rPr>
                    <w:t>0.278</w:t>
                  </w:r>
                </w:p>
              </w:tc>
            </w:tr>
            <w:tr w14:paraId="6B67F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4" w:type="pct"/>
                  <w:vMerge w:val="continue"/>
                  <w:vAlign w:val="center"/>
                </w:tcPr>
                <w:p w14:paraId="6EA0A380">
                  <w:pPr>
                    <w:pStyle w:val="57"/>
                    <w:rPr>
                      <w:rFonts w:hint="eastAsia" w:eastAsia="宋体"/>
                      <w:color w:val="000000" w:themeColor="text1"/>
                      <w:u w:val="none" w:color="auto"/>
                      <w:lang w:val="en-US" w:eastAsia="zh-CN"/>
                      <w14:textFill>
                        <w14:solidFill>
                          <w14:schemeClr w14:val="tx1"/>
                        </w14:solidFill>
                      </w14:textFill>
                    </w:rPr>
                  </w:pPr>
                </w:p>
              </w:tc>
              <w:tc>
                <w:tcPr>
                  <w:tcW w:w="763" w:type="pct"/>
                  <w:vMerge w:val="continue"/>
                  <w:vAlign w:val="center"/>
                </w:tcPr>
                <w:p w14:paraId="11757F88">
                  <w:pPr>
                    <w:pStyle w:val="57"/>
                    <w:rPr>
                      <w:color w:val="000000" w:themeColor="text1"/>
                      <w:u w:val="none" w:color="auto"/>
                      <w14:textFill>
                        <w14:solidFill>
                          <w14:schemeClr w14:val="tx1"/>
                        </w14:solidFill>
                      </w14:textFill>
                    </w:rPr>
                  </w:pPr>
                </w:p>
              </w:tc>
              <w:tc>
                <w:tcPr>
                  <w:tcW w:w="651" w:type="pct"/>
                  <w:shd w:val="clear" w:color="auto" w:fill="auto"/>
                  <w:vAlign w:val="center"/>
                </w:tcPr>
                <w:p w14:paraId="7F9DDB79">
                  <w:pPr>
                    <w:pStyle w:val="57"/>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olor w:val="000000" w:themeColor="text1"/>
                      <w:u w:val="none" w:color="auto"/>
                      <w14:textFill>
                        <w14:solidFill>
                          <w14:schemeClr w14:val="tx1"/>
                        </w14:solidFill>
                      </w14:textFill>
                    </w:rPr>
                    <w:t>颗粒物</w:t>
                  </w:r>
                </w:p>
              </w:tc>
              <w:tc>
                <w:tcPr>
                  <w:tcW w:w="956" w:type="pct"/>
                  <w:shd w:val="clear" w:color="auto" w:fill="auto"/>
                  <w:vAlign w:val="center"/>
                </w:tcPr>
                <w:p w14:paraId="4823D902">
                  <w:pPr>
                    <w:pStyle w:val="11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32"/>
                      <w:u w:val="none" w:color="auto"/>
                      <w:lang w:val="en-US" w:eastAsia="zh-CN" w:bidi="ar-SA"/>
                      <w14:textFill>
                        <w14:solidFill>
                          <w14:schemeClr w14:val="tx1"/>
                        </w14:solidFill>
                      </w14:textFill>
                    </w:rPr>
                    <w:t>0.84</w:t>
                  </w:r>
                </w:p>
              </w:tc>
              <w:tc>
                <w:tcPr>
                  <w:tcW w:w="926" w:type="pct"/>
                  <w:shd w:val="clear" w:color="auto" w:fill="auto"/>
                  <w:vAlign w:val="center"/>
                </w:tcPr>
                <w:p w14:paraId="40A44D61">
                  <w:pPr>
                    <w:pStyle w:val="11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32"/>
                      <w:u w:val="none" w:color="auto"/>
                      <w:lang w:val="en-US" w:eastAsia="zh-CN" w:bidi="ar-SA"/>
                      <w14:textFill>
                        <w14:solidFill>
                          <w14:schemeClr w14:val="tx1"/>
                        </w14:solidFill>
                      </w14:textFill>
                    </w:rPr>
                    <w:t>0.003</w:t>
                  </w:r>
                </w:p>
              </w:tc>
              <w:tc>
                <w:tcPr>
                  <w:tcW w:w="1007" w:type="pct"/>
                  <w:shd w:val="clear" w:color="auto" w:fill="auto"/>
                  <w:vAlign w:val="center"/>
                </w:tcPr>
                <w:p w14:paraId="01083F37">
                  <w:pPr>
                    <w:pStyle w:val="11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32"/>
                      <w:u w:val="none" w:color="auto"/>
                      <w:lang w:val="en-US" w:eastAsia="zh-CN" w:bidi="ar-SA"/>
                      <w14:textFill>
                        <w14:solidFill>
                          <w14:schemeClr w14:val="tx1"/>
                        </w14:solidFill>
                      </w14:textFill>
                    </w:rPr>
                    <w:t>0.002</w:t>
                  </w:r>
                </w:p>
              </w:tc>
            </w:tr>
            <w:tr w14:paraId="59544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4" w:type="pct"/>
                  <w:vMerge w:val="restart"/>
                  <w:vAlign w:val="center"/>
                </w:tcPr>
                <w:p w14:paraId="276F6EB7">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一般排放口合计</w:t>
                  </w:r>
                </w:p>
              </w:tc>
              <w:tc>
                <w:tcPr>
                  <w:tcW w:w="3298" w:type="pct"/>
                  <w:gridSpan w:val="4"/>
                  <w:vAlign w:val="center"/>
                </w:tcPr>
                <w:p w14:paraId="78F7319A">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SO</w:t>
                  </w:r>
                  <w:r>
                    <w:rPr>
                      <w:rFonts w:hint="eastAsia"/>
                      <w:color w:val="000000" w:themeColor="text1"/>
                      <w:u w:val="none" w:color="auto"/>
                      <w:vertAlign w:val="subscript"/>
                      <w14:textFill>
                        <w14:solidFill>
                          <w14:schemeClr w14:val="tx1"/>
                        </w14:solidFill>
                      </w14:textFill>
                    </w:rPr>
                    <w:t>2</w:t>
                  </w:r>
                </w:p>
              </w:tc>
              <w:tc>
                <w:tcPr>
                  <w:tcW w:w="1007" w:type="pct"/>
                  <w:shd w:val="clear" w:color="auto" w:fill="auto"/>
                  <w:vAlign w:val="center"/>
                </w:tcPr>
                <w:p w14:paraId="3E36D9F4">
                  <w:pPr>
                    <w:widowControl/>
                    <w:jc w:val="center"/>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0.298</w:t>
                  </w:r>
                </w:p>
              </w:tc>
            </w:tr>
            <w:tr w14:paraId="519E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4" w:type="pct"/>
                  <w:vMerge w:val="continue"/>
                  <w:vAlign w:val="center"/>
                </w:tcPr>
                <w:p w14:paraId="12198C14">
                  <w:pPr>
                    <w:pStyle w:val="57"/>
                    <w:rPr>
                      <w:color w:val="000000" w:themeColor="text1"/>
                      <w:u w:val="none" w:color="auto"/>
                      <w14:textFill>
                        <w14:solidFill>
                          <w14:schemeClr w14:val="tx1"/>
                        </w14:solidFill>
                      </w14:textFill>
                    </w:rPr>
                  </w:pPr>
                </w:p>
              </w:tc>
              <w:tc>
                <w:tcPr>
                  <w:tcW w:w="3298" w:type="pct"/>
                  <w:gridSpan w:val="4"/>
                  <w:vAlign w:val="center"/>
                </w:tcPr>
                <w:p w14:paraId="791FA7C4">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NO</w:t>
                  </w:r>
                  <w:r>
                    <w:rPr>
                      <w:rFonts w:hint="eastAsia"/>
                      <w:color w:val="000000" w:themeColor="text1"/>
                      <w:u w:val="none" w:color="auto"/>
                      <w:vertAlign w:val="subscript"/>
                      <w14:textFill>
                        <w14:solidFill>
                          <w14:schemeClr w14:val="tx1"/>
                        </w14:solidFill>
                      </w14:textFill>
                    </w:rPr>
                    <w:t>x</w:t>
                  </w:r>
                </w:p>
              </w:tc>
              <w:tc>
                <w:tcPr>
                  <w:tcW w:w="1007" w:type="pct"/>
                  <w:shd w:val="clear" w:color="auto" w:fill="auto"/>
                  <w:vAlign w:val="center"/>
                </w:tcPr>
                <w:p w14:paraId="4E73F580">
                  <w:pPr>
                    <w:pStyle w:val="11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cs="Times New Roman"/>
                      <w:color w:val="000000" w:themeColor="text1"/>
                      <w:u w:val="none" w:color="auto"/>
                      <w:lang w:val="en-US" w:eastAsia="zh-CN"/>
                      <w14:textFill>
                        <w14:solidFill>
                          <w14:schemeClr w14:val="tx1"/>
                        </w14:solidFill>
                      </w14:textFill>
                    </w:rPr>
                    <w:t>0.278</w:t>
                  </w:r>
                </w:p>
              </w:tc>
            </w:tr>
            <w:tr w14:paraId="49AB0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4" w:type="pct"/>
                  <w:vMerge w:val="continue"/>
                  <w:vAlign w:val="center"/>
                </w:tcPr>
                <w:p w14:paraId="377A1909">
                  <w:pPr>
                    <w:pStyle w:val="57"/>
                    <w:rPr>
                      <w:color w:val="000000" w:themeColor="text1"/>
                      <w:u w:val="none" w:color="auto"/>
                      <w14:textFill>
                        <w14:solidFill>
                          <w14:schemeClr w14:val="tx1"/>
                        </w14:solidFill>
                      </w14:textFill>
                    </w:rPr>
                  </w:pPr>
                </w:p>
              </w:tc>
              <w:tc>
                <w:tcPr>
                  <w:tcW w:w="3298" w:type="pct"/>
                  <w:gridSpan w:val="4"/>
                  <w:vAlign w:val="center"/>
                </w:tcPr>
                <w:p w14:paraId="621F470F">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颗粒物</w:t>
                  </w:r>
                </w:p>
              </w:tc>
              <w:tc>
                <w:tcPr>
                  <w:tcW w:w="1007" w:type="pct"/>
                  <w:shd w:val="clear" w:color="auto" w:fill="auto"/>
                  <w:vAlign w:val="center"/>
                </w:tcPr>
                <w:p w14:paraId="64F5EDA7">
                  <w:pPr>
                    <w:pStyle w:val="11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32"/>
                      <w:u w:val="none" w:color="auto"/>
                      <w:lang w:val="en-US" w:eastAsia="zh-CN" w:bidi="ar-SA"/>
                      <w14:textFill>
                        <w14:solidFill>
                          <w14:schemeClr w14:val="tx1"/>
                        </w14:solidFill>
                      </w14:textFill>
                    </w:rPr>
                    <w:t>0.0196</w:t>
                  </w:r>
                </w:p>
              </w:tc>
            </w:tr>
          </w:tbl>
          <w:p w14:paraId="6929B5E6">
            <w:pPr>
              <w:pStyle w:val="34"/>
              <w:keepNext w:val="0"/>
              <w:keepLines w:val="0"/>
              <w:pageBreakBefore w:val="0"/>
              <w:widowControl w:val="0"/>
              <w:kinsoku/>
              <w:wordWrap/>
              <w:overflowPunct/>
              <w:topLinePunct w:val="0"/>
              <w:autoSpaceDE/>
              <w:autoSpaceDN/>
              <w:bidi w:val="0"/>
              <w:adjustRightInd/>
              <w:snapToGrid/>
              <w:spacing w:before="0" w:beforeLines="0"/>
              <w:textAlignment w:val="auto"/>
              <w:rPr>
                <w:rFonts w:hint="eastAsia" w:ascii="Times New Roman" w:hAnsi="Times New Roman" w:eastAsia="宋体" w:cs="Times New Roman"/>
                <w:color w:val="000000" w:themeColor="text1"/>
                <w:sz w:val="21"/>
                <w:szCs w:val="21"/>
                <w:u w:val="none" w:color="auto"/>
                <w14:textFill>
                  <w14:solidFill>
                    <w14:schemeClr w14:val="tx1"/>
                  </w14:solidFill>
                </w14:textFill>
              </w:rPr>
            </w:pPr>
            <w:r>
              <w:rPr>
                <w:rFonts w:hint="eastAsia" w:ascii="Times New Roman" w:hAnsi="Times New Roman" w:eastAsia="宋体" w:cs="Times New Roman"/>
                <w:color w:val="000000" w:themeColor="text1"/>
                <w:sz w:val="21"/>
                <w:szCs w:val="21"/>
                <w:u w:val="none" w:color="auto"/>
                <w14:textFill>
                  <w14:solidFill>
                    <w14:schemeClr w14:val="tx1"/>
                  </w14:solidFill>
                </w14:textFill>
              </w:rPr>
              <w:t>表4-4  本项目大气污染物无组织排放量核算表</w:t>
            </w:r>
          </w:p>
          <w:tbl>
            <w:tblPr>
              <w:tblStyle w:val="27"/>
              <w:tblW w:w="4998"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14"/>
              <w:gridCol w:w="1046"/>
              <w:gridCol w:w="1002"/>
              <w:gridCol w:w="2322"/>
              <w:gridCol w:w="1365"/>
              <w:gridCol w:w="943"/>
            </w:tblGrid>
            <w:tr w14:paraId="747836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4" w:type="pct"/>
                  <w:vMerge w:val="restart"/>
                  <w:tcBorders>
                    <w:top w:val="single" w:color="auto" w:sz="8" w:space="0"/>
                    <w:left w:val="single" w:color="auto" w:sz="0" w:space="0"/>
                  </w:tcBorders>
                  <w:noWrap w:val="0"/>
                  <w:vAlign w:val="center"/>
                </w:tcPr>
                <w:p w14:paraId="195F21F2">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产污环节</w:t>
                  </w:r>
                </w:p>
              </w:tc>
              <w:tc>
                <w:tcPr>
                  <w:tcW w:w="671" w:type="pct"/>
                  <w:vMerge w:val="restart"/>
                  <w:tcBorders>
                    <w:top w:val="single" w:color="auto" w:sz="8" w:space="0"/>
                  </w:tcBorders>
                  <w:noWrap w:val="0"/>
                  <w:vAlign w:val="center"/>
                </w:tcPr>
                <w:p w14:paraId="63EFF5D8">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污染物</w:t>
                  </w:r>
                </w:p>
              </w:tc>
              <w:tc>
                <w:tcPr>
                  <w:tcW w:w="642" w:type="pct"/>
                  <w:vMerge w:val="restart"/>
                  <w:tcBorders>
                    <w:top w:val="single" w:color="auto" w:sz="8" w:space="0"/>
                  </w:tcBorders>
                  <w:noWrap w:val="0"/>
                  <w:vAlign w:val="center"/>
                </w:tcPr>
                <w:p w14:paraId="6F97D6D1">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主要污染防治措施</w:t>
                  </w:r>
                </w:p>
              </w:tc>
              <w:tc>
                <w:tcPr>
                  <w:tcW w:w="2365" w:type="pct"/>
                  <w:gridSpan w:val="2"/>
                  <w:tcBorders>
                    <w:top w:val="single" w:color="auto" w:sz="8" w:space="0"/>
                  </w:tcBorders>
                  <w:noWrap w:val="0"/>
                  <w:vAlign w:val="center"/>
                </w:tcPr>
                <w:p w14:paraId="6FB415E4">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国家或地方污染物排放标准</w:t>
                  </w:r>
                </w:p>
              </w:tc>
              <w:tc>
                <w:tcPr>
                  <w:tcW w:w="605" w:type="pct"/>
                  <w:vMerge w:val="restart"/>
                  <w:tcBorders>
                    <w:top w:val="single" w:color="auto" w:sz="8" w:space="0"/>
                    <w:right w:val="single" w:color="auto" w:sz="8" w:space="0"/>
                  </w:tcBorders>
                  <w:noWrap w:val="0"/>
                  <w:vAlign w:val="center"/>
                </w:tcPr>
                <w:p w14:paraId="2D20A302">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年排放量/t/a</w:t>
                  </w:r>
                </w:p>
              </w:tc>
            </w:tr>
            <w:tr w14:paraId="143D43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4" w:type="pct"/>
                  <w:vMerge w:val="continue"/>
                  <w:tcBorders>
                    <w:left w:val="single" w:color="auto" w:sz="4" w:space="0"/>
                  </w:tcBorders>
                  <w:noWrap w:val="0"/>
                  <w:vAlign w:val="center"/>
                </w:tcPr>
                <w:p w14:paraId="79746691">
                  <w:pPr>
                    <w:pStyle w:val="57"/>
                    <w:rPr>
                      <w:rFonts w:hint="eastAsia" w:ascii="Times New Roman" w:hAnsi="Times New Roman" w:eastAsia="宋体"/>
                      <w:color w:val="000000" w:themeColor="text1"/>
                      <w:u w:val="none" w:color="auto"/>
                      <w14:textFill>
                        <w14:solidFill>
                          <w14:schemeClr w14:val="tx1"/>
                        </w14:solidFill>
                      </w14:textFill>
                    </w:rPr>
                  </w:pPr>
                </w:p>
              </w:tc>
              <w:tc>
                <w:tcPr>
                  <w:tcW w:w="671" w:type="pct"/>
                  <w:vMerge w:val="continue"/>
                  <w:noWrap w:val="0"/>
                  <w:vAlign w:val="center"/>
                </w:tcPr>
                <w:p w14:paraId="59129E2E">
                  <w:pPr>
                    <w:pStyle w:val="57"/>
                    <w:rPr>
                      <w:rFonts w:hint="eastAsia" w:ascii="Times New Roman" w:hAnsi="Times New Roman" w:eastAsia="宋体"/>
                      <w:color w:val="000000" w:themeColor="text1"/>
                      <w:u w:val="none" w:color="auto"/>
                      <w14:textFill>
                        <w14:solidFill>
                          <w14:schemeClr w14:val="tx1"/>
                        </w14:solidFill>
                      </w14:textFill>
                    </w:rPr>
                  </w:pPr>
                </w:p>
              </w:tc>
              <w:tc>
                <w:tcPr>
                  <w:tcW w:w="642" w:type="pct"/>
                  <w:vMerge w:val="continue"/>
                  <w:noWrap w:val="0"/>
                  <w:vAlign w:val="center"/>
                </w:tcPr>
                <w:p w14:paraId="44DC2D19">
                  <w:pPr>
                    <w:pStyle w:val="57"/>
                    <w:rPr>
                      <w:rFonts w:hint="eastAsia" w:ascii="Times New Roman" w:hAnsi="Times New Roman" w:eastAsia="宋体"/>
                      <w:color w:val="000000" w:themeColor="text1"/>
                      <w:u w:val="none" w:color="auto"/>
                      <w14:textFill>
                        <w14:solidFill>
                          <w14:schemeClr w14:val="tx1"/>
                        </w14:solidFill>
                      </w14:textFill>
                    </w:rPr>
                  </w:pPr>
                </w:p>
              </w:tc>
              <w:tc>
                <w:tcPr>
                  <w:tcW w:w="1489" w:type="pct"/>
                  <w:noWrap w:val="0"/>
                  <w:vAlign w:val="center"/>
                </w:tcPr>
                <w:p w14:paraId="27B2E690">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标准名称</w:t>
                  </w:r>
                </w:p>
              </w:tc>
              <w:tc>
                <w:tcPr>
                  <w:tcW w:w="875" w:type="pct"/>
                  <w:noWrap w:val="0"/>
                  <w:vAlign w:val="center"/>
                </w:tcPr>
                <w:p w14:paraId="6D467F2A">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浓度限值/（mg/m</w:t>
                  </w:r>
                  <w:r>
                    <w:rPr>
                      <w:rFonts w:hint="eastAsia" w:ascii="Times New Roman" w:hAnsi="Times New Roman" w:eastAsia="宋体"/>
                      <w:color w:val="000000" w:themeColor="text1"/>
                      <w:u w:val="none" w:color="auto"/>
                      <w:vertAlign w:val="superscript"/>
                      <w14:textFill>
                        <w14:solidFill>
                          <w14:schemeClr w14:val="tx1"/>
                        </w14:solidFill>
                      </w14:textFill>
                    </w:rPr>
                    <w:t>3</w:t>
                  </w:r>
                  <w:r>
                    <w:rPr>
                      <w:rFonts w:hint="eastAsia" w:ascii="Times New Roman" w:hAnsi="Times New Roman" w:eastAsia="宋体"/>
                      <w:color w:val="000000" w:themeColor="text1"/>
                      <w:u w:val="none" w:color="auto"/>
                      <w14:textFill>
                        <w14:solidFill>
                          <w14:schemeClr w14:val="tx1"/>
                        </w14:solidFill>
                      </w14:textFill>
                    </w:rPr>
                    <w:t>）</w:t>
                  </w:r>
                </w:p>
              </w:tc>
              <w:tc>
                <w:tcPr>
                  <w:tcW w:w="605" w:type="pct"/>
                  <w:vMerge w:val="continue"/>
                  <w:tcBorders>
                    <w:right w:val="single" w:color="auto" w:sz="8" w:space="0"/>
                  </w:tcBorders>
                  <w:noWrap w:val="0"/>
                  <w:vAlign w:val="center"/>
                </w:tcPr>
                <w:p w14:paraId="44F37CEA">
                  <w:pPr>
                    <w:pStyle w:val="57"/>
                    <w:rPr>
                      <w:rFonts w:hint="eastAsia" w:ascii="Times New Roman" w:hAnsi="Times New Roman" w:eastAsia="宋体"/>
                      <w:color w:val="000000" w:themeColor="text1"/>
                      <w:u w:val="none" w:color="auto"/>
                      <w14:textFill>
                        <w14:solidFill>
                          <w14:schemeClr w14:val="tx1"/>
                        </w14:solidFill>
                      </w14:textFill>
                    </w:rPr>
                  </w:pPr>
                </w:p>
              </w:tc>
            </w:tr>
            <w:tr w14:paraId="44ECD7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4" w:type="pct"/>
                  <w:tcBorders>
                    <w:left w:val="single" w:color="auto" w:sz="4" w:space="0"/>
                  </w:tcBorders>
                  <w:noWrap w:val="0"/>
                  <w:vAlign w:val="center"/>
                </w:tcPr>
                <w:p w14:paraId="1C39A10E">
                  <w:pPr>
                    <w:jc w:val="center"/>
                    <w:rPr>
                      <w:rFonts w:hint="default" w:ascii="Times New Roman" w:hAnsi="Times New Roman" w:eastAsia="宋体"/>
                      <w:color w:val="000000" w:themeColor="text1"/>
                      <w:u w:val="none" w:color="auto"/>
                      <w:lang w:val="en-US" w:eastAsia="zh-CN"/>
                      <w14:textFill>
                        <w14:solidFill>
                          <w14:schemeClr w14:val="tx1"/>
                        </w14:solidFill>
                      </w14:textFill>
                    </w:rPr>
                  </w:pPr>
                  <w:r>
                    <w:rPr>
                      <w:rFonts w:hint="eastAsia" w:ascii="宋体" w:hAnsi="宋体" w:eastAsia="宋体" w:cs="宋体"/>
                      <w:color w:val="000000" w:themeColor="text1"/>
                      <w:u w:val="none" w:color="auto"/>
                      <w:lang w:val="en-US" w:eastAsia="zh-CN"/>
                      <w14:textFill>
                        <w14:solidFill>
                          <w14:schemeClr w14:val="tx1"/>
                        </w14:solidFill>
                      </w14:textFill>
                    </w:rPr>
                    <w:t>断料、开片、成型工序</w:t>
                  </w:r>
                </w:p>
              </w:tc>
              <w:tc>
                <w:tcPr>
                  <w:tcW w:w="671" w:type="pct"/>
                  <w:noWrap w:val="0"/>
                  <w:vAlign w:val="center"/>
                </w:tcPr>
                <w:p w14:paraId="209527A7">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颗粒物</w:t>
                  </w:r>
                </w:p>
              </w:tc>
              <w:tc>
                <w:tcPr>
                  <w:tcW w:w="642" w:type="pct"/>
                  <w:noWrap w:val="0"/>
                  <w:vAlign w:val="center"/>
                </w:tcPr>
                <w:p w14:paraId="54C88E2B">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lang w:val="en-US" w:eastAsia="zh-CN"/>
                      <w14:textFill>
                        <w14:solidFill>
                          <w14:schemeClr w14:val="tx1"/>
                        </w14:solidFill>
                      </w14:textFill>
                    </w:rPr>
                    <w:t>洒水降尘</w:t>
                  </w:r>
                  <w:r>
                    <w:rPr>
                      <w:rFonts w:hint="eastAsia" w:ascii="Times New Roman" w:hAnsi="Times New Roman" w:eastAsia="宋体"/>
                      <w:color w:val="000000" w:themeColor="text1"/>
                      <w:u w:val="none" w:color="auto"/>
                      <w14:textFill>
                        <w14:solidFill>
                          <w14:schemeClr w14:val="tx1"/>
                        </w14:solidFill>
                      </w14:textFill>
                    </w:rPr>
                    <w:t>、加强通风</w:t>
                  </w:r>
                </w:p>
              </w:tc>
              <w:tc>
                <w:tcPr>
                  <w:tcW w:w="1489" w:type="pct"/>
                  <w:vMerge w:val="restart"/>
                  <w:noWrap w:val="0"/>
                  <w:vAlign w:val="center"/>
                </w:tcPr>
                <w:p w14:paraId="41668360">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《大气污染物综合排放标准》GB16297-1996</w:t>
                  </w:r>
                </w:p>
              </w:tc>
              <w:tc>
                <w:tcPr>
                  <w:tcW w:w="875" w:type="pct"/>
                  <w:noWrap w:val="0"/>
                  <w:vAlign w:val="center"/>
                </w:tcPr>
                <w:p w14:paraId="5AA4236E">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1.0</w:t>
                  </w:r>
                </w:p>
              </w:tc>
              <w:tc>
                <w:tcPr>
                  <w:tcW w:w="605" w:type="pct"/>
                  <w:tcBorders>
                    <w:right w:val="single" w:color="auto" w:sz="8" w:space="0"/>
                  </w:tcBorders>
                  <w:shd w:val="clear" w:color="auto" w:fill="auto"/>
                  <w:noWrap w:val="0"/>
                  <w:vAlign w:val="center"/>
                </w:tcPr>
                <w:p w14:paraId="283690AC">
                  <w:pPr>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0.1584</w:t>
                  </w:r>
                </w:p>
              </w:tc>
            </w:tr>
            <w:tr w14:paraId="3EC4D4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4" w:type="pct"/>
                  <w:tcBorders>
                    <w:left w:val="single" w:color="auto" w:sz="4" w:space="0"/>
                  </w:tcBorders>
                  <w:noWrap w:val="0"/>
                  <w:vAlign w:val="center"/>
                </w:tcPr>
                <w:p w14:paraId="4671708B">
                  <w:pPr>
                    <w:pStyle w:val="117"/>
                    <w:rPr>
                      <w:rFonts w:hint="eastAsia" w:ascii="Times New Roman" w:hAnsi="Times New Roman" w:eastAsia="宋体"/>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拉丝工序</w:t>
                  </w:r>
                </w:p>
              </w:tc>
              <w:tc>
                <w:tcPr>
                  <w:tcW w:w="671" w:type="pct"/>
                  <w:shd w:val="clear" w:color="auto" w:fill="auto"/>
                  <w:noWrap w:val="0"/>
                  <w:vAlign w:val="center"/>
                </w:tcPr>
                <w:p w14:paraId="0ED94E9E">
                  <w:pPr>
                    <w:pStyle w:val="57"/>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颗粒物</w:t>
                  </w:r>
                </w:p>
              </w:tc>
              <w:tc>
                <w:tcPr>
                  <w:tcW w:w="642" w:type="pct"/>
                  <w:shd w:val="clear" w:color="auto" w:fill="auto"/>
                  <w:noWrap w:val="0"/>
                  <w:vAlign w:val="center"/>
                </w:tcPr>
                <w:p w14:paraId="47DD9BE9">
                  <w:pPr>
                    <w:pStyle w:val="57"/>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eastAsia="宋体"/>
                      <w:color w:val="000000" w:themeColor="text1"/>
                      <w:u w:val="none" w:color="auto"/>
                      <w:lang w:val="en-US" w:eastAsia="zh-CN"/>
                      <w14:textFill>
                        <w14:solidFill>
                          <w14:schemeClr w14:val="tx1"/>
                        </w14:solidFill>
                      </w14:textFill>
                    </w:rPr>
                    <w:t>洒水降尘</w:t>
                  </w:r>
                  <w:r>
                    <w:rPr>
                      <w:rFonts w:hint="eastAsia" w:ascii="Times New Roman" w:hAnsi="Times New Roman" w:eastAsia="宋体"/>
                      <w:color w:val="000000" w:themeColor="text1"/>
                      <w:u w:val="none" w:color="auto"/>
                      <w14:textFill>
                        <w14:solidFill>
                          <w14:schemeClr w14:val="tx1"/>
                        </w14:solidFill>
                      </w14:textFill>
                    </w:rPr>
                    <w:t>、加强通风</w:t>
                  </w:r>
                </w:p>
              </w:tc>
              <w:tc>
                <w:tcPr>
                  <w:tcW w:w="1489" w:type="pct"/>
                  <w:vMerge w:val="continue"/>
                  <w:noWrap w:val="0"/>
                  <w:vAlign w:val="center"/>
                </w:tcPr>
                <w:p w14:paraId="3BAD3509">
                  <w:pPr>
                    <w:pStyle w:val="57"/>
                    <w:rPr>
                      <w:rFonts w:hint="eastAsia" w:ascii="Times New Roman" w:hAnsi="Times New Roman" w:eastAsia="宋体"/>
                      <w:color w:val="000000" w:themeColor="text1"/>
                      <w:u w:val="none" w:color="auto"/>
                      <w14:textFill>
                        <w14:solidFill>
                          <w14:schemeClr w14:val="tx1"/>
                        </w14:solidFill>
                      </w14:textFill>
                    </w:rPr>
                  </w:pPr>
                </w:p>
              </w:tc>
              <w:tc>
                <w:tcPr>
                  <w:tcW w:w="875" w:type="pct"/>
                  <w:noWrap w:val="0"/>
                  <w:vAlign w:val="center"/>
                </w:tcPr>
                <w:p w14:paraId="7CF3EFE2">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1.0</w:t>
                  </w:r>
                </w:p>
              </w:tc>
              <w:tc>
                <w:tcPr>
                  <w:tcW w:w="605" w:type="pct"/>
                  <w:tcBorders>
                    <w:right w:val="single" w:color="auto" w:sz="8" w:space="0"/>
                  </w:tcBorders>
                  <w:shd w:val="clear" w:color="auto" w:fill="auto"/>
                  <w:noWrap w:val="0"/>
                  <w:vAlign w:val="center"/>
                </w:tcPr>
                <w:p w14:paraId="1C4BB64A">
                  <w:pPr>
                    <w:jc w:val="center"/>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0.176</w:t>
                  </w:r>
                </w:p>
              </w:tc>
            </w:tr>
            <w:tr w14:paraId="49AFD4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4" w:type="pct"/>
                  <w:tcBorders>
                    <w:left w:val="single" w:color="auto" w:sz="4" w:space="0"/>
                  </w:tcBorders>
                  <w:noWrap w:val="0"/>
                  <w:vAlign w:val="center"/>
                </w:tcPr>
                <w:p w14:paraId="31387F7E">
                  <w:pPr>
                    <w:pStyle w:val="57"/>
                    <w:rPr>
                      <w:rFonts w:hint="eastAsia" w:ascii="Times New Roman" w:hAnsi="Times New Roman" w:eastAsia="宋体"/>
                      <w:color w:val="000000" w:themeColor="text1"/>
                      <w:u w:val="none" w:color="auto"/>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脱硝</w:t>
                  </w:r>
                </w:p>
              </w:tc>
              <w:tc>
                <w:tcPr>
                  <w:tcW w:w="671" w:type="pct"/>
                  <w:noWrap w:val="0"/>
                  <w:vAlign w:val="center"/>
                </w:tcPr>
                <w:p w14:paraId="471156D0">
                  <w:pPr>
                    <w:pStyle w:val="57"/>
                    <w:rPr>
                      <w:rFonts w:hint="eastAsia" w:ascii="Times New Roman" w:hAnsi="Times New Roman" w:eastAsia="宋体"/>
                      <w:color w:val="000000" w:themeColor="text1"/>
                      <w:u w:val="none" w:color="auto"/>
                      <w14:textFill>
                        <w14:solidFill>
                          <w14:schemeClr w14:val="tx1"/>
                        </w14:solidFill>
                      </w14:textFill>
                    </w:rPr>
                  </w:pPr>
                  <w:r>
                    <w:rPr>
                      <w:rFonts w:hint="default" w:ascii="Times New Roman" w:hAnsi="Times New Roman" w:eastAsia="宋体"/>
                      <w:color w:val="000000" w:themeColor="text1"/>
                      <w:u w:val="none" w:color="auto"/>
                      <w14:textFill>
                        <w14:solidFill>
                          <w14:schemeClr w14:val="tx1"/>
                        </w14:solidFill>
                      </w14:textFill>
                    </w:rPr>
                    <w:t>氨</w:t>
                  </w:r>
                </w:p>
              </w:tc>
              <w:tc>
                <w:tcPr>
                  <w:tcW w:w="642" w:type="pct"/>
                  <w:noWrap w:val="0"/>
                  <w:vAlign w:val="center"/>
                </w:tcPr>
                <w:p w14:paraId="566D9D0E">
                  <w:pPr>
                    <w:pStyle w:val="57"/>
                    <w:rPr>
                      <w:rFonts w:hint="default" w:ascii="Times New Roman" w:hAnsi="Times New Roman" w:eastAsia="宋体"/>
                      <w:color w:val="000000" w:themeColor="text1"/>
                      <w:u w:val="none" w:color="auto"/>
                      <w:lang w:val="en-US" w:eastAsia="zh-CN"/>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及时调节喷入的还原剂量</w:t>
                  </w:r>
                </w:p>
              </w:tc>
              <w:tc>
                <w:tcPr>
                  <w:tcW w:w="1489" w:type="pct"/>
                  <w:noWrap w:val="0"/>
                  <w:vAlign w:val="center"/>
                </w:tcPr>
                <w:p w14:paraId="53F66766">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《火电厂烟气脱硝工程技术规范选择性非催化还原法（HJ563-2010）》氨逃逸的规定</w:t>
                  </w:r>
                </w:p>
              </w:tc>
              <w:tc>
                <w:tcPr>
                  <w:tcW w:w="875" w:type="pct"/>
                  <w:noWrap w:val="0"/>
                  <w:vAlign w:val="center"/>
                </w:tcPr>
                <w:p w14:paraId="17872702">
                  <w:pPr>
                    <w:pStyle w:val="57"/>
                    <w:rPr>
                      <w:rFonts w:hint="eastAsia" w:ascii="Times New Roman" w:hAnsi="Times New Roman" w:eastAsia="宋体"/>
                      <w:color w:val="000000" w:themeColor="text1"/>
                      <w:u w:val="none" w:color="auto"/>
                      <w:lang w:val="en-US" w:eastAsia="zh-CN"/>
                      <w14:textFill>
                        <w14:solidFill>
                          <w14:schemeClr w14:val="tx1"/>
                        </w14:solidFill>
                      </w14:textFill>
                    </w:rPr>
                  </w:pPr>
                  <w:r>
                    <w:rPr>
                      <w:rFonts w:hint="eastAsia" w:ascii="Times New Roman" w:hAnsi="Times New Roman" w:eastAsia="宋体"/>
                      <w:color w:val="000000" w:themeColor="text1"/>
                      <w:u w:val="none" w:color="auto"/>
                      <w:lang w:val="en-US" w:eastAsia="zh-CN"/>
                      <w14:textFill>
                        <w14:solidFill>
                          <w14:schemeClr w14:val="tx1"/>
                        </w14:solidFill>
                      </w14:textFill>
                    </w:rPr>
                    <w:t>8</w:t>
                  </w:r>
                </w:p>
              </w:tc>
              <w:tc>
                <w:tcPr>
                  <w:tcW w:w="605" w:type="pct"/>
                  <w:tcBorders>
                    <w:right w:val="single" w:color="auto" w:sz="8" w:space="0"/>
                  </w:tcBorders>
                  <w:noWrap w:val="0"/>
                  <w:vAlign w:val="center"/>
                </w:tcPr>
                <w:p w14:paraId="56CCD318">
                  <w:pPr>
                    <w:pStyle w:val="57"/>
                    <w:rPr>
                      <w:rFonts w:hint="eastAsia" w:ascii="Times New Roman" w:hAnsi="Times New Roman" w:eastAsia="宋体"/>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0.01</w:t>
                  </w:r>
                  <w:r>
                    <w:rPr>
                      <w:rFonts w:hint="eastAsia" w:cs="Times New Roman"/>
                      <w:b w:val="0"/>
                      <w:bCs w:val="0"/>
                      <w:color w:val="000000" w:themeColor="text1"/>
                      <w:sz w:val="21"/>
                      <w:szCs w:val="21"/>
                      <w:lang w:val="en-US" w:eastAsia="zh-CN"/>
                      <w14:textFill>
                        <w14:solidFill>
                          <w14:schemeClr w14:val="tx1"/>
                        </w14:solidFill>
                      </w14:textFill>
                    </w:rPr>
                    <w:t>4</w:t>
                  </w:r>
                </w:p>
              </w:tc>
            </w:tr>
            <w:tr w14:paraId="4A9CDD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6"/>
                  <w:tcBorders>
                    <w:left w:val="single" w:color="auto" w:sz="4" w:space="0"/>
                    <w:right w:val="single" w:color="auto" w:sz="8" w:space="0"/>
                  </w:tcBorders>
                  <w:noWrap w:val="0"/>
                  <w:vAlign w:val="center"/>
                </w:tcPr>
                <w:p w14:paraId="7054200A">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无组织排放总计</w:t>
                  </w:r>
                </w:p>
              </w:tc>
            </w:tr>
            <w:tr w14:paraId="32A22D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8" w:type="pct"/>
                  <w:gridSpan w:val="4"/>
                  <w:tcBorders>
                    <w:left w:val="single" w:color="auto" w:sz="4" w:space="0"/>
                  </w:tcBorders>
                  <w:noWrap w:val="0"/>
                  <w:vAlign w:val="center"/>
                </w:tcPr>
                <w:p w14:paraId="4CCC7C5B">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颗粒物</w:t>
                  </w:r>
                </w:p>
              </w:tc>
              <w:tc>
                <w:tcPr>
                  <w:tcW w:w="1481" w:type="pct"/>
                  <w:gridSpan w:val="2"/>
                  <w:tcBorders>
                    <w:right w:val="single" w:color="auto" w:sz="8" w:space="0"/>
                  </w:tcBorders>
                  <w:noWrap w:val="0"/>
                  <w:vAlign w:val="center"/>
                </w:tcPr>
                <w:p w14:paraId="046F9D41">
                  <w:pPr>
                    <w:pStyle w:val="57"/>
                    <w:rPr>
                      <w:rFonts w:hint="default" w:ascii="Times New Roman" w:hAnsi="Times New Roman" w:eastAsia="宋体"/>
                      <w:color w:val="000000" w:themeColor="text1"/>
                      <w:u w:val="none" w:color="auto"/>
                      <w:lang w:val="en-US"/>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0.3344</w:t>
                  </w:r>
                </w:p>
              </w:tc>
            </w:tr>
            <w:tr w14:paraId="6F9BF5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8" w:type="pct"/>
                  <w:gridSpan w:val="4"/>
                  <w:tcBorders>
                    <w:left w:val="single" w:color="auto" w:sz="4" w:space="0"/>
                    <w:bottom w:val="single" w:color="auto" w:sz="8" w:space="0"/>
                  </w:tcBorders>
                  <w:noWrap w:val="0"/>
                  <w:vAlign w:val="center"/>
                </w:tcPr>
                <w:p w14:paraId="1821D873">
                  <w:pPr>
                    <w:pStyle w:val="57"/>
                    <w:rPr>
                      <w:rFonts w:hint="eastAsia" w:ascii="Times New Roman" w:hAnsi="Times New Roman" w:eastAsia="宋体"/>
                      <w:color w:val="000000" w:themeColor="text1"/>
                      <w:u w:val="none" w:color="auto"/>
                      <w14:textFill>
                        <w14:solidFill>
                          <w14:schemeClr w14:val="tx1"/>
                        </w14:solidFill>
                      </w14:textFill>
                    </w:rPr>
                  </w:pPr>
                  <w:r>
                    <w:rPr>
                      <w:rFonts w:hint="default" w:ascii="Times New Roman" w:hAnsi="Times New Roman" w:eastAsia="宋体"/>
                      <w:color w:val="000000" w:themeColor="text1"/>
                      <w:u w:val="none" w:color="auto"/>
                      <w14:textFill>
                        <w14:solidFill>
                          <w14:schemeClr w14:val="tx1"/>
                        </w14:solidFill>
                      </w14:textFill>
                    </w:rPr>
                    <w:t>氨</w:t>
                  </w:r>
                </w:p>
              </w:tc>
              <w:tc>
                <w:tcPr>
                  <w:tcW w:w="1481" w:type="pct"/>
                  <w:gridSpan w:val="2"/>
                  <w:tcBorders>
                    <w:bottom w:val="single" w:color="auto" w:sz="8" w:space="0"/>
                    <w:right w:val="single" w:color="auto" w:sz="8" w:space="0"/>
                  </w:tcBorders>
                  <w:noWrap w:val="0"/>
                  <w:vAlign w:val="center"/>
                </w:tcPr>
                <w:p w14:paraId="4D00695C">
                  <w:pPr>
                    <w:pStyle w:val="57"/>
                    <w:rPr>
                      <w:rFonts w:hint="eastAsia" w:ascii="Times New Roman" w:hAnsi="Times New Roman" w:eastAsia="宋体"/>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0.01</w:t>
                  </w:r>
                  <w:r>
                    <w:rPr>
                      <w:rFonts w:hint="eastAsia" w:cs="Times New Roman"/>
                      <w:b w:val="0"/>
                      <w:bCs w:val="0"/>
                      <w:color w:val="000000" w:themeColor="text1"/>
                      <w:sz w:val="21"/>
                      <w:szCs w:val="21"/>
                      <w:lang w:val="en-US" w:eastAsia="zh-CN"/>
                      <w14:textFill>
                        <w14:solidFill>
                          <w14:schemeClr w14:val="tx1"/>
                        </w14:solidFill>
                      </w14:textFill>
                    </w:rPr>
                    <w:t>4</w:t>
                  </w:r>
                </w:p>
              </w:tc>
            </w:tr>
          </w:tbl>
          <w:p w14:paraId="7F8A1EA2">
            <w:pPr>
              <w:pStyle w:val="34"/>
              <w:spacing w:before="156"/>
              <w:rPr>
                <w:color w:val="000000" w:themeColor="text1"/>
                <w:sz w:val="21"/>
                <w:szCs w:val="21"/>
                <w:u w:val="none" w:color="auto"/>
                <w14:textFill>
                  <w14:solidFill>
                    <w14:schemeClr w14:val="tx1"/>
                  </w14:solidFill>
                </w14:textFill>
              </w:rPr>
            </w:pPr>
            <w:r>
              <w:rPr>
                <w:rFonts w:hint="eastAsia"/>
                <w:color w:val="000000" w:themeColor="text1"/>
                <w:sz w:val="21"/>
                <w:szCs w:val="21"/>
                <w:u w:val="none" w:color="auto"/>
                <w14:textFill>
                  <w14:solidFill>
                    <w14:schemeClr w14:val="tx1"/>
                  </w14:solidFill>
                </w14:textFill>
              </w:rPr>
              <w:t>表4-</w:t>
            </w:r>
            <w:r>
              <w:rPr>
                <w:rFonts w:hint="eastAsia"/>
                <w:color w:val="000000" w:themeColor="text1"/>
                <w:sz w:val="21"/>
                <w:szCs w:val="21"/>
                <w:u w:val="none" w:color="auto"/>
                <w:lang w:val="en-US" w:eastAsia="zh-CN"/>
                <w14:textFill>
                  <w14:solidFill>
                    <w14:schemeClr w14:val="tx1"/>
                  </w14:solidFill>
                </w14:textFill>
              </w:rPr>
              <w:t xml:space="preserve">5  </w:t>
            </w:r>
            <w:r>
              <w:rPr>
                <w:rFonts w:hint="eastAsia"/>
                <w:color w:val="000000" w:themeColor="text1"/>
                <w:sz w:val="21"/>
                <w:szCs w:val="21"/>
                <w:u w:val="none" w:color="auto"/>
                <w14:textFill>
                  <w14:solidFill>
                    <w14:schemeClr w14:val="tx1"/>
                  </w14:solidFill>
                </w14:textFill>
              </w:rPr>
              <w:t>大气污染物年排放量核算表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0"/>
              <w:gridCol w:w="2942"/>
              <w:gridCol w:w="3083"/>
            </w:tblGrid>
            <w:tr w14:paraId="1C7B5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130" w:type="pct"/>
                  <w:vAlign w:val="center"/>
                </w:tcPr>
                <w:p w14:paraId="70C63585">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序号</w:t>
                  </w:r>
                </w:p>
              </w:tc>
              <w:tc>
                <w:tcPr>
                  <w:tcW w:w="1889" w:type="pct"/>
                  <w:vAlign w:val="center"/>
                </w:tcPr>
                <w:p w14:paraId="7F001524">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污染物</w:t>
                  </w:r>
                </w:p>
              </w:tc>
              <w:tc>
                <w:tcPr>
                  <w:tcW w:w="1980" w:type="pct"/>
                  <w:vAlign w:val="center"/>
                </w:tcPr>
                <w:p w14:paraId="41380096">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年排放量/（t/a</w:t>
                  </w:r>
                  <w:r>
                    <w:rPr>
                      <w:rFonts w:hint="eastAsia"/>
                      <w:color w:val="000000" w:themeColor="text1"/>
                      <w:u w:val="none" w:color="auto"/>
                      <w14:textFill>
                        <w14:solidFill>
                          <w14:schemeClr w14:val="tx1"/>
                        </w14:solidFill>
                      </w14:textFill>
                    </w:rPr>
                    <w:t>）</w:t>
                  </w:r>
                </w:p>
              </w:tc>
            </w:tr>
            <w:tr w14:paraId="780BA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0" w:type="pct"/>
                  <w:vAlign w:val="center"/>
                </w:tcPr>
                <w:p w14:paraId="42481396">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1</w:t>
                  </w:r>
                </w:p>
              </w:tc>
              <w:tc>
                <w:tcPr>
                  <w:tcW w:w="1889" w:type="pct"/>
                  <w:vAlign w:val="center"/>
                </w:tcPr>
                <w:p w14:paraId="6224357C">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SO</w:t>
                  </w:r>
                  <w:r>
                    <w:rPr>
                      <w:rFonts w:hint="eastAsia"/>
                      <w:color w:val="000000" w:themeColor="text1"/>
                      <w:u w:val="none" w:color="auto"/>
                      <w:vertAlign w:val="subscript"/>
                      <w14:textFill>
                        <w14:solidFill>
                          <w14:schemeClr w14:val="tx1"/>
                        </w14:solidFill>
                      </w14:textFill>
                    </w:rPr>
                    <w:t>2</w:t>
                  </w:r>
                </w:p>
              </w:tc>
              <w:tc>
                <w:tcPr>
                  <w:tcW w:w="3083" w:type="dxa"/>
                  <w:shd w:val="clear" w:color="auto" w:fill="auto"/>
                  <w:vAlign w:val="center"/>
                </w:tcPr>
                <w:p w14:paraId="2224C7A4">
                  <w:pPr>
                    <w:widowControl/>
                    <w:jc w:val="center"/>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0.298</w:t>
                  </w:r>
                </w:p>
              </w:tc>
            </w:tr>
            <w:tr w14:paraId="1CF80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0" w:type="pct"/>
                  <w:vAlign w:val="center"/>
                </w:tcPr>
                <w:p w14:paraId="710B5C71">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2</w:t>
                  </w:r>
                </w:p>
              </w:tc>
              <w:tc>
                <w:tcPr>
                  <w:tcW w:w="1889" w:type="pct"/>
                  <w:vAlign w:val="center"/>
                </w:tcPr>
                <w:p w14:paraId="5BE65376">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NO</w:t>
                  </w:r>
                  <w:r>
                    <w:rPr>
                      <w:rFonts w:hint="eastAsia"/>
                      <w:color w:val="000000" w:themeColor="text1"/>
                      <w:u w:val="none" w:color="auto"/>
                      <w:vertAlign w:val="subscript"/>
                      <w14:textFill>
                        <w14:solidFill>
                          <w14:schemeClr w14:val="tx1"/>
                        </w14:solidFill>
                      </w14:textFill>
                    </w:rPr>
                    <w:t>x</w:t>
                  </w:r>
                </w:p>
              </w:tc>
              <w:tc>
                <w:tcPr>
                  <w:tcW w:w="3083" w:type="dxa"/>
                  <w:shd w:val="clear" w:color="auto" w:fill="auto"/>
                  <w:vAlign w:val="center"/>
                </w:tcPr>
                <w:p w14:paraId="2E1CABD0">
                  <w:pPr>
                    <w:pStyle w:val="11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cs="Times New Roman"/>
                      <w:color w:val="000000" w:themeColor="text1"/>
                      <w:u w:val="none" w:color="auto"/>
                      <w:lang w:val="en-US" w:eastAsia="zh-CN"/>
                      <w14:textFill>
                        <w14:solidFill>
                          <w14:schemeClr w14:val="tx1"/>
                        </w14:solidFill>
                      </w14:textFill>
                    </w:rPr>
                    <w:t>0.278</w:t>
                  </w:r>
                </w:p>
              </w:tc>
            </w:tr>
            <w:tr w14:paraId="4C33F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0" w:type="pct"/>
                  <w:vAlign w:val="center"/>
                </w:tcPr>
                <w:p w14:paraId="72D0A0AB">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3</w:t>
                  </w:r>
                </w:p>
              </w:tc>
              <w:tc>
                <w:tcPr>
                  <w:tcW w:w="1889" w:type="pct"/>
                  <w:vAlign w:val="center"/>
                </w:tcPr>
                <w:p w14:paraId="48B0C797">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颗粒物</w:t>
                  </w:r>
                </w:p>
              </w:tc>
              <w:tc>
                <w:tcPr>
                  <w:tcW w:w="1980" w:type="pct"/>
                  <w:shd w:val="clear" w:color="auto" w:fill="auto"/>
                  <w:vAlign w:val="center"/>
                </w:tcPr>
                <w:p w14:paraId="40E5D548">
                  <w:pPr>
                    <w:pStyle w:val="5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hAnsi="宋体"/>
                      <w:color w:val="000000" w:themeColor="text1"/>
                      <w:u w:val="none" w:color="auto"/>
                      <w:lang w:val="en-US" w:eastAsia="zh-CN"/>
                      <w14:textFill>
                        <w14:solidFill>
                          <w14:schemeClr w14:val="tx1"/>
                        </w14:solidFill>
                      </w14:textFill>
                    </w:rPr>
                    <w:t>0.354</w:t>
                  </w:r>
                </w:p>
              </w:tc>
            </w:tr>
            <w:tr w14:paraId="11B6D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0" w:type="pct"/>
                  <w:vAlign w:val="center"/>
                </w:tcPr>
                <w:p w14:paraId="7780E2A5">
                  <w:pPr>
                    <w:pStyle w:val="57"/>
                    <w:rPr>
                      <w:rFonts w:hint="eastAsia"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4</w:t>
                  </w:r>
                </w:p>
              </w:tc>
              <w:tc>
                <w:tcPr>
                  <w:tcW w:w="1889" w:type="pct"/>
                  <w:shd w:val="clear" w:color="auto" w:fill="auto"/>
                  <w:vAlign w:val="center"/>
                </w:tcPr>
                <w:p w14:paraId="5FC7A94B">
                  <w:pPr>
                    <w:pStyle w:val="57"/>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default" w:ascii="Times New Roman" w:hAnsi="Times New Roman" w:eastAsia="宋体"/>
                      <w:color w:val="000000" w:themeColor="text1"/>
                      <w:u w:val="none" w:color="auto"/>
                      <w14:textFill>
                        <w14:solidFill>
                          <w14:schemeClr w14:val="tx1"/>
                        </w14:solidFill>
                      </w14:textFill>
                    </w:rPr>
                    <w:t>氨</w:t>
                  </w:r>
                </w:p>
              </w:tc>
              <w:tc>
                <w:tcPr>
                  <w:tcW w:w="1980" w:type="pct"/>
                  <w:shd w:val="clear" w:color="auto" w:fill="auto"/>
                  <w:vAlign w:val="center"/>
                </w:tcPr>
                <w:p w14:paraId="6AA23C05">
                  <w:pPr>
                    <w:pStyle w:val="57"/>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0.01</w:t>
                  </w:r>
                  <w:r>
                    <w:rPr>
                      <w:rFonts w:hint="eastAsia" w:cs="Times New Roman"/>
                      <w:b w:val="0"/>
                      <w:bCs w:val="0"/>
                      <w:color w:val="000000" w:themeColor="text1"/>
                      <w:sz w:val="21"/>
                      <w:szCs w:val="21"/>
                      <w:lang w:val="en-US" w:eastAsia="zh-CN"/>
                      <w14:textFill>
                        <w14:solidFill>
                          <w14:schemeClr w14:val="tx1"/>
                        </w14:solidFill>
                      </w14:textFill>
                    </w:rPr>
                    <w:t>4</w:t>
                  </w:r>
                </w:p>
              </w:tc>
            </w:tr>
          </w:tbl>
          <w:p w14:paraId="125984C1">
            <w:pPr>
              <w:pStyle w:val="34"/>
              <w:numPr>
                <w:ilvl w:val="0"/>
                <w:numId w:val="0"/>
              </w:numPr>
              <w:spacing w:before="156" w:line="360" w:lineRule="auto"/>
              <w:ind w:firstLine="480" w:firstLineChars="200"/>
              <w:jc w:val="both"/>
              <w:rPr>
                <w:rFonts w:hint="eastAsia" w:ascii="Times New Roman" w:hAnsi="Times New Roman" w:eastAsia="宋体" w:cs="Times New Roman"/>
                <w:b w:val="0"/>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u w:val="none" w:color="auto"/>
                <w:lang w:val="en-US" w:eastAsia="zh-CN" w:bidi="ar-SA"/>
                <w14:textFill>
                  <w14:solidFill>
                    <w14:schemeClr w14:val="tx1"/>
                  </w14:solidFill>
                </w14:textFill>
              </w:rPr>
              <w:t>（</w:t>
            </w:r>
            <w:r>
              <w:rPr>
                <w:rFonts w:hint="eastAsia" w:cs="Times New Roman"/>
                <w:b w:val="0"/>
                <w:color w:val="000000" w:themeColor="text1"/>
                <w:kern w:val="2"/>
                <w:sz w:val="24"/>
                <w:szCs w:val="24"/>
                <w:u w:val="none" w:color="auto"/>
                <w:lang w:val="en-US" w:eastAsia="zh-CN" w:bidi="ar-SA"/>
                <w14:textFill>
                  <w14:solidFill>
                    <w14:schemeClr w14:val="tx1"/>
                  </w14:solidFill>
                </w14:textFill>
              </w:rPr>
              <w:t>3</w:t>
            </w:r>
            <w:r>
              <w:rPr>
                <w:rFonts w:hint="eastAsia" w:ascii="Times New Roman" w:hAnsi="Times New Roman" w:eastAsia="宋体" w:cs="Times New Roman"/>
                <w:b w:val="0"/>
                <w:color w:val="000000" w:themeColor="text1"/>
                <w:kern w:val="2"/>
                <w:sz w:val="24"/>
                <w:szCs w:val="24"/>
                <w:u w:val="none" w:color="auto"/>
                <w:lang w:val="en-US" w:eastAsia="zh-CN" w:bidi="ar-SA"/>
                <w14:textFill>
                  <w14:solidFill>
                    <w14:schemeClr w14:val="tx1"/>
                  </w14:solidFill>
                </w14:textFill>
              </w:rPr>
              <w:t>）非正常排放</w:t>
            </w:r>
          </w:p>
          <w:p w14:paraId="5062F628">
            <w:pPr>
              <w:pStyle w:val="35"/>
              <w:numPr>
                <w:ilvl w:val="0"/>
                <w:numId w:val="0"/>
              </w:numPr>
              <w:spacing w:line="360" w:lineRule="auto"/>
              <w:ind w:firstLine="480" w:firstLineChars="200"/>
              <w:rPr>
                <w:rFonts w:hint="default" w:ascii="Times New Roman" w:hAnsi="Times New Roman" w:eastAsia="宋体" w:cs="Times New Roman"/>
                <w:b w:val="0"/>
                <w:color w:val="000000" w:themeColor="text1"/>
                <w:kern w:val="2"/>
                <w:sz w:val="24"/>
                <w:szCs w:val="24"/>
                <w:u w:val="none" w:color="auto"/>
                <w:lang w:val="en-US" w:eastAsia="zh-CN" w:bidi="ar-SA"/>
                <w14:textFill>
                  <w14:solidFill>
                    <w14:schemeClr w14:val="tx1"/>
                  </w14:solidFill>
                </w14:textFill>
              </w:rPr>
            </w:pPr>
            <w:r>
              <w:rPr>
                <w:rFonts w:hint="default" w:ascii="Times New Roman" w:hAnsi="Times New Roman" w:eastAsia="宋体" w:cs="Times New Roman"/>
                <w:b w:val="0"/>
                <w:color w:val="000000" w:themeColor="text1"/>
                <w:kern w:val="2"/>
                <w:sz w:val="24"/>
                <w:szCs w:val="24"/>
                <w:u w:val="none" w:color="auto"/>
                <w:lang w:val="en-US" w:eastAsia="zh-CN" w:bidi="ar-SA"/>
                <w14:textFill>
                  <w14:solidFill>
                    <w14:schemeClr w14:val="tx1"/>
                  </w14:solidFill>
                </w14:textFill>
              </w:rPr>
              <w:t>非正常情况指生产过程中生产设备开停、检修、工艺设备运转异常等非正常情况下的污染物排放，以及污染物排放控制达不到应有效率等情况下的排放。项目非正常工况分析选择有废气净化措施且通过排气</w:t>
            </w:r>
            <w:r>
              <w:rPr>
                <w:rFonts w:hint="eastAsia" w:ascii="Times New Roman" w:hAnsi="Times New Roman" w:eastAsia="宋体" w:cs="Times New Roman"/>
                <w:b w:val="0"/>
                <w:color w:val="000000" w:themeColor="text1"/>
                <w:kern w:val="2"/>
                <w:sz w:val="24"/>
                <w:szCs w:val="24"/>
                <w:u w:val="none" w:color="auto"/>
                <w:lang w:val="en-US" w:eastAsia="zh-CN" w:bidi="ar-SA"/>
                <w14:textFill>
                  <w14:solidFill>
                    <w14:schemeClr w14:val="tx1"/>
                  </w14:solidFill>
                </w14:textFill>
              </w:rPr>
              <w:t>筒</w:t>
            </w:r>
            <w:r>
              <w:rPr>
                <w:rFonts w:hint="default" w:ascii="Times New Roman" w:hAnsi="Times New Roman" w:eastAsia="宋体" w:cs="Times New Roman"/>
                <w:b w:val="0"/>
                <w:color w:val="000000" w:themeColor="text1"/>
                <w:kern w:val="2"/>
                <w:sz w:val="24"/>
                <w:szCs w:val="24"/>
                <w:u w:val="none" w:color="auto"/>
                <w:lang w:val="en-US" w:eastAsia="zh-CN" w:bidi="ar-SA"/>
                <w14:textFill>
                  <w14:solidFill>
                    <w14:schemeClr w14:val="tx1"/>
                  </w14:solidFill>
                </w14:textFill>
              </w:rPr>
              <w:t>排放的废气污染源，项目非正常工况主要为</w:t>
            </w:r>
            <w:r>
              <w:rPr>
                <w:rFonts w:hint="eastAsia" w:ascii="Times New Roman" w:hAnsi="Times New Roman" w:eastAsia="宋体" w:cs="Times New Roman"/>
                <w:b w:val="0"/>
                <w:color w:val="000000" w:themeColor="text1"/>
                <w:kern w:val="2"/>
                <w:sz w:val="24"/>
                <w:szCs w:val="24"/>
                <w:u w:val="none" w:color="auto"/>
                <w:lang w:val="en-US" w:eastAsia="zh-CN" w:bidi="ar-SA"/>
                <w14:textFill>
                  <w14:solidFill>
                    <w14:schemeClr w14:val="tx1"/>
                  </w14:solidFill>
                </w14:textFill>
              </w:rPr>
              <w:t>：</w:t>
            </w:r>
            <w:r>
              <w:rPr>
                <w:rFonts w:hint="default" w:ascii="Times New Roman" w:hAnsi="Times New Roman" w:eastAsia="宋体" w:cs="Times New Roman"/>
                <w:b w:val="0"/>
                <w:color w:val="000000" w:themeColor="text1"/>
                <w:kern w:val="2"/>
                <w:sz w:val="24"/>
                <w:szCs w:val="24"/>
                <w:u w:val="none" w:color="auto"/>
                <w:lang w:val="en-US" w:eastAsia="zh-CN" w:bidi="ar-SA"/>
                <w14:textFill>
                  <w14:solidFill>
                    <w14:schemeClr w14:val="tx1"/>
                  </w14:solidFill>
                </w14:textFill>
              </w:rPr>
              <w:t>布袋</w:t>
            </w:r>
            <w:r>
              <w:rPr>
                <w:rFonts w:hint="eastAsia" w:ascii="Times New Roman" w:hAnsi="Times New Roman" w:eastAsia="宋体" w:cs="Times New Roman"/>
                <w:b w:val="0"/>
                <w:color w:val="000000" w:themeColor="text1"/>
                <w:kern w:val="2"/>
                <w:sz w:val="24"/>
                <w:szCs w:val="24"/>
                <w:u w:val="none" w:color="auto"/>
                <w:lang w:val="en-US" w:eastAsia="zh-CN" w:bidi="ar-SA"/>
                <w14:textFill>
                  <w14:solidFill>
                    <w14:schemeClr w14:val="tx1"/>
                  </w14:solidFill>
                </w14:textFill>
              </w:rPr>
              <w:t>除尘器</w:t>
            </w:r>
            <w:r>
              <w:rPr>
                <w:rFonts w:hint="default" w:ascii="Times New Roman" w:hAnsi="Times New Roman" w:eastAsia="宋体" w:cs="Times New Roman"/>
                <w:b w:val="0"/>
                <w:color w:val="000000" w:themeColor="text1"/>
                <w:kern w:val="2"/>
                <w:sz w:val="24"/>
                <w:szCs w:val="24"/>
                <w:u w:val="none" w:color="auto"/>
                <w:lang w:val="en-US" w:eastAsia="zh-CN" w:bidi="ar-SA"/>
                <w14:textFill>
                  <w14:solidFill>
                    <w14:schemeClr w14:val="tx1"/>
                  </w14:solidFill>
                </w14:textFill>
              </w:rPr>
              <w:t>破损，颗粒物处理效率为0%。</w:t>
            </w:r>
          </w:p>
          <w:p w14:paraId="65D3F3A6">
            <w:pPr>
              <w:pStyle w:val="34"/>
              <w:keepNext w:val="0"/>
              <w:keepLines w:val="0"/>
              <w:pageBreakBefore w:val="0"/>
              <w:widowControl w:val="0"/>
              <w:kinsoku/>
              <w:wordWrap/>
              <w:overflowPunct/>
              <w:topLinePunct w:val="0"/>
              <w:autoSpaceDE/>
              <w:autoSpaceDN/>
              <w:bidi w:val="0"/>
              <w:adjustRightInd/>
              <w:snapToGrid/>
              <w:spacing w:before="0" w:beforeLines="0"/>
              <w:textAlignment w:val="auto"/>
              <w:rPr>
                <w:color w:val="000000" w:themeColor="text1"/>
                <w:sz w:val="21"/>
                <w:szCs w:val="21"/>
                <w:u w:val="none" w:color="auto"/>
                <w14:textFill>
                  <w14:solidFill>
                    <w14:schemeClr w14:val="tx1"/>
                  </w14:solidFill>
                </w14:textFill>
              </w:rPr>
            </w:pPr>
            <w:r>
              <w:rPr>
                <w:rFonts w:hint="eastAsia"/>
                <w:color w:val="000000" w:themeColor="text1"/>
                <w:sz w:val="21"/>
                <w:szCs w:val="21"/>
                <w:u w:val="none" w:color="auto"/>
                <w14:textFill>
                  <w14:solidFill>
                    <w14:schemeClr w14:val="tx1"/>
                  </w14:solidFill>
                </w14:textFill>
              </w:rPr>
              <w:t>表4-</w:t>
            </w:r>
            <w:r>
              <w:rPr>
                <w:rFonts w:hint="eastAsia"/>
                <w:color w:val="000000" w:themeColor="text1"/>
                <w:sz w:val="21"/>
                <w:szCs w:val="21"/>
                <w:u w:val="none" w:color="auto"/>
                <w:lang w:val="en-US" w:eastAsia="zh-CN"/>
                <w14:textFill>
                  <w14:solidFill>
                    <w14:schemeClr w14:val="tx1"/>
                  </w14:solidFill>
                </w14:textFill>
              </w:rPr>
              <w:t xml:space="preserve">6  </w:t>
            </w:r>
            <w:r>
              <w:rPr>
                <w:rFonts w:hint="eastAsia"/>
                <w:color w:val="000000" w:themeColor="text1"/>
                <w:sz w:val="21"/>
                <w:szCs w:val="21"/>
                <w:u w:val="none" w:color="auto"/>
                <w14:textFill>
                  <w14:solidFill>
                    <w14:schemeClr w14:val="tx1"/>
                  </w14:solidFill>
                </w14:textFill>
              </w:rPr>
              <w:t>污染源非正常排放核算表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20"/>
              <w:gridCol w:w="801"/>
              <w:gridCol w:w="933"/>
              <w:gridCol w:w="947"/>
              <w:gridCol w:w="1045"/>
              <w:gridCol w:w="1202"/>
              <w:gridCol w:w="763"/>
              <w:gridCol w:w="802"/>
              <w:gridCol w:w="873"/>
            </w:tblGrid>
            <w:tr w14:paraId="59016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69" w:type="pct"/>
                  <w:vAlign w:val="center"/>
                </w:tcPr>
                <w:p w14:paraId="0F370C29">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序号</w:t>
                  </w:r>
                </w:p>
              </w:tc>
              <w:tc>
                <w:tcPr>
                  <w:tcW w:w="514" w:type="pct"/>
                  <w:vAlign w:val="center"/>
                </w:tcPr>
                <w:p w14:paraId="4DDA471A">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污染源</w:t>
                  </w:r>
                </w:p>
              </w:tc>
              <w:tc>
                <w:tcPr>
                  <w:tcW w:w="599" w:type="pct"/>
                  <w:vAlign w:val="center"/>
                </w:tcPr>
                <w:p w14:paraId="49E691DA">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非正常</w:t>
                  </w:r>
                </w:p>
                <w:p w14:paraId="2D763722">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排放原因</w:t>
                  </w:r>
                </w:p>
              </w:tc>
              <w:tc>
                <w:tcPr>
                  <w:tcW w:w="608" w:type="pct"/>
                  <w:vAlign w:val="center"/>
                </w:tcPr>
                <w:p w14:paraId="2B2DCC26">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污染物</w:t>
                  </w:r>
                </w:p>
              </w:tc>
              <w:tc>
                <w:tcPr>
                  <w:tcW w:w="671" w:type="pct"/>
                  <w:vAlign w:val="center"/>
                </w:tcPr>
                <w:p w14:paraId="1A438B91">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非正常排放浓度mg/m</w:t>
                  </w:r>
                  <w:r>
                    <w:rPr>
                      <w:rFonts w:hint="eastAsia"/>
                      <w:color w:val="000000" w:themeColor="text1"/>
                      <w:u w:val="none" w:color="auto"/>
                      <w:vertAlign w:val="superscript"/>
                      <w14:textFill>
                        <w14:solidFill>
                          <w14:schemeClr w14:val="tx1"/>
                        </w14:solidFill>
                      </w14:textFill>
                    </w:rPr>
                    <w:t>3</w:t>
                  </w:r>
                </w:p>
              </w:tc>
              <w:tc>
                <w:tcPr>
                  <w:tcW w:w="771" w:type="pct"/>
                  <w:vAlign w:val="center"/>
                </w:tcPr>
                <w:p w14:paraId="46CEA8F9">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非正常排放速率kg/h</w:t>
                  </w:r>
                </w:p>
              </w:tc>
              <w:tc>
                <w:tcPr>
                  <w:tcW w:w="489" w:type="pct"/>
                  <w:vAlign w:val="center"/>
                </w:tcPr>
                <w:p w14:paraId="73BCFDEA">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单次持续时间h</w:t>
                  </w:r>
                </w:p>
              </w:tc>
              <w:tc>
                <w:tcPr>
                  <w:tcW w:w="515" w:type="pct"/>
                  <w:vAlign w:val="center"/>
                </w:tcPr>
                <w:p w14:paraId="43558BE6">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年发生频次/次</w:t>
                  </w:r>
                </w:p>
              </w:tc>
              <w:tc>
                <w:tcPr>
                  <w:tcW w:w="560" w:type="pct"/>
                  <w:vAlign w:val="center"/>
                </w:tcPr>
                <w:p w14:paraId="3E7CE8F2">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应对措施</w:t>
                  </w:r>
                </w:p>
              </w:tc>
            </w:tr>
            <w:tr w14:paraId="51E34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69" w:type="pct"/>
                  <w:vAlign w:val="center"/>
                </w:tcPr>
                <w:p w14:paraId="52A9F947">
                  <w:pPr>
                    <w:pStyle w:val="57"/>
                    <w:rPr>
                      <w:rFonts w:hint="eastAsia"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1</w:t>
                  </w:r>
                </w:p>
              </w:tc>
              <w:tc>
                <w:tcPr>
                  <w:tcW w:w="514" w:type="pct"/>
                  <w:vAlign w:val="center"/>
                </w:tcPr>
                <w:p w14:paraId="507D45A2">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DA001拉丝废气</w:t>
                  </w:r>
                </w:p>
              </w:tc>
              <w:tc>
                <w:tcPr>
                  <w:tcW w:w="599" w:type="pct"/>
                  <w:vAlign w:val="center"/>
                </w:tcPr>
                <w:p w14:paraId="4A2C215E">
                  <w:pPr>
                    <w:pStyle w:val="57"/>
                    <w:rPr>
                      <w:rFonts w:hint="eastAsia"/>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环保设施故障</w:t>
                  </w:r>
                </w:p>
              </w:tc>
              <w:tc>
                <w:tcPr>
                  <w:tcW w:w="608" w:type="pct"/>
                  <w:vAlign w:val="center"/>
                </w:tcPr>
                <w:p w14:paraId="11437E9D">
                  <w:pPr>
                    <w:pStyle w:val="57"/>
                    <w:rPr>
                      <w:rFonts w:hint="eastAsia"/>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颗粒物</w:t>
                  </w:r>
                </w:p>
              </w:tc>
              <w:tc>
                <w:tcPr>
                  <w:tcW w:w="671" w:type="pct"/>
                  <w:shd w:val="clear" w:color="auto" w:fill="auto"/>
                  <w:vAlign w:val="center"/>
                </w:tcPr>
                <w:p w14:paraId="4CCC96A2">
                  <w:pPr>
                    <w:widowControl/>
                    <w:jc w:val="center"/>
                    <w:rPr>
                      <w:rFonts w:hint="eastAsia"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lang w:val="en-US" w:eastAsia="zh-CN"/>
                      <w14:textFill>
                        <w14:solidFill>
                          <w14:schemeClr w14:val="tx1"/>
                        </w14:solidFill>
                      </w14:textFill>
                    </w:rPr>
                    <w:t>17.25</w:t>
                  </w:r>
                </w:p>
              </w:tc>
              <w:tc>
                <w:tcPr>
                  <w:tcW w:w="771" w:type="pct"/>
                  <w:shd w:val="clear" w:color="auto" w:fill="auto"/>
                  <w:vAlign w:val="center"/>
                </w:tcPr>
                <w:p w14:paraId="4AD8BA66">
                  <w:pPr>
                    <w:jc w:val="center"/>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0.138</w:t>
                  </w:r>
                </w:p>
              </w:tc>
              <w:tc>
                <w:tcPr>
                  <w:tcW w:w="489" w:type="pct"/>
                  <w:shd w:val="clear" w:color="auto" w:fill="auto"/>
                  <w:vAlign w:val="center"/>
                </w:tcPr>
                <w:p w14:paraId="3AC2FCD5">
                  <w:pPr>
                    <w:pStyle w:val="57"/>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olor w:val="000000" w:themeColor="text1"/>
                      <w:u w:val="none" w:color="auto"/>
                      <w14:textFill>
                        <w14:solidFill>
                          <w14:schemeClr w14:val="tx1"/>
                        </w14:solidFill>
                      </w14:textFill>
                    </w:rPr>
                    <w:t>1</w:t>
                  </w:r>
                </w:p>
              </w:tc>
              <w:tc>
                <w:tcPr>
                  <w:tcW w:w="515" w:type="pct"/>
                  <w:shd w:val="clear" w:color="auto" w:fill="auto"/>
                  <w:vAlign w:val="center"/>
                </w:tcPr>
                <w:p w14:paraId="2F18BB6A">
                  <w:pPr>
                    <w:pStyle w:val="57"/>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olor w:val="000000" w:themeColor="text1"/>
                      <w:u w:val="none" w:color="auto"/>
                      <w14:textFill>
                        <w14:solidFill>
                          <w14:schemeClr w14:val="tx1"/>
                        </w14:solidFill>
                      </w14:textFill>
                    </w:rPr>
                    <w:t>1</w:t>
                  </w:r>
                </w:p>
              </w:tc>
              <w:tc>
                <w:tcPr>
                  <w:tcW w:w="560" w:type="pct"/>
                  <w:shd w:val="clear" w:color="auto" w:fill="auto"/>
                  <w:vAlign w:val="center"/>
                </w:tcPr>
                <w:p w14:paraId="2B7DA65A">
                  <w:pPr>
                    <w:pStyle w:val="57"/>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立刻停产，及时检修</w:t>
                  </w:r>
                </w:p>
              </w:tc>
            </w:tr>
            <w:tr w14:paraId="21843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69" w:type="pct"/>
                  <w:vMerge w:val="restart"/>
                  <w:vAlign w:val="center"/>
                </w:tcPr>
                <w:p w14:paraId="180684DE">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1</w:t>
                  </w:r>
                </w:p>
              </w:tc>
              <w:tc>
                <w:tcPr>
                  <w:tcW w:w="514" w:type="pct"/>
                  <w:vMerge w:val="restart"/>
                  <w:vAlign w:val="center"/>
                </w:tcPr>
                <w:p w14:paraId="4D23F69D">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DA00</w:t>
                  </w:r>
                  <w:r>
                    <w:rPr>
                      <w:rFonts w:hint="eastAsia"/>
                      <w:color w:val="000000" w:themeColor="text1"/>
                      <w:u w:val="none" w:color="auto"/>
                      <w:lang w:val="en-US" w:eastAsia="zh-CN"/>
                      <w14:textFill>
                        <w14:solidFill>
                          <w14:schemeClr w14:val="tx1"/>
                        </w14:solidFill>
                      </w14:textFill>
                    </w:rPr>
                    <w:t>2</w:t>
                  </w:r>
                  <w:r>
                    <w:rPr>
                      <w:rFonts w:hint="eastAsia"/>
                      <w:color w:val="000000" w:themeColor="text1"/>
                      <w:u w:val="none" w:color="auto"/>
                      <w14:textFill>
                        <w14:solidFill>
                          <w14:schemeClr w14:val="tx1"/>
                        </w14:solidFill>
                      </w14:textFill>
                    </w:rPr>
                    <w:t>锅炉烟气</w:t>
                  </w:r>
                </w:p>
              </w:tc>
              <w:tc>
                <w:tcPr>
                  <w:tcW w:w="599" w:type="pct"/>
                  <w:vMerge w:val="restart"/>
                  <w:vAlign w:val="center"/>
                </w:tcPr>
                <w:p w14:paraId="77B8C730">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环保设施故障</w:t>
                  </w:r>
                </w:p>
              </w:tc>
              <w:tc>
                <w:tcPr>
                  <w:tcW w:w="608" w:type="pct"/>
                  <w:vAlign w:val="center"/>
                </w:tcPr>
                <w:p w14:paraId="06BE7AB2">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SO</w:t>
                  </w:r>
                  <w:r>
                    <w:rPr>
                      <w:rFonts w:hint="eastAsia"/>
                      <w:color w:val="000000" w:themeColor="text1"/>
                      <w:u w:val="none" w:color="auto"/>
                      <w:vertAlign w:val="subscript"/>
                      <w14:textFill>
                        <w14:solidFill>
                          <w14:schemeClr w14:val="tx1"/>
                        </w14:solidFill>
                      </w14:textFill>
                    </w:rPr>
                    <w:t>2</w:t>
                  </w:r>
                </w:p>
              </w:tc>
              <w:tc>
                <w:tcPr>
                  <w:tcW w:w="671" w:type="pct"/>
                  <w:shd w:val="clear" w:color="auto" w:fill="auto"/>
                  <w:vAlign w:val="center"/>
                </w:tcPr>
                <w:p w14:paraId="5475B4B0">
                  <w:pPr>
                    <w:widowControl/>
                    <w:jc w:val="cente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104.60</w:t>
                  </w:r>
                </w:p>
              </w:tc>
              <w:tc>
                <w:tcPr>
                  <w:tcW w:w="771" w:type="pct"/>
                  <w:shd w:val="clear" w:color="auto" w:fill="auto"/>
                  <w:vAlign w:val="center"/>
                </w:tcPr>
                <w:p w14:paraId="42A19C5A">
                  <w:pPr>
                    <w:widowControl/>
                    <w:jc w:val="cente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0.373</w:t>
                  </w:r>
                </w:p>
              </w:tc>
              <w:tc>
                <w:tcPr>
                  <w:tcW w:w="489" w:type="pct"/>
                  <w:vMerge w:val="restart"/>
                  <w:vAlign w:val="center"/>
                </w:tcPr>
                <w:p w14:paraId="4CF80F6C">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1</w:t>
                  </w:r>
                </w:p>
              </w:tc>
              <w:tc>
                <w:tcPr>
                  <w:tcW w:w="515" w:type="pct"/>
                  <w:vMerge w:val="restart"/>
                  <w:vAlign w:val="center"/>
                </w:tcPr>
                <w:p w14:paraId="63747D32">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1</w:t>
                  </w:r>
                </w:p>
              </w:tc>
              <w:tc>
                <w:tcPr>
                  <w:tcW w:w="560" w:type="pct"/>
                  <w:vMerge w:val="restart"/>
                  <w:vAlign w:val="center"/>
                </w:tcPr>
                <w:p w14:paraId="53313327">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立刻停产，及时检修</w:t>
                  </w:r>
                </w:p>
              </w:tc>
            </w:tr>
            <w:tr w14:paraId="32617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69" w:type="pct"/>
                  <w:vMerge w:val="continue"/>
                  <w:vAlign w:val="center"/>
                </w:tcPr>
                <w:p w14:paraId="67A5DDBE">
                  <w:pPr>
                    <w:pStyle w:val="57"/>
                    <w:rPr>
                      <w:color w:val="000000" w:themeColor="text1"/>
                      <w:u w:val="none" w:color="auto"/>
                      <w14:textFill>
                        <w14:solidFill>
                          <w14:schemeClr w14:val="tx1"/>
                        </w14:solidFill>
                      </w14:textFill>
                    </w:rPr>
                  </w:pPr>
                </w:p>
              </w:tc>
              <w:tc>
                <w:tcPr>
                  <w:tcW w:w="514" w:type="pct"/>
                  <w:vMerge w:val="continue"/>
                  <w:vAlign w:val="center"/>
                </w:tcPr>
                <w:p w14:paraId="6138B230">
                  <w:pPr>
                    <w:pStyle w:val="57"/>
                    <w:rPr>
                      <w:color w:val="000000" w:themeColor="text1"/>
                      <w:u w:val="none" w:color="auto"/>
                      <w14:textFill>
                        <w14:solidFill>
                          <w14:schemeClr w14:val="tx1"/>
                        </w14:solidFill>
                      </w14:textFill>
                    </w:rPr>
                  </w:pPr>
                </w:p>
              </w:tc>
              <w:tc>
                <w:tcPr>
                  <w:tcW w:w="599" w:type="pct"/>
                  <w:vMerge w:val="continue"/>
                  <w:vAlign w:val="center"/>
                </w:tcPr>
                <w:p w14:paraId="5718D86B">
                  <w:pPr>
                    <w:pStyle w:val="57"/>
                    <w:rPr>
                      <w:color w:val="000000" w:themeColor="text1"/>
                      <w:u w:val="none" w:color="auto"/>
                      <w14:textFill>
                        <w14:solidFill>
                          <w14:schemeClr w14:val="tx1"/>
                        </w14:solidFill>
                      </w14:textFill>
                    </w:rPr>
                  </w:pPr>
                </w:p>
              </w:tc>
              <w:tc>
                <w:tcPr>
                  <w:tcW w:w="608" w:type="pct"/>
                  <w:vAlign w:val="center"/>
                </w:tcPr>
                <w:p w14:paraId="6F3359CF">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NO</w:t>
                  </w:r>
                  <w:r>
                    <w:rPr>
                      <w:rFonts w:hint="eastAsia"/>
                      <w:color w:val="000000" w:themeColor="text1"/>
                      <w:u w:val="none" w:color="auto"/>
                      <w:vertAlign w:val="subscript"/>
                      <w14:textFill>
                        <w14:solidFill>
                          <w14:schemeClr w14:val="tx1"/>
                        </w14:solidFill>
                      </w14:textFill>
                    </w:rPr>
                    <w:t>x</w:t>
                  </w:r>
                </w:p>
              </w:tc>
              <w:tc>
                <w:tcPr>
                  <w:tcW w:w="671" w:type="pct"/>
                  <w:shd w:val="clear" w:color="auto" w:fill="auto"/>
                  <w:vAlign w:val="center"/>
                </w:tcPr>
                <w:p w14:paraId="20094B58">
                  <w:pPr>
                    <w:widowControl/>
                    <w:jc w:val="cente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125.07</w:t>
                  </w:r>
                </w:p>
              </w:tc>
              <w:tc>
                <w:tcPr>
                  <w:tcW w:w="771" w:type="pct"/>
                  <w:shd w:val="clear" w:color="auto" w:fill="auto"/>
                  <w:vAlign w:val="center"/>
                </w:tcPr>
                <w:p w14:paraId="1F9C2D3D">
                  <w:pPr>
                    <w:widowControl/>
                    <w:jc w:val="cente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0.446</w:t>
                  </w:r>
                </w:p>
              </w:tc>
              <w:tc>
                <w:tcPr>
                  <w:tcW w:w="489" w:type="pct"/>
                  <w:vMerge w:val="continue"/>
                  <w:vAlign w:val="center"/>
                </w:tcPr>
                <w:p w14:paraId="45802E77">
                  <w:pPr>
                    <w:pStyle w:val="57"/>
                    <w:rPr>
                      <w:color w:val="000000" w:themeColor="text1"/>
                      <w:u w:val="none" w:color="auto"/>
                      <w14:textFill>
                        <w14:solidFill>
                          <w14:schemeClr w14:val="tx1"/>
                        </w14:solidFill>
                      </w14:textFill>
                    </w:rPr>
                  </w:pPr>
                </w:p>
              </w:tc>
              <w:tc>
                <w:tcPr>
                  <w:tcW w:w="515" w:type="pct"/>
                  <w:vMerge w:val="continue"/>
                  <w:vAlign w:val="center"/>
                </w:tcPr>
                <w:p w14:paraId="618352A3">
                  <w:pPr>
                    <w:pStyle w:val="57"/>
                    <w:rPr>
                      <w:color w:val="000000" w:themeColor="text1"/>
                      <w:u w:val="none" w:color="auto"/>
                      <w14:textFill>
                        <w14:solidFill>
                          <w14:schemeClr w14:val="tx1"/>
                        </w14:solidFill>
                      </w14:textFill>
                    </w:rPr>
                  </w:pPr>
                </w:p>
              </w:tc>
              <w:tc>
                <w:tcPr>
                  <w:tcW w:w="560" w:type="pct"/>
                  <w:vMerge w:val="continue"/>
                  <w:vAlign w:val="center"/>
                </w:tcPr>
                <w:p w14:paraId="06061507">
                  <w:pPr>
                    <w:pStyle w:val="57"/>
                    <w:rPr>
                      <w:color w:val="000000" w:themeColor="text1"/>
                      <w:u w:val="none" w:color="auto"/>
                      <w14:textFill>
                        <w14:solidFill>
                          <w14:schemeClr w14:val="tx1"/>
                        </w14:solidFill>
                      </w14:textFill>
                    </w:rPr>
                  </w:pPr>
                </w:p>
              </w:tc>
            </w:tr>
            <w:tr w14:paraId="1A29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69" w:type="pct"/>
                  <w:vMerge w:val="continue"/>
                  <w:vAlign w:val="center"/>
                </w:tcPr>
                <w:p w14:paraId="5F353312">
                  <w:pPr>
                    <w:pStyle w:val="57"/>
                    <w:rPr>
                      <w:color w:val="000000" w:themeColor="text1"/>
                      <w:u w:val="none" w:color="auto"/>
                      <w14:textFill>
                        <w14:solidFill>
                          <w14:schemeClr w14:val="tx1"/>
                        </w14:solidFill>
                      </w14:textFill>
                    </w:rPr>
                  </w:pPr>
                </w:p>
              </w:tc>
              <w:tc>
                <w:tcPr>
                  <w:tcW w:w="514" w:type="pct"/>
                  <w:vMerge w:val="continue"/>
                  <w:vAlign w:val="center"/>
                </w:tcPr>
                <w:p w14:paraId="16F51B9F">
                  <w:pPr>
                    <w:pStyle w:val="57"/>
                    <w:rPr>
                      <w:color w:val="000000" w:themeColor="text1"/>
                      <w:u w:val="none" w:color="auto"/>
                      <w14:textFill>
                        <w14:solidFill>
                          <w14:schemeClr w14:val="tx1"/>
                        </w14:solidFill>
                      </w14:textFill>
                    </w:rPr>
                  </w:pPr>
                </w:p>
              </w:tc>
              <w:tc>
                <w:tcPr>
                  <w:tcW w:w="599" w:type="pct"/>
                  <w:vMerge w:val="continue"/>
                  <w:vAlign w:val="center"/>
                </w:tcPr>
                <w:p w14:paraId="543173AF">
                  <w:pPr>
                    <w:pStyle w:val="57"/>
                    <w:rPr>
                      <w:color w:val="000000" w:themeColor="text1"/>
                      <w:u w:val="none" w:color="auto"/>
                      <w14:textFill>
                        <w14:solidFill>
                          <w14:schemeClr w14:val="tx1"/>
                        </w14:solidFill>
                      </w14:textFill>
                    </w:rPr>
                  </w:pPr>
                </w:p>
              </w:tc>
              <w:tc>
                <w:tcPr>
                  <w:tcW w:w="608" w:type="pct"/>
                  <w:vAlign w:val="center"/>
                </w:tcPr>
                <w:p w14:paraId="082FE103">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颗粒物</w:t>
                  </w:r>
                </w:p>
              </w:tc>
              <w:tc>
                <w:tcPr>
                  <w:tcW w:w="671" w:type="pct"/>
                  <w:shd w:val="clear" w:color="auto" w:fill="auto"/>
                  <w:vAlign w:val="center"/>
                </w:tcPr>
                <w:p w14:paraId="1211F34D">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t>61.41</w:t>
                  </w:r>
                </w:p>
                <w:p w14:paraId="2FD7DACD">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t>（超标）</w:t>
                  </w:r>
                </w:p>
              </w:tc>
              <w:tc>
                <w:tcPr>
                  <w:tcW w:w="771" w:type="pct"/>
                  <w:shd w:val="clear" w:color="auto" w:fill="auto"/>
                  <w:vAlign w:val="center"/>
                </w:tcPr>
                <w:p w14:paraId="06F1B27C">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0.219</w:t>
                  </w:r>
                </w:p>
              </w:tc>
              <w:tc>
                <w:tcPr>
                  <w:tcW w:w="489" w:type="pct"/>
                  <w:vMerge w:val="continue"/>
                  <w:vAlign w:val="center"/>
                </w:tcPr>
                <w:p w14:paraId="0158E185">
                  <w:pPr>
                    <w:pStyle w:val="57"/>
                    <w:rPr>
                      <w:color w:val="000000" w:themeColor="text1"/>
                      <w:u w:val="none" w:color="auto"/>
                      <w14:textFill>
                        <w14:solidFill>
                          <w14:schemeClr w14:val="tx1"/>
                        </w14:solidFill>
                      </w14:textFill>
                    </w:rPr>
                  </w:pPr>
                </w:p>
              </w:tc>
              <w:tc>
                <w:tcPr>
                  <w:tcW w:w="515" w:type="pct"/>
                  <w:vMerge w:val="continue"/>
                  <w:vAlign w:val="center"/>
                </w:tcPr>
                <w:p w14:paraId="49D04DB5">
                  <w:pPr>
                    <w:pStyle w:val="57"/>
                    <w:rPr>
                      <w:color w:val="000000" w:themeColor="text1"/>
                      <w:u w:val="none" w:color="auto"/>
                      <w14:textFill>
                        <w14:solidFill>
                          <w14:schemeClr w14:val="tx1"/>
                        </w14:solidFill>
                      </w14:textFill>
                    </w:rPr>
                  </w:pPr>
                </w:p>
              </w:tc>
              <w:tc>
                <w:tcPr>
                  <w:tcW w:w="560" w:type="pct"/>
                  <w:vMerge w:val="continue"/>
                  <w:vAlign w:val="center"/>
                </w:tcPr>
                <w:p w14:paraId="574200E8">
                  <w:pPr>
                    <w:pStyle w:val="57"/>
                    <w:rPr>
                      <w:color w:val="000000" w:themeColor="text1"/>
                      <w:u w:val="none" w:color="auto"/>
                      <w14:textFill>
                        <w14:solidFill>
                          <w14:schemeClr w14:val="tx1"/>
                        </w14:solidFill>
                      </w14:textFill>
                    </w:rPr>
                  </w:pPr>
                </w:p>
              </w:tc>
            </w:tr>
          </w:tbl>
          <w:p w14:paraId="3718A9B7">
            <w:pPr>
              <w:pStyle w:val="35"/>
              <w:ind w:firstLine="480"/>
              <w:rPr>
                <w:rFonts w:hint="eastAsia"/>
                <w:color w:val="000000" w:themeColor="text1"/>
                <w:u w:val="none" w:color="auto"/>
                <w:lang w:eastAsia="zh-CN"/>
                <w14:textFill>
                  <w14:solidFill>
                    <w14:schemeClr w14:val="tx1"/>
                  </w14:solidFill>
                </w14:textFill>
              </w:rPr>
            </w:pPr>
            <w:r>
              <w:rPr>
                <w:rFonts w:hint="eastAsia"/>
                <w:color w:val="000000" w:themeColor="text1"/>
                <w:u w:val="none" w:color="auto"/>
                <w:lang w:eastAsia="zh-CN"/>
                <w14:textFill>
                  <w14:solidFill>
                    <w14:schemeClr w14:val="tx1"/>
                  </w14:solidFill>
                </w14:textFill>
              </w:rPr>
              <w:t>应对措施：项目必须加强废气处理设施的管理，定期检修，确保废气处理设施正常运行，在废气处理设备停止运行时，产生废气的各工序也必须相应停止。注意废气处理设施的维护保养，及时发现处理设备的隐患，定期更换布袋；进一步加强监管，监控废气处理装置的稳定运行，记录布袋更换周期，建立布袋更换台账；定期进行废气处理装置的检查和维护，并加强员工培训，如出现故障，应立即停止生产，对处理设备进行检修，更换布袋，避免废气直接污染外界大气环境；建立健全的环保管理机构，对环保管理人员和技术人员进行岗位培训，委托具有专业资质的环境检测单位对排放的各类废气污染物进行定期检测。</w:t>
            </w:r>
          </w:p>
          <w:p w14:paraId="3DDB5621">
            <w:pPr>
              <w:pStyle w:val="35"/>
              <w:ind w:firstLine="480"/>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lang w:val="en-US" w:eastAsia="zh-CN"/>
                <w14:textFill>
                  <w14:solidFill>
                    <w14:schemeClr w14:val="tx1"/>
                  </w14:solidFill>
                </w14:textFill>
              </w:rPr>
              <w:t>4）排放口基本情况</w:t>
            </w:r>
          </w:p>
          <w:p w14:paraId="3F86B386">
            <w:pPr>
              <w:pStyle w:val="35"/>
              <w:ind w:firstLine="480"/>
              <w:rPr>
                <w:rFonts w:hint="eastAsia"/>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本项目废气排放口基本情况详见下表。</w:t>
            </w:r>
          </w:p>
          <w:p w14:paraId="06D6BEF3">
            <w:pPr>
              <w:pStyle w:val="35"/>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b/>
                <w:bCs/>
                <w:color w:val="000000" w:themeColor="text1"/>
                <w:sz w:val="21"/>
                <w:szCs w:val="21"/>
                <w:u w:val="none" w:color="auto"/>
                <w:lang w:val="en-US" w:eastAsia="zh-CN"/>
                <w14:textFill>
                  <w14:solidFill>
                    <w14:schemeClr w14:val="tx1"/>
                  </w14:solidFill>
                </w14:textFill>
              </w:rPr>
            </w:pPr>
            <w:r>
              <w:rPr>
                <w:rFonts w:hint="eastAsia"/>
                <w:b/>
                <w:bCs/>
                <w:color w:val="000000" w:themeColor="text1"/>
                <w:sz w:val="21"/>
                <w:szCs w:val="21"/>
                <w:u w:val="none" w:color="auto"/>
                <w:lang w:val="en-US" w:eastAsia="zh-CN"/>
                <w14:textFill>
                  <w14:solidFill>
                    <w14:schemeClr w14:val="tx1"/>
                  </w14:solidFill>
                </w14:textFill>
              </w:rPr>
              <w:t>表4-7  废气排放口基本情况表</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73"/>
              <w:gridCol w:w="1559"/>
              <w:gridCol w:w="1742"/>
              <w:gridCol w:w="1004"/>
              <w:gridCol w:w="981"/>
              <w:gridCol w:w="889"/>
              <w:gridCol w:w="1027"/>
            </w:tblGrid>
            <w:tr w14:paraId="663E89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73" w:type="dxa"/>
                  <w:tcBorders>
                    <w:tl2br w:val="nil"/>
                    <w:tr2bl w:val="nil"/>
                  </w:tcBorders>
                  <w:noWrap w:val="0"/>
                  <w:vAlign w:val="center"/>
                </w:tcPr>
                <w:p w14:paraId="3554A19B">
                  <w:pPr>
                    <w:pStyle w:val="115"/>
                    <w:spacing w:beforeLines="0" w:afterLines="0"/>
                    <w:rPr>
                      <w:rFonts w:hint="default" w:ascii="Times New Roman" w:hAnsi="Times New Roman" w:cs="Times New Roman"/>
                      <w:color w:val="000000" w:themeColor="text1"/>
                      <w:sz w:val="21"/>
                      <w:szCs w:val="24"/>
                      <w14:textFill>
                        <w14:solidFill>
                          <w14:schemeClr w14:val="tx1"/>
                        </w14:solidFill>
                      </w14:textFill>
                    </w:rPr>
                  </w:pPr>
                  <w:r>
                    <w:rPr>
                      <w:rFonts w:hint="default" w:ascii="Times New Roman" w:hAnsi="Times New Roman" w:cs="Times New Roman"/>
                      <w:color w:val="000000" w:themeColor="text1"/>
                      <w:sz w:val="21"/>
                      <w:szCs w:val="24"/>
                      <w14:textFill>
                        <w14:solidFill>
                          <w14:schemeClr w14:val="tx1"/>
                        </w14:solidFill>
                      </w14:textFill>
                    </w:rPr>
                    <w:t>序号</w:t>
                  </w:r>
                </w:p>
              </w:tc>
              <w:tc>
                <w:tcPr>
                  <w:tcW w:w="1559" w:type="dxa"/>
                  <w:tcBorders>
                    <w:tl2br w:val="nil"/>
                    <w:tr2bl w:val="nil"/>
                  </w:tcBorders>
                  <w:noWrap w:val="0"/>
                  <w:vAlign w:val="center"/>
                </w:tcPr>
                <w:p w14:paraId="69FDE981">
                  <w:pPr>
                    <w:pStyle w:val="115"/>
                    <w:spacing w:beforeLines="0" w:afterLines="0"/>
                    <w:rPr>
                      <w:rFonts w:hint="default" w:ascii="Times New Roman" w:hAnsi="Times New Roman" w:cs="Times New Roman"/>
                      <w:color w:val="000000" w:themeColor="text1"/>
                      <w:sz w:val="21"/>
                      <w:szCs w:val="24"/>
                      <w14:textFill>
                        <w14:solidFill>
                          <w14:schemeClr w14:val="tx1"/>
                        </w14:solidFill>
                      </w14:textFill>
                    </w:rPr>
                  </w:pPr>
                  <w:r>
                    <w:rPr>
                      <w:rFonts w:hint="default" w:ascii="Times New Roman" w:hAnsi="Times New Roman" w:cs="Times New Roman"/>
                      <w:color w:val="000000" w:themeColor="text1"/>
                      <w:sz w:val="21"/>
                      <w:szCs w:val="24"/>
                      <w14:textFill>
                        <w14:solidFill>
                          <w14:schemeClr w14:val="tx1"/>
                        </w14:solidFill>
                      </w14:textFill>
                    </w:rPr>
                    <w:t>排气筒名称及编号</w:t>
                  </w:r>
                </w:p>
              </w:tc>
              <w:tc>
                <w:tcPr>
                  <w:tcW w:w="1742" w:type="dxa"/>
                  <w:tcBorders>
                    <w:tl2br w:val="nil"/>
                    <w:tr2bl w:val="nil"/>
                  </w:tcBorders>
                  <w:noWrap w:val="0"/>
                  <w:vAlign w:val="center"/>
                </w:tcPr>
                <w:p w14:paraId="4664BBA2">
                  <w:pPr>
                    <w:pStyle w:val="115"/>
                    <w:spacing w:beforeLines="0" w:afterLines="0"/>
                    <w:rPr>
                      <w:rFonts w:hint="default" w:ascii="Times New Roman" w:hAnsi="Times New Roman" w:cs="Times New Roman"/>
                      <w:color w:val="000000" w:themeColor="text1"/>
                      <w:sz w:val="21"/>
                      <w:szCs w:val="24"/>
                      <w14:textFill>
                        <w14:solidFill>
                          <w14:schemeClr w14:val="tx1"/>
                        </w14:solidFill>
                      </w14:textFill>
                    </w:rPr>
                  </w:pPr>
                  <w:r>
                    <w:rPr>
                      <w:rFonts w:hint="default" w:ascii="Times New Roman" w:hAnsi="Times New Roman" w:cs="Times New Roman"/>
                      <w:color w:val="000000" w:themeColor="text1"/>
                      <w:sz w:val="21"/>
                      <w:szCs w:val="24"/>
                      <w14:textFill>
                        <w14:solidFill>
                          <w14:schemeClr w14:val="tx1"/>
                        </w14:solidFill>
                      </w14:textFill>
                    </w:rPr>
                    <w:t>地理坐标</w:t>
                  </w:r>
                </w:p>
              </w:tc>
              <w:tc>
                <w:tcPr>
                  <w:tcW w:w="1004" w:type="dxa"/>
                  <w:tcBorders>
                    <w:tl2br w:val="nil"/>
                    <w:tr2bl w:val="nil"/>
                  </w:tcBorders>
                  <w:noWrap w:val="0"/>
                  <w:vAlign w:val="center"/>
                </w:tcPr>
                <w:p w14:paraId="55D92246">
                  <w:pPr>
                    <w:pStyle w:val="115"/>
                    <w:spacing w:beforeLines="0" w:afterLines="0"/>
                    <w:rPr>
                      <w:rFonts w:hint="default" w:ascii="Times New Roman" w:hAnsi="Times New Roman" w:cs="Times New Roman"/>
                      <w:color w:val="000000" w:themeColor="text1"/>
                      <w:sz w:val="21"/>
                      <w:szCs w:val="24"/>
                      <w14:textFill>
                        <w14:solidFill>
                          <w14:schemeClr w14:val="tx1"/>
                        </w14:solidFill>
                      </w14:textFill>
                    </w:rPr>
                  </w:pPr>
                  <w:r>
                    <w:rPr>
                      <w:rFonts w:hint="default" w:ascii="Times New Roman" w:hAnsi="Times New Roman" w:cs="Times New Roman"/>
                      <w:color w:val="000000" w:themeColor="text1"/>
                      <w:sz w:val="21"/>
                      <w:szCs w:val="24"/>
                      <w14:textFill>
                        <w14:solidFill>
                          <w14:schemeClr w14:val="tx1"/>
                        </w14:solidFill>
                      </w14:textFill>
                    </w:rPr>
                    <w:t>高度（m）</w:t>
                  </w:r>
                </w:p>
              </w:tc>
              <w:tc>
                <w:tcPr>
                  <w:tcW w:w="981" w:type="dxa"/>
                  <w:tcBorders>
                    <w:tl2br w:val="nil"/>
                    <w:tr2bl w:val="nil"/>
                  </w:tcBorders>
                  <w:noWrap w:val="0"/>
                  <w:vAlign w:val="center"/>
                </w:tcPr>
                <w:p w14:paraId="7097037B">
                  <w:pPr>
                    <w:pStyle w:val="115"/>
                    <w:spacing w:beforeLines="0" w:afterLines="0"/>
                    <w:rPr>
                      <w:rFonts w:hint="default" w:ascii="Times New Roman" w:hAnsi="Times New Roman" w:cs="Times New Roman"/>
                      <w:color w:val="000000" w:themeColor="text1"/>
                      <w:sz w:val="21"/>
                      <w:szCs w:val="24"/>
                      <w14:textFill>
                        <w14:solidFill>
                          <w14:schemeClr w14:val="tx1"/>
                        </w14:solidFill>
                      </w14:textFill>
                    </w:rPr>
                  </w:pPr>
                  <w:r>
                    <w:rPr>
                      <w:rFonts w:hint="default" w:ascii="Times New Roman" w:hAnsi="Times New Roman" w:cs="Times New Roman"/>
                      <w:color w:val="000000" w:themeColor="text1"/>
                      <w:sz w:val="21"/>
                      <w:szCs w:val="24"/>
                      <w14:textFill>
                        <w14:solidFill>
                          <w14:schemeClr w14:val="tx1"/>
                        </w14:solidFill>
                      </w14:textFill>
                    </w:rPr>
                    <w:t>内径（m）</w:t>
                  </w:r>
                </w:p>
              </w:tc>
              <w:tc>
                <w:tcPr>
                  <w:tcW w:w="889" w:type="dxa"/>
                  <w:tcBorders>
                    <w:tl2br w:val="nil"/>
                    <w:tr2bl w:val="nil"/>
                  </w:tcBorders>
                  <w:noWrap w:val="0"/>
                  <w:vAlign w:val="center"/>
                </w:tcPr>
                <w:p w14:paraId="0699C28E">
                  <w:pPr>
                    <w:pStyle w:val="115"/>
                    <w:spacing w:beforeLines="0" w:afterLines="0"/>
                    <w:rPr>
                      <w:rFonts w:hint="default" w:ascii="Times New Roman" w:hAnsi="Times New Roman" w:cs="Times New Roman"/>
                      <w:color w:val="000000" w:themeColor="text1"/>
                      <w:sz w:val="21"/>
                      <w:szCs w:val="24"/>
                      <w14:textFill>
                        <w14:solidFill>
                          <w14:schemeClr w14:val="tx1"/>
                        </w14:solidFill>
                      </w14:textFill>
                    </w:rPr>
                  </w:pPr>
                  <w:r>
                    <w:rPr>
                      <w:rFonts w:hint="default" w:ascii="Times New Roman" w:hAnsi="Times New Roman" w:cs="Times New Roman"/>
                      <w:color w:val="000000" w:themeColor="text1"/>
                      <w:sz w:val="21"/>
                      <w:szCs w:val="24"/>
                      <w14:textFill>
                        <w14:solidFill>
                          <w14:schemeClr w14:val="tx1"/>
                        </w14:solidFill>
                      </w14:textFill>
                    </w:rPr>
                    <w:t>温度（℃）</w:t>
                  </w:r>
                </w:p>
              </w:tc>
              <w:tc>
                <w:tcPr>
                  <w:tcW w:w="1027" w:type="dxa"/>
                  <w:tcBorders>
                    <w:tl2br w:val="nil"/>
                    <w:tr2bl w:val="nil"/>
                  </w:tcBorders>
                  <w:noWrap w:val="0"/>
                  <w:vAlign w:val="center"/>
                </w:tcPr>
                <w:p w14:paraId="010D6E02">
                  <w:pPr>
                    <w:pStyle w:val="115"/>
                    <w:spacing w:beforeLines="0" w:afterLines="0"/>
                    <w:rPr>
                      <w:rFonts w:hint="default" w:ascii="Times New Roman" w:hAnsi="Times New Roman" w:cs="Times New Roman"/>
                      <w:color w:val="000000" w:themeColor="text1"/>
                      <w:sz w:val="21"/>
                      <w:szCs w:val="24"/>
                      <w14:textFill>
                        <w14:solidFill>
                          <w14:schemeClr w14:val="tx1"/>
                        </w14:solidFill>
                      </w14:textFill>
                    </w:rPr>
                  </w:pPr>
                  <w:r>
                    <w:rPr>
                      <w:rFonts w:hint="default" w:ascii="Times New Roman" w:hAnsi="Times New Roman" w:cs="Times New Roman"/>
                      <w:color w:val="000000" w:themeColor="text1"/>
                      <w:sz w:val="21"/>
                      <w:szCs w:val="24"/>
                      <w14:textFill>
                        <w14:solidFill>
                          <w14:schemeClr w14:val="tx1"/>
                        </w14:solidFill>
                      </w14:textFill>
                    </w:rPr>
                    <w:t>排放口类型</w:t>
                  </w:r>
                </w:p>
              </w:tc>
            </w:tr>
            <w:tr w14:paraId="22FFE2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73" w:type="dxa"/>
                  <w:tcBorders>
                    <w:tl2br w:val="nil"/>
                    <w:tr2bl w:val="nil"/>
                  </w:tcBorders>
                  <w:noWrap w:val="0"/>
                  <w:vAlign w:val="center"/>
                </w:tcPr>
                <w:p w14:paraId="0BA326DC">
                  <w:pPr>
                    <w:pStyle w:val="115"/>
                    <w:spacing w:beforeLines="0" w:afterLines="0"/>
                    <w:rPr>
                      <w:rFonts w:hint="eastAsia" w:ascii="Times New Roman" w:hAnsi="Times New Roman" w:eastAsia="宋体" w:cs="Times New Roman"/>
                      <w:color w:val="000000" w:themeColor="text1"/>
                      <w:sz w:val="21"/>
                      <w:szCs w:val="24"/>
                      <w:lang w:eastAsia="zh-CN"/>
                      <w14:textFill>
                        <w14:solidFill>
                          <w14:schemeClr w14:val="tx1"/>
                        </w14:solidFill>
                      </w14:textFill>
                    </w:rPr>
                  </w:pPr>
                  <w:r>
                    <w:rPr>
                      <w:rFonts w:hint="eastAsia" w:ascii="Times New Roman" w:hAnsi="Times New Roman" w:cs="Times New Roman"/>
                      <w:color w:val="000000" w:themeColor="text1"/>
                      <w:sz w:val="21"/>
                      <w:szCs w:val="24"/>
                      <w:lang w:val="en-US" w:eastAsia="zh-CN"/>
                      <w14:textFill>
                        <w14:solidFill>
                          <w14:schemeClr w14:val="tx1"/>
                        </w14:solidFill>
                      </w14:textFill>
                    </w:rPr>
                    <w:t>1</w:t>
                  </w:r>
                </w:p>
              </w:tc>
              <w:tc>
                <w:tcPr>
                  <w:tcW w:w="1559" w:type="dxa"/>
                  <w:tcBorders>
                    <w:tl2br w:val="nil"/>
                    <w:tr2bl w:val="nil"/>
                  </w:tcBorders>
                  <w:noWrap w:val="0"/>
                  <w:vAlign w:val="center"/>
                </w:tcPr>
                <w:p w14:paraId="444C64F9">
                  <w:pPr>
                    <w:pStyle w:val="115"/>
                    <w:spacing w:beforeLines="0" w:afterLines="0"/>
                    <w:rPr>
                      <w:rFonts w:hint="default"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cs="Times New Roman"/>
                      <w:color w:val="000000" w:themeColor="text1"/>
                      <w:sz w:val="21"/>
                      <w:szCs w:val="24"/>
                      <w:lang w:val="en-US" w:eastAsia="zh-CN"/>
                      <w14:textFill>
                        <w14:solidFill>
                          <w14:schemeClr w14:val="tx1"/>
                        </w14:solidFill>
                      </w14:textFill>
                    </w:rPr>
                    <w:t>拉丝工序废气排气筒DA001</w:t>
                  </w:r>
                </w:p>
              </w:tc>
              <w:tc>
                <w:tcPr>
                  <w:tcW w:w="1742" w:type="dxa"/>
                  <w:tcBorders>
                    <w:tl2br w:val="nil"/>
                    <w:tr2bl w:val="nil"/>
                  </w:tcBorders>
                  <w:noWrap w:val="0"/>
                  <w:vAlign w:val="center"/>
                </w:tcPr>
                <w:p w14:paraId="25D3715A">
                  <w:pPr>
                    <w:pStyle w:val="115"/>
                    <w:spacing w:beforeLines="0" w:afterLines="0"/>
                    <w:rPr>
                      <w:rFonts w:hint="default" w:ascii="Times New Roman" w:hAnsi="Times New Roman" w:eastAsia="宋体" w:cs="Times New Roman"/>
                      <w:color w:val="000000" w:themeColor="text1"/>
                      <w:sz w:val="21"/>
                      <w:szCs w:val="24"/>
                      <w:lang w:val="en-US" w:eastAsia="zh-CN"/>
                      <w14:textFill>
                        <w14:solidFill>
                          <w14:schemeClr w14:val="tx1"/>
                        </w14:solidFill>
                      </w14:textFill>
                    </w:rPr>
                  </w:pPr>
                  <w:r>
                    <w:rPr>
                      <w:rFonts w:hint="default" w:ascii="Times New Roman" w:hAnsi="Times New Roman" w:eastAsia="宋体" w:cs="Times New Roman"/>
                      <w:color w:val="000000" w:themeColor="text1"/>
                      <w:sz w:val="21"/>
                      <w:szCs w:val="24"/>
                      <w:lang w:val="en-US" w:eastAsia="zh-CN"/>
                      <w14:textFill>
                        <w14:solidFill>
                          <w14:schemeClr w14:val="tx1"/>
                        </w14:solidFill>
                      </w14:textFill>
                    </w:rPr>
                    <w:t>112.34690413</w:t>
                  </w:r>
                  <w:r>
                    <w:rPr>
                      <w:rFonts w:hint="eastAsia" w:ascii="Times New Roman" w:hAnsi="Times New Roman" w:cs="Times New Roman"/>
                      <w:color w:val="000000" w:themeColor="text1"/>
                      <w:sz w:val="21"/>
                      <w:szCs w:val="24"/>
                      <w:lang w:val="en-US" w:eastAsia="zh-CN"/>
                      <w14:textFill>
                        <w14:solidFill>
                          <w14:schemeClr w14:val="tx1"/>
                        </w14:solidFill>
                      </w14:textFill>
                    </w:rPr>
                    <w:t>，28.38643837</w:t>
                  </w:r>
                </w:p>
              </w:tc>
              <w:tc>
                <w:tcPr>
                  <w:tcW w:w="1004" w:type="dxa"/>
                  <w:tcBorders>
                    <w:tl2br w:val="nil"/>
                    <w:tr2bl w:val="nil"/>
                  </w:tcBorders>
                  <w:noWrap w:val="0"/>
                  <w:vAlign w:val="center"/>
                </w:tcPr>
                <w:p w14:paraId="798EDFB4">
                  <w:pPr>
                    <w:pStyle w:val="115"/>
                    <w:spacing w:beforeLines="0" w:afterLines="0"/>
                    <w:rPr>
                      <w:rFonts w:hint="default"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cs="Times New Roman"/>
                      <w:color w:val="000000" w:themeColor="text1"/>
                      <w:sz w:val="21"/>
                      <w:szCs w:val="24"/>
                      <w:lang w:val="en-US" w:eastAsia="zh-CN"/>
                      <w14:textFill>
                        <w14:solidFill>
                          <w14:schemeClr w14:val="tx1"/>
                        </w14:solidFill>
                      </w14:textFill>
                    </w:rPr>
                    <w:t>15</w:t>
                  </w:r>
                </w:p>
              </w:tc>
              <w:tc>
                <w:tcPr>
                  <w:tcW w:w="981" w:type="dxa"/>
                  <w:tcBorders>
                    <w:tl2br w:val="nil"/>
                    <w:tr2bl w:val="nil"/>
                  </w:tcBorders>
                  <w:noWrap w:val="0"/>
                  <w:vAlign w:val="center"/>
                </w:tcPr>
                <w:p w14:paraId="18CF2FB2">
                  <w:pPr>
                    <w:pStyle w:val="115"/>
                    <w:spacing w:beforeLines="0" w:afterLines="0"/>
                    <w:rPr>
                      <w:rFonts w:hint="default"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cs="Times New Roman"/>
                      <w:color w:val="000000" w:themeColor="text1"/>
                      <w:sz w:val="21"/>
                      <w:szCs w:val="24"/>
                      <w:lang w:val="en-US" w:eastAsia="zh-CN"/>
                      <w14:textFill>
                        <w14:solidFill>
                          <w14:schemeClr w14:val="tx1"/>
                        </w14:solidFill>
                      </w14:textFill>
                    </w:rPr>
                    <w:t>0.45</w:t>
                  </w:r>
                </w:p>
              </w:tc>
              <w:tc>
                <w:tcPr>
                  <w:tcW w:w="889" w:type="dxa"/>
                  <w:tcBorders>
                    <w:tl2br w:val="nil"/>
                    <w:tr2bl w:val="nil"/>
                  </w:tcBorders>
                  <w:noWrap w:val="0"/>
                  <w:vAlign w:val="center"/>
                </w:tcPr>
                <w:p w14:paraId="39B0206B">
                  <w:pPr>
                    <w:pStyle w:val="115"/>
                    <w:spacing w:beforeLines="0" w:afterLines="0"/>
                    <w:rPr>
                      <w:rFonts w:hint="default"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cs="Times New Roman"/>
                      <w:color w:val="000000" w:themeColor="text1"/>
                      <w:sz w:val="21"/>
                      <w:szCs w:val="24"/>
                      <w:lang w:val="en-US" w:eastAsia="zh-CN"/>
                      <w14:textFill>
                        <w14:solidFill>
                          <w14:schemeClr w14:val="tx1"/>
                        </w14:solidFill>
                      </w14:textFill>
                    </w:rPr>
                    <w:t>常温</w:t>
                  </w:r>
                </w:p>
              </w:tc>
              <w:tc>
                <w:tcPr>
                  <w:tcW w:w="1027" w:type="dxa"/>
                  <w:tcBorders>
                    <w:tl2br w:val="nil"/>
                    <w:tr2bl w:val="nil"/>
                  </w:tcBorders>
                  <w:noWrap w:val="0"/>
                  <w:vAlign w:val="center"/>
                </w:tcPr>
                <w:p w14:paraId="52DE183C">
                  <w:pPr>
                    <w:pStyle w:val="115"/>
                    <w:spacing w:beforeLines="0" w:afterLines="0"/>
                    <w:rPr>
                      <w:rFonts w:hint="default" w:ascii="Times New Roman" w:hAnsi="Times New Roman" w:cs="Times New Roman"/>
                      <w:color w:val="000000" w:themeColor="text1"/>
                      <w:sz w:val="21"/>
                      <w:szCs w:val="24"/>
                      <w14:textFill>
                        <w14:solidFill>
                          <w14:schemeClr w14:val="tx1"/>
                        </w14:solidFill>
                      </w14:textFill>
                    </w:rPr>
                  </w:pPr>
                  <w:r>
                    <w:rPr>
                      <w:rFonts w:hint="default" w:ascii="Times New Roman" w:hAnsi="Times New Roman" w:cs="Times New Roman"/>
                      <w:color w:val="000000" w:themeColor="text1"/>
                      <w:sz w:val="21"/>
                      <w:szCs w:val="24"/>
                      <w14:textFill>
                        <w14:solidFill>
                          <w14:schemeClr w14:val="tx1"/>
                        </w14:solidFill>
                      </w14:textFill>
                    </w:rPr>
                    <w:t>一般排放口</w:t>
                  </w:r>
                </w:p>
              </w:tc>
            </w:tr>
            <w:tr w14:paraId="7FF4CD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73" w:type="dxa"/>
                  <w:tcBorders>
                    <w:tl2br w:val="nil"/>
                    <w:tr2bl w:val="nil"/>
                  </w:tcBorders>
                  <w:noWrap w:val="0"/>
                  <w:vAlign w:val="center"/>
                </w:tcPr>
                <w:p w14:paraId="3FF13C57">
                  <w:pPr>
                    <w:pStyle w:val="115"/>
                    <w:spacing w:beforeLines="0" w:afterLines="0"/>
                    <w:rPr>
                      <w:rFonts w:hint="default" w:ascii="Times New Roman" w:hAnsi="Times New Roman" w:cs="Times New Roman"/>
                      <w:color w:val="000000" w:themeColor="text1"/>
                      <w:sz w:val="21"/>
                      <w:szCs w:val="24"/>
                      <w:lang w:val="en-US" w:eastAsia="zh-CN"/>
                      <w14:textFill>
                        <w14:solidFill>
                          <w14:schemeClr w14:val="tx1"/>
                        </w14:solidFill>
                      </w14:textFill>
                    </w:rPr>
                  </w:pPr>
                  <w:r>
                    <w:rPr>
                      <w:rFonts w:hint="eastAsia" w:ascii="Times New Roman" w:hAnsi="Times New Roman" w:cs="Times New Roman"/>
                      <w:color w:val="000000" w:themeColor="text1"/>
                      <w:sz w:val="21"/>
                      <w:szCs w:val="24"/>
                      <w:lang w:val="en-US" w:eastAsia="zh-CN"/>
                      <w14:textFill>
                        <w14:solidFill>
                          <w14:schemeClr w14:val="tx1"/>
                        </w14:solidFill>
                      </w14:textFill>
                    </w:rPr>
                    <w:t>2</w:t>
                  </w:r>
                </w:p>
              </w:tc>
              <w:tc>
                <w:tcPr>
                  <w:tcW w:w="1559" w:type="dxa"/>
                  <w:tcBorders>
                    <w:tl2br w:val="nil"/>
                    <w:tr2bl w:val="nil"/>
                  </w:tcBorders>
                  <w:shd w:val="clear" w:color="auto" w:fill="auto"/>
                  <w:noWrap w:val="0"/>
                  <w:vAlign w:val="center"/>
                </w:tcPr>
                <w:p w14:paraId="4EC4FC3D">
                  <w:pPr>
                    <w:pStyle w:val="115"/>
                    <w:spacing w:beforeLines="0" w:afterLines="0"/>
                    <w:ind w:firstLine="0" w:firstLineChars="0"/>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cs="Times New Roman"/>
                      <w:color w:val="000000" w:themeColor="text1"/>
                      <w:sz w:val="21"/>
                      <w:szCs w:val="24"/>
                      <w:lang w:val="en-US" w:eastAsia="zh-CN"/>
                      <w14:textFill>
                        <w14:solidFill>
                          <w14:schemeClr w14:val="tx1"/>
                        </w14:solidFill>
                      </w14:textFill>
                    </w:rPr>
                    <w:t>锅炉废气</w:t>
                  </w:r>
                  <w:r>
                    <w:rPr>
                      <w:rFonts w:hint="default" w:ascii="Times New Roman" w:hAnsi="Times New Roman" w:cs="Times New Roman"/>
                      <w:color w:val="000000" w:themeColor="text1"/>
                      <w:sz w:val="21"/>
                      <w:szCs w:val="24"/>
                      <w14:textFill>
                        <w14:solidFill>
                          <w14:schemeClr w14:val="tx1"/>
                        </w14:solidFill>
                      </w14:textFill>
                    </w:rPr>
                    <w:t>排气筒DA00</w:t>
                  </w:r>
                  <w:r>
                    <w:rPr>
                      <w:rFonts w:hint="eastAsia" w:ascii="Times New Roman" w:hAnsi="Times New Roman" w:cs="Times New Roman"/>
                      <w:color w:val="000000" w:themeColor="text1"/>
                      <w:sz w:val="21"/>
                      <w:szCs w:val="24"/>
                      <w:lang w:val="en-US" w:eastAsia="zh-CN"/>
                      <w14:textFill>
                        <w14:solidFill>
                          <w14:schemeClr w14:val="tx1"/>
                        </w14:solidFill>
                      </w14:textFill>
                    </w:rPr>
                    <w:t>2</w:t>
                  </w:r>
                </w:p>
              </w:tc>
              <w:tc>
                <w:tcPr>
                  <w:tcW w:w="1742" w:type="dxa"/>
                  <w:tcBorders>
                    <w:tl2br w:val="nil"/>
                    <w:tr2bl w:val="nil"/>
                  </w:tcBorders>
                  <w:shd w:val="clear" w:color="auto" w:fill="auto"/>
                  <w:noWrap w:val="0"/>
                  <w:vAlign w:val="center"/>
                </w:tcPr>
                <w:p w14:paraId="7BA960F5">
                  <w:pPr>
                    <w:pStyle w:val="115"/>
                    <w:spacing w:beforeLines="0" w:afterLines="0"/>
                    <w:ind w:firstLine="0" w:firstLineChars="0"/>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cs="Times New Roman"/>
                      <w:color w:val="000000" w:themeColor="text1"/>
                      <w:sz w:val="21"/>
                      <w:szCs w:val="24"/>
                      <w:lang w:val="en-US" w:eastAsia="zh-CN"/>
                      <w14:textFill>
                        <w14:solidFill>
                          <w14:schemeClr w14:val="tx1"/>
                        </w14:solidFill>
                      </w14:textFill>
                    </w:rPr>
                    <w:t>112.341596239，28.389778693</w:t>
                  </w:r>
                </w:p>
              </w:tc>
              <w:tc>
                <w:tcPr>
                  <w:tcW w:w="1004" w:type="dxa"/>
                  <w:tcBorders>
                    <w:tl2br w:val="nil"/>
                    <w:tr2bl w:val="nil"/>
                  </w:tcBorders>
                  <w:shd w:val="clear" w:color="auto" w:fill="auto"/>
                  <w:noWrap w:val="0"/>
                  <w:vAlign w:val="center"/>
                </w:tcPr>
                <w:p w14:paraId="3442BE5C">
                  <w:pPr>
                    <w:pStyle w:val="115"/>
                    <w:spacing w:beforeLines="0" w:afterLines="0"/>
                    <w:ind w:firstLine="0" w:firstLineChars="0"/>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cs="Times New Roman"/>
                      <w:color w:val="000000" w:themeColor="text1"/>
                      <w:sz w:val="21"/>
                      <w:szCs w:val="24"/>
                      <w:lang w:val="en-US" w:eastAsia="zh-CN"/>
                      <w14:textFill>
                        <w14:solidFill>
                          <w14:schemeClr w14:val="tx1"/>
                        </w14:solidFill>
                      </w14:textFill>
                    </w:rPr>
                    <w:t>30</w:t>
                  </w:r>
                </w:p>
              </w:tc>
              <w:tc>
                <w:tcPr>
                  <w:tcW w:w="981" w:type="dxa"/>
                  <w:tcBorders>
                    <w:tl2br w:val="nil"/>
                    <w:tr2bl w:val="nil"/>
                  </w:tcBorders>
                  <w:shd w:val="clear" w:color="auto" w:fill="auto"/>
                  <w:noWrap w:val="0"/>
                  <w:vAlign w:val="center"/>
                </w:tcPr>
                <w:p w14:paraId="293D6983">
                  <w:pPr>
                    <w:pStyle w:val="115"/>
                    <w:spacing w:beforeLines="0" w:afterLines="0"/>
                    <w:ind w:firstLine="0" w:firstLineChars="0"/>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cs="Times New Roman"/>
                      <w:color w:val="000000" w:themeColor="text1"/>
                      <w:sz w:val="21"/>
                      <w:szCs w:val="24"/>
                      <w:lang w:val="en-US" w:eastAsia="zh-CN"/>
                      <w14:textFill>
                        <w14:solidFill>
                          <w14:schemeClr w14:val="tx1"/>
                        </w14:solidFill>
                      </w14:textFill>
                    </w:rPr>
                    <w:t>0.35</w:t>
                  </w:r>
                </w:p>
              </w:tc>
              <w:tc>
                <w:tcPr>
                  <w:tcW w:w="889" w:type="dxa"/>
                  <w:tcBorders>
                    <w:tl2br w:val="nil"/>
                    <w:tr2bl w:val="nil"/>
                  </w:tcBorders>
                  <w:shd w:val="clear" w:color="auto" w:fill="auto"/>
                  <w:noWrap w:val="0"/>
                  <w:vAlign w:val="center"/>
                </w:tcPr>
                <w:p w14:paraId="0E3A63A3">
                  <w:pPr>
                    <w:pStyle w:val="115"/>
                    <w:spacing w:beforeLines="0" w:afterLines="0"/>
                    <w:ind w:firstLine="0" w:firstLineChars="0"/>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cs="Times New Roman"/>
                      <w:color w:val="000000" w:themeColor="text1"/>
                      <w:sz w:val="21"/>
                      <w:szCs w:val="24"/>
                      <w:lang w:val="en-US" w:eastAsia="zh-CN"/>
                      <w14:textFill>
                        <w14:solidFill>
                          <w14:schemeClr w14:val="tx1"/>
                        </w14:solidFill>
                      </w14:textFill>
                    </w:rPr>
                    <w:t>60~80</w:t>
                  </w:r>
                </w:p>
              </w:tc>
              <w:tc>
                <w:tcPr>
                  <w:tcW w:w="1027" w:type="dxa"/>
                  <w:tcBorders>
                    <w:tl2br w:val="nil"/>
                    <w:tr2bl w:val="nil"/>
                  </w:tcBorders>
                  <w:shd w:val="clear" w:color="auto" w:fill="auto"/>
                  <w:noWrap w:val="0"/>
                  <w:vAlign w:val="center"/>
                </w:tcPr>
                <w:p w14:paraId="0318D1FD">
                  <w:pPr>
                    <w:pStyle w:val="115"/>
                    <w:spacing w:beforeLines="0" w:afterLines="0"/>
                    <w:ind w:firstLine="0" w:firstLineChars="0"/>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cs="Times New Roman"/>
                      <w:color w:val="000000" w:themeColor="text1"/>
                      <w:sz w:val="21"/>
                      <w:szCs w:val="24"/>
                      <w14:textFill>
                        <w14:solidFill>
                          <w14:schemeClr w14:val="tx1"/>
                        </w14:solidFill>
                      </w14:textFill>
                    </w:rPr>
                    <w:t>一般排放口</w:t>
                  </w:r>
                </w:p>
              </w:tc>
            </w:tr>
          </w:tbl>
          <w:p w14:paraId="1636A0B4">
            <w:pPr>
              <w:pStyle w:val="35"/>
              <w:ind w:firstLine="480"/>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lang w:val="en-US" w:eastAsia="zh-CN"/>
                <w14:textFill>
                  <w14:solidFill>
                    <w14:schemeClr w14:val="tx1"/>
                  </w14:solidFill>
                </w14:textFill>
              </w:rPr>
              <w:t>5</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lang w:val="en-US" w:eastAsia="zh-CN"/>
                <w14:textFill>
                  <w14:solidFill>
                    <w14:schemeClr w14:val="tx1"/>
                  </w14:solidFill>
                </w14:textFill>
              </w:rPr>
              <w:t>排气筒设置合理性</w:t>
            </w:r>
          </w:p>
          <w:p w14:paraId="5639974C">
            <w:pPr>
              <w:pStyle w:val="35"/>
              <w:ind w:firstLine="480"/>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①高度合理性</w:t>
            </w:r>
          </w:p>
          <w:p w14:paraId="6EC25E90">
            <w:pPr>
              <w:pStyle w:val="35"/>
              <w:ind w:firstLine="480"/>
              <w:rPr>
                <w:rFonts w:hint="eastAsia"/>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根据《锅炉大气污染物排放标准》</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14:textFill>
                  <w14:solidFill>
                    <w14:schemeClr w14:val="tx1"/>
                  </w14:solidFill>
                </w14:textFill>
              </w:rPr>
              <w:t>GB13271-2014</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14:textFill>
                  <w14:solidFill>
                    <w14:schemeClr w14:val="tx1"/>
                  </w14:solidFill>
                </w14:textFill>
              </w:rPr>
              <w:t>中关于排气筒高度的规定</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14:textFill>
                  <w14:solidFill>
                    <w14:schemeClr w14:val="tx1"/>
                  </w14:solidFill>
                </w14:textFill>
              </w:rPr>
              <w:t>每个新建燃煤锅炉房只能设一根</w:t>
            </w:r>
            <w:r>
              <w:rPr>
                <w:rFonts w:hint="eastAsia"/>
                <w:color w:val="000000" w:themeColor="text1"/>
                <w:u w:val="none" w:color="auto"/>
                <w:lang w:eastAsia="zh-CN"/>
                <w14:textFill>
                  <w14:solidFill>
                    <w14:schemeClr w14:val="tx1"/>
                  </w14:solidFill>
                </w14:textFill>
              </w:rPr>
              <w:t>烟囱</w:t>
            </w:r>
            <w:r>
              <w:rPr>
                <w:rFonts w:hint="eastAsia"/>
                <w:color w:val="000000" w:themeColor="text1"/>
                <w:u w:val="none" w:color="auto"/>
                <w14:textFill>
                  <w14:solidFill>
                    <w14:schemeClr w14:val="tx1"/>
                  </w14:solidFill>
                </w14:textFill>
              </w:rPr>
              <w:t>，烟囱高度应根据锅炉房装机总容量，按表4规定执行，燃油、燃气锅炉烟囱不低于8米，锅炉烟囱的具体高度按批复的环境影响评价文件确定。新建锅炉房的烟囱周围半径200m距离内有建筑物时，其烟囱应高出最高建筑物3m以上。</w:t>
            </w:r>
          </w:p>
          <w:p w14:paraId="15A2972A">
            <w:pPr>
              <w:pStyle w:val="35"/>
              <w:ind w:firstLine="480"/>
              <w:rPr>
                <w:rFonts w:hint="eastAsia" w:eastAsia="宋体"/>
                <w:color w:val="000000" w:themeColor="text1"/>
                <w:u w:val="none" w:color="auto"/>
                <w:lang w:eastAsia="zh-CN"/>
                <w14:textFill>
                  <w14:solidFill>
                    <w14:schemeClr w14:val="tx1"/>
                  </w14:solidFill>
                </w14:textFill>
              </w:rPr>
            </w:pPr>
            <w:r>
              <w:rPr>
                <w:rFonts w:hint="eastAsia"/>
                <w:color w:val="000000" w:themeColor="text1"/>
                <w:u w:val="none" w:color="auto"/>
                <w14:textFill>
                  <w14:solidFill>
                    <w14:schemeClr w14:val="tx1"/>
                  </w14:solidFill>
                </w14:textFill>
              </w:rPr>
              <w:t>本项目锅炉为2.5t</w:t>
            </w:r>
            <w:r>
              <w:rPr>
                <w:rFonts w:hint="eastAsia"/>
                <w:color w:val="000000" w:themeColor="text1"/>
                <w:u w:val="none" w:color="auto"/>
                <w:lang w:val="en-US" w:eastAsia="zh-CN"/>
                <w14:textFill>
                  <w14:solidFill>
                    <w14:schemeClr w14:val="tx1"/>
                  </w14:solidFill>
                </w14:textFill>
              </w:rPr>
              <w:t>/</w:t>
            </w:r>
            <w:r>
              <w:rPr>
                <w:rFonts w:hint="eastAsia"/>
                <w:color w:val="000000" w:themeColor="text1"/>
                <w:u w:val="none" w:color="auto"/>
                <w14:textFill>
                  <w14:solidFill>
                    <w14:schemeClr w14:val="tx1"/>
                  </w14:solidFill>
                </w14:textFill>
              </w:rPr>
              <w:t>h燃生物质锅炉，根据表4规定，最低允许高度为30m，根据现场勘查，周边200m最高建筑物高度为</w:t>
            </w:r>
            <w:r>
              <w:rPr>
                <w:rFonts w:hint="eastAsia"/>
                <w:color w:val="000000" w:themeColor="text1"/>
                <w:u w:val="none" w:color="auto"/>
                <w:lang w:val="en-US" w:eastAsia="zh-CN"/>
                <w14:textFill>
                  <w14:solidFill>
                    <w14:schemeClr w14:val="tx1"/>
                  </w14:solidFill>
                </w14:textFill>
              </w:rPr>
              <w:t>25</w:t>
            </w:r>
            <w:r>
              <w:rPr>
                <w:rFonts w:hint="eastAsia"/>
                <w:color w:val="000000" w:themeColor="text1"/>
                <w:u w:val="none" w:color="auto"/>
                <w14:textFill>
                  <w14:solidFill>
                    <w14:schemeClr w14:val="tx1"/>
                  </w14:solidFill>
                </w14:textFill>
              </w:rPr>
              <w:t>m。因此</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14:textFill>
                  <w14:solidFill>
                    <w14:schemeClr w14:val="tx1"/>
                  </w14:solidFill>
                </w14:textFill>
              </w:rPr>
              <w:t>本项目设置30m排气筒高度合理</w:t>
            </w:r>
            <w:r>
              <w:rPr>
                <w:rFonts w:hint="eastAsia"/>
                <w:color w:val="000000" w:themeColor="text1"/>
                <w:u w:val="none" w:color="auto"/>
                <w:lang w:eastAsia="zh-CN"/>
                <w14:textFill>
                  <w14:solidFill>
                    <w14:schemeClr w14:val="tx1"/>
                  </w14:solidFill>
                </w14:textFill>
              </w:rPr>
              <w:t>。</w:t>
            </w:r>
          </w:p>
          <w:p w14:paraId="5B7B4F0B">
            <w:pPr>
              <w:adjustRightInd w:val="0"/>
              <w:snapToGrid w:val="0"/>
              <w:spacing w:line="360" w:lineRule="auto"/>
              <w:ind w:firstLine="480" w:firstLineChars="200"/>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②气流速度合理性</w:t>
            </w:r>
          </w:p>
          <w:p w14:paraId="37B3CF66">
            <w:pPr>
              <w:adjustRightInd w:val="0"/>
              <w:snapToGrid w:val="0"/>
              <w:spacing w:line="360" w:lineRule="auto"/>
              <w:ind w:firstLine="480" w:firstLineChars="200"/>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根据《大气污染治理工程技术导则》（HJ2000-2010）之5.3污染气体的排放之5.3.5“排气筒的出口直径应根据出口流速确定，流速宜取15m/s左右。当采用钢管烟囱且高度较高时或烟气量较大时，可适当提高出口流速至20m/s～25m/s左右。”</w:t>
            </w:r>
          </w:p>
          <w:p w14:paraId="18957613">
            <w:pPr>
              <w:adjustRightInd w:val="0"/>
              <w:snapToGrid w:val="0"/>
              <w:spacing w:line="360" w:lineRule="auto"/>
              <w:ind w:firstLine="480" w:firstLineChars="200"/>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当出口直径取0.35米时，项目燃生物质锅炉排放口烟气流速约为15.95m/s，本项目DA002排放口烟气流速设置合理。</w:t>
            </w:r>
          </w:p>
          <w:p w14:paraId="2FBBE2E0">
            <w:pPr>
              <w:adjustRightInd w:val="0"/>
              <w:snapToGrid w:val="0"/>
              <w:spacing w:line="360" w:lineRule="auto"/>
              <w:ind w:firstLine="480" w:firstLineChars="200"/>
              <w:rPr>
                <w:rFonts w:hint="default"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当出口直径取0.45米时，项目拉丝工序废气排放口烟气流速约为14.0m/s，本项目DA001排放口烟气流速设置合理。</w:t>
            </w:r>
          </w:p>
          <w:p w14:paraId="3C3E31DB">
            <w:pPr>
              <w:pStyle w:val="35"/>
              <w:numPr>
                <w:ilvl w:val="0"/>
                <w:numId w:val="2"/>
              </w:numPr>
              <w:ind w:firstLine="480"/>
              <w:rPr>
                <w:rFonts w:hint="eastAsia"/>
                <w:b w:val="0"/>
                <w:bCs w:val="0"/>
                <w:color w:val="000000" w:themeColor="text1"/>
                <w:sz w:val="24"/>
                <w:szCs w:val="24"/>
                <w14:textFill>
                  <w14:solidFill>
                    <w14:schemeClr w14:val="tx1"/>
                  </w14:solidFill>
                </w14:textFill>
              </w:rPr>
            </w:pPr>
            <w:r>
              <w:rPr>
                <w:rFonts w:hint="eastAsia"/>
                <w:b w:val="0"/>
                <w:bCs w:val="0"/>
                <w:color w:val="000000" w:themeColor="text1"/>
                <w:sz w:val="24"/>
                <w:szCs w:val="24"/>
                <w14:textFill>
                  <w14:solidFill>
                    <w14:schemeClr w14:val="tx1"/>
                  </w14:solidFill>
                </w14:textFill>
              </w:rPr>
              <w:t>废气污染治理设施</w:t>
            </w:r>
          </w:p>
          <w:p w14:paraId="0F2D5DA2">
            <w:pPr>
              <w:pStyle w:val="35"/>
              <w:numPr>
                <w:ilvl w:val="0"/>
                <w:numId w:val="0"/>
              </w:numPr>
              <w:ind w:firstLine="480" w:firstLineChars="200"/>
              <w:rPr>
                <w:rFonts w:hint="default"/>
                <w:b w:val="0"/>
                <w:bCs w:val="0"/>
                <w:color w:val="000000" w:themeColor="text1"/>
                <w:sz w:val="24"/>
                <w:szCs w:val="24"/>
                <w:lang w:val="en-US" w:eastAsia="zh-CN"/>
                <w14:textFill>
                  <w14:solidFill>
                    <w14:schemeClr w14:val="tx1"/>
                  </w14:solidFill>
                </w14:textFill>
              </w:rPr>
            </w:pPr>
            <w:r>
              <w:rPr>
                <w:rFonts w:hint="eastAsia"/>
                <w:b w:val="0"/>
                <w:bCs w:val="0"/>
                <w:color w:val="000000" w:themeColor="text1"/>
                <w:sz w:val="24"/>
                <w:szCs w:val="24"/>
                <w:lang w:val="en-US" w:eastAsia="zh-CN"/>
                <w14:textFill>
                  <w14:solidFill>
                    <w14:schemeClr w14:val="tx1"/>
                  </w14:solidFill>
                </w14:textFill>
              </w:rPr>
              <w:t>①锅炉废气</w:t>
            </w:r>
          </w:p>
          <w:p w14:paraId="3514EB2A">
            <w:pPr>
              <w:pStyle w:val="35"/>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Times New Roman" w:hAnsi="Times New Roman" w:eastAsia="宋体" w:cs="Times New Roman"/>
                <w:b/>
                <w:bCs/>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u w:val="none" w:color="auto"/>
                <w:lang w:val="en-US" w:eastAsia="zh-CN"/>
                <w14:textFill>
                  <w14:solidFill>
                    <w14:schemeClr w14:val="tx1"/>
                  </w14:solidFill>
                </w14:textFill>
              </w:rPr>
              <w:t>表4-8  大气污染治理设施信息表</w:t>
            </w:r>
          </w:p>
          <w:tbl>
            <w:tblPr>
              <w:tblStyle w:val="27"/>
              <w:tblW w:w="4998"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381"/>
              <w:gridCol w:w="570"/>
              <w:gridCol w:w="381"/>
              <w:gridCol w:w="1402"/>
              <w:gridCol w:w="766"/>
              <w:gridCol w:w="1088"/>
              <w:gridCol w:w="1356"/>
              <w:gridCol w:w="381"/>
              <w:gridCol w:w="684"/>
              <w:gridCol w:w="383"/>
              <w:gridCol w:w="381"/>
            </w:tblGrid>
            <w:tr w14:paraId="36A34E5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251" w:type="pct"/>
                  <w:gridSpan w:val="5"/>
                  <w:tcBorders>
                    <w:tl2br w:val="nil"/>
                    <w:tr2bl w:val="nil"/>
                  </w:tcBorders>
                  <w:noWrap w:val="0"/>
                  <w:vAlign w:val="center"/>
                </w:tcPr>
                <w:p w14:paraId="7834E338">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《排污许可证申请与核发技术规范  锅炉》（HJ 953—2018）表7 锅炉烟气污染防治可行技术一览表</w:t>
                  </w:r>
                </w:p>
              </w:tc>
              <w:tc>
                <w:tcPr>
                  <w:tcW w:w="1572" w:type="pct"/>
                  <w:gridSpan w:val="2"/>
                  <w:tcBorders>
                    <w:tl2br w:val="nil"/>
                    <w:tr2bl w:val="nil"/>
                  </w:tcBorders>
                  <w:noWrap w:val="0"/>
                  <w:vAlign w:val="center"/>
                </w:tcPr>
                <w:p w14:paraId="39A3D845">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排放源统计调查产排污核算方法和系数手册4430工业锅炉（热力生产和供应行业）</w:t>
                  </w:r>
                </w:p>
              </w:tc>
              <w:tc>
                <w:tcPr>
                  <w:tcW w:w="931" w:type="pct"/>
                  <w:gridSpan w:val="3"/>
                  <w:tcBorders>
                    <w:tl2br w:val="nil"/>
                    <w:tr2bl w:val="nil"/>
                  </w:tcBorders>
                  <w:noWrap w:val="0"/>
                  <w:vAlign w:val="center"/>
                </w:tcPr>
                <w:p w14:paraId="19BA7717">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本项目采取的污染治理设施名称及工艺</w:t>
                  </w:r>
                </w:p>
              </w:tc>
              <w:tc>
                <w:tcPr>
                  <w:tcW w:w="245" w:type="pct"/>
                  <w:vMerge w:val="restart"/>
                  <w:tcBorders>
                    <w:tl2br w:val="nil"/>
                    <w:tr2bl w:val="nil"/>
                  </w:tcBorders>
                  <w:noWrap w:val="0"/>
                  <w:vAlign w:val="center"/>
                </w:tcPr>
                <w:p w14:paraId="74414097">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是否为可行技术</w:t>
                  </w:r>
                </w:p>
              </w:tc>
            </w:tr>
            <w:tr w14:paraId="274361C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45" w:type="pct"/>
                  <w:tcBorders>
                    <w:tl2br w:val="nil"/>
                    <w:tr2bl w:val="nil"/>
                  </w:tcBorders>
                  <w:noWrap w:val="0"/>
                  <w:vAlign w:val="center"/>
                </w:tcPr>
                <w:p w14:paraId="5B294DBF">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燃料类型</w:t>
                  </w:r>
                </w:p>
              </w:tc>
              <w:tc>
                <w:tcPr>
                  <w:tcW w:w="366" w:type="pct"/>
                  <w:tcBorders>
                    <w:tl2br w:val="nil"/>
                    <w:tr2bl w:val="nil"/>
                  </w:tcBorders>
                  <w:noWrap w:val="0"/>
                  <w:vAlign w:val="center"/>
                </w:tcPr>
                <w:p w14:paraId="0058B63E">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炉型</w:t>
                  </w:r>
                </w:p>
              </w:tc>
              <w:tc>
                <w:tcPr>
                  <w:tcW w:w="245" w:type="pct"/>
                  <w:tcBorders>
                    <w:tl2br w:val="nil"/>
                    <w:tr2bl w:val="nil"/>
                  </w:tcBorders>
                  <w:noWrap w:val="0"/>
                  <w:vAlign w:val="center"/>
                </w:tcPr>
                <w:p w14:paraId="17F585EE">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二氧化硫</w:t>
                  </w:r>
                </w:p>
              </w:tc>
              <w:tc>
                <w:tcPr>
                  <w:tcW w:w="901" w:type="pct"/>
                  <w:tcBorders>
                    <w:tl2br w:val="nil"/>
                    <w:tr2bl w:val="nil"/>
                  </w:tcBorders>
                  <w:noWrap w:val="0"/>
                  <w:vAlign w:val="center"/>
                </w:tcPr>
                <w:p w14:paraId="66F89F9C">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氮氧化物</w:t>
                  </w:r>
                </w:p>
              </w:tc>
              <w:tc>
                <w:tcPr>
                  <w:tcW w:w="492" w:type="pct"/>
                  <w:tcBorders>
                    <w:tl2br w:val="nil"/>
                    <w:tr2bl w:val="nil"/>
                  </w:tcBorders>
                  <w:noWrap w:val="0"/>
                  <w:vAlign w:val="center"/>
                </w:tcPr>
                <w:p w14:paraId="03C6F584">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颗粒物</w:t>
                  </w:r>
                </w:p>
              </w:tc>
              <w:tc>
                <w:tcPr>
                  <w:tcW w:w="699" w:type="pct"/>
                  <w:tcBorders>
                    <w:tl2br w:val="nil"/>
                    <w:tr2bl w:val="nil"/>
                  </w:tcBorders>
                  <w:noWrap w:val="0"/>
                  <w:vAlign w:val="center"/>
                </w:tcPr>
                <w:p w14:paraId="333ADBD6">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氮氧化物</w:t>
                  </w:r>
                </w:p>
              </w:tc>
              <w:tc>
                <w:tcPr>
                  <w:tcW w:w="872" w:type="pct"/>
                  <w:tcBorders>
                    <w:tl2br w:val="nil"/>
                    <w:tr2bl w:val="nil"/>
                  </w:tcBorders>
                  <w:noWrap w:val="0"/>
                  <w:vAlign w:val="center"/>
                </w:tcPr>
                <w:p w14:paraId="0D4B5E2D">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颗粒物</w:t>
                  </w:r>
                </w:p>
              </w:tc>
              <w:tc>
                <w:tcPr>
                  <w:tcW w:w="245" w:type="pct"/>
                  <w:tcBorders>
                    <w:tl2br w:val="nil"/>
                    <w:tr2bl w:val="nil"/>
                  </w:tcBorders>
                  <w:noWrap w:val="0"/>
                  <w:vAlign w:val="center"/>
                </w:tcPr>
                <w:p w14:paraId="6C638B10">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二氧化硫</w:t>
                  </w:r>
                </w:p>
              </w:tc>
              <w:tc>
                <w:tcPr>
                  <w:tcW w:w="439" w:type="pct"/>
                  <w:tcBorders>
                    <w:tl2br w:val="nil"/>
                    <w:tr2bl w:val="nil"/>
                  </w:tcBorders>
                  <w:noWrap w:val="0"/>
                  <w:vAlign w:val="center"/>
                </w:tcPr>
                <w:p w14:paraId="6C3E1017">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氮氧化物</w:t>
                  </w:r>
                </w:p>
              </w:tc>
              <w:tc>
                <w:tcPr>
                  <w:tcW w:w="246" w:type="pct"/>
                  <w:tcBorders>
                    <w:tl2br w:val="nil"/>
                    <w:tr2bl w:val="nil"/>
                  </w:tcBorders>
                  <w:noWrap w:val="0"/>
                  <w:vAlign w:val="center"/>
                </w:tcPr>
                <w:p w14:paraId="43359303">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颗粒物</w:t>
                  </w:r>
                </w:p>
              </w:tc>
              <w:tc>
                <w:tcPr>
                  <w:tcW w:w="245" w:type="pct"/>
                  <w:vMerge w:val="continue"/>
                  <w:tcBorders>
                    <w:tl2br w:val="nil"/>
                    <w:tr2bl w:val="nil"/>
                  </w:tcBorders>
                  <w:noWrap w:val="0"/>
                  <w:vAlign w:val="center"/>
                </w:tcPr>
                <w:p w14:paraId="36D3B281">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p>
              </w:tc>
            </w:tr>
            <w:tr w14:paraId="63DCA2D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45" w:type="pct"/>
                  <w:tcBorders>
                    <w:tl2br w:val="nil"/>
                    <w:tr2bl w:val="nil"/>
                  </w:tcBorders>
                  <w:noWrap w:val="0"/>
                  <w:vAlign w:val="center"/>
                </w:tcPr>
                <w:p w14:paraId="40475594">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生物质</w:t>
                  </w:r>
                </w:p>
              </w:tc>
              <w:tc>
                <w:tcPr>
                  <w:tcW w:w="366" w:type="pct"/>
                  <w:tcBorders>
                    <w:tl2br w:val="nil"/>
                    <w:tr2bl w:val="nil"/>
                  </w:tcBorders>
                  <w:noWrap w:val="0"/>
                  <w:vAlign w:val="center"/>
                </w:tcPr>
                <w:p w14:paraId="7E85F45E">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层燃炉、流化床炉、室燃炉</w:t>
                  </w:r>
                </w:p>
              </w:tc>
              <w:tc>
                <w:tcPr>
                  <w:tcW w:w="245" w:type="pct"/>
                  <w:tcBorders>
                    <w:tl2br w:val="nil"/>
                    <w:tr2bl w:val="nil"/>
                  </w:tcBorders>
                  <w:noWrap w:val="0"/>
                  <w:vAlign w:val="center"/>
                </w:tcPr>
                <w:p w14:paraId="1331B02E">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w:t>
                  </w:r>
                </w:p>
              </w:tc>
              <w:tc>
                <w:tcPr>
                  <w:tcW w:w="901" w:type="pct"/>
                  <w:tcBorders>
                    <w:tl2br w:val="nil"/>
                    <w:tr2bl w:val="nil"/>
                  </w:tcBorders>
                  <w:noWrap w:val="0"/>
                  <w:vAlign w:val="center"/>
                </w:tcPr>
                <w:p w14:paraId="78BE5C85">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低氮燃烧+SNCR 脱硝技术、低氮燃烧技术+SCR脱硝技术、低氮燃烧（SNCR-SCR 联合）脱硝技术、SNCR脱硝技术、SCR脱硝技术、SNCR-SCR联合脱硝技术</w:t>
                  </w:r>
                </w:p>
              </w:tc>
              <w:tc>
                <w:tcPr>
                  <w:tcW w:w="492" w:type="pct"/>
                  <w:tcBorders>
                    <w:tl2br w:val="nil"/>
                    <w:tr2bl w:val="nil"/>
                  </w:tcBorders>
                  <w:noWrap w:val="0"/>
                  <w:vAlign w:val="center"/>
                </w:tcPr>
                <w:p w14:paraId="773EA1AA">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旋风除尘、袋式除尘、旋风除尘和袋式除尘组合、其他</w:t>
                  </w:r>
                </w:p>
              </w:tc>
              <w:tc>
                <w:tcPr>
                  <w:tcW w:w="699" w:type="pct"/>
                  <w:tcBorders>
                    <w:tl2br w:val="nil"/>
                    <w:tr2bl w:val="nil"/>
                  </w:tcBorders>
                  <w:noWrap w:val="0"/>
                  <w:vAlign w:val="center"/>
                </w:tcPr>
                <w:p w14:paraId="081DC7CD">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低氮燃烧、低氮燃烧+SNCR 脱硝技术、低氮燃烧技术+SCR脱硝技术、SNCR脱硝技术、SCR脱硝技术</w:t>
                  </w:r>
                </w:p>
              </w:tc>
              <w:tc>
                <w:tcPr>
                  <w:tcW w:w="872" w:type="pct"/>
                  <w:tcBorders>
                    <w:tl2br w:val="nil"/>
                    <w:tr2bl w:val="nil"/>
                  </w:tcBorders>
                  <w:noWrap w:val="0"/>
                  <w:vAlign w:val="center"/>
                </w:tcPr>
                <w:p w14:paraId="5AD13F1E">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单筒(多筒并联)旋风除尘法、多管旋风除尘法、文丘里、离心水膜、喷淋塔/冲击水浴、静电除尘、袋式除尘、电袋除尘、湿式喷雾</w:t>
                  </w:r>
                </w:p>
              </w:tc>
              <w:tc>
                <w:tcPr>
                  <w:tcW w:w="245" w:type="pct"/>
                  <w:tcBorders>
                    <w:tl2br w:val="nil"/>
                    <w:tr2bl w:val="nil"/>
                  </w:tcBorders>
                  <w:noWrap w:val="0"/>
                  <w:vAlign w:val="center"/>
                </w:tcPr>
                <w:p w14:paraId="64CD7140">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w:t>
                  </w:r>
                </w:p>
              </w:tc>
              <w:tc>
                <w:tcPr>
                  <w:tcW w:w="439" w:type="pct"/>
                  <w:tcBorders>
                    <w:tl2br w:val="nil"/>
                    <w:tr2bl w:val="nil"/>
                  </w:tcBorders>
                  <w:noWrap w:val="0"/>
                  <w:vAlign w:val="center"/>
                </w:tcPr>
                <w:p w14:paraId="582D467E">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SNCR脱硝技术</w:t>
                  </w:r>
                </w:p>
              </w:tc>
              <w:tc>
                <w:tcPr>
                  <w:tcW w:w="246" w:type="pct"/>
                  <w:tcBorders>
                    <w:tl2br w:val="nil"/>
                    <w:tr2bl w:val="nil"/>
                  </w:tcBorders>
                  <w:noWrap w:val="0"/>
                  <w:vAlign w:val="center"/>
                </w:tcPr>
                <w:p w14:paraId="6984AA9F">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旋风除尘+布袋除尘</w:t>
                  </w:r>
                </w:p>
              </w:tc>
              <w:tc>
                <w:tcPr>
                  <w:tcW w:w="245" w:type="pct"/>
                  <w:tcBorders>
                    <w:tl2br w:val="nil"/>
                    <w:tr2bl w:val="nil"/>
                  </w:tcBorders>
                  <w:noWrap w:val="0"/>
                  <w:vAlign w:val="center"/>
                </w:tcPr>
                <w:p w14:paraId="6EBE499A">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是</w:t>
                  </w:r>
                </w:p>
              </w:tc>
            </w:tr>
          </w:tbl>
          <w:p w14:paraId="66DA7605">
            <w:pPr>
              <w:pStyle w:val="35"/>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Times New Roman" w:hAnsi="Times New Roman" w:eastAsia="宋体" w:cs="Times New Roman"/>
                <w:b/>
                <w:bCs/>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u w:val="none" w:color="auto"/>
                <w:lang w:val="en-US" w:eastAsia="zh-CN"/>
                <w14:textFill>
                  <w14:solidFill>
                    <w14:schemeClr w14:val="tx1"/>
                  </w14:solidFill>
                </w14:textFill>
              </w:rPr>
              <w:t>表4-9  与《</w:t>
            </w:r>
            <w:bookmarkStart w:id="35" w:name="OLE_LINK34"/>
            <w:r>
              <w:rPr>
                <w:rFonts w:hint="eastAsia" w:ascii="Times New Roman" w:hAnsi="Times New Roman" w:eastAsia="宋体" w:cs="Times New Roman"/>
                <w:b/>
                <w:bCs/>
                <w:color w:val="000000" w:themeColor="text1"/>
                <w:sz w:val="21"/>
                <w:szCs w:val="21"/>
                <w:u w:val="none" w:color="auto"/>
                <w:lang w:val="en-US" w:eastAsia="zh-CN"/>
                <w14:textFill>
                  <w14:solidFill>
                    <w14:schemeClr w14:val="tx1"/>
                  </w14:solidFill>
                </w14:textFill>
              </w:rPr>
              <w:t>工业锅炉污染防治可行技术指南</w:t>
            </w:r>
            <w:bookmarkEnd w:id="35"/>
            <w:r>
              <w:rPr>
                <w:rFonts w:hint="eastAsia" w:ascii="Times New Roman" w:hAnsi="Times New Roman" w:eastAsia="宋体" w:cs="Times New Roman"/>
                <w:b/>
                <w:bCs/>
                <w:color w:val="000000" w:themeColor="text1"/>
                <w:sz w:val="21"/>
                <w:szCs w:val="21"/>
                <w:u w:val="none" w:color="auto"/>
                <w:lang w:val="en-US" w:eastAsia="zh-CN"/>
                <w14:textFill>
                  <w14:solidFill>
                    <w14:schemeClr w14:val="tx1"/>
                  </w14:solidFill>
                </w14:textFill>
              </w:rPr>
              <w:t>》烟气处理措施可行性分析</w:t>
            </w:r>
          </w:p>
          <w:tbl>
            <w:tblPr>
              <w:tblStyle w:val="27"/>
              <w:tblW w:w="4998"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73"/>
              <w:gridCol w:w="1364"/>
              <w:gridCol w:w="1300"/>
              <w:gridCol w:w="1397"/>
              <w:gridCol w:w="634"/>
              <w:gridCol w:w="634"/>
              <w:gridCol w:w="1188"/>
              <w:gridCol w:w="381"/>
            </w:tblGrid>
            <w:tr w14:paraId="4F858F7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175" w:type="pct"/>
                  <w:gridSpan w:val="4"/>
                  <w:tcBorders>
                    <w:tl2br w:val="nil"/>
                    <w:tr2bl w:val="nil"/>
                  </w:tcBorders>
                  <w:noWrap w:val="0"/>
                  <w:vAlign w:val="center"/>
                </w:tcPr>
                <w:p w14:paraId="682A8171">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《工业锅炉污染防治可行技术指南》</w:t>
                  </w:r>
                </w:p>
              </w:tc>
              <w:tc>
                <w:tcPr>
                  <w:tcW w:w="1580" w:type="pct"/>
                  <w:gridSpan w:val="3"/>
                  <w:tcBorders>
                    <w:tl2br w:val="nil"/>
                    <w:tr2bl w:val="nil"/>
                  </w:tcBorders>
                  <w:noWrap w:val="0"/>
                  <w:vAlign w:val="center"/>
                </w:tcPr>
                <w:p w14:paraId="33A5F4A8">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本项目采取的污染治理设施名称及工艺</w:t>
                  </w:r>
                </w:p>
              </w:tc>
              <w:tc>
                <w:tcPr>
                  <w:tcW w:w="245" w:type="pct"/>
                  <w:vMerge w:val="restart"/>
                  <w:tcBorders>
                    <w:tl2br w:val="nil"/>
                    <w:tr2bl w:val="nil"/>
                  </w:tcBorders>
                  <w:noWrap w:val="0"/>
                  <w:vAlign w:val="center"/>
                </w:tcPr>
                <w:p w14:paraId="6884569D">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是否为可行技术</w:t>
                  </w:r>
                </w:p>
              </w:tc>
            </w:tr>
            <w:tr w14:paraId="6522681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2" w:type="pct"/>
                  <w:tcBorders>
                    <w:tl2br w:val="nil"/>
                    <w:tr2bl w:val="nil"/>
                  </w:tcBorders>
                  <w:noWrap w:val="0"/>
                  <w:vAlign w:val="center"/>
                </w:tcPr>
                <w:p w14:paraId="4BAD80AD">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燃料类型</w:t>
                  </w:r>
                </w:p>
              </w:tc>
              <w:tc>
                <w:tcPr>
                  <w:tcW w:w="878" w:type="pct"/>
                  <w:tcBorders>
                    <w:tl2br w:val="nil"/>
                    <w:tr2bl w:val="nil"/>
                  </w:tcBorders>
                  <w:noWrap w:val="0"/>
                  <w:vAlign w:val="center"/>
                </w:tcPr>
                <w:p w14:paraId="5BECC8D4">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二氧化硫</w:t>
                  </w:r>
                </w:p>
              </w:tc>
              <w:tc>
                <w:tcPr>
                  <w:tcW w:w="836" w:type="pct"/>
                  <w:tcBorders>
                    <w:tl2br w:val="nil"/>
                    <w:tr2bl w:val="nil"/>
                  </w:tcBorders>
                  <w:noWrap w:val="0"/>
                  <w:vAlign w:val="center"/>
                </w:tcPr>
                <w:p w14:paraId="7449D868">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氮氧化物</w:t>
                  </w:r>
                </w:p>
              </w:tc>
              <w:tc>
                <w:tcPr>
                  <w:tcW w:w="899" w:type="pct"/>
                  <w:tcBorders>
                    <w:tl2br w:val="nil"/>
                    <w:tr2bl w:val="nil"/>
                  </w:tcBorders>
                  <w:noWrap w:val="0"/>
                  <w:vAlign w:val="center"/>
                </w:tcPr>
                <w:p w14:paraId="04966BEA">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颗粒物</w:t>
                  </w:r>
                </w:p>
              </w:tc>
              <w:tc>
                <w:tcPr>
                  <w:tcW w:w="408" w:type="pct"/>
                  <w:tcBorders>
                    <w:tl2br w:val="nil"/>
                    <w:tr2bl w:val="nil"/>
                  </w:tcBorders>
                  <w:noWrap w:val="0"/>
                  <w:vAlign w:val="center"/>
                </w:tcPr>
                <w:p w14:paraId="18CE8A67">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二氧化硫</w:t>
                  </w:r>
                </w:p>
              </w:tc>
              <w:tc>
                <w:tcPr>
                  <w:tcW w:w="408" w:type="pct"/>
                  <w:tcBorders>
                    <w:tl2br w:val="nil"/>
                    <w:tr2bl w:val="nil"/>
                  </w:tcBorders>
                  <w:noWrap w:val="0"/>
                  <w:vAlign w:val="center"/>
                </w:tcPr>
                <w:p w14:paraId="69DA3508">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氮氧化物</w:t>
                  </w:r>
                </w:p>
              </w:tc>
              <w:tc>
                <w:tcPr>
                  <w:tcW w:w="764" w:type="pct"/>
                  <w:tcBorders>
                    <w:tl2br w:val="nil"/>
                    <w:tr2bl w:val="nil"/>
                  </w:tcBorders>
                  <w:noWrap w:val="0"/>
                  <w:vAlign w:val="center"/>
                </w:tcPr>
                <w:p w14:paraId="3E909455">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颗粒物</w:t>
                  </w:r>
                </w:p>
              </w:tc>
              <w:tc>
                <w:tcPr>
                  <w:tcW w:w="245" w:type="pct"/>
                  <w:vMerge w:val="continue"/>
                  <w:tcBorders>
                    <w:tl2br w:val="nil"/>
                    <w:tr2bl w:val="nil"/>
                  </w:tcBorders>
                  <w:noWrap w:val="0"/>
                  <w:vAlign w:val="center"/>
                </w:tcPr>
                <w:p w14:paraId="5CC1C9E6">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p>
              </w:tc>
            </w:tr>
            <w:tr w14:paraId="100883E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2" w:type="pct"/>
                  <w:tcBorders>
                    <w:tl2br w:val="nil"/>
                    <w:tr2bl w:val="nil"/>
                  </w:tcBorders>
                  <w:noWrap w:val="0"/>
                  <w:vAlign w:val="center"/>
                </w:tcPr>
                <w:p w14:paraId="4B009C77">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生物质</w:t>
                  </w:r>
                </w:p>
              </w:tc>
              <w:tc>
                <w:tcPr>
                  <w:tcW w:w="878" w:type="pct"/>
                  <w:tcBorders>
                    <w:tl2br w:val="nil"/>
                    <w:tr2bl w:val="nil"/>
                  </w:tcBorders>
                  <w:noWrap w:val="0"/>
                  <w:vAlign w:val="center"/>
                </w:tcPr>
                <w:p w14:paraId="277D5F9D">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 xml:space="preserve">燃生物质成型燃料锅炉SO2 排放达标时，可不采用脱硫措施 </w:t>
                  </w:r>
                </w:p>
              </w:tc>
              <w:tc>
                <w:tcPr>
                  <w:tcW w:w="836" w:type="pct"/>
                  <w:tcBorders>
                    <w:tl2br w:val="nil"/>
                    <w:tr2bl w:val="nil"/>
                  </w:tcBorders>
                  <w:noWrap w:val="0"/>
                  <w:vAlign w:val="center"/>
                </w:tcPr>
                <w:p w14:paraId="3E5187C8">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低氮燃烧、SNCR脱硝、SCR脱硝、SNCR-SCR 联合脱硝</w:t>
                  </w:r>
                </w:p>
              </w:tc>
              <w:tc>
                <w:tcPr>
                  <w:tcW w:w="899" w:type="pct"/>
                  <w:tcBorders>
                    <w:tl2br w:val="nil"/>
                    <w:tr2bl w:val="nil"/>
                  </w:tcBorders>
                  <w:noWrap w:val="0"/>
                  <w:vAlign w:val="center"/>
                </w:tcPr>
                <w:p w14:paraId="7F39F569">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干式电除尘技术、袋式除尘技术、湿式电除尘技术、电袋复合除尘技术</w:t>
                  </w:r>
                </w:p>
              </w:tc>
              <w:tc>
                <w:tcPr>
                  <w:tcW w:w="408" w:type="pct"/>
                  <w:tcBorders>
                    <w:tl2br w:val="nil"/>
                    <w:tr2bl w:val="nil"/>
                  </w:tcBorders>
                  <w:noWrap w:val="0"/>
                  <w:vAlign w:val="center"/>
                </w:tcPr>
                <w:p w14:paraId="6F563FD8">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w:t>
                  </w:r>
                </w:p>
              </w:tc>
              <w:tc>
                <w:tcPr>
                  <w:tcW w:w="408" w:type="pct"/>
                  <w:tcBorders>
                    <w:tl2br w:val="nil"/>
                    <w:tr2bl w:val="nil"/>
                  </w:tcBorders>
                  <w:noWrap w:val="0"/>
                  <w:vAlign w:val="center"/>
                </w:tcPr>
                <w:p w14:paraId="0D117BEB">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 xml:space="preserve">SNCR </w:t>
                  </w:r>
                </w:p>
              </w:tc>
              <w:tc>
                <w:tcPr>
                  <w:tcW w:w="764" w:type="pct"/>
                  <w:tcBorders>
                    <w:tl2br w:val="nil"/>
                    <w:tr2bl w:val="nil"/>
                  </w:tcBorders>
                  <w:noWrap w:val="0"/>
                  <w:vAlign w:val="center"/>
                </w:tcPr>
                <w:p w14:paraId="26A56A50">
                  <w:pPr>
                    <w:pStyle w:val="115"/>
                    <w:spacing w:beforeLines="0" w:afterLines="0"/>
                    <w:rPr>
                      <w:rFonts w:hint="default"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旋风除尘+布袋除尘</w:t>
                  </w:r>
                  <w:r>
                    <w:rPr>
                      <w:rFonts w:hint="eastAsia" w:ascii="Times New Roman" w:hAnsi="Times New Roman" w:cs="Times New Roman"/>
                      <w:color w:val="000000" w:themeColor="text1"/>
                      <w:sz w:val="21"/>
                      <w:szCs w:val="24"/>
                      <w:lang w:val="en-US" w:eastAsia="zh-CN"/>
                      <w14:textFill>
                        <w14:solidFill>
                          <w14:schemeClr w14:val="tx1"/>
                        </w14:solidFill>
                      </w14:textFill>
                    </w:rPr>
                    <w:t>+水膜除尘</w:t>
                  </w:r>
                </w:p>
              </w:tc>
              <w:tc>
                <w:tcPr>
                  <w:tcW w:w="245" w:type="pct"/>
                  <w:tcBorders>
                    <w:tl2br w:val="nil"/>
                    <w:tr2bl w:val="nil"/>
                  </w:tcBorders>
                  <w:noWrap w:val="0"/>
                  <w:vAlign w:val="center"/>
                </w:tcPr>
                <w:p w14:paraId="54ECAF01">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是</w:t>
                  </w:r>
                </w:p>
              </w:tc>
            </w:tr>
          </w:tbl>
          <w:p w14:paraId="376EE502">
            <w:pPr>
              <w:pStyle w:val="35"/>
              <w:ind w:firstLine="480"/>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cs="Times New Roman"/>
                <w:color w:val="000000" w:themeColor="text1"/>
                <w:u w:val="none" w:color="auto"/>
                <w:lang w:val="en-US" w:eastAsia="zh-CN"/>
                <w14:textFill>
                  <w14:solidFill>
                    <w14:schemeClr w14:val="tx1"/>
                  </w14:solidFill>
                </w14:textFill>
              </w:rPr>
              <w:t>②拉丝工序废气</w:t>
            </w:r>
          </w:p>
          <w:p w14:paraId="1A3FA5AF">
            <w:pPr>
              <w:pStyle w:val="35"/>
              <w:ind w:firstLine="480"/>
              <w:rPr>
                <w:rFonts w:hint="default" w:ascii="Times New Roman" w:hAnsi="Times New Roman" w:eastAsia="宋体" w:cs="Times New Roman"/>
                <w:color w:val="000000" w:themeColor="text1"/>
                <w:u w:val="none" w:color="auto"/>
                <w:lang w:val="en-US"/>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根据《排放源统计调查产排污核算方法和系数手册》-204竹藤棕草等制品制造行业系数手册中下料“竹片制备/断条、开片/疏解”末端治理技术，</w:t>
            </w:r>
            <w:r>
              <w:rPr>
                <w:rFonts w:hint="default" w:ascii="Times New Roman" w:hAnsi="Times New Roman" w:eastAsia="宋体" w:cs="Times New Roman"/>
                <w:color w:val="000000" w:themeColor="text1"/>
                <w:sz w:val="24"/>
                <w:szCs w:val="24"/>
                <w14:textFill>
                  <w14:solidFill>
                    <w14:schemeClr w14:val="tx1"/>
                  </w14:solidFill>
                </w14:textFill>
              </w:rPr>
              <w:t>本项目颗粒物废气采用</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布袋除尘器</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处理</w:t>
            </w:r>
            <w:r>
              <w:rPr>
                <w:rFonts w:hint="eastAsia" w:cs="Times New Roman"/>
                <w:color w:val="000000" w:themeColor="text1"/>
                <w:sz w:val="24"/>
                <w:szCs w:val="24"/>
                <w:lang w:val="en-US" w:eastAsia="zh-CN"/>
                <w14:textFill>
                  <w14:solidFill>
                    <w14:schemeClr w14:val="tx1"/>
                  </w14:solidFill>
                </w14:textFill>
              </w:rPr>
              <w:t>属于可行性技术。</w:t>
            </w:r>
          </w:p>
          <w:p w14:paraId="485F0B8C">
            <w:pPr>
              <w:pStyle w:val="35"/>
              <w:ind w:firstLine="480"/>
              <w:rPr>
                <w:rFonts w:hint="eastAsia" w:ascii="Times New Roman" w:hAnsi="Times New Roman" w:eastAsia="宋体" w:cs="Times New Roman"/>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7</w:t>
            </w:r>
            <w:r>
              <w:rPr>
                <w:rFonts w:hint="eastAsia" w:ascii="Times New Roman" w:hAnsi="Times New Roman" w:eastAsia="宋体" w:cs="Times New Roman"/>
                <w:color w:val="000000" w:themeColor="text1"/>
                <w:u w:val="none" w:color="auto"/>
                <w14:textFill>
                  <w14:solidFill>
                    <w14:schemeClr w14:val="tx1"/>
                  </w14:solidFill>
                </w14:textFill>
              </w:rPr>
              <w:t>）废气监测计划</w:t>
            </w:r>
          </w:p>
          <w:p w14:paraId="6C8B58B4">
            <w:pPr>
              <w:pStyle w:val="35"/>
              <w:ind w:firstLine="480"/>
              <w:rPr>
                <w:rFonts w:hint="eastAsia" w:ascii="Times New Roman" w:hAnsi="Times New Roman" w:eastAsia="宋体" w:cs="Times New Roman"/>
                <w:color w:val="000000" w:themeColor="text1"/>
                <w:u w:val="single" w:color="auto"/>
                <w14:textFill>
                  <w14:solidFill>
                    <w14:schemeClr w14:val="tx1"/>
                  </w14:solidFill>
                </w14:textFill>
              </w:rPr>
            </w:pPr>
            <w:r>
              <w:rPr>
                <w:rFonts w:hint="eastAsia" w:ascii="Times New Roman" w:hAnsi="Times New Roman" w:eastAsia="宋体" w:cs="Times New Roman"/>
                <w:color w:val="000000" w:themeColor="text1"/>
                <w:u w:val="single" w:color="auto"/>
                <w14:textFill>
                  <w14:solidFill>
                    <w14:schemeClr w14:val="tx1"/>
                  </w14:solidFill>
                </w14:textFill>
              </w:rPr>
              <w:t xml:space="preserve">参照《排污单位自行监测技术指南 火力发电及锅炉》（HJ 820-2017）、《排污许可证申请与核发技术规范 </w:t>
            </w:r>
            <w:r>
              <w:rPr>
                <w:rFonts w:hint="eastAsia" w:cs="Times New Roman"/>
                <w:color w:val="000000" w:themeColor="text1"/>
                <w:u w:val="single" w:color="auto"/>
                <w:lang w:val="en-US" w:eastAsia="zh-CN"/>
                <w14:textFill>
                  <w14:solidFill>
                    <w14:schemeClr w14:val="tx1"/>
                  </w14:solidFill>
                </w14:textFill>
              </w:rPr>
              <w:t xml:space="preserve"> </w:t>
            </w:r>
            <w:r>
              <w:rPr>
                <w:rFonts w:hint="eastAsia" w:ascii="Times New Roman" w:hAnsi="Times New Roman" w:eastAsia="宋体" w:cs="Times New Roman"/>
                <w:color w:val="000000" w:themeColor="text1"/>
                <w:u w:val="single" w:color="auto"/>
                <w14:textFill>
                  <w14:solidFill>
                    <w14:schemeClr w14:val="tx1"/>
                  </w14:solidFill>
                </w14:textFill>
              </w:rPr>
              <w:t>锅炉》（HJ 953—2018）及《排污单位自行监测技术指南 总则》（HJ819-2017）对本项目的日常监测要求见下表：</w:t>
            </w:r>
          </w:p>
          <w:p w14:paraId="2F63234B">
            <w:pPr>
              <w:pStyle w:val="34"/>
              <w:keepNext w:val="0"/>
              <w:keepLines w:val="0"/>
              <w:pageBreakBefore w:val="0"/>
              <w:widowControl w:val="0"/>
              <w:kinsoku/>
              <w:wordWrap/>
              <w:overflowPunct/>
              <w:topLinePunct w:val="0"/>
              <w:autoSpaceDE/>
              <w:autoSpaceDN/>
              <w:bidi w:val="0"/>
              <w:adjustRightInd/>
              <w:snapToGrid/>
              <w:spacing w:before="0" w:beforeLines="0"/>
              <w:textAlignment w:val="auto"/>
              <w:rPr>
                <w:color w:val="000000" w:themeColor="text1"/>
                <w:sz w:val="21"/>
                <w:szCs w:val="21"/>
                <w:u w:val="single" w:color="auto"/>
                <w14:textFill>
                  <w14:solidFill>
                    <w14:schemeClr w14:val="tx1"/>
                  </w14:solidFill>
                </w14:textFill>
              </w:rPr>
            </w:pPr>
            <w:r>
              <w:rPr>
                <w:rFonts w:hint="eastAsia"/>
                <w:color w:val="000000" w:themeColor="text1"/>
                <w:sz w:val="21"/>
                <w:szCs w:val="21"/>
                <w:u w:val="single" w:color="auto"/>
                <w14:textFill>
                  <w14:solidFill>
                    <w14:schemeClr w14:val="tx1"/>
                  </w14:solidFill>
                </w14:textFill>
              </w:rPr>
              <w:t>表4-</w:t>
            </w:r>
            <w:r>
              <w:rPr>
                <w:rFonts w:hint="eastAsia"/>
                <w:color w:val="000000" w:themeColor="text1"/>
                <w:sz w:val="21"/>
                <w:szCs w:val="21"/>
                <w:u w:val="single" w:color="auto"/>
                <w:lang w:val="en-US" w:eastAsia="zh-CN"/>
                <w14:textFill>
                  <w14:solidFill>
                    <w14:schemeClr w14:val="tx1"/>
                  </w14:solidFill>
                </w14:textFill>
              </w:rPr>
              <w:t>10</w:t>
            </w:r>
            <w:r>
              <w:rPr>
                <w:rFonts w:hint="eastAsia"/>
                <w:color w:val="000000" w:themeColor="text1"/>
                <w:sz w:val="21"/>
                <w:szCs w:val="21"/>
                <w:u w:val="single" w:color="auto"/>
                <w14:textFill>
                  <w14:solidFill>
                    <w14:schemeClr w14:val="tx1"/>
                  </w14:solidFill>
                </w14:textFill>
              </w:rPr>
              <w:t xml:space="preserve">  项目废气监测计划表</w:t>
            </w:r>
          </w:p>
          <w:tbl>
            <w:tblPr>
              <w:tblStyle w:val="28"/>
              <w:tblW w:w="7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1642"/>
              <w:gridCol w:w="3340"/>
              <w:gridCol w:w="1999"/>
            </w:tblGrid>
            <w:tr w14:paraId="32A90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9" w:type="dxa"/>
                  <w:vAlign w:val="center"/>
                </w:tcPr>
                <w:p w14:paraId="094DCE51">
                  <w:pPr>
                    <w:pStyle w:val="57"/>
                    <w:rPr>
                      <w:rFonts w:hint="eastAsia" w:eastAsia="宋体"/>
                      <w:color w:val="000000" w:themeColor="text1"/>
                      <w:u w:val="single" w:color="auto"/>
                      <w:lang w:val="en-US" w:eastAsia="zh-CN"/>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序号</w:t>
                  </w:r>
                </w:p>
              </w:tc>
              <w:tc>
                <w:tcPr>
                  <w:tcW w:w="1642" w:type="dxa"/>
                  <w:shd w:val="clear" w:color="auto" w:fill="auto"/>
                  <w:vAlign w:val="center"/>
                </w:tcPr>
                <w:p w14:paraId="0B29B5D2">
                  <w:pPr>
                    <w:pStyle w:val="57"/>
                    <w:rPr>
                      <w:rFonts w:hint="eastAsia" w:ascii="Times New Roman" w:hAnsi="Times New Roman" w:eastAsia="宋体" w:cstheme="minorBidi"/>
                      <w:color w:val="000000" w:themeColor="text1"/>
                      <w:kern w:val="2"/>
                      <w:sz w:val="21"/>
                      <w:szCs w:val="32"/>
                      <w:u w:val="single" w:color="auto"/>
                      <w:lang w:val="en-US" w:eastAsia="zh-CN" w:bidi="ar-SA"/>
                      <w14:textFill>
                        <w14:solidFill>
                          <w14:schemeClr w14:val="tx1"/>
                        </w14:solidFill>
                      </w14:textFill>
                    </w:rPr>
                  </w:pPr>
                  <w:r>
                    <w:rPr>
                      <w:rFonts w:hint="eastAsia"/>
                      <w:color w:val="000000" w:themeColor="text1"/>
                      <w:u w:val="single" w:color="auto"/>
                      <w14:textFill>
                        <w14:solidFill>
                          <w14:schemeClr w14:val="tx1"/>
                        </w14:solidFill>
                      </w14:textFill>
                    </w:rPr>
                    <w:t>监测点位</w:t>
                  </w:r>
                </w:p>
              </w:tc>
              <w:tc>
                <w:tcPr>
                  <w:tcW w:w="3340" w:type="dxa"/>
                  <w:vAlign w:val="center"/>
                </w:tcPr>
                <w:p w14:paraId="08F09EC8">
                  <w:pPr>
                    <w:pStyle w:val="57"/>
                    <w:rPr>
                      <w:color w:val="000000" w:themeColor="text1"/>
                      <w:u w:val="single" w:color="auto"/>
                      <w14:textFill>
                        <w14:solidFill>
                          <w14:schemeClr w14:val="tx1"/>
                        </w14:solidFill>
                      </w14:textFill>
                    </w:rPr>
                  </w:pPr>
                  <w:r>
                    <w:rPr>
                      <w:rFonts w:hint="eastAsia"/>
                      <w:color w:val="000000" w:themeColor="text1"/>
                      <w:u w:val="single" w:color="auto"/>
                      <w14:textFill>
                        <w14:solidFill>
                          <w14:schemeClr w14:val="tx1"/>
                        </w14:solidFill>
                      </w14:textFill>
                    </w:rPr>
                    <w:t>监测因子</w:t>
                  </w:r>
                </w:p>
              </w:tc>
              <w:tc>
                <w:tcPr>
                  <w:tcW w:w="1999" w:type="dxa"/>
                  <w:vAlign w:val="center"/>
                </w:tcPr>
                <w:p w14:paraId="120813F9">
                  <w:pPr>
                    <w:pStyle w:val="57"/>
                    <w:rPr>
                      <w:color w:val="000000" w:themeColor="text1"/>
                      <w:u w:val="single" w:color="auto"/>
                      <w14:textFill>
                        <w14:solidFill>
                          <w14:schemeClr w14:val="tx1"/>
                        </w14:solidFill>
                      </w14:textFill>
                    </w:rPr>
                  </w:pPr>
                  <w:r>
                    <w:rPr>
                      <w:rFonts w:hint="eastAsia"/>
                      <w:color w:val="000000" w:themeColor="text1"/>
                      <w:u w:val="single" w:color="auto"/>
                      <w14:textFill>
                        <w14:solidFill>
                          <w14:schemeClr w14:val="tx1"/>
                        </w14:solidFill>
                      </w14:textFill>
                    </w:rPr>
                    <w:t>监测频次</w:t>
                  </w:r>
                </w:p>
              </w:tc>
            </w:tr>
            <w:tr w14:paraId="50CA1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9" w:type="dxa"/>
                  <w:vAlign w:val="center"/>
                </w:tcPr>
                <w:p w14:paraId="06000496">
                  <w:pPr>
                    <w:pStyle w:val="57"/>
                    <w:rPr>
                      <w:rFonts w:hint="default"/>
                      <w:color w:val="000000" w:themeColor="text1"/>
                      <w:u w:val="single" w:color="auto"/>
                      <w:lang w:val="en-US" w:eastAsia="zh-CN"/>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1</w:t>
                  </w:r>
                </w:p>
              </w:tc>
              <w:tc>
                <w:tcPr>
                  <w:tcW w:w="1642" w:type="dxa"/>
                  <w:shd w:val="clear" w:color="auto" w:fill="auto"/>
                  <w:vAlign w:val="center"/>
                </w:tcPr>
                <w:p w14:paraId="66111B3D">
                  <w:pPr>
                    <w:pStyle w:val="57"/>
                    <w:rPr>
                      <w:rFonts w:hint="default" w:eastAsia="宋体"/>
                      <w:color w:val="000000" w:themeColor="text1"/>
                      <w:u w:val="single" w:color="auto"/>
                      <w:lang w:val="en-US" w:eastAsia="zh-CN"/>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DA001拉丝废气排气筒</w:t>
                  </w:r>
                </w:p>
              </w:tc>
              <w:tc>
                <w:tcPr>
                  <w:tcW w:w="3340" w:type="dxa"/>
                  <w:vAlign w:val="center"/>
                </w:tcPr>
                <w:p w14:paraId="7389728E">
                  <w:pPr>
                    <w:pStyle w:val="57"/>
                    <w:rPr>
                      <w:rFonts w:hint="eastAsia"/>
                      <w:color w:val="000000" w:themeColor="text1"/>
                      <w:u w:val="single" w:color="auto"/>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颗粒物</w:t>
                  </w:r>
                </w:p>
              </w:tc>
              <w:tc>
                <w:tcPr>
                  <w:tcW w:w="1999" w:type="dxa"/>
                  <w:vAlign w:val="center"/>
                </w:tcPr>
                <w:p w14:paraId="104713E5">
                  <w:pPr>
                    <w:pStyle w:val="57"/>
                    <w:rPr>
                      <w:rFonts w:hint="eastAsia"/>
                      <w:color w:val="000000" w:themeColor="text1"/>
                      <w:u w:val="single" w:color="auto"/>
                      <w14:textFill>
                        <w14:solidFill>
                          <w14:schemeClr w14:val="tx1"/>
                        </w14:solidFill>
                      </w14:textFill>
                    </w:rPr>
                  </w:pPr>
                  <w:r>
                    <w:rPr>
                      <w:rFonts w:ascii="Times New Roman" w:hAnsi="Times New Roman"/>
                      <w:color w:val="000000" w:themeColor="text1"/>
                      <w:u w:val="single" w:color="auto"/>
                      <w14:textFill>
                        <w14:solidFill>
                          <w14:schemeClr w14:val="tx1"/>
                        </w14:solidFill>
                      </w14:textFill>
                    </w:rPr>
                    <w:t>1</w:t>
                  </w:r>
                  <w:r>
                    <w:rPr>
                      <w:rFonts w:hint="eastAsia" w:ascii="Times New Roman" w:hAnsi="Times New Roman"/>
                      <w:color w:val="000000" w:themeColor="text1"/>
                      <w:u w:val="single" w:color="auto"/>
                      <w14:textFill>
                        <w14:solidFill>
                          <w14:schemeClr w14:val="tx1"/>
                        </w14:solidFill>
                      </w14:textFill>
                    </w:rPr>
                    <w:t>次/</w:t>
                  </w:r>
                  <w:r>
                    <w:rPr>
                      <w:rFonts w:hint="eastAsia" w:ascii="Times New Roman" w:hAnsi="Times New Roman"/>
                      <w:color w:val="000000" w:themeColor="text1"/>
                      <w:u w:val="single" w:color="auto"/>
                      <w:lang w:val="en-US" w:eastAsia="zh-CN"/>
                      <w14:textFill>
                        <w14:solidFill>
                          <w14:schemeClr w14:val="tx1"/>
                        </w14:solidFill>
                      </w14:textFill>
                    </w:rPr>
                    <w:t>年</w:t>
                  </w:r>
                </w:p>
              </w:tc>
            </w:tr>
            <w:tr w14:paraId="6F11A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9" w:type="dxa"/>
                  <w:vAlign w:val="center"/>
                </w:tcPr>
                <w:p w14:paraId="60C0C5D8">
                  <w:pPr>
                    <w:pStyle w:val="57"/>
                    <w:rPr>
                      <w:rFonts w:hint="eastAsia" w:eastAsia="宋体"/>
                      <w:color w:val="000000" w:themeColor="text1"/>
                      <w:u w:val="single" w:color="auto"/>
                      <w:lang w:val="en-US" w:eastAsia="zh-CN"/>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2</w:t>
                  </w:r>
                </w:p>
              </w:tc>
              <w:tc>
                <w:tcPr>
                  <w:tcW w:w="1642" w:type="dxa"/>
                  <w:shd w:val="clear" w:color="auto" w:fill="auto"/>
                  <w:vAlign w:val="center"/>
                </w:tcPr>
                <w:p w14:paraId="000FBDC0">
                  <w:pPr>
                    <w:pStyle w:val="57"/>
                    <w:rPr>
                      <w:rFonts w:hint="eastAsia" w:ascii="Times New Roman" w:hAnsi="Times New Roman" w:eastAsia="宋体" w:cstheme="minorBidi"/>
                      <w:color w:val="000000" w:themeColor="text1"/>
                      <w:kern w:val="2"/>
                      <w:sz w:val="21"/>
                      <w:szCs w:val="32"/>
                      <w:u w:val="single" w:color="auto"/>
                      <w:lang w:val="en-US" w:eastAsia="zh-CN" w:bidi="ar-SA"/>
                      <w14:textFill>
                        <w14:solidFill>
                          <w14:schemeClr w14:val="tx1"/>
                        </w14:solidFill>
                      </w14:textFill>
                    </w:rPr>
                  </w:pPr>
                  <w:r>
                    <w:rPr>
                      <w:rFonts w:hint="eastAsia"/>
                      <w:color w:val="000000" w:themeColor="text1"/>
                      <w:u w:val="single" w:color="auto"/>
                      <w14:textFill>
                        <w14:solidFill>
                          <w14:schemeClr w14:val="tx1"/>
                        </w14:solidFill>
                      </w14:textFill>
                    </w:rPr>
                    <w:t>DA00</w:t>
                  </w:r>
                  <w:r>
                    <w:rPr>
                      <w:rFonts w:hint="eastAsia"/>
                      <w:color w:val="000000" w:themeColor="text1"/>
                      <w:u w:val="single" w:color="auto"/>
                      <w:lang w:val="en-US" w:eastAsia="zh-CN"/>
                      <w14:textFill>
                        <w14:solidFill>
                          <w14:schemeClr w14:val="tx1"/>
                        </w14:solidFill>
                      </w14:textFill>
                    </w:rPr>
                    <w:t>2</w:t>
                  </w:r>
                  <w:r>
                    <w:rPr>
                      <w:rFonts w:hint="eastAsia"/>
                      <w:color w:val="000000" w:themeColor="text1"/>
                      <w:u w:val="single" w:color="auto"/>
                      <w14:textFill>
                        <w14:solidFill>
                          <w14:schemeClr w14:val="tx1"/>
                        </w14:solidFill>
                      </w14:textFill>
                    </w:rPr>
                    <w:t>锅炉烟气排气筒</w:t>
                  </w:r>
                </w:p>
              </w:tc>
              <w:tc>
                <w:tcPr>
                  <w:tcW w:w="3340" w:type="dxa"/>
                  <w:vAlign w:val="center"/>
                </w:tcPr>
                <w:p w14:paraId="5E72DA77">
                  <w:pPr>
                    <w:pStyle w:val="57"/>
                    <w:rPr>
                      <w:color w:val="000000" w:themeColor="text1"/>
                      <w:u w:val="single" w:color="auto"/>
                      <w14:textFill>
                        <w14:solidFill>
                          <w14:schemeClr w14:val="tx1"/>
                        </w14:solidFill>
                      </w14:textFill>
                    </w:rPr>
                  </w:pPr>
                  <w:r>
                    <w:rPr>
                      <w:rFonts w:hint="eastAsia"/>
                      <w:color w:val="000000" w:themeColor="text1"/>
                      <w:u w:val="single" w:color="auto"/>
                      <w14:textFill>
                        <w14:solidFill>
                          <w14:schemeClr w14:val="tx1"/>
                        </w14:solidFill>
                      </w14:textFill>
                    </w:rPr>
                    <w:t>颗粒物、SO</w:t>
                  </w:r>
                  <w:r>
                    <w:rPr>
                      <w:rFonts w:hint="eastAsia"/>
                      <w:color w:val="000000" w:themeColor="text1"/>
                      <w:u w:val="single" w:color="auto"/>
                      <w:vertAlign w:val="subscript"/>
                      <w14:textFill>
                        <w14:solidFill>
                          <w14:schemeClr w14:val="tx1"/>
                        </w14:solidFill>
                      </w14:textFill>
                    </w:rPr>
                    <w:t>2</w:t>
                  </w:r>
                  <w:r>
                    <w:rPr>
                      <w:rFonts w:hint="eastAsia"/>
                      <w:color w:val="000000" w:themeColor="text1"/>
                      <w:u w:val="single" w:color="auto"/>
                      <w14:textFill>
                        <w14:solidFill>
                          <w14:schemeClr w14:val="tx1"/>
                        </w14:solidFill>
                      </w14:textFill>
                    </w:rPr>
                    <w:t>、NO</w:t>
                  </w:r>
                  <w:r>
                    <w:rPr>
                      <w:rFonts w:hint="eastAsia"/>
                      <w:color w:val="000000" w:themeColor="text1"/>
                      <w:u w:val="single" w:color="auto"/>
                      <w:vertAlign w:val="subscript"/>
                      <w14:textFill>
                        <w14:solidFill>
                          <w14:schemeClr w14:val="tx1"/>
                        </w14:solidFill>
                      </w14:textFill>
                    </w:rPr>
                    <w:t>x</w:t>
                  </w:r>
                  <w:r>
                    <w:rPr>
                      <w:rFonts w:hint="eastAsia"/>
                      <w:color w:val="000000" w:themeColor="text1"/>
                      <w:u w:val="single" w:color="auto"/>
                      <w14:textFill>
                        <w14:solidFill>
                          <w14:schemeClr w14:val="tx1"/>
                        </w14:solidFill>
                      </w14:textFill>
                    </w:rPr>
                    <w:t>、林格曼黑度</w:t>
                  </w:r>
                </w:p>
              </w:tc>
              <w:tc>
                <w:tcPr>
                  <w:tcW w:w="1999" w:type="dxa"/>
                  <w:vAlign w:val="center"/>
                </w:tcPr>
                <w:p w14:paraId="7733EFC1">
                  <w:pPr>
                    <w:pStyle w:val="57"/>
                    <w:rPr>
                      <w:rFonts w:hint="default" w:eastAsia="宋体"/>
                      <w:color w:val="000000" w:themeColor="text1"/>
                      <w:u w:val="single" w:color="auto"/>
                      <w:lang w:val="en-US" w:eastAsia="zh-CN"/>
                      <w14:textFill>
                        <w14:solidFill>
                          <w14:schemeClr w14:val="tx1"/>
                        </w14:solidFill>
                      </w14:textFill>
                    </w:rPr>
                  </w:pPr>
                  <w:r>
                    <w:rPr>
                      <w:rFonts w:hint="eastAsia"/>
                      <w:color w:val="000000" w:themeColor="text1"/>
                      <w:u w:val="single" w:color="auto"/>
                      <w14:textFill>
                        <w14:solidFill>
                          <w14:schemeClr w14:val="tx1"/>
                        </w14:solidFill>
                      </w14:textFill>
                    </w:rPr>
                    <w:t>1次/月</w:t>
                  </w:r>
                </w:p>
              </w:tc>
            </w:tr>
            <w:tr w14:paraId="494B4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9" w:type="dxa"/>
                  <w:vAlign w:val="center"/>
                </w:tcPr>
                <w:p w14:paraId="7DF80C01">
                  <w:pPr>
                    <w:pStyle w:val="57"/>
                    <w:rPr>
                      <w:rFonts w:hint="eastAsia" w:eastAsia="宋体"/>
                      <w:color w:val="000000" w:themeColor="text1"/>
                      <w:u w:val="single" w:color="auto"/>
                      <w:lang w:val="en-US" w:eastAsia="zh-CN"/>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3</w:t>
                  </w:r>
                </w:p>
              </w:tc>
              <w:tc>
                <w:tcPr>
                  <w:tcW w:w="1642" w:type="dxa"/>
                  <w:vAlign w:val="center"/>
                </w:tcPr>
                <w:p w14:paraId="4D2EAFCC">
                  <w:pPr>
                    <w:pStyle w:val="57"/>
                    <w:ind w:left="0" w:leftChars="0" w:right="0" w:rightChars="0" w:firstLine="0" w:firstLineChars="0"/>
                    <w:jc w:val="center"/>
                    <w:rPr>
                      <w:rFonts w:hint="default" w:eastAsia="宋体"/>
                      <w:color w:val="000000" w:themeColor="text1"/>
                      <w:u w:val="single" w:color="auto"/>
                      <w:lang w:val="en-US" w:eastAsia="zh-CN"/>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厂界</w:t>
                  </w:r>
                </w:p>
              </w:tc>
              <w:tc>
                <w:tcPr>
                  <w:tcW w:w="3340" w:type="dxa"/>
                  <w:vAlign w:val="center"/>
                </w:tcPr>
                <w:p w14:paraId="6F187A87">
                  <w:pPr>
                    <w:pStyle w:val="57"/>
                    <w:rPr>
                      <w:rFonts w:hint="default" w:eastAsia="宋体"/>
                      <w:color w:val="000000" w:themeColor="text1"/>
                      <w:u w:val="single" w:color="auto"/>
                      <w:lang w:val="en-US" w:eastAsia="zh-CN"/>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颗粒物、氨</w:t>
                  </w:r>
                </w:p>
              </w:tc>
              <w:tc>
                <w:tcPr>
                  <w:tcW w:w="1999" w:type="dxa"/>
                  <w:vAlign w:val="center"/>
                </w:tcPr>
                <w:p w14:paraId="22123B0C">
                  <w:pPr>
                    <w:pStyle w:val="57"/>
                    <w:rPr>
                      <w:rFonts w:hint="eastAsia" w:eastAsia="宋体"/>
                      <w:color w:val="000000" w:themeColor="text1"/>
                      <w:u w:val="single" w:color="auto"/>
                      <w:lang w:val="en-US" w:eastAsia="zh-CN"/>
                      <w14:textFill>
                        <w14:solidFill>
                          <w14:schemeClr w14:val="tx1"/>
                        </w14:solidFill>
                      </w14:textFill>
                    </w:rPr>
                  </w:pPr>
                  <w:r>
                    <w:rPr>
                      <w:rFonts w:ascii="Times New Roman" w:hAnsi="Times New Roman"/>
                      <w:color w:val="000000" w:themeColor="text1"/>
                      <w:u w:val="single" w:color="auto"/>
                      <w14:textFill>
                        <w14:solidFill>
                          <w14:schemeClr w14:val="tx1"/>
                        </w14:solidFill>
                      </w14:textFill>
                    </w:rPr>
                    <w:t>1</w:t>
                  </w:r>
                  <w:r>
                    <w:rPr>
                      <w:rFonts w:hint="eastAsia" w:ascii="Times New Roman" w:hAnsi="Times New Roman"/>
                      <w:color w:val="000000" w:themeColor="text1"/>
                      <w:u w:val="single" w:color="auto"/>
                      <w14:textFill>
                        <w14:solidFill>
                          <w14:schemeClr w14:val="tx1"/>
                        </w14:solidFill>
                      </w14:textFill>
                    </w:rPr>
                    <w:t>次/</w:t>
                  </w:r>
                  <w:r>
                    <w:rPr>
                      <w:rFonts w:hint="eastAsia" w:ascii="Times New Roman" w:hAnsi="Times New Roman"/>
                      <w:color w:val="000000" w:themeColor="text1"/>
                      <w:u w:val="single" w:color="auto"/>
                      <w:lang w:val="en-US" w:eastAsia="zh-CN"/>
                      <w14:textFill>
                        <w14:solidFill>
                          <w14:schemeClr w14:val="tx1"/>
                        </w14:solidFill>
                      </w14:textFill>
                    </w:rPr>
                    <w:t>年</w:t>
                  </w:r>
                </w:p>
              </w:tc>
            </w:tr>
          </w:tbl>
          <w:p w14:paraId="745A616F">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w:t>
            </w:r>
            <w:r>
              <w:rPr>
                <w:rFonts w:hint="eastAsia"/>
                <w:color w:val="000000" w:themeColor="text1"/>
                <w:u w:val="none" w:color="auto"/>
                <w:lang w:val="en-US" w:eastAsia="zh-CN"/>
                <w14:textFill>
                  <w14:solidFill>
                    <w14:schemeClr w14:val="tx1"/>
                  </w14:solidFill>
                </w14:textFill>
              </w:rPr>
              <w:t>8</w:t>
            </w:r>
            <w:r>
              <w:rPr>
                <w:rFonts w:hint="eastAsia"/>
                <w:color w:val="000000" w:themeColor="text1"/>
                <w:u w:val="none" w:color="auto"/>
                <w14:textFill>
                  <w14:solidFill>
                    <w14:schemeClr w14:val="tx1"/>
                  </w14:solidFill>
                </w14:textFill>
              </w:rPr>
              <w:t>）小结</w:t>
            </w:r>
          </w:p>
          <w:p w14:paraId="37C90F44">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根据前文分析，本项目在落实环评所提废气污染防治措施后，各废气污染物均能达标排放，各污染物防治措施均可行，项目运营期环境空气影响较小。</w:t>
            </w:r>
          </w:p>
          <w:p w14:paraId="375B8749">
            <w:pPr>
              <w:pStyle w:val="35"/>
              <w:ind w:firstLine="480"/>
              <w:rPr>
                <w:rFonts w:hint="default" w:eastAsia="宋体"/>
                <w:b/>
                <w:bCs/>
                <w:color w:val="000000" w:themeColor="text1"/>
                <w:u w:val="none" w:color="auto"/>
                <w:lang w:val="en-US" w:eastAsia="zh-CN"/>
                <w14:textFill>
                  <w14:solidFill>
                    <w14:schemeClr w14:val="tx1"/>
                  </w14:solidFill>
                </w14:textFill>
              </w:rPr>
            </w:pPr>
            <w:r>
              <w:rPr>
                <w:rFonts w:hint="eastAsia"/>
                <w:b/>
                <w:bCs/>
                <w:color w:val="000000" w:themeColor="text1"/>
                <w:u w:val="none" w:color="auto"/>
                <w14:textFill>
                  <w14:solidFill>
                    <w14:schemeClr w14:val="tx1"/>
                  </w14:solidFill>
                </w14:textFill>
              </w:rPr>
              <w:t>2、废水</w:t>
            </w:r>
          </w:p>
          <w:p w14:paraId="4D61BE5B">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（1）污染源强核算</w:t>
            </w:r>
          </w:p>
          <w:p w14:paraId="00A13899">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本项目生活污水经化粪池处理后用于周边</w:t>
            </w:r>
            <w:r>
              <w:rPr>
                <w:rFonts w:hint="eastAsia"/>
                <w:color w:val="000000" w:themeColor="text1"/>
                <w:u w:val="none" w:color="auto"/>
                <w:lang w:val="en-US" w:eastAsia="zh-CN"/>
                <w14:textFill>
                  <w14:solidFill>
                    <w14:schemeClr w14:val="tx1"/>
                  </w14:solidFill>
                </w14:textFill>
              </w:rPr>
              <w:t>菜地</w:t>
            </w:r>
            <w:r>
              <w:rPr>
                <w:rFonts w:hint="eastAsia"/>
                <w:color w:val="000000" w:themeColor="text1"/>
                <w:u w:val="none" w:color="auto"/>
                <w14:textFill>
                  <w14:solidFill>
                    <w14:schemeClr w14:val="tx1"/>
                  </w14:solidFill>
                </w14:textFill>
              </w:rPr>
              <w:t>施肥，不外排</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14:textFill>
                  <w14:solidFill>
                    <w14:schemeClr w14:val="tx1"/>
                  </w14:solidFill>
                </w14:textFill>
              </w:rPr>
              <w:t>锅炉排污水和软水制备废水</w:t>
            </w:r>
            <w:r>
              <w:rPr>
                <w:rFonts w:hint="eastAsia"/>
                <w:color w:val="000000" w:themeColor="text1"/>
                <w:u w:val="none" w:color="auto"/>
                <w:lang w:val="en-US" w:eastAsia="zh-CN"/>
                <w14:textFill>
                  <w14:solidFill>
                    <w14:schemeClr w14:val="tx1"/>
                  </w14:solidFill>
                </w14:textFill>
              </w:rPr>
              <w:t>收集后用于水膜除尘补充用水；蒸汽杀菌锅冷凝水收集后部分用于水膜除尘补充用水，部分用于厂区洒水降尘</w:t>
            </w:r>
            <w:r>
              <w:rPr>
                <w:rFonts w:hint="eastAsia"/>
                <w:color w:val="000000" w:themeColor="text1"/>
                <w:u w:val="none" w:color="auto"/>
                <w14:textFill>
                  <w14:solidFill>
                    <w14:schemeClr w14:val="tx1"/>
                  </w14:solidFill>
                </w14:textFill>
              </w:rPr>
              <w:t>。</w:t>
            </w:r>
          </w:p>
          <w:p w14:paraId="0F5D01AE">
            <w:pPr>
              <w:pStyle w:val="35"/>
              <w:ind w:firstLine="480"/>
              <w:rPr>
                <w:rFonts w:hint="eastAsia" w:ascii="Times New Roman" w:hAnsi="Times New Roman" w:eastAsia="宋体" w:cs="Times New Roman"/>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1）生</w:t>
            </w:r>
            <w:r>
              <w:rPr>
                <w:rFonts w:hint="eastAsia" w:ascii="Times New Roman" w:hAnsi="Times New Roman" w:eastAsia="宋体" w:cs="Times New Roman"/>
                <w:color w:val="000000" w:themeColor="text1"/>
                <w:u w:val="none" w:color="auto"/>
                <w14:textFill>
                  <w14:solidFill>
                    <w14:schemeClr w14:val="tx1"/>
                  </w14:solidFill>
                </w14:textFill>
              </w:rPr>
              <w:t>活污水</w:t>
            </w:r>
          </w:p>
          <w:p w14:paraId="6B21F439">
            <w:pPr>
              <w:pStyle w:val="35"/>
              <w:ind w:firstLine="480"/>
              <w:rPr>
                <w:rFonts w:hint="eastAsia" w:ascii="Times New Roman" w:hAnsi="Times New Roman" w:eastAsia="宋体" w:cs="Times New Roman"/>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生活污水中主要污染物CODcr、BOD</w:t>
            </w:r>
            <w:r>
              <w:rPr>
                <w:rFonts w:hint="eastAsia" w:ascii="Times New Roman" w:hAnsi="Times New Roman" w:eastAsia="宋体" w:cs="Times New Roman"/>
                <w:color w:val="000000" w:themeColor="text1"/>
                <w:u w:val="none" w:color="auto"/>
                <w:vertAlign w:val="subscript"/>
                <w:lang w:val="en-US" w:eastAsia="zh-CN"/>
                <w14:textFill>
                  <w14:solidFill>
                    <w14:schemeClr w14:val="tx1"/>
                  </w14:solidFill>
                </w14:textFill>
              </w:rPr>
              <w:t>5</w:t>
            </w:r>
            <w:r>
              <w:rPr>
                <w:rFonts w:hint="eastAsia" w:ascii="Times New Roman" w:hAnsi="Times New Roman" w:eastAsia="宋体" w:cs="Times New Roman"/>
                <w:color w:val="000000" w:themeColor="text1"/>
                <w:u w:val="none" w:color="auto"/>
                <w14:textFill>
                  <w14:solidFill>
                    <w14:schemeClr w14:val="tx1"/>
                  </w14:solidFill>
                </w14:textFill>
              </w:rPr>
              <w:t>、SS、NH</w:t>
            </w:r>
            <w:r>
              <w:rPr>
                <w:rFonts w:hint="eastAsia" w:ascii="Times New Roman" w:hAnsi="Times New Roman" w:eastAsia="宋体" w:cs="Times New Roman"/>
                <w:color w:val="000000" w:themeColor="text1"/>
                <w:u w:val="none" w:color="auto"/>
                <w:vertAlign w:val="subscript"/>
                <w14:textFill>
                  <w14:solidFill>
                    <w14:schemeClr w14:val="tx1"/>
                  </w14:solidFill>
                </w14:textFill>
              </w:rPr>
              <w:t>3</w:t>
            </w:r>
            <w:r>
              <w:rPr>
                <w:rFonts w:hint="eastAsia" w:ascii="Times New Roman" w:hAnsi="Times New Roman" w:eastAsia="宋体" w:cs="Times New Roman"/>
                <w:color w:val="000000" w:themeColor="text1"/>
                <w:u w:val="none" w:color="auto"/>
                <w14:textFill>
                  <w14:solidFill>
                    <w14:schemeClr w14:val="tx1"/>
                  </w14:solidFill>
                </w14:textFill>
              </w:rPr>
              <w:t>-N的产生浓度分别为</w:t>
            </w:r>
            <w:r>
              <w:rPr>
                <w:rFonts w:hint="eastAsia" w:ascii="Times New Roman" w:hAnsi="Times New Roman" w:eastAsia="宋体" w:cs="Times New Roman"/>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300mg/L、200mg/L、250mg/L、35mg/L。经化粪池处理后的浓度为</w:t>
            </w:r>
            <w:r>
              <w:rPr>
                <w:rFonts w:hint="eastAsia" w:ascii="Times New Roman" w:hAnsi="Times New Roman" w:eastAsia="宋体" w:cs="Times New Roman"/>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CODcr</w:t>
            </w:r>
            <w:r>
              <w:rPr>
                <w:rFonts w:hint="eastAsia" w:ascii="Times New Roman" w:hAnsi="Times New Roman" w:eastAsia="宋体" w:cs="Times New Roman"/>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255mg/L、BOD</w:t>
            </w:r>
            <w:r>
              <w:rPr>
                <w:rFonts w:hint="eastAsia" w:ascii="Times New Roman" w:hAnsi="Times New Roman" w:eastAsia="宋体" w:cs="Times New Roman"/>
                <w:color w:val="000000" w:themeColor="text1"/>
                <w:u w:val="none" w:color="auto"/>
                <w:vertAlign w:val="subscript"/>
                <w:lang w:val="en-US" w:eastAsia="zh-CN"/>
                <w14:textFill>
                  <w14:solidFill>
                    <w14:schemeClr w14:val="tx1"/>
                  </w14:solidFill>
                </w14:textFill>
              </w:rPr>
              <w:t>5</w:t>
            </w:r>
            <w:r>
              <w:rPr>
                <w:rFonts w:hint="eastAsia" w:ascii="Times New Roman" w:hAnsi="Times New Roman" w:eastAsia="宋体" w:cs="Times New Roman"/>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160mg/L、SS</w:t>
            </w:r>
            <w:r>
              <w:rPr>
                <w:rFonts w:hint="eastAsia" w:ascii="Times New Roman" w:hAnsi="Times New Roman" w:eastAsia="宋体" w:cs="Times New Roman"/>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150mg/L、NH</w:t>
            </w:r>
            <w:r>
              <w:rPr>
                <w:rFonts w:hint="eastAsia" w:ascii="Times New Roman" w:hAnsi="Times New Roman" w:eastAsia="宋体" w:cs="Times New Roman"/>
                <w:color w:val="000000" w:themeColor="text1"/>
                <w:u w:val="none" w:color="auto"/>
                <w:vertAlign w:val="subscript"/>
                <w:lang w:val="en-US" w:eastAsia="zh-CN"/>
                <w14:textFill>
                  <w14:solidFill>
                    <w14:schemeClr w14:val="tx1"/>
                  </w14:solidFill>
                </w14:textFill>
              </w:rPr>
              <w:t>3</w:t>
            </w:r>
            <w:r>
              <w:rPr>
                <w:rFonts w:hint="eastAsia" w:ascii="Times New Roman" w:hAnsi="Times New Roman" w:eastAsia="宋体" w:cs="Times New Roman"/>
                <w:color w:val="000000" w:themeColor="text1"/>
                <w:u w:val="none" w:color="auto"/>
                <w14:textFill>
                  <w14:solidFill>
                    <w14:schemeClr w14:val="tx1"/>
                  </w14:solidFill>
                </w14:textFill>
              </w:rPr>
              <w:t>-N</w:t>
            </w:r>
            <w:r>
              <w:rPr>
                <w:rFonts w:hint="eastAsia" w:ascii="Times New Roman" w:hAnsi="Times New Roman" w:eastAsia="宋体" w:cs="Times New Roman"/>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30mg/L。生活污水产排情况详见下表。</w:t>
            </w:r>
          </w:p>
          <w:p w14:paraId="38BA6F33">
            <w:pPr>
              <w:pStyle w:val="34"/>
              <w:keepNext w:val="0"/>
              <w:keepLines w:val="0"/>
              <w:pageBreakBefore w:val="0"/>
              <w:widowControl w:val="0"/>
              <w:kinsoku/>
              <w:wordWrap/>
              <w:overflowPunct/>
              <w:topLinePunct w:val="0"/>
              <w:autoSpaceDE/>
              <w:autoSpaceDN/>
              <w:bidi w:val="0"/>
              <w:adjustRightInd/>
              <w:snapToGrid/>
              <w:spacing w:before="0" w:beforeLines="0"/>
              <w:textAlignment w:val="auto"/>
              <w:rPr>
                <w:rFonts w:hint="default" w:eastAsia="宋体"/>
                <w:color w:val="000000" w:themeColor="text1"/>
                <w:sz w:val="21"/>
                <w:szCs w:val="21"/>
                <w:u w:val="none" w:color="auto"/>
                <w:lang w:val="en-US" w:eastAsia="zh-CN"/>
                <w14:textFill>
                  <w14:solidFill>
                    <w14:schemeClr w14:val="tx1"/>
                  </w14:solidFill>
                </w14:textFill>
              </w:rPr>
            </w:pPr>
            <w:r>
              <w:rPr>
                <w:rFonts w:hint="eastAsia"/>
                <w:color w:val="000000" w:themeColor="text1"/>
                <w:sz w:val="21"/>
                <w:szCs w:val="21"/>
                <w:u w:val="none" w:color="auto"/>
                <w14:textFill>
                  <w14:solidFill>
                    <w14:schemeClr w14:val="tx1"/>
                  </w14:solidFill>
                </w14:textFill>
              </w:rPr>
              <w:t>表4-</w:t>
            </w:r>
            <w:r>
              <w:rPr>
                <w:rFonts w:hint="eastAsia"/>
                <w:color w:val="000000" w:themeColor="text1"/>
                <w:sz w:val="21"/>
                <w:szCs w:val="21"/>
                <w:u w:val="none" w:color="auto"/>
                <w:lang w:val="en-US" w:eastAsia="zh-CN"/>
                <w14:textFill>
                  <w14:solidFill>
                    <w14:schemeClr w14:val="tx1"/>
                  </w14:solidFill>
                </w14:textFill>
              </w:rPr>
              <w:t>11</w:t>
            </w:r>
            <w:r>
              <w:rPr>
                <w:rFonts w:hint="eastAsia"/>
                <w:color w:val="000000" w:themeColor="text1"/>
                <w:sz w:val="21"/>
                <w:szCs w:val="21"/>
                <w:u w:val="none" w:color="auto"/>
                <w14:textFill>
                  <w14:solidFill>
                    <w14:schemeClr w14:val="tx1"/>
                  </w14:solidFill>
                </w14:textFill>
              </w:rPr>
              <w:t xml:space="preserve">  项目</w:t>
            </w:r>
            <w:r>
              <w:rPr>
                <w:rFonts w:hint="eastAsia"/>
                <w:color w:val="000000" w:themeColor="text1"/>
                <w:sz w:val="21"/>
                <w:szCs w:val="21"/>
                <w:u w:val="none" w:color="auto"/>
                <w:lang w:val="en-US" w:eastAsia="zh-CN"/>
                <w14:textFill>
                  <w14:solidFill>
                    <w14:schemeClr w14:val="tx1"/>
                  </w14:solidFill>
                </w14:textFill>
              </w:rPr>
              <w:t>生活污水产生情况一览表</w:t>
            </w:r>
          </w:p>
          <w:tbl>
            <w:tblPr>
              <w:tblStyle w:val="28"/>
              <w:tblW w:w="77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3"/>
              <w:gridCol w:w="973"/>
              <w:gridCol w:w="973"/>
              <w:gridCol w:w="973"/>
              <w:gridCol w:w="973"/>
              <w:gridCol w:w="973"/>
              <w:gridCol w:w="973"/>
              <w:gridCol w:w="976"/>
            </w:tblGrid>
            <w:tr w14:paraId="6118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73" w:type="dxa"/>
                  <w:vMerge w:val="restart"/>
                  <w:vAlign w:val="center"/>
                </w:tcPr>
                <w:p w14:paraId="4D0B7B2C">
                  <w:pPr>
                    <w:pStyle w:val="57"/>
                    <w:rPr>
                      <w:rFonts w:hint="default" w:eastAsia="宋体"/>
                      <w:color w:val="000000" w:themeColor="text1"/>
                      <w:u w:val="none" w:color="auto"/>
                      <w:lang w:val="en-US" w:eastAsia="zh-CN"/>
                      <w14:textFill>
                        <w14:solidFill>
                          <w14:schemeClr w14:val="tx1"/>
                        </w14:solidFill>
                      </w14:textFill>
                    </w:rPr>
                  </w:pPr>
                  <w:r>
                    <w:rPr>
                      <w:rFonts w:hint="eastAsia" w:eastAsia="宋体"/>
                      <w:color w:val="000000" w:themeColor="text1"/>
                      <w:u w:val="none" w:color="auto"/>
                      <w:lang w:val="en-US" w:eastAsia="zh-CN"/>
                      <w14:textFill>
                        <w14:solidFill>
                          <w14:schemeClr w14:val="tx1"/>
                        </w14:solidFill>
                      </w14:textFill>
                    </w:rPr>
                    <w:t>排放源</w:t>
                  </w:r>
                </w:p>
              </w:tc>
              <w:tc>
                <w:tcPr>
                  <w:tcW w:w="973" w:type="dxa"/>
                  <w:vMerge w:val="restart"/>
                  <w:shd w:val="clear" w:color="auto" w:fill="auto"/>
                  <w:vAlign w:val="center"/>
                </w:tcPr>
                <w:p w14:paraId="33A07572">
                  <w:pPr>
                    <w:pStyle w:val="5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t>因子</w:t>
                  </w:r>
                </w:p>
              </w:tc>
              <w:tc>
                <w:tcPr>
                  <w:tcW w:w="1946" w:type="dxa"/>
                  <w:gridSpan w:val="2"/>
                  <w:vAlign w:val="center"/>
                </w:tcPr>
                <w:p w14:paraId="08161FFE">
                  <w:pPr>
                    <w:pStyle w:val="57"/>
                    <w:rPr>
                      <w:color w:val="000000" w:themeColor="text1"/>
                      <w:u w:val="none" w:color="auto"/>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产生情况</w:t>
                  </w:r>
                </w:p>
              </w:tc>
              <w:tc>
                <w:tcPr>
                  <w:tcW w:w="973" w:type="dxa"/>
                  <w:vMerge w:val="restart"/>
                  <w:vAlign w:val="center"/>
                </w:tcPr>
                <w:p w14:paraId="20AA0183">
                  <w:pPr>
                    <w:pStyle w:val="57"/>
                    <w:rPr>
                      <w:rFonts w:hint="default" w:eastAsia="宋体"/>
                      <w:color w:val="000000" w:themeColor="text1"/>
                      <w:u w:val="none" w:color="auto"/>
                      <w:lang w:val="en-US" w:eastAsia="zh-CN"/>
                      <w14:textFill>
                        <w14:solidFill>
                          <w14:schemeClr w14:val="tx1"/>
                        </w14:solidFill>
                      </w14:textFill>
                    </w:rPr>
                  </w:pPr>
                  <w:r>
                    <w:rPr>
                      <w:rFonts w:hint="eastAsia" w:eastAsia="宋体"/>
                      <w:color w:val="000000" w:themeColor="text1"/>
                      <w:u w:val="none" w:color="auto"/>
                      <w:lang w:val="en-US" w:eastAsia="zh-CN"/>
                      <w14:textFill>
                        <w14:solidFill>
                          <w14:schemeClr w14:val="tx1"/>
                        </w14:solidFill>
                      </w14:textFill>
                    </w:rPr>
                    <w:t>削减量t/a</w:t>
                  </w:r>
                </w:p>
              </w:tc>
              <w:tc>
                <w:tcPr>
                  <w:tcW w:w="1946" w:type="dxa"/>
                  <w:gridSpan w:val="2"/>
                  <w:vAlign w:val="center"/>
                </w:tcPr>
                <w:p w14:paraId="1654DD70">
                  <w:pPr>
                    <w:pStyle w:val="57"/>
                    <w:rPr>
                      <w:rFonts w:hint="default" w:eastAsia="宋体"/>
                      <w:color w:val="000000" w:themeColor="text1"/>
                      <w:u w:val="none" w:color="auto"/>
                      <w:lang w:val="en-US" w:eastAsia="zh-CN"/>
                      <w14:textFill>
                        <w14:solidFill>
                          <w14:schemeClr w14:val="tx1"/>
                        </w14:solidFill>
                      </w14:textFill>
                    </w:rPr>
                  </w:pPr>
                  <w:r>
                    <w:rPr>
                      <w:rFonts w:hint="eastAsia" w:eastAsia="宋体"/>
                      <w:color w:val="000000" w:themeColor="text1"/>
                      <w:u w:val="none" w:color="auto"/>
                      <w:lang w:val="en-US" w:eastAsia="zh-CN"/>
                      <w14:textFill>
                        <w14:solidFill>
                          <w14:schemeClr w14:val="tx1"/>
                        </w14:solidFill>
                      </w14:textFill>
                    </w:rPr>
                    <w:t>排放情况</w:t>
                  </w:r>
                </w:p>
              </w:tc>
              <w:tc>
                <w:tcPr>
                  <w:tcW w:w="976" w:type="dxa"/>
                  <w:vMerge w:val="restart"/>
                  <w:vAlign w:val="center"/>
                </w:tcPr>
                <w:p w14:paraId="14514321">
                  <w:pPr>
                    <w:pStyle w:val="57"/>
                    <w:rPr>
                      <w:rFonts w:hint="default" w:eastAsia="宋体"/>
                      <w:color w:val="000000" w:themeColor="text1"/>
                      <w:u w:val="none" w:color="auto"/>
                      <w:lang w:val="en-US" w:eastAsia="zh-CN"/>
                      <w14:textFill>
                        <w14:solidFill>
                          <w14:schemeClr w14:val="tx1"/>
                        </w14:solidFill>
                      </w14:textFill>
                    </w:rPr>
                  </w:pPr>
                  <w:r>
                    <w:rPr>
                      <w:rFonts w:hint="eastAsia" w:eastAsia="宋体"/>
                      <w:color w:val="000000" w:themeColor="text1"/>
                      <w:u w:val="none" w:color="auto"/>
                      <w:lang w:val="en-US" w:eastAsia="zh-CN"/>
                      <w14:textFill>
                        <w14:solidFill>
                          <w14:schemeClr w14:val="tx1"/>
                        </w14:solidFill>
                      </w14:textFill>
                    </w:rPr>
                    <w:t>处理措施及去向</w:t>
                  </w:r>
                </w:p>
              </w:tc>
            </w:tr>
            <w:tr w14:paraId="30F3A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73" w:type="dxa"/>
                  <w:vMerge w:val="continue"/>
                  <w:vAlign w:val="center"/>
                </w:tcPr>
                <w:p w14:paraId="6F087120">
                  <w:pPr>
                    <w:pStyle w:val="57"/>
                    <w:rPr>
                      <w:rFonts w:hint="eastAsia" w:eastAsia="宋体"/>
                      <w:color w:val="000000" w:themeColor="text1"/>
                      <w:u w:val="none" w:color="auto"/>
                      <w:lang w:val="en-US" w:eastAsia="zh-CN"/>
                      <w14:textFill>
                        <w14:solidFill>
                          <w14:schemeClr w14:val="tx1"/>
                        </w14:solidFill>
                      </w14:textFill>
                    </w:rPr>
                  </w:pPr>
                </w:p>
              </w:tc>
              <w:tc>
                <w:tcPr>
                  <w:tcW w:w="973" w:type="dxa"/>
                  <w:vMerge w:val="continue"/>
                  <w:shd w:val="clear" w:color="auto" w:fill="auto"/>
                  <w:vAlign w:val="center"/>
                </w:tcPr>
                <w:p w14:paraId="5BF4C919">
                  <w:pPr>
                    <w:pStyle w:val="57"/>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p>
              </w:tc>
              <w:tc>
                <w:tcPr>
                  <w:tcW w:w="973" w:type="dxa"/>
                  <w:vAlign w:val="center"/>
                </w:tcPr>
                <w:p w14:paraId="5E6BB853">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产生浓度mg/L</w:t>
                  </w:r>
                </w:p>
              </w:tc>
              <w:tc>
                <w:tcPr>
                  <w:tcW w:w="973" w:type="dxa"/>
                  <w:vAlign w:val="center"/>
                </w:tcPr>
                <w:p w14:paraId="3333456D">
                  <w:pPr>
                    <w:pStyle w:val="57"/>
                    <w:ind w:left="0" w:leftChars="0" w:right="0" w:rightChars="0" w:firstLine="0" w:firstLineChars="0"/>
                    <w:jc w:val="center"/>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产生量t/a</w:t>
                  </w:r>
                </w:p>
              </w:tc>
              <w:tc>
                <w:tcPr>
                  <w:tcW w:w="973" w:type="dxa"/>
                  <w:vMerge w:val="continue"/>
                  <w:vAlign w:val="center"/>
                </w:tcPr>
                <w:p w14:paraId="52033A7B">
                  <w:pPr>
                    <w:pStyle w:val="57"/>
                    <w:rPr>
                      <w:rFonts w:hint="default" w:eastAsia="宋体"/>
                      <w:color w:val="000000" w:themeColor="text1"/>
                      <w:u w:val="none" w:color="auto"/>
                      <w:lang w:val="en-US" w:eastAsia="zh-CN"/>
                      <w14:textFill>
                        <w14:solidFill>
                          <w14:schemeClr w14:val="tx1"/>
                        </w14:solidFill>
                      </w14:textFill>
                    </w:rPr>
                  </w:pPr>
                </w:p>
              </w:tc>
              <w:tc>
                <w:tcPr>
                  <w:tcW w:w="973" w:type="dxa"/>
                  <w:vAlign w:val="center"/>
                </w:tcPr>
                <w:p w14:paraId="024CD06B">
                  <w:pPr>
                    <w:pStyle w:val="57"/>
                    <w:rPr>
                      <w:rFonts w:hint="default" w:eastAsia="宋体"/>
                      <w:color w:val="000000" w:themeColor="text1"/>
                      <w:u w:val="none" w:color="auto"/>
                      <w:lang w:val="en-US" w:eastAsia="zh-CN"/>
                      <w14:textFill>
                        <w14:solidFill>
                          <w14:schemeClr w14:val="tx1"/>
                        </w14:solidFill>
                      </w14:textFill>
                    </w:rPr>
                  </w:pPr>
                  <w:r>
                    <w:rPr>
                      <w:rFonts w:hint="eastAsia" w:eastAsia="宋体"/>
                      <w:color w:val="000000" w:themeColor="text1"/>
                      <w:u w:val="none" w:color="auto"/>
                      <w:lang w:val="en-US" w:eastAsia="zh-CN"/>
                      <w14:textFill>
                        <w14:solidFill>
                          <w14:schemeClr w14:val="tx1"/>
                        </w14:solidFill>
                      </w14:textFill>
                    </w:rPr>
                    <w:t>排放浓度mg/L</w:t>
                  </w:r>
                </w:p>
              </w:tc>
              <w:tc>
                <w:tcPr>
                  <w:tcW w:w="973" w:type="dxa"/>
                  <w:vAlign w:val="center"/>
                </w:tcPr>
                <w:p w14:paraId="37B8E977">
                  <w:pPr>
                    <w:pStyle w:val="57"/>
                    <w:rPr>
                      <w:rFonts w:hint="default" w:eastAsia="宋体"/>
                      <w:color w:val="000000" w:themeColor="text1"/>
                      <w:u w:val="none" w:color="auto"/>
                      <w:lang w:val="en-US" w:eastAsia="zh-CN"/>
                      <w14:textFill>
                        <w14:solidFill>
                          <w14:schemeClr w14:val="tx1"/>
                        </w14:solidFill>
                      </w14:textFill>
                    </w:rPr>
                  </w:pPr>
                  <w:r>
                    <w:rPr>
                      <w:rFonts w:hint="eastAsia" w:eastAsia="宋体"/>
                      <w:color w:val="000000" w:themeColor="text1"/>
                      <w:u w:val="none" w:color="auto"/>
                      <w:lang w:val="en-US" w:eastAsia="zh-CN"/>
                      <w14:textFill>
                        <w14:solidFill>
                          <w14:schemeClr w14:val="tx1"/>
                        </w14:solidFill>
                      </w14:textFill>
                    </w:rPr>
                    <w:t>排放量t/a</w:t>
                  </w:r>
                </w:p>
              </w:tc>
              <w:tc>
                <w:tcPr>
                  <w:tcW w:w="976" w:type="dxa"/>
                  <w:vMerge w:val="continue"/>
                  <w:vAlign w:val="center"/>
                </w:tcPr>
                <w:p w14:paraId="7ED23BCB">
                  <w:pPr>
                    <w:pStyle w:val="57"/>
                    <w:rPr>
                      <w:rFonts w:hint="default" w:eastAsia="宋体"/>
                      <w:color w:val="000000" w:themeColor="text1"/>
                      <w:u w:val="none" w:color="auto"/>
                      <w:lang w:val="en-US" w:eastAsia="zh-CN"/>
                      <w14:textFill>
                        <w14:solidFill>
                          <w14:schemeClr w14:val="tx1"/>
                        </w14:solidFill>
                      </w14:textFill>
                    </w:rPr>
                  </w:pPr>
                </w:p>
              </w:tc>
            </w:tr>
            <w:tr w14:paraId="28181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73" w:type="dxa"/>
                  <w:vMerge w:val="restart"/>
                  <w:vAlign w:val="center"/>
                </w:tcPr>
                <w:p w14:paraId="2154A812">
                  <w:pPr>
                    <w:pStyle w:val="57"/>
                    <w:rPr>
                      <w:rFonts w:hint="default" w:eastAsia="宋体"/>
                      <w:color w:val="000000" w:themeColor="text1"/>
                      <w:u w:val="none" w:color="auto"/>
                      <w:lang w:val="en-US" w:eastAsia="zh-CN"/>
                      <w14:textFill>
                        <w14:solidFill>
                          <w14:schemeClr w14:val="tx1"/>
                        </w14:solidFill>
                      </w14:textFill>
                    </w:rPr>
                  </w:pPr>
                  <w:r>
                    <w:rPr>
                      <w:rFonts w:hint="eastAsia" w:eastAsia="宋体"/>
                      <w:color w:val="000000" w:themeColor="text1"/>
                      <w:u w:val="none" w:color="auto"/>
                      <w:lang w:val="en-US" w:eastAsia="zh-CN"/>
                      <w14:textFill>
                        <w14:solidFill>
                          <w14:schemeClr w14:val="tx1"/>
                        </w14:solidFill>
                      </w14:textFill>
                    </w:rPr>
                    <w:t>生活污水</w:t>
                  </w:r>
                </w:p>
              </w:tc>
              <w:tc>
                <w:tcPr>
                  <w:tcW w:w="973" w:type="dxa"/>
                  <w:shd w:val="clear" w:color="auto" w:fill="auto"/>
                  <w:vAlign w:val="center"/>
                </w:tcPr>
                <w:p w14:paraId="3E355FE3">
                  <w:pPr>
                    <w:pStyle w:val="5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t>废水量</w:t>
                  </w:r>
                </w:p>
              </w:tc>
              <w:tc>
                <w:tcPr>
                  <w:tcW w:w="1946" w:type="dxa"/>
                  <w:gridSpan w:val="2"/>
                  <w:vAlign w:val="center"/>
                </w:tcPr>
                <w:p w14:paraId="577B3A76">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86.4</w:t>
                  </w:r>
                </w:p>
              </w:tc>
              <w:tc>
                <w:tcPr>
                  <w:tcW w:w="973" w:type="dxa"/>
                  <w:vAlign w:val="center"/>
                </w:tcPr>
                <w:p w14:paraId="0FFAF73B">
                  <w:pPr>
                    <w:pStyle w:val="57"/>
                    <w:rPr>
                      <w:rFonts w:hint="default" w:eastAsia="宋体"/>
                      <w:color w:val="000000" w:themeColor="text1"/>
                      <w:u w:val="none" w:color="auto"/>
                      <w:lang w:val="en-US" w:eastAsia="zh-CN"/>
                      <w14:textFill>
                        <w14:solidFill>
                          <w14:schemeClr w14:val="tx1"/>
                        </w14:solidFill>
                      </w14:textFill>
                    </w:rPr>
                  </w:pPr>
                  <w:r>
                    <w:rPr>
                      <w:rFonts w:hint="eastAsia" w:eastAsia="宋体"/>
                      <w:color w:val="000000" w:themeColor="text1"/>
                      <w:u w:val="none" w:color="auto"/>
                      <w:lang w:val="en-US" w:eastAsia="zh-CN"/>
                      <w14:textFill>
                        <w14:solidFill>
                          <w14:schemeClr w14:val="tx1"/>
                        </w14:solidFill>
                      </w14:textFill>
                    </w:rPr>
                    <w:t>0</w:t>
                  </w:r>
                </w:p>
              </w:tc>
              <w:tc>
                <w:tcPr>
                  <w:tcW w:w="1946" w:type="dxa"/>
                  <w:gridSpan w:val="2"/>
                  <w:vAlign w:val="center"/>
                </w:tcPr>
                <w:p w14:paraId="63619B77">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86.4</w:t>
                  </w:r>
                </w:p>
              </w:tc>
              <w:tc>
                <w:tcPr>
                  <w:tcW w:w="976" w:type="dxa"/>
                  <w:vMerge w:val="restart"/>
                  <w:vAlign w:val="center"/>
                </w:tcPr>
                <w:p w14:paraId="004B7373">
                  <w:pPr>
                    <w:pStyle w:val="57"/>
                    <w:rPr>
                      <w:rFonts w:hint="default" w:eastAsia="宋体"/>
                      <w:color w:val="000000" w:themeColor="text1"/>
                      <w:u w:val="none" w:color="auto"/>
                      <w:lang w:val="en-US" w:eastAsia="zh-CN"/>
                      <w14:textFill>
                        <w14:solidFill>
                          <w14:schemeClr w14:val="tx1"/>
                        </w14:solidFill>
                      </w14:textFill>
                    </w:rPr>
                  </w:pPr>
                  <w:r>
                    <w:rPr>
                      <w:rFonts w:hint="eastAsia" w:ascii="Times New Roman" w:hAnsi="Times New Roman" w:eastAsia="宋体"/>
                      <w:color w:val="000000" w:themeColor="text1"/>
                      <w:u w:val="none" w:color="auto"/>
                      <w:lang w:val="en-US" w:eastAsia="zh-CN"/>
                      <w14:textFill>
                        <w14:solidFill>
                          <w14:schemeClr w14:val="tx1"/>
                        </w14:solidFill>
                      </w14:textFill>
                    </w:rPr>
                    <w:t>经化粪池处理后用于周边菜地施肥，不外排</w:t>
                  </w:r>
                </w:p>
              </w:tc>
            </w:tr>
            <w:tr w14:paraId="2D7A7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73" w:type="dxa"/>
                  <w:vMerge w:val="continue"/>
                  <w:vAlign w:val="center"/>
                </w:tcPr>
                <w:p w14:paraId="7030B9C9">
                  <w:pPr>
                    <w:pStyle w:val="57"/>
                    <w:rPr>
                      <w:rFonts w:hint="eastAsia" w:eastAsia="宋体"/>
                      <w:color w:val="000000" w:themeColor="text1"/>
                      <w:u w:val="none" w:color="auto"/>
                      <w:lang w:val="en-US" w:eastAsia="zh-CN"/>
                      <w14:textFill>
                        <w14:solidFill>
                          <w14:schemeClr w14:val="tx1"/>
                        </w14:solidFill>
                      </w14:textFill>
                    </w:rPr>
                  </w:pPr>
                </w:p>
              </w:tc>
              <w:tc>
                <w:tcPr>
                  <w:tcW w:w="973" w:type="dxa"/>
                  <w:shd w:val="clear" w:color="auto" w:fill="auto"/>
                  <w:vAlign w:val="center"/>
                </w:tcPr>
                <w:p w14:paraId="29D62A11">
                  <w:pPr>
                    <w:pStyle w:val="57"/>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CODcr</w:t>
                  </w:r>
                </w:p>
              </w:tc>
              <w:tc>
                <w:tcPr>
                  <w:tcW w:w="973" w:type="dxa"/>
                  <w:vAlign w:val="center"/>
                </w:tcPr>
                <w:p w14:paraId="1C9A5BC9">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300</w:t>
                  </w:r>
                </w:p>
              </w:tc>
              <w:tc>
                <w:tcPr>
                  <w:tcW w:w="973" w:type="dxa"/>
                  <w:vAlign w:val="center"/>
                </w:tcPr>
                <w:p w14:paraId="2A5FC4B8">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0.0259</w:t>
                  </w:r>
                </w:p>
              </w:tc>
              <w:tc>
                <w:tcPr>
                  <w:tcW w:w="973" w:type="dxa"/>
                  <w:vAlign w:val="center"/>
                </w:tcPr>
                <w:p w14:paraId="5B3D44E0">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0.0039</w:t>
                  </w:r>
                </w:p>
              </w:tc>
              <w:tc>
                <w:tcPr>
                  <w:tcW w:w="973" w:type="dxa"/>
                  <w:vAlign w:val="center"/>
                </w:tcPr>
                <w:p w14:paraId="74D8DE9C">
                  <w:pPr>
                    <w:pStyle w:val="57"/>
                    <w:rPr>
                      <w:rFonts w:hint="default" w:eastAsia="宋体"/>
                      <w:color w:val="000000" w:themeColor="text1"/>
                      <w:u w:val="none" w:color="auto"/>
                      <w:lang w:val="en-US" w:eastAsia="zh-CN"/>
                      <w14:textFill>
                        <w14:solidFill>
                          <w14:schemeClr w14:val="tx1"/>
                        </w14:solidFill>
                      </w14:textFill>
                    </w:rPr>
                  </w:pPr>
                  <w:r>
                    <w:rPr>
                      <w:rFonts w:hint="eastAsia" w:eastAsia="宋体"/>
                      <w:color w:val="000000" w:themeColor="text1"/>
                      <w:u w:val="none" w:color="auto"/>
                      <w:lang w:val="en-US" w:eastAsia="zh-CN"/>
                      <w14:textFill>
                        <w14:solidFill>
                          <w14:schemeClr w14:val="tx1"/>
                        </w14:solidFill>
                      </w14:textFill>
                    </w:rPr>
                    <w:t>255</w:t>
                  </w:r>
                </w:p>
              </w:tc>
              <w:tc>
                <w:tcPr>
                  <w:tcW w:w="973" w:type="dxa"/>
                  <w:vAlign w:val="center"/>
                </w:tcPr>
                <w:p w14:paraId="4F6D6ADB">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0.0220</w:t>
                  </w:r>
                </w:p>
              </w:tc>
              <w:tc>
                <w:tcPr>
                  <w:tcW w:w="976" w:type="dxa"/>
                  <w:vMerge w:val="continue"/>
                  <w:vAlign w:val="center"/>
                </w:tcPr>
                <w:p w14:paraId="78C8218B">
                  <w:pPr>
                    <w:pStyle w:val="57"/>
                    <w:rPr>
                      <w:rFonts w:hint="default" w:eastAsia="宋体"/>
                      <w:color w:val="000000" w:themeColor="text1"/>
                      <w:u w:val="none" w:color="auto"/>
                      <w:lang w:val="en-US" w:eastAsia="zh-CN"/>
                      <w14:textFill>
                        <w14:solidFill>
                          <w14:schemeClr w14:val="tx1"/>
                        </w14:solidFill>
                      </w14:textFill>
                    </w:rPr>
                  </w:pPr>
                </w:p>
              </w:tc>
            </w:tr>
            <w:tr w14:paraId="4EE83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73" w:type="dxa"/>
                  <w:vMerge w:val="continue"/>
                  <w:vAlign w:val="center"/>
                </w:tcPr>
                <w:p w14:paraId="607E220A">
                  <w:pPr>
                    <w:pStyle w:val="57"/>
                    <w:rPr>
                      <w:rFonts w:hint="eastAsia" w:eastAsia="宋体"/>
                      <w:color w:val="000000" w:themeColor="text1"/>
                      <w:u w:val="none" w:color="auto"/>
                      <w:lang w:val="en-US" w:eastAsia="zh-CN"/>
                      <w14:textFill>
                        <w14:solidFill>
                          <w14:schemeClr w14:val="tx1"/>
                        </w14:solidFill>
                      </w14:textFill>
                    </w:rPr>
                  </w:pPr>
                </w:p>
              </w:tc>
              <w:tc>
                <w:tcPr>
                  <w:tcW w:w="973" w:type="dxa"/>
                  <w:shd w:val="clear" w:color="auto" w:fill="auto"/>
                  <w:vAlign w:val="center"/>
                </w:tcPr>
                <w:p w14:paraId="6483AC55">
                  <w:pPr>
                    <w:pStyle w:val="57"/>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BOD</w:t>
                  </w:r>
                  <w:r>
                    <w:rPr>
                      <w:rFonts w:hint="eastAsia" w:ascii="Times New Roman" w:hAnsi="Times New Roman" w:eastAsia="宋体" w:cs="Times New Roman"/>
                      <w:color w:val="000000" w:themeColor="text1"/>
                      <w:u w:val="none" w:color="auto"/>
                      <w:vertAlign w:val="subscript"/>
                      <w:lang w:val="en-US" w:eastAsia="zh-CN"/>
                      <w14:textFill>
                        <w14:solidFill>
                          <w14:schemeClr w14:val="tx1"/>
                        </w14:solidFill>
                      </w14:textFill>
                    </w:rPr>
                    <w:t>5</w:t>
                  </w:r>
                </w:p>
              </w:tc>
              <w:tc>
                <w:tcPr>
                  <w:tcW w:w="973" w:type="dxa"/>
                  <w:vAlign w:val="center"/>
                </w:tcPr>
                <w:p w14:paraId="0D6CCD11">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200</w:t>
                  </w:r>
                </w:p>
              </w:tc>
              <w:tc>
                <w:tcPr>
                  <w:tcW w:w="973" w:type="dxa"/>
                  <w:vAlign w:val="center"/>
                </w:tcPr>
                <w:p w14:paraId="55DF1AF5">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0.0173</w:t>
                  </w:r>
                </w:p>
              </w:tc>
              <w:tc>
                <w:tcPr>
                  <w:tcW w:w="973" w:type="dxa"/>
                  <w:vAlign w:val="center"/>
                </w:tcPr>
                <w:p w14:paraId="627A683C">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0.0035</w:t>
                  </w:r>
                </w:p>
              </w:tc>
              <w:tc>
                <w:tcPr>
                  <w:tcW w:w="973" w:type="dxa"/>
                  <w:vAlign w:val="center"/>
                </w:tcPr>
                <w:p w14:paraId="4E7FC3AB">
                  <w:pPr>
                    <w:pStyle w:val="57"/>
                    <w:rPr>
                      <w:rFonts w:hint="default" w:eastAsia="宋体"/>
                      <w:color w:val="000000" w:themeColor="text1"/>
                      <w:u w:val="none" w:color="auto"/>
                      <w:lang w:val="en-US" w:eastAsia="zh-CN"/>
                      <w14:textFill>
                        <w14:solidFill>
                          <w14:schemeClr w14:val="tx1"/>
                        </w14:solidFill>
                      </w14:textFill>
                    </w:rPr>
                  </w:pPr>
                  <w:r>
                    <w:rPr>
                      <w:rFonts w:hint="eastAsia" w:eastAsia="宋体"/>
                      <w:color w:val="000000" w:themeColor="text1"/>
                      <w:u w:val="none" w:color="auto"/>
                      <w:lang w:val="en-US" w:eastAsia="zh-CN"/>
                      <w14:textFill>
                        <w14:solidFill>
                          <w14:schemeClr w14:val="tx1"/>
                        </w14:solidFill>
                      </w14:textFill>
                    </w:rPr>
                    <w:t>160</w:t>
                  </w:r>
                </w:p>
              </w:tc>
              <w:tc>
                <w:tcPr>
                  <w:tcW w:w="973" w:type="dxa"/>
                  <w:vAlign w:val="center"/>
                </w:tcPr>
                <w:p w14:paraId="2AD4AEC9">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0.0138</w:t>
                  </w:r>
                </w:p>
              </w:tc>
              <w:tc>
                <w:tcPr>
                  <w:tcW w:w="976" w:type="dxa"/>
                  <w:vMerge w:val="continue"/>
                  <w:vAlign w:val="center"/>
                </w:tcPr>
                <w:p w14:paraId="0759111D">
                  <w:pPr>
                    <w:pStyle w:val="57"/>
                    <w:rPr>
                      <w:rFonts w:hint="default" w:eastAsia="宋体"/>
                      <w:color w:val="000000" w:themeColor="text1"/>
                      <w:u w:val="none" w:color="auto"/>
                      <w:lang w:val="en-US" w:eastAsia="zh-CN"/>
                      <w14:textFill>
                        <w14:solidFill>
                          <w14:schemeClr w14:val="tx1"/>
                        </w14:solidFill>
                      </w14:textFill>
                    </w:rPr>
                  </w:pPr>
                </w:p>
              </w:tc>
            </w:tr>
            <w:tr w14:paraId="3A7A2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73" w:type="dxa"/>
                  <w:vMerge w:val="continue"/>
                  <w:vAlign w:val="center"/>
                </w:tcPr>
                <w:p w14:paraId="47C9B82A">
                  <w:pPr>
                    <w:pStyle w:val="57"/>
                    <w:rPr>
                      <w:rFonts w:hint="eastAsia" w:eastAsia="宋体"/>
                      <w:color w:val="000000" w:themeColor="text1"/>
                      <w:u w:val="none" w:color="auto"/>
                      <w:lang w:val="en-US" w:eastAsia="zh-CN"/>
                      <w14:textFill>
                        <w14:solidFill>
                          <w14:schemeClr w14:val="tx1"/>
                        </w14:solidFill>
                      </w14:textFill>
                    </w:rPr>
                  </w:pPr>
                </w:p>
              </w:tc>
              <w:tc>
                <w:tcPr>
                  <w:tcW w:w="973" w:type="dxa"/>
                  <w:shd w:val="clear" w:color="auto" w:fill="auto"/>
                  <w:vAlign w:val="center"/>
                </w:tcPr>
                <w:p w14:paraId="3579FA9E">
                  <w:pPr>
                    <w:pStyle w:val="57"/>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SS</w:t>
                  </w:r>
                </w:p>
              </w:tc>
              <w:tc>
                <w:tcPr>
                  <w:tcW w:w="973" w:type="dxa"/>
                  <w:vAlign w:val="center"/>
                </w:tcPr>
                <w:p w14:paraId="57BA5FC6">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250</w:t>
                  </w:r>
                </w:p>
              </w:tc>
              <w:tc>
                <w:tcPr>
                  <w:tcW w:w="973" w:type="dxa"/>
                  <w:vAlign w:val="center"/>
                </w:tcPr>
                <w:p w14:paraId="6063615E">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0.0216</w:t>
                  </w:r>
                </w:p>
              </w:tc>
              <w:tc>
                <w:tcPr>
                  <w:tcW w:w="973" w:type="dxa"/>
                  <w:vAlign w:val="center"/>
                </w:tcPr>
                <w:p w14:paraId="20DF3CB2">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0.0086</w:t>
                  </w:r>
                </w:p>
              </w:tc>
              <w:tc>
                <w:tcPr>
                  <w:tcW w:w="973" w:type="dxa"/>
                  <w:vAlign w:val="center"/>
                </w:tcPr>
                <w:p w14:paraId="7E9A0602">
                  <w:pPr>
                    <w:pStyle w:val="57"/>
                    <w:rPr>
                      <w:rFonts w:hint="default" w:eastAsia="宋体"/>
                      <w:color w:val="000000" w:themeColor="text1"/>
                      <w:u w:val="none" w:color="auto"/>
                      <w:lang w:val="en-US" w:eastAsia="zh-CN"/>
                      <w14:textFill>
                        <w14:solidFill>
                          <w14:schemeClr w14:val="tx1"/>
                        </w14:solidFill>
                      </w14:textFill>
                    </w:rPr>
                  </w:pPr>
                  <w:r>
                    <w:rPr>
                      <w:rFonts w:hint="eastAsia" w:eastAsia="宋体"/>
                      <w:color w:val="000000" w:themeColor="text1"/>
                      <w:u w:val="none" w:color="auto"/>
                      <w:lang w:val="en-US" w:eastAsia="zh-CN"/>
                      <w14:textFill>
                        <w14:solidFill>
                          <w14:schemeClr w14:val="tx1"/>
                        </w14:solidFill>
                      </w14:textFill>
                    </w:rPr>
                    <w:t>150</w:t>
                  </w:r>
                </w:p>
              </w:tc>
              <w:tc>
                <w:tcPr>
                  <w:tcW w:w="973" w:type="dxa"/>
                  <w:vAlign w:val="center"/>
                </w:tcPr>
                <w:p w14:paraId="7B4E1A05">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0.0130</w:t>
                  </w:r>
                </w:p>
              </w:tc>
              <w:tc>
                <w:tcPr>
                  <w:tcW w:w="976" w:type="dxa"/>
                  <w:vMerge w:val="continue"/>
                  <w:vAlign w:val="center"/>
                </w:tcPr>
                <w:p w14:paraId="6EBA47E6">
                  <w:pPr>
                    <w:pStyle w:val="57"/>
                    <w:rPr>
                      <w:rFonts w:hint="default" w:eastAsia="宋体"/>
                      <w:color w:val="000000" w:themeColor="text1"/>
                      <w:u w:val="none" w:color="auto"/>
                      <w:lang w:val="en-US" w:eastAsia="zh-CN"/>
                      <w14:textFill>
                        <w14:solidFill>
                          <w14:schemeClr w14:val="tx1"/>
                        </w14:solidFill>
                      </w14:textFill>
                    </w:rPr>
                  </w:pPr>
                </w:p>
              </w:tc>
            </w:tr>
            <w:tr w14:paraId="7AC5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73" w:type="dxa"/>
                  <w:vMerge w:val="continue"/>
                  <w:vAlign w:val="center"/>
                </w:tcPr>
                <w:p w14:paraId="667D5F82">
                  <w:pPr>
                    <w:pStyle w:val="57"/>
                    <w:rPr>
                      <w:rFonts w:hint="eastAsia" w:eastAsia="宋体"/>
                      <w:color w:val="000000" w:themeColor="text1"/>
                      <w:u w:val="none" w:color="auto"/>
                      <w:lang w:val="en-US" w:eastAsia="zh-CN"/>
                      <w14:textFill>
                        <w14:solidFill>
                          <w14:schemeClr w14:val="tx1"/>
                        </w14:solidFill>
                      </w14:textFill>
                    </w:rPr>
                  </w:pPr>
                </w:p>
              </w:tc>
              <w:tc>
                <w:tcPr>
                  <w:tcW w:w="973" w:type="dxa"/>
                  <w:shd w:val="clear" w:color="auto" w:fill="auto"/>
                  <w:vAlign w:val="center"/>
                </w:tcPr>
                <w:p w14:paraId="2A78133C">
                  <w:pPr>
                    <w:pStyle w:val="57"/>
                    <w:rPr>
                      <w:rFonts w:hint="eastAsia" w:ascii="Times New Roman" w:hAnsi="Times New Roman" w:eastAsia="宋体" w:cs="Times New Roman"/>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NH</w:t>
                  </w:r>
                  <w:r>
                    <w:rPr>
                      <w:rFonts w:hint="eastAsia" w:ascii="Times New Roman" w:hAnsi="Times New Roman" w:eastAsia="宋体" w:cs="Times New Roman"/>
                      <w:color w:val="000000" w:themeColor="text1"/>
                      <w:u w:val="none" w:color="auto"/>
                      <w:vertAlign w:val="subscript"/>
                      <w:lang w:val="en-US" w:eastAsia="zh-CN"/>
                      <w14:textFill>
                        <w14:solidFill>
                          <w14:schemeClr w14:val="tx1"/>
                        </w14:solidFill>
                      </w14:textFill>
                    </w:rPr>
                    <w:t>3</w:t>
                  </w:r>
                  <w:r>
                    <w:rPr>
                      <w:rFonts w:hint="eastAsia" w:ascii="Times New Roman" w:hAnsi="Times New Roman" w:eastAsia="宋体" w:cs="Times New Roman"/>
                      <w:color w:val="000000" w:themeColor="text1"/>
                      <w:u w:val="none" w:color="auto"/>
                      <w14:textFill>
                        <w14:solidFill>
                          <w14:schemeClr w14:val="tx1"/>
                        </w14:solidFill>
                      </w14:textFill>
                    </w:rPr>
                    <w:t>-N</w:t>
                  </w:r>
                </w:p>
              </w:tc>
              <w:tc>
                <w:tcPr>
                  <w:tcW w:w="973" w:type="dxa"/>
                  <w:vAlign w:val="center"/>
                </w:tcPr>
                <w:p w14:paraId="3A556E5B">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35</w:t>
                  </w:r>
                </w:p>
              </w:tc>
              <w:tc>
                <w:tcPr>
                  <w:tcW w:w="973" w:type="dxa"/>
                  <w:vAlign w:val="center"/>
                </w:tcPr>
                <w:p w14:paraId="5F6E63EC">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0.0030</w:t>
                  </w:r>
                </w:p>
              </w:tc>
              <w:tc>
                <w:tcPr>
                  <w:tcW w:w="973" w:type="dxa"/>
                  <w:vAlign w:val="center"/>
                </w:tcPr>
                <w:p w14:paraId="3AEF6ED8">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0.0004</w:t>
                  </w:r>
                </w:p>
              </w:tc>
              <w:tc>
                <w:tcPr>
                  <w:tcW w:w="973" w:type="dxa"/>
                  <w:vAlign w:val="center"/>
                </w:tcPr>
                <w:p w14:paraId="1A62EE0E">
                  <w:pPr>
                    <w:pStyle w:val="57"/>
                    <w:rPr>
                      <w:rFonts w:hint="default" w:eastAsia="宋体"/>
                      <w:color w:val="000000" w:themeColor="text1"/>
                      <w:u w:val="none" w:color="auto"/>
                      <w:lang w:val="en-US" w:eastAsia="zh-CN"/>
                      <w14:textFill>
                        <w14:solidFill>
                          <w14:schemeClr w14:val="tx1"/>
                        </w14:solidFill>
                      </w14:textFill>
                    </w:rPr>
                  </w:pPr>
                  <w:r>
                    <w:rPr>
                      <w:rFonts w:hint="eastAsia" w:eastAsia="宋体"/>
                      <w:color w:val="000000" w:themeColor="text1"/>
                      <w:u w:val="none" w:color="auto"/>
                      <w:lang w:val="en-US" w:eastAsia="zh-CN"/>
                      <w14:textFill>
                        <w14:solidFill>
                          <w14:schemeClr w14:val="tx1"/>
                        </w14:solidFill>
                      </w14:textFill>
                    </w:rPr>
                    <w:t>30</w:t>
                  </w:r>
                </w:p>
              </w:tc>
              <w:tc>
                <w:tcPr>
                  <w:tcW w:w="973" w:type="dxa"/>
                  <w:vAlign w:val="center"/>
                </w:tcPr>
                <w:p w14:paraId="1A4E7753">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0.0026</w:t>
                  </w:r>
                </w:p>
              </w:tc>
              <w:tc>
                <w:tcPr>
                  <w:tcW w:w="976" w:type="dxa"/>
                  <w:vMerge w:val="continue"/>
                  <w:vAlign w:val="center"/>
                </w:tcPr>
                <w:p w14:paraId="4D6A97CD">
                  <w:pPr>
                    <w:pStyle w:val="57"/>
                    <w:rPr>
                      <w:rFonts w:hint="default" w:eastAsia="宋体"/>
                      <w:color w:val="000000" w:themeColor="text1"/>
                      <w:u w:val="none" w:color="auto"/>
                      <w:lang w:val="en-US" w:eastAsia="zh-CN"/>
                      <w14:textFill>
                        <w14:solidFill>
                          <w14:schemeClr w14:val="tx1"/>
                        </w14:solidFill>
                      </w14:textFill>
                    </w:rPr>
                  </w:pPr>
                </w:p>
              </w:tc>
            </w:tr>
          </w:tbl>
          <w:p w14:paraId="30A93C87">
            <w:pPr>
              <w:pStyle w:val="35"/>
              <w:ind w:firstLine="480"/>
              <w:rPr>
                <w:rFonts w:hint="eastAsia" w:ascii="Times New Roman" w:hAnsi="Times New Roman" w:eastAsia="宋体" w:cs="Times New Roman"/>
                <w:color w:val="000000" w:themeColor="text1"/>
                <w:u w:val="single" w:color="auto"/>
                <w14:textFill>
                  <w14:solidFill>
                    <w14:schemeClr w14:val="tx1"/>
                  </w14:solidFill>
                </w14:textFill>
              </w:rPr>
            </w:pPr>
            <w:r>
              <w:rPr>
                <w:rFonts w:hint="eastAsia" w:ascii="Times New Roman" w:hAnsi="Times New Roman" w:eastAsia="宋体" w:cs="Times New Roman"/>
                <w:color w:val="000000" w:themeColor="text1"/>
                <w:u w:val="single" w:color="auto"/>
                <w14:textFill>
                  <w14:solidFill>
                    <w14:schemeClr w14:val="tx1"/>
                  </w14:solidFill>
                </w14:textFill>
              </w:rPr>
              <w:t>2）锅炉排污水和软水制备废水</w:t>
            </w:r>
          </w:p>
          <w:p w14:paraId="4DD7AC29">
            <w:pPr>
              <w:pStyle w:val="35"/>
              <w:ind w:firstLine="480"/>
              <w:rPr>
                <w:rFonts w:hint="eastAsia" w:ascii="Times New Roman" w:hAnsi="Times New Roman" w:eastAsia="宋体" w:cs="Times New Roman"/>
                <w:color w:val="000000" w:themeColor="text1"/>
                <w:u w:val="single" w:color="auto"/>
                <w:lang w:eastAsia="zh-CN"/>
                <w14:textFill>
                  <w14:solidFill>
                    <w14:schemeClr w14:val="tx1"/>
                  </w14:solidFill>
                </w14:textFill>
              </w:rPr>
            </w:pPr>
            <w:r>
              <w:rPr>
                <w:rFonts w:hint="eastAsia" w:ascii="Times New Roman" w:hAnsi="Times New Roman" w:eastAsia="宋体" w:cs="Times New Roman"/>
                <w:color w:val="000000" w:themeColor="text1"/>
                <w:u w:val="single" w:color="auto"/>
                <w:lang w:eastAsia="zh-CN"/>
                <w14:textFill>
                  <w14:solidFill>
                    <w14:schemeClr w14:val="tx1"/>
                  </w14:solidFill>
                </w14:textFill>
              </w:rPr>
              <w:t>根据前文分析，锅炉排污水和软水制备浓水产生量为</w:t>
            </w:r>
            <w:r>
              <w:rPr>
                <w:rFonts w:hint="eastAsia"/>
                <w:color w:val="000000" w:themeColor="text1"/>
                <w:u w:val="single" w:color="auto"/>
                <w:lang w:val="en-US" w:eastAsia="zh-CN"/>
                <w14:textFill>
                  <w14:solidFill>
                    <w14:schemeClr w14:val="tx1"/>
                  </w14:solidFill>
                </w14:textFill>
              </w:rPr>
              <w:t>124.6</w:t>
            </w:r>
            <w:r>
              <w:rPr>
                <w:rFonts w:hint="eastAsia"/>
                <w:color w:val="000000" w:themeColor="text1"/>
                <w:u w:val="single" w:color="auto"/>
                <w14:textFill>
                  <w14:solidFill>
                    <w14:schemeClr w14:val="tx1"/>
                  </w14:solidFill>
                </w14:textFill>
              </w:rPr>
              <w:t>m</w:t>
            </w:r>
            <w:r>
              <w:rPr>
                <w:rFonts w:hint="eastAsia"/>
                <w:color w:val="000000" w:themeColor="text1"/>
                <w:u w:val="single" w:color="auto"/>
                <w:vertAlign w:val="superscript"/>
                <w14:textFill>
                  <w14:solidFill>
                    <w14:schemeClr w14:val="tx1"/>
                  </w14:solidFill>
                </w14:textFill>
              </w:rPr>
              <w:t>3</w:t>
            </w:r>
            <w:r>
              <w:rPr>
                <w:rFonts w:hint="eastAsia"/>
                <w:color w:val="000000" w:themeColor="text1"/>
                <w:u w:val="single" w:color="auto"/>
                <w14:textFill>
                  <w14:solidFill>
                    <w14:schemeClr w14:val="tx1"/>
                  </w14:solidFill>
                </w14:textFill>
              </w:rPr>
              <w:t>/a</w:t>
            </w:r>
            <w:r>
              <w:rPr>
                <w:rFonts w:hint="eastAsia"/>
                <w:color w:val="000000" w:themeColor="text1"/>
                <w:u w:val="single" w:color="auto"/>
                <w:lang w:eastAsia="zh-CN"/>
                <w14:textFill>
                  <w14:solidFill>
                    <w14:schemeClr w14:val="tx1"/>
                  </w14:solidFill>
                </w14:textFill>
              </w:rPr>
              <w:t>（</w:t>
            </w:r>
            <w:r>
              <w:rPr>
                <w:rFonts w:hint="eastAsia"/>
                <w:color w:val="000000" w:themeColor="text1"/>
                <w:u w:val="single" w:color="auto"/>
                <w:lang w:val="en-US" w:eastAsia="zh-CN"/>
                <w14:textFill>
                  <w14:solidFill>
                    <w14:schemeClr w14:val="tx1"/>
                  </w14:solidFill>
                </w14:textFill>
              </w:rPr>
              <w:t>0.779</w:t>
            </w:r>
            <w:r>
              <w:rPr>
                <w:rFonts w:hint="eastAsia"/>
                <w:color w:val="000000" w:themeColor="text1"/>
                <w:u w:val="single" w:color="auto"/>
                <w14:textFill>
                  <w14:solidFill>
                    <w14:schemeClr w14:val="tx1"/>
                  </w14:solidFill>
                </w14:textFill>
              </w:rPr>
              <w:t>m</w:t>
            </w:r>
            <w:r>
              <w:rPr>
                <w:rFonts w:hint="eastAsia"/>
                <w:color w:val="000000" w:themeColor="text1"/>
                <w:u w:val="single" w:color="auto"/>
                <w:vertAlign w:val="superscript"/>
                <w14:textFill>
                  <w14:solidFill>
                    <w14:schemeClr w14:val="tx1"/>
                  </w14:solidFill>
                </w14:textFill>
              </w:rPr>
              <w:t>3</w:t>
            </w:r>
            <w:r>
              <w:rPr>
                <w:rFonts w:hint="eastAsia"/>
                <w:color w:val="000000" w:themeColor="text1"/>
                <w:u w:val="single" w:color="auto"/>
                <w14:textFill>
                  <w14:solidFill>
                    <w14:schemeClr w14:val="tx1"/>
                  </w14:solidFill>
                </w14:textFill>
              </w:rPr>
              <w:t>/</w:t>
            </w:r>
            <w:r>
              <w:rPr>
                <w:rFonts w:hint="eastAsia"/>
                <w:color w:val="000000" w:themeColor="text1"/>
                <w:u w:val="single" w:color="auto"/>
                <w:lang w:val="en-US" w:eastAsia="zh-CN"/>
                <w14:textFill>
                  <w14:solidFill>
                    <w14:schemeClr w14:val="tx1"/>
                  </w14:solidFill>
                </w14:textFill>
              </w:rPr>
              <w:t>d</w:t>
            </w:r>
            <w:r>
              <w:rPr>
                <w:rFonts w:hint="eastAsia"/>
                <w:color w:val="000000" w:themeColor="text1"/>
                <w:u w:val="single" w:color="auto"/>
                <w:lang w:eastAsia="zh-CN"/>
                <w14:textFill>
                  <w14:solidFill>
                    <w14:schemeClr w14:val="tx1"/>
                  </w14:solidFill>
                </w14:textFill>
              </w:rPr>
              <w:t>）</w:t>
            </w:r>
            <w:r>
              <w:rPr>
                <w:rFonts w:hint="eastAsia" w:ascii="Times New Roman" w:hAnsi="Times New Roman" w:eastAsia="宋体" w:cs="Times New Roman"/>
                <w:color w:val="000000" w:themeColor="text1"/>
                <w:u w:val="single" w:color="auto"/>
                <w:lang w:eastAsia="zh-CN"/>
                <w14:textFill>
                  <w14:solidFill>
                    <w14:schemeClr w14:val="tx1"/>
                  </w14:solidFill>
                </w14:textFill>
              </w:rPr>
              <w:t>，污染物因子COD、SS、Ca</w:t>
            </w:r>
            <w:r>
              <w:rPr>
                <w:rFonts w:hint="eastAsia" w:ascii="Times New Roman" w:hAnsi="Times New Roman" w:eastAsia="宋体" w:cs="Times New Roman"/>
                <w:color w:val="000000" w:themeColor="text1"/>
                <w:u w:val="single" w:color="auto"/>
                <w:vertAlign w:val="superscript"/>
                <w:lang w:eastAsia="zh-CN"/>
                <w14:textFill>
                  <w14:solidFill>
                    <w14:schemeClr w14:val="tx1"/>
                  </w14:solidFill>
                </w14:textFill>
              </w:rPr>
              <w:t>2</w:t>
            </w:r>
            <w:r>
              <w:rPr>
                <w:rFonts w:hint="eastAsia" w:ascii="Times New Roman" w:hAnsi="Times New Roman" w:eastAsia="宋体" w:cs="Times New Roman"/>
                <w:color w:val="000000" w:themeColor="text1"/>
                <w:u w:val="single" w:color="auto"/>
                <w:vertAlign w:val="superscript"/>
                <w:lang w:val="en-US" w:eastAsia="zh-CN"/>
                <w14:textFill>
                  <w14:solidFill>
                    <w14:schemeClr w14:val="tx1"/>
                  </w14:solidFill>
                </w14:textFill>
              </w:rPr>
              <w:t>+</w:t>
            </w:r>
            <w:r>
              <w:rPr>
                <w:rFonts w:hint="eastAsia" w:ascii="Times New Roman" w:hAnsi="Times New Roman" w:eastAsia="宋体" w:cs="Times New Roman"/>
                <w:color w:val="000000" w:themeColor="text1"/>
                <w:u w:val="single" w:color="auto"/>
                <w:lang w:eastAsia="zh-CN"/>
                <w14:textFill>
                  <w14:solidFill>
                    <w14:schemeClr w14:val="tx1"/>
                  </w14:solidFill>
                </w14:textFill>
              </w:rPr>
              <w:t>、Mg</w:t>
            </w:r>
            <w:r>
              <w:rPr>
                <w:rFonts w:hint="eastAsia" w:ascii="Times New Roman" w:hAnsi="Times New Roman" w:eastAsia="宋体" w:cs="Times New Roman"/>
                <w:color w:val="000000" w:themeColor="text1"/>
                <w:u w:val="single" w:color="auto"/>
                <w:vertAlign w:val="superscript"/>
                <w:lang w:eastAsia="zh-CN"/>
                <w14:textFill>
                  <w14:solidFill>
                    <w14:schemeClr w14:val="tx1"/>
                  </w14:solidFill>
                </w14:textFill>
              </w:rPr>
              <w:t>2</w:t>
            </w:r>
            <w:r>
              <w:rPr>
                <w:rFonts w:hint="eastAsia" w:ascii="Times New Roman" w:hAnsi="Times New Roman" w:eastAsia="宋体" w:cs="Times New Roman"/>
                <w:color w:val="000000" w:themeColor="text1"/>
                <w:u w:val="single" w:color="auto"/>
                <w:vertAlign w:val="superscript"/>
                <w:lang w:val="en-US" w:eastAsia="zh-CN"/>
                <w14:textFill>
                  <w14:solidFill>
                    <w14:schemeClr w14:val="tx1"/>
                  </w14:solidFill>
                </w14:textFill>
              </w:rPr>
              <w:t>+</w:t>
            </w:r>
            <w:r>
              <w:rPr>
                <w:rFonts w:hint="eastAsia" w:ascii="Times New Roman" w:hAnsi="Times New Roman" w:eastAsia="宋体" w:cs="Times New Roman"/>
                <w:color w:val="000000" w:themeColor="text1"/>
                <w:u w:val="single" w:color="auto"/>
                <w:lang w:eastAsia="zh-CN"/>
                <w14:textFill>
                  <w14:solidFill>
                    <w14:schemeClr w14:val="tx1"/>
                  </w14:solidFill>
                </w14:textFill>
              </w:rPr>
              <w:t>，全部回用于水膜除尘补充用水，不外排。</w:t>
            </w:r>
          </w:p>
          <w:p w14:paraId="7A3D8CB3">
            <w:pPr>
              <w:pStyle w:val="35"/>
              <w:ind w:firstLine="480"/>
              <w:rPr>
                <w:rFonts w:hint="eastAsia" w:ascii="Times New Roman" w:hAnsi="Times New Roman" w:eastAsia="宋体" w:cs="Times New Roman"/>
                <w:color w:val="000000" w:themeColor="text1"/>
                <w:u w:val="single" w:color="auto"/>
                <w:lang w:eastAsia="zh-CN"/>
                <w14:textFill>
                  <w14:solidFill>
                    <w14:schemeClr w14:val="tx1"/>
                  </w14:solidFill>
                </w14:textFill>
              </w:rPr>
            </w:pPr>
            <w:r>
              <w:rPr>
                <w:rFonts w:hint="eastAsia" w:ascii="Times New Roman" w:hAnsi="Times New Roman" w:eastAsia="宋体" w:cs="Times New Roman"/>
                <w:color w:val="000000" w:themeColor="text1"/>
                <w:u w:val="single" w:color="auto"/>
                <w:lang w:val="en-US" w:eastAsia="zh-CN"/>
                <w14:textFill>
                  <w14:solidFill>
                    <w14:schemeClr w14:val="tx1"/>
                  </w14:solidFill>
                </w14:textFill>
              </w:rPr>
              <w:t>3</w:t>
            </w:r>
            <w:r>
              <w:rPr>
                <w:rFonts w:hint="eastAsia" w:ascii="Times New Roman" w:hAnsi="Times New Roman" w:eastAsia="宋体" w:cs="Times New Roman"/>
                <w:color w:val="000000" w:themeColor="text1"/>
                <w:u w:val="single" w:color="auto"/>
                <w:lang w:eastAsia="zh-CN"/>
                <w14:textFill>
                  <w14:solidFill>
                    <w14:schemeClr w14:val="tx1"/>
                  </w14:solidFill>
                </w14:textFill>
              </w:rPr>
              <w:t>）</w:t>
            </w:r>
            <w:r>
              <w:rPr>
                <w:rFonts w:hint="eastAsia"/>
                <w:color w:val="000000" w:themeColor="text1"/>
                <w:u w:val="single" w:color="auto"/>
                <w:lang w:val="en-US" w:eastAsia="zh-CN"/>
                <w14:textFill>
                  <w14:solidFill>
                    <w14:schemeClr w14:val="tx1"/>
                  </w14:solidFill>
                </w14:textFill>
              </w:rPr>
              <w:t>蒸汽杀菌锅冷凝水</w:t>
            </w:r>
          </w:p>
          <w:p w14:paraId="6FC795A3">
            <w:pPr>
              <w:pStyle w:val="35"/>
              <w:ind w:firstLine="480"/>
              <w:rPr>
                <w:rFonts w:hint="eastAsia" w:ascii="Times New Roman" w:hAnsi="Times New Roman" w:eastAsia="宋体" w:cs="Times New Roman"/>
                <w:color w:val="000000" w:themeColor="text1"/>
                <w:u w:val="single" w:color="auto"/>
                <w:lang w:eastAsia="zh-CN"/>
                <w14:textFill>
                  <w14:solidFill>
                    <w14:schemeClr w14:val="tx1"/>
                  </w14:solidFill>
                </w14:textFill>
              </w:rPr>
            </w:pPr>
            <w:r>
              <w:rPr>
                <w:rFonts w:hint="eastAsia" w:ascii="Times New Roman" w:hAnsi="Times New Roman" w:eastAsia="宋体" w:cs="Times New Roman"/>
                <w:color w:val="000000" w:themeColor="text1"/>
                <w:u w:val="single" w:color="auto"/>
                <w:lang w:eastAsia="zh-CN"/>
                <w14:textFill>
                  <w14:solidFill>
                    <w14:schemeClr w14:val="tx1"/>
                  </w14:solidFill>
                </w14:textFill>
              </w:rPr>
              <w:t>根据前文分析，</w:t>
            </w:r>
            <w:r>
              <w:rPr>
                <w:rFonts w:hint="eastAsia"/>
                <w:color w:val="000000" w:themeColor="text1"/>
                <w:u w:val="single" w:color="auto"/>
                <w:lang w:val="en-US" w:eastAsia="zh-CN"/>
                <w14:textFill>
                  <w14:solidFill>
                    <w14:schemeClr w14:val="tx1"/>
                  </w14:solidFill>
                </w14:textFill>
              </w:rPr>
              <w:t>蒸汽杀菌锅蒸汽冷凝水量为2.75t/d（440t/a）</w:t>
            </w:r>
            <w:r>
              <w:rPr>
                <w:rFonts w:hint="eastAsia" w:ascii="Times New Roman" w:hAnsi="Times New Roman" w:eastAsia="宋体" w:cs="Times New Roman"/>
                <w:color w:val="000000" w:themeColor="text1"/>
                <w:u w:val="single" w:color="auto"/>
                <w:lang w:eastAsia="zh-CN"/>
                <w14:textFill>
                  <w14:solidFill>
                    <w14:schemeClr w14:val="tx1"/>
                  </w14:solidFill>
                </w14:textFill>
              </w:rPr>
              <w:t>，主要污染因子为SS，</w:t>
            </w:r>
            <w:r>
              <w:rPr>
                <w:rFonts w:hint="eastAsia"/>
                <w:color w:val="000000" w:themeColor="text1"/>
                <w:u w:val="single" w:color="auto"/>
                <w:lang w:val="en-US" w:eastAsia="zh-CN"/>
                <w14:textFill>
                  <w14:solidFill>
                    <w14:schemeClr w14:val="tx1"/>
                  </w14:solidFill>
                </w14:textFill>
              </w:rPr>
              <w:t>收集后部分用于水膜除尘补充用水，部分用于厂区洒水降尘</w:t>
            </w:r>
            <w:r>
              <w:rPr>
                <w:rFonts w:hint="eastAsia" w:ascii="Times New Roman" w:hAnsi="Times New Roman" w:eastAsia="宋体" w:cs="Times New Roman"/>
                <w:color w:val="000000" w:themeColor="text1"/>
                <w:u w:val="single" w:color="auto"/>
                <w:lang w:eastAsia="zh-CN"/>
                <w14:textFill>
                  <w14:solidFill>
                    <w14:schemeClr w14:val="tx1"/>
                  </w14:solidFill>
                </w14:textFill>
              </w:rPr>
              <w:t>。</w:t>
            </w:r>
          </w:p>
          <w:p w14:paraId="7F7F7312">
            <w:pPr>
              <w:pStyle w:val="35"/>
              <w:ind w:firstLine="480"/>
              <w:rPr>
                <w:rFonts w:hint="default" w:eastAsia="宋体"/>
                <w:color w:val="000000" w:themeColor="text1"/>
                <w:u w:val="single" w:color="auto"/>
                <w:lang w:val="en-US" w:eastAsia="zh-CN"/>
                <w14:textFill>
                  <w14:solidFill>
                    <w14:schemeClr w14:val="tx1"/>
                  </w14:solidFill>
                </w14:textFill>
              </w:rPr>
            </w:pPr>
            <w:r>
              <w:rPr>
                <w:rFonts w:hint="eastAsia"/>
                <w:color w:val="000000" w:themeColor="text1"/>
                <w:u w:val="single" w:color="auto"/>
                <w:lang w:eastAsia="zh-CN"/>
                <w14:textFill>
                  <w14:solidFill>
                    <w14:schemeClr w14:val="tx1"/>
                  </w14:solidFill>
                </w14:textFill>
              </w:rPr>
              <w:t>（</w:t>
            </w:r>
            <w:r>
              <w:rPr>
                <w:rFonts w:hint="eastAsia"/>
                <w:color w:val="000000" w:themeColor="text1"/>
                <w:u w:val="single" w:color="auto"/>
                <w:lang w:val="en-US" w:eastAsia="zh-CN"/>
                <w14:textFill>
                  <w14:solidFill>
                    <w14:schemeClr w14:val="tx1"/>
                  </w14:solidFill>
                </w14:textFill>
              </w:rPr>
              <w:t>2</w:t>
            </w:r>
            <w:r>
              <w:rPr>
                <w:rFonts w:hint="eastAsia"/>
                <w:color w:val="000000" w:themeColor="text1"/>
                <w:u w:val="single" w:color="auto"/>
                <w:lang w:eastAsia="zh-CN"/>
                <w14:textFill>
                  <w14:solidFill>
                    <w14:schemeClr w14:val="tx1"/>
                  </w14:solidFill>
                </w14:textFill>
              </w:rPr>
              <w:t>）</w:t>
            </w:r>
            <w:r>
              <w:rPr>
                <w:rFonts w:hint="eastAsia"/>
                <w:color w:val="000000" w:themeColor="text1"/>
                <w:u w:val="single" w:color="auto"/>
                <w:lang w:val="en-US" w:eastAsia="zh-CN"/>
                <w14:textFill>
                  <w14:solidFill>
                    <w14:schemeClr w14:val="tx1"/>
                  </w14:solidFill>
                </w14:textFill>
              </w:rPr>
              <w:t>废水处理设施可行性分析</w:t>
            </w:r>
          </w:p>
          <w:p w14:paraId="12E32224">
            <w:pPr>
              <w:pStyle w:val="35"/>
              <w:ind w:firstLine="480"/>
              <w:rPr>
                <w:rFonts w:hint="eastAsia"/>
                <w:color w:val="000000" w:themeColor="text1"/>
                <w:u w:val="single" w:color="auto"/>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①</w:t>
            </w:r>
            <w:r>
              <w:rPr>
                <w:rFonts w:hint="eastAsia"/>
                <w:color w:val="000000" w:themeColor="text1"/>
                <w:u w:val="single" w:color="auto"/>
                <w14:textFill>
                  <w14:solidFill>
                    <w14:schemeClr w14:val="tx1"/>
                  </w14:solidFill>
                </w14:textFill>
              </w:rPr>
              <w:t>生活污水</w:t>
            </w:r>
          </w:p>
          <w:p w14:paraId="3D7C3CD7">
            <w:pPr>
              <w:pStyle w:val="35"/>
              <w:ind w:firstLine="480"/>
              <w:rPr>
                <w:rFonts w:hint="eastAsia"/>
                <w:color w:val="000000" w:themeColor="text1"/>
                <w:u w:val="single" w:color="auto"/>
                <w14:textFill>
                  <w14:solidFill>
                    <w14:schemeClr w14:val="tx1"/>
                  </w14:solidFill>
                </w14:textFill>
              </w:rPr>
            </w:pPr>
            <w:r>
              <w:rPr>
                <w:rFonts w:hint="eastAsia"/>
                <w:color w:val="000000" w:themeColor="text1"/>
                <w:u w:val="single" w:color="auto"/>
                <w14:textFill>
                  <w14:solidFill>
                    <w14:schemeClr w14:val="tx1"/>
                  </w14:solidFill>
                </w14:textFill>
              </w:rPr>
              <w:t>化粪池是一种利用沉淀和厌氧发酵的原理，去除生活污水中悬浮性有机物的处理设施。生活污水中含有大量粪便、纸屑、病原虫，悬浮物，根据《化粪池污水处理能力研究及其评价》</w:t>
            </w:r>
            <w:r>
              <w:rPr>
                <w:rFonts w:hint="eastAsia"/>
                <w:color w:val="000000" w:themeColor="text1"/>
                <w:u w:val="single" w:color="auto"/>
                <w:lang w:eastAsia="zh-CN"/>
                <w14:textFill>
                  <w14:solidFill>
                    <w14:schemeClr w14:val="tx1"/>
                  </w14:solidFill>
                </w14:textFill>
              </w:rPr>
              <w:t>（</w:t>
            </w:r>
            <w:r>
              <w:rPr>
                <w:rFonts w:hint="eastAsia"/>
                <w:color w:val="000000" w:themeColor="text1"/>
                <w:u w:val="single" w:color="auto"/>
                <w14:textFill>
                  <w14:solidFill>
                    <w14:schemeClr w14:val="tx1"/>
                  </w14:solidFill>
                </w14:textFill>
              </w:rPr>
              <w:t>兰州交通大学学报</w:t>
            </w:r>
            <w:r>
              <w:rPr>
                <w:rFonts w:hint="eastAsia"/>
                <w:color w:val="000000" w:themeColor="text1"/>
                <w:u w:val="single" w:color="auto"/>
                <w:lang w:eastAsia="zh-CN"/>
                <w14:textFill>
                  <w14:solidFill>
                    <w14:schemeClr w14:val="tx1"/>
                  </w14:solidFill>
                </w14:textFill>
              </w:rPr>
              <w:t>）</w:t>
            </w:r>
            <w:r>
              <w:rPr>
                <w:rFonts w:hint="eastAsia"/>
                <w:color w:val="000000" w:themeColor="text1"/>
                <w:u w:val="single" w:color="auto"/>
                <w14:textFill>
                  <w14:solidFill>
                    <w14:schemeClr w14:val="tx1"/>
                  </w14:solidFill>
                </w14:textFill>
              </w:rPr>
              <w:t>污水进入化粪池经过12-24h的沉淀，可去除50%-60%的悬浮物、厌氧消化分解COD25%以上，最高可达到86%。沉淀下来的污泥经过3个月以上的厌氧消化，使污泥中的有机物分解成稳定的无机物，易腐败的生污泥转化为稳定的熟污泥，改变了污泥的结构，降低了污泥的含水率。隔油池的核心功能是分离污水中的油脂</w:t>
            </w:r>
            <w:r>
              <w:rPr>
                <w:rFonts w:hint="eastAsia"/>
                <w:color w:val="000000" w:themeColor="text1"/>
                <w:u w:val="single" w:color="auto"/>
                <w:lang w:eastAsia="zh-CN"/>
                <w14:textFill>
                  <w14:solidFill>
                    <w14:schemeClr w14:val="tx1"/>
                  </w14:solidFill>
                </w14:textFill>
              </w:rPr>
              <w:t>（</w:t>
            </w:r>
            <w:r>
              <w:rPr>
                <w:rFonts w:hint="eastAsia"/>
                <w:color w:val="000000" w:themeColor="text1"/>
                <w:u w:val="single" w:color="auto"/>
                <w14:textFill>
                  <w14:solidFill>
                    <w14:schemeClr w14:val="tx1"/>
                  </w14:solidFill>
                </w14:textFill>
              </w:rPr>
              <w:t>主要是浮油和部分分散油</w:t>
            </w:r>
            <w:r>
              <w:rPr>
                <w:rFonts w:hint="eastAsia"/>
                <w:color w:val="000000" w:themeColor="text1"/>
                <w:u w:val="single" w:color="auto"/>
                <w:lang w:eastAsia="zh-CN"/>
                <w14:textFill>
                  <w14:solidFill>
                    <w14:schemeClr w14:val="tx1"/>
                  </w14:solidFill>
                </w14:textFill>
              </w:rPr>
              <w:t>）</w:t>
            </w:r>
            <w:r>
              <w:rPr>
                <w:rFonts w:hint="eastAsia"/>
                <w:color w:val="000000" w:themeColor="text1"/>
                <w:u w:val="single" w:color="auto"/>
                <w14:textFill>
                  <w14:solidFill>
                    <w14:schemeClr w14:val="tx1"/>
                  </w14:solidFill>
                </w14:textFill>
              </w:rPr>
              <w:t>，其去除原理以物理重力分离为核心，结合水流状态控制和结构设计，实现油、水、固体杂质的分层分离。</w:t>
            </w:r>
          </w:p>
          <w:p w14:paraId="71BC68B7">
            <w:pPr>
              <w:pStyle w:val="35"/>
              <w:ind w:firstLine="480"/>
              <w:rPr>
                <w:rFonts w:hint="eastAsia"/>
                <w:color w:val="000000" w:themeColor="text1"/>
                <w:u w:val="single" w:color="auto"/>
                <w14:textFill>
                  <w14:solidFill>
                    <w14:schemeClr w14:val="tx1"/>
                  </w14:solidFill>
                </w14:textFill>
              </w:rPr>
            </w:pPr>
            <w:r>
              <w:rPr>
                <w:rFonts w:hint="eastAsia"/>
                <w:color w:val="000000" w:themeColor="text1"/>
                <w:u w:val="single" w:color="auto"/>
                <w14:textFill>
                  <w14:solidFill>
                    <w14:schemeClr w14:val="tx1"/>
                  </w14:solidFill>
                </w14:textFill>
              </w:rPr>
              <w:t>生活污水经化粪池预处理属于常用处理工艺，本项目生活污水处理措施可行。</w:t>
            </w:r>
          </w:p>
          <w:p w14:paraId="5064E711">
            <w:pPr>
              <w:pStyle w:val="35"/>
              <w:ind w:firstLine="480"/>
              <w:rPr>
                <w:rFonts w:hint="default"/>
                <w:color w:val="000000" w:themeColor="text1"/>
                <w:u w:val="single" w:color="auto"/>
                <w:lang w:val="en-US"/>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②</w:t>
            </w:r>
            <w:r>
              <w:rPr>
                <w:rFonts w:hint="eastAsia"/>
                <w:color w:val="000000" w:themeColor="text1"/>
                <w:u w:val="single" w:color="auto"/>
                <w14:textFill>
                  <w14:solidFill>
                    <w14:schemeClr w14:val="tx1"/>
                  </w14:solidFill>
                </w14:textFill>
              </w:rPr>
              <w:t>锅炉</w:t>
            </w:r>
            <w:r>
              <w:rPr>
                <w:rFonts w:hint="eastAsia"/>
                <w:color w:val="000000" w:themeColor="text1"/>
                <w:u w:val="single" w:color="auto"/>
                <w:lang w:val="en-US" w:eastAsia="zh-CN"/>
                <w14:textFill>
                  <w14:solidFill>
                    <w14:schemeClr w14:val="tx1"/>
                  </w14:solidFill>
                </w14:textFill>
              </w:rPr>
              <w:t>排污水</w:t>
            </w:r>
          </w:p>
          <w:p w14:paraId="4614A25E">
            <w:pPr>
              <w:pStyle w:val="35"/>
              <w:ind w:firstLine="480"/>
              <w:rPr>
                <w:rFonts w:hint="eastAsia"/>
                <w:color w:val="000000" w:themeColor="text1"/>
                <w:u w:val="single" w:color="auto"/>
                <w14:textFill>
                  <w14:solidFill>
                    <w14:schemeClr w14:val="tx1"/>
                  </w14:solidFill>
                </w14:textFill>
              </w:rPr>
            </w:pPr>
            <w:r>
              <w:rPr>
                <w:rFonts w:hint="eastAsia"/>
                <w:color w:val="000000" w:themeColor="text1"/>
                <w:u w:val="single" w:color="auto"/>
                <w14:textFill>
                  <w14:solidFill>
                    <w14:schemeClr w14:val="tx1"/>
                  </w14:solidFill>
                </w14:textFill>
              </w:rPr>
              <w:t>本项目锅炉排污水和软水制备浓水的产生量为</w:t>
            </w:r>
            <w:r>
              <w:rPr>
                <w:rFonts w:hint="eastAsia"/>
                <w:color w:val="000000" w:themeColor="text1"/>
                <w:u w:val="single" w:color="auto"/>
                <w:lang w:val="en-US" w:eastAsia="zh-CN"/>
                <w14:textFill>
                  <w14:solidFill>
                    <w14:schemeClr w14:val="tx1"/>
                  </w14:solidFill>
                </w14:textFill>
              </w:rPr>
              <w:t>0.779</w:t>
            </w:r>
            <w:r>
              <w:rPr>
                <w:rFonts w:hint="eastAsia"/>
                <w:color w:val="000000" w:themeColor="text1"/>
                <w:u w:val="single" w:color="auto"/>
                <w14:textFill>
                  <w14:solidFill>
                    <w14:schemeClr w14:val="tx1"/>
                  </w14:solidFill>
                </w14:textFill>
              </w:rPr>
              <w:t>m</w:t>
            </w:r>
            <w:r>
              <w:rPr>
                <w:rFonts w:hint="eastAsia"/>
                <w:color w:val="000000" w:themeColor="text1"/>
                <w:u w:val="single" w:color="auto"/>
                <w:vertAlign w:val="superscript"/>
                <w14:textFill>
                  <w14:solidFill>
                    <w14:schemeClr w14:val="tx1"/>
                  </w14:solidFill>
                </w14:textFill>
              </w:rPr>
              <w:t>3</w:t>
            </w:r>
            <w:r>
              <w:rPr>
                <w:rFonts w:hint="eastAsia"/>
                <w:color w:val="000000" w:themeColor="text1"/>
                <w:u w:val="single" w:color="auto"/>
                <w14:textFill>
                  <w14:solidFill>
                    <w14:schemeClr w14:val="tx1"/>
                  </w14:solidFill>
                </w14:textFill>
              </w:rPr>
              <w:t>/d，水膜除尘器补充用水</w:t>
            </w:r>
            <w:r>
              <w:rPr>
                <w:rFonts w:hint="eastAsia"/>
                <w:color w:val="000000" w:themeColor="text1"/>
                <w:u w:val="single" w:color="auto"/>
                <w:lang w:val="en-US" w:eastAsia="zh-CN"/>
                <w14:textFill>
                  <w14:solidFill>
                    <w14:schemeClr w14:val="tx1"/>
                  </w14:solidFill>
                </w14:textFill>
              </w:rPr>
              <w:t>为</w:t>
            </w:r>
            <w:r>
              <w:rPr>
                <w:rFonts w:hint="eastAsia"/>
                <w:color w:val="000000" w:themeColor="text1"/>
                <w:u w:val="single" w:color="auto"/>
                <w14:textFill>
                  <w14:solidFill>
                    <w14:schemeClr w14:val="tx1"/>
                  </w14:solidFill>
                </w14:textFill>
              </w:rPr>
              <w:t>2.25m</w:t>
            </w:r>
            <w:r>
              <w:rPr>
                <w:rFonts w:hint="eastAsia"/>
                <w:color w:val="000000" w:themeColor="text1"/>
                <w:u w:val="single" w:color="auto"/>
                <w:vertAlign w:val="superscript"/>
                <w:lang w:val="en-US" w:eastAsia="zh-CN"/>
                <w14:textFill>
                  <w14:solidFill>
                    <w14:schemeClr w14:val="tx1"/>
                  </w14:solidFill>
                </w14:textFill>
              </w:rPr>
              <w:t>3</w:t>
            </w:r>
            <w:r>
              <w:rPr>
                <w:rFonts w:hint="eastAsia"/>
                <w:color w:val="000000" w:themeColor="text1"/>
                <w:u w:val="single" w:color="auto"/>
                <w14:textFill>
                  <w14:solidFill>
                    <w14:schemeClr w14:val="tx1"/>
                  </w14:solidFill>
                </w14:textFill>
              </w:rPr>
              <w:t>/d，因此锅炉排污水和软水制备浓水经收集后满足水膜除尘器补充用水量。同时，锅炉排污水和软水制备浓水成分较简单，主要污染物为SS、COD、Ca</w:t>
            </w:r>
            <w:r>
              <w:rPr>
                <w:rFonts w:hint="eastAsia"/>
                <w:color w:val="000000" w:themeColor="text1"/>
                <w:u w:val="single" w:color="auto"/>
                <w:vertAlign w:val="superscript"/>
                <w14:textFill>
                  <w14:solidFill>
                    <w14:schemeClr w14:val="tx1"/>
                  </w14:solidFill>
                </w14:textFill>
              </w:rPr>
              <w:t>2+</w:t>
            </w:r>
            <w:r>
              <w:rPr>
                <w:rFonts w:hint="eastAsia"/>
                <w:color w:val="000000" w:themeColor="text1"/>
                <w:u w:val="single" w:color="auto"/>
                <w14:textFill>
                  <w14:solidFill>
                    <w14:schemeClr w14:val="tx1"/>
                  </w14:solidFill>
                </w14:textFill>
              </w:rPr>
              <w:t>、Mg</w:t>
            </w:r>
            <w:r>
              <w:rPr>
                <w:rFonts w:hint="eastAsia"/>
                <w:color w:val="000000" w:themeColor="text1"/>
                <w:u w:val="single" w:color="auto"/>
                <w:vertAlign w:val="superscript"/>
                <w14:textFill>
                  <w14:solidFill>
                    <w14:schemeClr w14:val="tx1"/>
                  </w14:solidFill>
                </w14:textFill>
              </w:rPr>
              <w:t>2</w:t>
            </w:r>
            <w:r>
              <w:rPr>
                <w:rFonts w:hint="eastAsia"/>
                <w:color w:val="000000" w:themeColor="text1"/>
                <w:u w:val="single" w:color="auto"/>
                <w:vertAlign w:val="superscript"/>
                <w:lang w:val="en-US" w:eastAsia="zh-CN"/>
                <w14:textFill>
                  <w14:solidFill>
                    <w14:schemeClr w14:val="tx1"/>
                  </w14:solidFill>
                </w14:textFill>
              </w:rPr>
              <w:t>+</w:t>
            </w:r>
            <w:r>
              <w:rPr>
                <w:rFonts w:hint="eastAsia"/>
                <w:color w:val="000000" w:themeColor="text1"/>
                <w:u w:val="single" w:color="auto"/>
                <w14:textFill>
                  <w14:solidFill>
                    <w14:schemeClr w14:val="tx1"/>
                  </w14:solidFill>
                </w14:textFill>
              </w:rPr>
              <w:t>，水膜除尘补充用水对水质要求不高，锅炉排污水和软水制备浓水经收集后用于水膜除尘补充用水是可行的。</w:t>
            </w:r>
          </w:p>
          <w:p w14:paraId="756ABE76">
            <w:pPr>
              <w:pStyle w:val="35"/>
              <w:ind w:firstLine="480"/>
              <w:rPr>
                <w:rFonts w:hint="default" w:ascii="Times New Roman" w:hAnsi="Times New Roman" w:cs="Times New Roman"/>
                <w:color w:val="000000" w:themeColor="text1"/>
                <w:u w:val="single" w:color="auto"/>
                <w:lang w:val="en-US" w:eastAsia="zh-CN"/>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③蒸汽杀菌</w:t>
            </w:r>
            <w:r>
              <w:rPr>
                <w:rFonts w:hint="default" w:ascii="Times New Roman" w:hAnsi="Times New Roman" w:cs="Times New Roman"/>
                <w:color w:val="000000" w:themeColor="text1"/>
                <w:u w:val="single" w:color="auto"/>
                <w:lang w:val="en-US" w:eastAsia="zh-CN"/>
                <w14:textFill>
                  <w14:solidFill>
                    <w14:schemeClr w14:val="tx1"/>
                  </w14:solidFill>
                </w14:textFill>
              </w:rPr>
              <w:t>锅冷凝水</w:t>
            </w:r>
          </w:p>
          <w:p w14:paraId="662D27BB">
            <w:pPr>
              <w:pStyle w:val="35"/>
              <w:ind w:firstLine="480"/>
              <w:rPr>
                <w:rFonts w:hint="default" w:ascii="Times New Roman" w:hAnsi="Times New Roman" w:eastAsia="宋体" w:cs="Times New Roman"/>
                <w:color w:val="000000" w:themeColor="text1"/>
                <w:sz w:val="24"/>
                <w:szCs w:val="24"/>
                <w:u w:val="single" w:color="auto"/>
                <w14:textFill>
                  <w14:solidFill>
                    <w14:schemeClr w14:val="tx1"/>
                  </w14:solidFill>
                </w14:textFill>
              </w:rPr>
            </w:pPr>
            <w:r>
              <w:rPr>
                <w:rFonts w:hint="default" w:ascii="Times New Roman" w:hAnsi="Times New Roman" w:eastAsia="宋体" w:cs="Times New Roman"/>
                <w:color w:val="000000" w:themeColor="text1"/>
                <w:sz w:val="24"/>
                <w:szCs w:val="24"/>
                <w:u w:val="single" w:color="auto"/>
                <w14:textFill>
                  <w14:solidFill>
                    <w14:schemeClr w14:val="tx1"/>
                  </w14:solidFill>
                </w14:textFill>
              </w:rPr>
              <w:t>本项目蒸汽杀菌锅产生的冷凝水主要污染物为SS。水膜除尘系统补水、厂区洒水降尘对进水水质要求较低，该部分冷凝水经集中收集后可回用于上述工序，既能节约新鲜水消耗量，又能通过持续洒水抑尘有效削减厂区无组织粉尘排放。综上，蒸汽杀菌锅冷凝水回用至水膜除尘、厂区洒水降尘</w:t>
            </w:r>
            <w:r>
              <w:rPr>
                <w:rFonts w:hint="default" w:ascii="Times New Roman" w:hAnsi="Times New Roman" w:cs="Times New Roman"/>
                <w:color w:val="000000" w:themeColor="text1"/>
                <w:u w:val="single" w:color="auto"/>
                <w14:textFill>
                  <w14:solidFill>
                    <w14:schemeClr w14:val="tx1"/>
                  </w14:solidFill>
                </w14:textFill>
              </w:rPr>
              <w:t>是可行的</w:t>
            </w:r>
            <w:r>
              <w:rPr>
                <w:rFonts w:hint="default" w:ascii="Times New Roman" w:hAnsi="Times New Roman" w:eastAsia="宋体" w:cs="Times New Roman"/>
                <w:color w:val="000000" w:themeColor="text1"/>
                <w:sz w:val="24"/>
                <w:szCs w:val="24"/>
                <w:u w:val="single" w:color="auto"/>
                <w14:textFill>
                  <w14:solidFill>
                    <w14:schemeClr w14:val="tx1"/>
                  </w14:solidFill>
                </w14:textFill>
              </w:rPr>
              <w:t>。</w:t>
            </w:r>
          </w:p>
          <w:p w14:paraId="28F183C0">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（3）废水监测计划</w:t>
            </w:r>
          </w:p>
          <w:p w14:paraId="54581552">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本项目生活污水经化粪池处理后用于周边</w:t>
            </w:r>
            <w:r>
              <w:rPr>
                <w:rFonts w:hint="eastAsia"/>
                <w:color w:val="000000" w:themeColor="text1"/>
                <w:u w:val="none" w:color="auto"/>
                <w:lang w:val="en-US" w:eastAsia="zh-CN"/>
                <w14:textFill>
                  <w14:solidFill>
                    <w14:schemeClr w14:val="tx1"/>
                  </w14:solidFill>
                </w14:textFill>
              </w:rPr>
              <w:t>菜地</w:t>
            </w:r>
            <w:r>
              <w:rPr>
                <w:rFonts w:hint="eastAsia"/>
                <w:color w:val="000000" w:themeColor="text1"/>
                <w:u w:val="none" w:color="auto"/>
                <w14:textFill>
                  <w14:solidFill>
                    <w14:schemeClr w14:val="tx1"/>
                  </w14:solidFill>
                </w14:textFill>
              </w:rPr>
              <w:t>施肥，不外排</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14:textFill>
                  <w14:solidFill>
                    <w14:schemeClr w14:val="tx1"/>
                  </w14:solidFill>
                </w14:textFill>
              </w:rPr>
              <w:t>锅炉排污水和软水制备废水</w:t>
            </w:r>
            <w:r>
              <w:rPr>
                <w:rFonts w:hint="eastAsia"/>
                <w:color w:val="000000" w:themeColor="text1"/>
                <w:u w:val="none" w:color="auto"/>
                <w:lang w:val="en-US" w:eastAsia="zh-CN"/>
                <w14:textFill>
                  <w14:solidFill>
                    <w14:schemeClr w14:val="tx1"/>
                  </w14:solidFill>
                </w14:textFill>
              </w:rPr>
              <w:t>收集后用于水膜除尘补充用水</w:t>
            </w:r>
            <w:r>
              <w:rPr>
                <w:rFonts w:hint="eastAsia"/>
                <w:color w:val="000000" w:themeColor="text1"/>
                <w:u w:val="none" w:color="auto"/>
                <w14:textFill>
                  <w14:solidFill>
                    <w14:schemeClr w14:val="tx1"/>
                  </w14:solidFill>
                </w14:textFill>
              </w:rPr>
              <w:t>，不外排</w:t>
            </w:r>
            <w:r>
              <w:rPr>
                <w:rFonts w:hint="eastAsia"/>
                <w:color w:val="000000" w:themeColor="text1"/>
                <w:u w:val="none" w:color="auto"/>
                <w:lang w:val="en-US" w:eastAsia="zh-CN"/>
                <w14:textFill>
                  <w14:solidFill>
                    <w14:schemeClr w14:val="tx1"/>
                  </w14:solidFill>
                </w14:textFill>
              </w:rPr>
              <w:t>；蒸汽杀菌锅冷凝水收集后部分用于水膜除尘补充用水，部分用于厂区洒水降尘</w:t>
            </w:r>
            <w:r>
              <w:rPr>
                <w:rFonts w:hint="eastAsia"/>
                <w:color w:val="000000" w:themeColor="text1"/>
                <w:u w:val="none" w:color="auto"/>
                <w14:textFill>
                  <w14:solidFill>
                    <w14:schemeClr w14:val="tx1"/>
                  </w14:solidFill>
                </w14:textFill>
              </w:rPr>
              <w:t>，不外排</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14:textFill>
                  <w14:solidFill>
                    <w14:schemeClr w14:val="tx1"/>
                  </w14:solidFill>
                </w14:textFill>
              </w:rPr>
              <w:t>原则上可不进行自行监测。</w:t>
            </w:r>
          </w:p>
          <w:p w14:paraId="5236C9F2">
            <w:pPr>
              <w:pStyle w:val="35"/>
              <w:ind w:firstLine="480"/>
              <w:rPr>
                <w:b/>
                <w:bCs/>
                <w:color w:val="000000" w:themeColor="text1"/>
                <w:u w:val="none" w:color="auto"/>
                <w14:textFill>
                  <w14:solidFill>
                    <w14:schemeClr w14:val="tx1"/>
                  </w14:solidFill>
                </w14:textFill>
              </w:rPr>
            </w:pPr>
            <w:r>
              <w:rPr>
                <w:rFonts w:hint="eastAsia"/>
                <w:b/>
                <w:bCs/>
                <w:color w:val="000000" w:themeColor="text1"/>
                <w:u w:val="none" w:color="auto"/>
                <w14:textFill>
                  <w14:solidFill>
                    <w14:schemeClr w14:val="tx1"/>
                  </w14:solidFill>
                </w14:textFill>
              </w:rPr>
              <w:t>3、噪声</w:t>
            </w:r>
          </w:p>
          <w:p w14:paraId="1AEE3CFB">
            <w:pPr>
              <w:pStyle w:val="35"/>
              <w:ind w:firstLine="480"/>
              <w:rPr>
                <w:rFonts w:hint="eastAsia" w:ascii="Times New Roman" w:hAnsi="Times New Roman" w:cs="Times New Roman"/>
                <w:color w:val="000000" w:themeColor="text1"/>
                <w:u w:val="none" w:color="auto"/>
                <w14:textFill>
                  <w14:solidFill>
                    <w14:schemeClr w14:val="tx1"/>
                  </w14:solidFill>
                </w14:textFill>
              </w:rPr>
            </w:pPr>
            <w:r>
              <w:rPr>
                <w:rFonts w:hint="eastAsia" w:ascii="Times New Roman" w:hAnsi="Times New Roman" w:cs="Times New Roman"/>
                <w:color w:val="000000" w:themeColor="text1"/>
                <w:u w:val="none" w:color="auto"/>
                <w14:textFill>
                  <w14:solidFill>
                    <w14:schemeClr w14:val="tx1"/>
                  </w14:solidFill>
                </w14:textFill>
              </w:rPr>
              <w:t>（1）噪声源强</w:t>
            </w:r>
          </w:p>
          <w:p w14:paraId="1B71905C">
            <w:pPr>
              <w:pStyle w:val="35"/>
              <w:ind w:firstLine="480"/>
              <w:rPr>
                <w:rFonts w:hint="eastAsia" w:ascii="Times New Roman" w:hAnsi="Times New Roman" w:cs="Times New Roman"/>
                <w:color w:val="000000" w:themeColor="text1"/>
                <w:u w:val="none" w:color="auto"/>
                <w14:textFill>
                  <w14:solidFill>
                    <w14:schemeClr w14:val="tx1"/>
                  </w14:solidFill>
                </w14:textFill>
              </w:rPr>
            </w:pPr>
            <w:r>
              <w:rPr>
                <w:rFonts w:hint="eastAsia" w:ascii="Times New Roman" w:hAnsi="Times New Roman" w:cs="Times New Roman"/>
                <w:color w:val="000000" w:themeColor="text1"/>
                <w:u w:val="none" w:color="auto"/>
                <w14:textFill>
                  <w14:solidFill>
                    <w14:schemeClr w14:val="tx1"/>
                  </w14:solidFill>
                </w14:textFill>
              </w:rPr>
              <w:t>本项目噪声源主要</w:t>
            </w:r>
            <w:r>
              <w:rPr>
                <w:rFonts w:hint="eastAsia" w:ascii="Times New Roman" w:hAnsi="Times New Roman" w:cs="Times New Roman"/>
                <w:color w:val="000000" w:themeColor="text1"/>
                <w:u w:val="none" w:color="auto"/>
                <w:lang w:val="en-US" w:eastAsia="zh-CN"/>
                <w14:textFill>
                  <w14:solidFill>
                    <w14:schemeClr w14:val="tx1"/>
                  </w14:solidFill>
                </w14:textFill>
              </w:rPr>
              <w:t>为</w:t>
            </w:r>
            <w:r>
              <w:rPr>
                <w:rFonts w:hint="eastAsia" w:cs="Times New Roman"/>
                <w:color w:val="000000" w:themeColor="text1"/>
                <w:u w:val="none" w:color="auto"/>
                <w:lang w:val="en-US" w:eastAsia="zh-CN"/>
                <w14:textFill>
                  <w14:solidFill>
                    <w14:schemeClr w14:val="tx1"/>
                  </w14:solidFill>
                </w14:textFill>
              </w:rPr>
              <w:t>断料机、开片机、拉丝机、成型机、烘干房、蒸汽杀菌锅、</w:t>
            </w:r>
            <w:r>
              <w:rPr>
                <w:rFonts w:hint="eastAsia" w:ascii="Times New Roman" w:hAnsi="Times New Roman" w:cs="Times New Roman"/>
                <w:color w:val="000000" w:themeColor="text1"/>
                <w:u w:val="none" w:color="auto"/>
                <w:lang w:val="en-US" w:eastAsia="zh-CN"/>
                <w14:textFill>
                  <w14:solidFill>
                    <w14:schemeClr w14:val="tx1"/>
                  </w14:solidFill>
                </w14:textFill>
              </w:rPr>
              <w:t>锅炉、软水制备机、风机</w:t>
            </w:r>
            <w:r>
              <w:rPr>
                <w:rFonts w:hint="eastAsia" w:cs="Times New Roman"/>
                <w:color w:val="000000" w:themeColor="text1"/>
                <w:u w:val="none" w:color="auto"/>
                <w:lang w:val="en-US" w:eastAsia="zh-CN"/>
                <w14:textFill>
                  <w14:solidFill>
                    <w14:schemeClr w14:val="tx1"/>
                  </w14:solidFill>
                </w14:textFill>
              </w:rPr>
              <w:t>、给水泵</w:t>
            </w:r>
            <w:r>
              <w:rPr>
                <w:rFonts w:hint="eastAsia" w:ascii="Times New Roman" w:hAnsi="Times New Roman" w:cs="Times New Roman"/>
                <w:color w:val="000000" w:themeColor="text1"/>
                <w:u w:val="none" w:color="auto"/>
                <w:lang w:val="en-US" w:eastAsia="zh-CN"/>
                <w14:textFill>
                  <w14:solidFill>
                    <w14:schemeClr w14:val="tx1"/>
                  </w14:solidFill>
                </w14:textFill>
              </w:rPr>
              <w:t>等</w:t>
            </w:r>
            <w:r>
              <w:rPr>
                <w:rFonts w:hint="eastAsia" w:ascii="Times New Roman" w:hAnsi="Times New Roman" w:cs="Times New Roman"/>
                <w:color w:val="000000" w:themeColor="text1"/>
                <w:u w:val="none" w:color="auto"/>
                <w14:textFill>
                  <w14:solidFill>
                    <w14:schemeClr w14:val="tx1"/>
                  </w14:solidFill>
                </w14:textFill>
              </w:rPr>
              <w:t>设备噪声，均为固定声源。建设单位拟对各主要产噪设备采用基础减振、消声、墙体隔声、设备定期保养等措施进行降噪处理，可有效降低约1</w:t>
            </w:r>
            <w:r>
              <w:rPr>
                <w:rFonts w:hint="eastAsia" w:cs="Times New Roman"/>
                <w:color w:val="000000" w:themeColor="text1"/>
                <w:u w:val="none" w:color="auto"/>
                <w:lang w:val="en-US" w:eastAsia="zh-CN"/>
                <w14:textFill>
                  <w14:solidFill>
                    <w14:schemeClr w14:val="tx1"/>
                  </w14:solidFill>
                </w14:textFill>
              </w:rPr>
              <w:t>0</w:t>
            </w:r>
            <w:r>
              <w:rPr>
                <w:rFonts w:hint="eastAsia" w:ascii="Times New Roman" w:hAnsi="Times New Roman" w:cs="Times New Roman"/>
                <w:color w:val="000000" w:themeColor="text1"/>
                <w:u w:val="none" w:color="auto"/>
                <w14:textFill>
                  <w14:solidFill>
                    <w14:schemeClr w14:val="tx1"/>
                  </w14:solidFill>
                </w14:textFill>
              </w:rPr>
              <w:t>dB（A）。参考《噪声与振动控制工程手册》（马大猷，机械工业出版社2002.9）、《环境噪声与振动控制工程技术导则》（HJ2034-2013）以及类比同行业同类设备噪声源强分析，本项目噪声污染源源强核算结果及相关参数见下表：</w:t>
            </w:r>
          </w:p>
          <w:p w14:paraId="1301D77B">
            <w:pPr>
              <w:pStyle w:val="34"/>
              <w:keepNext w:val="0"/>
              <w:keepLines w:val="0"/>
              <w:pageBreakBefore w:val="0"/>
              <w:widowControl w:val="0"/>
              <w:kinsoku/>
              <w:wordWrap/>
              <w:overflowPunct/>
              <w:topLinePunct w:val="0"/>
              <w:autoSpaceDE/>
              <w:autoSpaceDN/>
              <w:bidi w:val="0"/>
              <w:adjustRightInd/>
              <w:snapToGrid/>
              <w:spacing w:before="0" w:beforeLines="0"/>
              <w:textAlignment w:val="auto"/>
              <w:rPr>
                <w:color w:val="000000" w:themeColor="text1"/>
                <w:sz w:val="21"/>
                <w:szCs w:val="21"/>
                <w:u w:val="none" w:color="auto"/>
                <w14:textFill>
                  <w14:solidFill>
                    <w14:schemeClr w14:val="tx1"/>
                  </w14:solidFill>
                </w14:textFill>
              </w:rPr>
            </w:pPr>
            <w:r>
              <w:rPr>
                <w:rFonts w:hint="eastAsia" w:ascii="Times New Roman" w:hAnsi="Times New Roman" w:cs="Times New Roman"/>
                <w:color w:val="000000" w:themeColor="text1"/>
                <w:sz w:val="21"/>
                <w:szCs w:val="21"/>
                <w:u w:val="none" w:color="auto"/>
                <w14:textFill>
                  <w14:solidFill>
                    <w14:schemeClr w14:val="tx1"/>
                  </w14:solidFill>
                </w14:textFill>
              </w:rPr>
              <w:t>表4-</w:t>
            </w:r>
            <w:r>
              <w:rPr>
                <w:rFonts w:hint="eastAsia" w:cs="Times New Roman"/>
                <w:color w:val="000000" w:themeColor="text1"/>
                <w:sz w:val="21"/>
                <w:szCs w:val="21"/>
                <w:u w:val="none" w:color="auto"/>
                <w:lang w:val="en-US" w:eastAsia="zh-CN"/>
                <w14:textFill>
                  <w14:solidFill>
                    <w14:schemeClr w14:val="tx1"/>
                  </w14:solidFill>
                </w14:textFill>
              </w:rPr>
              <w:t>13</w:t>
            </w:r>
            <w:r>
              <w:rPr>
                <w:rFonts w:hint="eastAsia" w:ascii="Times New Roman" w:hAnsi="Times New Roman" w:cs="Times New Roman"/>
                <w:color w:val="000000" w:themeColor="text1"/>
                <w:sz w:val="21"/>
                <w:szCs w:val="21"/>
                <w:u w:val="none" w:color="auto"/>
                <w14:textFill>
                  <w14:solidFill>
                    <w14:schemeClr w14:val="tx1"/>
                  </w14:solidFill>
                </w14:textFill>
              </w:rPr>
              <w:t xml:space="preserve">  </w:t>
            </w:r>
            <w:r>
              <w:rPr>
                <w:rFonts w:hint="eastAsia" w:ascii="Times New Roman" w:hAnsi="Times New Roman" w:eastAsia="宋体" w:cs="Times New Roman"/>
                <w:b/>
                <w:color w:val="000000" w:themeColor="text1"/>
                <w:kern w:val="2"/>
                <w:sz w:val="21"/>
                <w:szCs w:val="21"/>
                <w:u w:val="none" w:color="auto"/>
                <w:lang w:val="en-US" w:eastAsia="zh-CN" w:bidi="ar-SA"/>
                <w14:textFill>
                  <w14:solidFill>
                    <w14:schemeClr w14:val="tx1"/>
                  </w14:solidFill>
                </w14:textFill>
              </w:rPr>
              <w:t xml:space="preserve"> 工业企业噪声源强调查清单</w:t>
            </w:r>
            <w:r>
              <w:rPr>
                <w:rFonts w:hint="eastAsia"/>
                <w:color w:val="000000" w:themeColor="text1"/>
                <w:sz w:val="21"/>
                <w:szCs w:val="21"/>
                <w:u w:val="none" w:color="auto"/>
                <w14:textFill>
                  <w14:solidFill>
                    <w14:schemeClr w14:val="tx1"/>
                  </w14:solidFill>
                </w14:textFill>
              </w:rPr>
              <w:t>（室内声源）</w:t>
            </w:r>
          </w:p>
          <w:tbl>
            <w:tblPr>
              <w:tblStyle w:val="27"/>
              <w:tblW w:w="77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34"/>
              <w:gridCol w:w="450"/>
              <w:gridCol w:w="550"/>
              <w:gridCol w:w="663"/>
              <w:gridCol w:w="618"/>
              <w:gridCol w:w="618"/>
              <w:gridCol w:w="477"/>
              <w:gridCol w:w="727"/>
              <w:gridCol w:w="723"/>
              <w:gridCol w:w="437"/>
              <w:gridCol w:w="723"/>
              <w:gridCol w:w="723"/>
              <w:gridCol w:w="624"/>
            </w:tblGrid>
            <w:tr w14:paraId="55558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restart"/>
                  <w:shd w:val="clear" w:color="auto" w:fill="auto"/>
                  <w:noWrap/>
                  <w:vAlign w:val="center"/>
                </w:tcPr>
                <w:p w14:paraId="3FA165E3">
                  <w:pPr>
                    <w:pStyle w:val="57"/>
                    <w:rPr>
                      <w:rFonts w:cs="Times New Roman"/>
                      <w:color w:val="000000" w:themeColor="text1"/>
                      <w:szCs w:val="21"/>
                      <w:u w:val="none" w:color="auto"/>
                      <w14:textFill>
                        <w14:solidFill>
                          <w14:schemeClr w14:val="tx1"/>
                        </w14:solidFill>
                      </w14:textFill>
                    </w:rPr>
                  </w:pPr>
                  <w:r>
                    <w:rPr>
                      <w:rFonts w:cs="Times New Roman"/>
                      <w:color w:val="000000" w:themeColor="text1"/>
                      <w:szCs w:val="21"/>
                      <w:u w:val="none" w:color="auto"/>
                      <w14:textFill>
                        <w14:solidFill>
                          <w14:schemeClr w14:val="tx1"/>
                        </w14:solidFill>
                      </w14:textFill>
                    </w:rPr>
                    <w:t>序号</w:t>
                  </w:r>
                </w:p>
              </w:tc>
              <w:tc>
                <w:tcPr>
                  <w:tcW w:w="450" w:type="dxa"/>
                  <w:vMerge w:val="restart"/>
                  <w:shd w:val="clear" w:color="auto" w:fill="auto"/>
                  <w:noWrap/>
                  <w:vAlign w:val="center"/>
                </w:tcPr>
                <w:p w14:paraId="2DCE8172">
                  <w:pPr>
                    <w:pStyle w:val="57"/>
                    <w:rPr>
                      <w:rFonts w:cs="Times New Roman"/>
                      <w:color w:val="000000" w:themeColor="text1"/>
                      <w:szCs w:val="21"/>
                      <w:u w:val="none" w:color="auto"/>
                      <w14:textFill>
                        <w14:solidFill>
                          <w14:schemeClr w14:val="tx1"/>
                        </w14:solidFill>
                      </w14:textFill>
                    </w:rPr>
                  </w:pPr>
                  <w:r>
                    <w:rPr>
                      <w:rFonts w:cs="Times New Roman"/>
                      <w:color w:val="000000" w:themeColor="text1"/>
                      <w:szCs w:val="21"/>
                      <w:u w:val="none" w:color="auto"/>
                      <w14:textFill>
                        <w14:solidFill>
                          <w14:schemeClr w14:val="tx1"/>
                        </w14:solidFill>
                      </w14:textFill>
                    </w:rPr>
                    <w:t>建筑物名称</w:t>
                  </w:r>
                </w:p>
              </w:tc>
              <w:tc>
                <w:tcPr>
                  <w:tcW w:w="550" w:type="dxa"/>
                  <w:vMerge w:val="restart"/>
                  <w:shd w:val="clear" w:color="auto" w:fill="auto"/>
                  <w:noWrap/>
                  <w:vAlign w:val="center"/>
                </w:tcPr>
                <w:p w14:paraId="6648ACEE">
                  <w:pPr>
                    <w:pStyle w:val="57"/>
                    <w:rPr>
                      <w:rFonts w:cs="Times New Roman"/>
                      <w:color w:val="000000" w:themeColor="text1"/>
                      <w:szCs w:val="21"/>
                      <w:u w:val="none" w:color="auto"/>
                      <w14:textFill>
                        <w14:solidFill>
                          <w14:schemeClr w14:val="tx1"/>
                        </w14:solidFill>
                      </w14:textFill>
                    </w:rPr>
                  </w:pPr>
                  <w:r>
                    <w:rPr>
                      <w:rFonts w:cs="Times New Roman"/>
                      <w:color w:val="000000" w:themeColor="text1"/>
                      <w:szCs w:val="21"/>
                      <w:u w:val="none" w:color="auto"/>
                      <w14:textFill>
                        <w14:solidFill>
                          <w14:schemeClr w14:val="tx1"/>
                        </w14:solidFill>
                      </w14:textFill>
                    </w:rPr>
                    <w:t>声源名称</w:t>
                  </w:r>
                </w:p>
              </w:tc>
              <w:tc>
                <w:tcPr>
                  <w:tcW w:w="663" w:type="dxa"/>
                  <w:vMerge w:val="restart"/>
                  <w:shd w:val="clear" w:color="auto" w:fill="auto"/>
                  <w:noWrap/>
                  <w:vAlign w:val="center"/>
                </w:tcPr>
                <w:p w14:paraId="0D1F2159">
                  <w:pPr>
                    <w:pStyle w:val="57"/>
                    <w:rPr>
                      <w:rFonts w:cs="Times New Roman"/>
                      <w:color w:val="000000" w:themeColor="text1"/>
                      <w:szCs w:val="21"/>
                      <w:u w:val="none" w:color="auto"/>
                      <w14:textFill>
                        <w14:solidFill>
                          <w14:schemeClr w14:val="tx1"/>
                        </w14:solidFill>
                      </w14:textFill>
                    </w:rPr>
                  </w:pPr>
                  <w:r>
                    <w:rPr>
                      <w:rFonts w:cs="Times New Roman"/>
                      <w:color w:val="000000" w:themeColor="text1"/>
                      <w:szCs w:val="21"/>
                      <w:u w:val="none" w:color="auto"/>
                      <w14:textFill>
                        <w14:solidFill>
                          <w14:schemeClr w14:val="tx1"/>
                        </w14:solidFill>
                      </w14:textFill>
                    </w:rPr>
                    <w:t>声功率级 /dB</w:t>
                  </w:r>
                  <w:r>
                    <w:rPr>
                      <w:rFonts w:hint="eastAsia" w:cs="Times New Roman"/>
                      <w:color w:val="000000" w:themeColor="text1"/>
                      <w:szCs w:val="21"/>
                      <w:u w:val="none" w:color="auto"/>
                      <w14:textFill>
                        <w14:solidFill>
                          <w14:schemeClr w14:val="tx1"/>
                        </w14:solidFill>
                      </w14:textFill>
                    </w:rPr>
                    <w:t>（A）</w:t>
                  </w:r>
                </w:p>
              </w:tc>
              <w:tc>
                <w:tcPr>
                  <w:tcW w:w="1713" w:type="dxa"/>
                  <w:gridSpan w:val="3"/>
                  <w:shd w:val="clear" w:color="auto" w:fill="auto"/>
                  <w:noWrap/>
                  <w:vAlign w:val="center"/>
                </w:tcPr>
                <w:p w14:paraId="7E4F029C">
                  <w:pPr>
                    <w:pStyle w:val="57"/>
                    <w:rPr>
                      <w:rFonts w:cs="Times New Roman"/>
                      <w:color w:val="000000" w:themeColor="text1"/>
                      <w:szCs w:val="21"/>
                      <w:u w:val="none" w:color="auto"/>
                      <w14:textFill>
                        <w14:solidFill>
                          <w14:schemeClr w14:val="tx1"/>
                        </w14:solidFill>
                      </w14:textFill>
                    </w:rPr>
                  </w:pPr>
                  <w:r>
                    <w:rPr>
                      <w:rFonts w:cs="Times New Roman"/>
                      <w:color w:val="000000" w:themeColor="text1"/>
                      <w:szCs w:val="21"/>
                      <w:u w:val="none" w:color="auto"/>
                      <w14:textFill>
                        <w14:solidFill>
                          <w14:schemeClr w14:val="tx1"/>
                        </w14:solidFill>
                      </w14:textFill>
                    </w:rPr>
                    <w:t>空间相对位置/m</w:t>
                  </w:r>
                </w:p>
              </w:tc>
              <w:tc>
                <w:tcPr>
                  <w:tcW w:w="727" w:type="dxa"/>
                  <w:vMerge w:val="restart"/>
                  <w:shd w:val="clear" w:color="auto" w:fill="auto"/>
                  <w:vAlign w:val="center"/>
                </w:tcPr>
                <w:p w14:paraId="38240C1D">
                  <w:pPr>
                    <w:pStyle w:val="57"/>
                    <w:rPr>
                      <w:rFonts w:cs="Times New Roman"/>
                      <w:color w:val="000000" w:themeColor="text1"/>
                      <w:szCs w:val="21"/>
                      <w:u w:val="none" w:color="auto"/>
                      <w14:textFill>
                        <w14:solidFill>
                          <w14:schemeClr w14:val="tx1"/>
                        </w14:solidFill>
                      </w14:textFill>
                    </w:rPr>
                  </w:pPr>
                  <w:r>
                    <w:rPr>
                      <w:rFonts w:cs="Times New Roman"/>
                      <w:color w:val="000000" w:themeColor="text1"/>
                      <w:szCs w:val="21"/>
                      <w:u w:val="none" w:color="auto"/>
                      <w14:textFill>
                        <w14:solidFill>
                          <w14:schemeClr w14:val="tx1"/>
                        </w14:solidFill>
                      </w14:textFill>
                    </w:rPr>
                    <w:t>距室内边界距离/m</w:t>
                  </w:r>
                </w:p>
              </w:tc>
              <w:tc>
                <w:tcPr>
                  <w:tcW w:w="723" w:type="dxa"/>
                  <w:vMerge w:val="restart"/>
                  <w:shd w:val="clear" w:color="auto" w:fill="auto"/>
                  <w:noWrap/>
                  <w:vAlign w:val="center"/>
                </w:tcPr>
                <w:p w14:paraId="59F18EAC">
                  <w:pPr>
                    <w:pStyle w:val="57"/>
                    <w:rPr>
                      <w:rFonts w:cs="Times New Roman"/>
                      <w:color w:val="000000" w:themeColor="text1"/>
                      <w:szCs w:val="21"/>
                      <w:u w:val="none" w:color="auto"/>
                      <w14:textFill>
                        <w14:solidFill>
                          <w14:schemeClr w14:val="tx1"/>
                        </w14:solidFill>
                      </w14:textFill>
                    </w:rPr>
                  </w:pPr>
                  <w:r>
                    <w:rPr>
                      <w:rFonts w:cs="Times New Roman"/>
                      <w:color w:val="000000" w:themeColor="text1"/>
                      <w:szCs w:val="21"/>
                      <w:u w:val="none" w:color="auto"/>
                      <w14:textFill>
                        <w14:solidFill>
                          <w14:schemeClr w14:val="tx1"/>
                        </w14:solidFill>
                      </w14:textFill>
                    </w:rPr>
                    <w:t>室内边界声级/dB(A)</w:t>
                  </w:r>
                </w:p>
              </w:tc>
              <w:tc>
                <w:tcPr>
                  <w:tcW w:w="437" w:type="dxa"/>
                  <w:vMerge w:val="restart"/>
                  <w:shd w:val="clear" w:color="auto" w:fill="auto"/>
                  <w:noWrap/>
                  <w:vAlign w:val="center"/>
                </w:tcPr>
                <w:p w14:paraId="22FB4A08">
                  <w:pPr>
                    <w:pStyle w:val="57"/>
                    <w:rPr>
                      <w:rFonts w:cs="Times New Roman"/>
                      <w:color w:val="000000" w:themeColor="text1"/>
                      <w:szCs w:val="21"/>
                      <w:u w:val="none" w:color="auto"/>
                      <w14:textFill>
                        <w14:solidFill>
                          <w14:schemeClr w14:val="tx1"/>
                        </w14:solidFill>
                      </w14:textFill>
                    </w:rPr>
                  </w:pPr>
                  <w:r>
                    <w:rPr>
                      <w:rFonts w:cs="Times New Roman"/>
                      <w:color w:val="000000" w:themeColor="text1"/>
                      <w:szCs w:val="21"/>
                      <w:u w:val="none" w:color="auto"/>
                      <w14:textFill>
                        <w14:solidFill>
                          <w14:schemeClr w14:val="tx1"/>
                        </w14:solidFill>
                      </w14:textFill>
                    </w:rPr>
                    <w:t>运行时段</w:t>
                  </w:r>
                </w:p>
              </w:tc>
              <w:tc>
                <w:tcPr>
                  <w:tcW w:w="723" w:type="dxa"/>
                  <w:vMerge w:val="restart"/>
                  <w:shd w:val="clear" w:color="auto" w:fill="auto"/>
                  <w:noWrap/>
                  <w:vAlign w:val="center"/>
                </w:tcPr>
                <w:p w14:paraId="1D53DDD0">
                  <w:pPr>
                    <w:pStyle w:val="57"/>
                    <w:rPr>
                      <w:rFonts w:cs="Times New Roman"/>
                      <w:color w:val="000000" w:themeColor="text1"/>
                      <w:szCs w:val="21"/>
                      <w:u w:val="none" w:color="auto"/>
                      <w14:textFill>
                        <w14:solidFill>
                          <w14:schemeClr w14:val="tx1"/>
                        </w14:solidFill>
                      </w14:textFill>
                    </w:rPr>
                  </w:pPr>
                  <w:r>
                    <w:rPr>
                      <w:rFonts w:cs="Times New Roman"/>
                      <w:color w:val="000000" w:themeColor="text1"/>
                      <w:szCs w:val="21"/>
                      <w:u w:val="none" w:color="auto"/>
                      <w14:textFill>
                        <w14:solidFill>
                          <w14:schemeClr w14:val="tx1"/>
                        </w14:solidFill>
                      </w14:textFill>
                    </w:rPr>
                    <w:t>建筑物插入损失/dB(A)</w:t>
                  </w:r>
                </w:p>
              </w:tc>
              <w:tc>
                <w:tcPr>
                  <w:tcW w:w="1347" w:type="dxa"/>
                  <w:gridSpan w:val="2"/>
                  <w:shd w:val="clear" w:color="auto" w:fill="auto"/>
                  <w:noWrap/>
                  <w:vAlign w:val="center"/>
                </w:tcPr>
                <w:p w14:paraId="3571444A">
                  <w:pPr>
                    <w:pStyle w:val="57"/>
                    <w:rPr>
                      <w:rFonts w:cs="Times New Roman"/>
                      <w:color w:val="000000" w:themeColor="text1"/>
                      <w:szCs w:val="21"/>
                      <w:u w:val="none" w:color="auto"/>
                      <w14:textFill>
                        <w14:solidFill>
                          <w14:schemeClr w14:val="tx1"/>
                        </w14:solidFill>
                      </w14:textFill>
                    </w:rPr>
                  </w:pPr>
                  <w:r>
                    <w:rPr>
                      <w:rFonts w:cs="Times New Roman"/>
                      <w:color w:val="000000" w:themeColor="text1"/>
                      <w:szCs w:val="21"/>
                      <w:u w:val="none" w:color="auto"/>
                      <w14:textFill>
                        <w14:solidFill>
                          <w14:schemeClr w14:val="tx1"/>
                        </w14:solidFill>
                      </w14:textFill>
                    </w:rPr>
                    <w:t>建筑物外噪声</w:t>
                  </w:r>
                </w:p>
              </w:tc>
            </w:tr>
            <w:tr w14:paraId="05DF5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4D644F81">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1C4AF03E">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01EF2EFA">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4FE9E5FD">
                  <w:pPr>
                    <w:pStyle w:val="57"/>
                    <w:rPr>
                      <w:rFonts w:cs="Times New Roman"/>
                      <w:color w:val="000000" w:themeColor="text1"/>
                      <w:szCs w:val="21"/>
                      <w:u w:val="none" w:color="auto"/>
                      <w14:textFill>
                        <w14:solidFill>
                          <w14:schemeClr w14:val="tx1"/>
                        </w14:solidFill>
                      </w14:textFill>
                    </w:rPr>
                  </w:pPr>
                </w:p>
              </w:tc>
              <w:tc>
                <w:tcPr>
                  <w:tcW w:w="618" w:type="dxa"/>
                  <w:shd w:val="clear" w:color="auto" w:fill="auto"/>
                  <w:noWrap/>
                  <w:vAlign w:val="center"/>
                </w:tcPr>
                <w:p w14:paraId="5B290B74">
                  <w:pPr>
                    <w:pStyle w:val="57"/>
                    <w:rPr>
                      <w:rFonts w:cs="Times New Roman"/>
                      <w:color w:val="000000" w:themeColor="text1"/>
                      <w:szCs w:val="21"/>
                      <w:u w:val="none" w:color="auto"/>
                      <w14:textFill>
                        <w14:solidFill>
                          <w14:schemeClr w14:val="tx1"/>
                        </w14:solidFill>
                      </w14:textFill>
                    </w:rPr>
                  </w:pPr>
                  <w:r>
                    <w:rPr>
                      <w:rFonts w:cs="Times New Roman"/>
                      <w:color w:val="000000" w:themeColor="text1"/>
                      <w:szCs w:val="21"/>
                      <w:u w:val="none" w:color="auto"/>
                      <w14:textFill>
                        <w14:solidFill>
                          <w14:schemeClr w14:val="tx1"/>
                        </w14:solidFill>
                      </w14:textFill>
                    </w:rPr>
                    <w:t>X</w:t>
                  </w:r>
                </w:p>
              </w:tc>
              <w:tc>
                <w:tcPr>
                  <w:tcW w:w="618" w:type="dxa"/>
                  <w:shd w:val="clear" w:color="auto" w:fill="auto"/>
                  <w:noWrap/>
                  <w:vAlign w:val="center"/>
                </w:tcPr>
                <w:p w14:paraId="50A94B3D">
                  <w:pPr>
                    <w:pStyle w:val="57"/>
                    <w:rPr>
                      <w:rFonts w:cs="Times New Roman"/>
                      <w:color w:val="000000" w:themeColor="text1"/>
                      <w:szCs w:val="21"/>
                      <w:u w:val="none" w:color="auto"/>
                      <w14:textFill>
                        <w14:solidFill>
                          <w14:schemeClr w14:val="tx1"/>
                        </w14:solidFill>
                      </w14:textFill>
                    </w:rPr>
                  </w:pPr>
                  <w:r>
                    <w:rPr>
                      <w:rFonts w:cs="Times New Roman"/>
                      <w:color w:val="000000" w:themeColor="text1"/>
                      <w:szCs w:val="21"/>
                      <w:u w:val="none" w:color="auto"/>
                      <w14:textFill>
                        <w14:solidFill>
                          <w14:schemeClr w14:val="tx1"/>
                        </w14:solidFill>
                      </w14:textFill>
                    </w:rPr>
                    <w:t>Y</w:t>
                  </w:r>
                </w:p>
              </w:tc>
              <w:tc>
                <w:tcPr>
                  <w:tcW w:w="477" w:type="dxa"/>
                  <w:shd w:val="clear" w:color="auto" w:fill="auto"/>
                  <w:noWrap/>
                  <w:vAlign w:val="center"/>
                </w:tcPr>
                <w:p w14:paraId="09B844CC">
                  <w:pPr>
                    <w:pStyle w:val="57"/>
                    <w:rPr>
                      <w:rFonts w:cs="Times New Roman"/>
                      <w:color w:val="000000" w:themeColor="text1"/>
                      <w:szCs w:val="21"/>
                      <w:u w:val="none" w:color="auto"/>
                      <w14:textFill>
                        <w14:solidFill>
                          <w14:schemeClr w14:val="tx1"/>
                        </w14:solidFill>
                      </w14:textFill>
                    </w:rPr>
                  </w:pPr>
                  <w:r>
                    <w:rPr>
                      <w:rFonts w:cs="Times New Roman"/>
                      <w:color w:val="000000" w:themeColor="text1"/>
                      <w:szCs w:val="21"/>
                      <w:u w:val="none" w:color="auto"/>
                      <w14:textFill>
                        <w14:solidFill>
                          <w14:schemeClr w14:val="tx1"/>
                        </w14:solidFill>
                      </w14:textFill>
                    </w:rPr>
                    <w:t>Z</w:t>
                  </w:r>
                </w:p>
              </w:tc>
              <w:tc>
                <w:tcPr>
                  <w:tcW w:w="727" w:type="dxa"/>
                  <w:vMerge w:val="continue"/>
                  <w:shd w:val="clear" w:color="auto" w:fill="auto"/>
                  <w:noWrap/>
                  <w:vAlign w:val="center"/>
                </w:tcPr>
                <w:p w14:paraId="7D33ED38">
                  <w:pPr>
                    <w:pStyle w:val="57"/>
                    <w:rPr>
                      <w:rFonts w:cs="Times New Roman"/>
                      <w:color w:val="000000" w:themeColor="text1"/>
                      <w:szCs w:val="21"/>
                      <w:u w:val="none" w:color="auto"/>
                      <w14:textFill>
                        <w14:solidFill>
                          <w14:schemeClr w14:val="tx1"/>
                        </w14:solidFill>
                      </w14:textFill>
                    </w:rPr>
                  </w:pPr>
                </w:p>
              </w:tc>
              <w:tc>
                <w:tcPr>
                  <w:tcW w:w="723" w:type="dxa"/>
                  <w:vMerge w:val="continue"/>
                  <w:shd w:val="clear" w:color="auto" w:fill="auto"/>
                  <w:noWrap/>
                  <w:vAlign w:val="center"/>
                </w:tcPr>
                <w:p w14:paraId="4C207681">
                  <w:pPr>
                    <w:pStyle w:val="57"/>
                    <w:rPr>
                      <w:rFonts w:cs="Times New Roman"/>
                      <w:color w:val="000000" w:themeColor="text1"/>
                      <w:szCs w:val="21"/>
                      <w:u w:val="none" w:color="auto"/>
                      <w14:textFill>
                        <w14:solidFill>
                          <w14:schemeClr w14:val="tx1"/>
                        </w14:solidFill>
                      </w14:textFill>
                    </w:rPr>
                  </w:pPr>
                </w:p>
              </w:tc>
              <w:tc>
                <w:tcPr>
                  <w:tcW w:w="437" w:type="dxa"/>
                  <w:vMerge w:val="continue"/>
                  <w:shd w:val="clear" w:color="auto" w:fill="auto"/>
                  <w:noWrap/>
                  <w:vAlign w:val="center"/>
                </w:tcPr>
                <w:p w14:paraId="146F01C4">
                  <w:pPr>
                    <w:pStyle w:val="57"/>
                    <w:rPr>
                      <w:rFonts w:cs="Times New Roman"/>
                      <w:color w:val="000000" w:themeColor="text1"/>
                      <w:szCs w:val="21"/>
                      <w:u w:val="none" w:color="auto"/>
                      <w14:textFill>
                        <w14:solidFill>
                          <w14:schemeClr w14:val="tx1"/>
                        </w14:solidFill>
                      </w14:textFill>
                    </w:rPr>
                  </w:pPr>
                </w:p>
              </w:tc>
              <w:tc>
                <w:tcPr>
                  <w:tcW w:w="723" w:type="dxa"/>
                  <w:vMerge w:val="continue"/>
                  <w:shd w:val="clear" w:color="auto" w:fill="auto"/>
                  <w:noWrap/>
                  <w:vAlign w:val="center"/>
                </w:tcPr>
                <w:p w14:paraId="01A379F3">
                  <w:pPr>
                    <w:pStyle w:val="57"/>
                    <w:rPr>
                      <w:rFonts w:cs="Times New Roman"/>
                      <w:color w:val="000000" w:themeColor="text1"/>
                      <w:szCs w:val="21"/>
                      <w:u w:val="none" w:color="auto"/>
                      <w14:textFill>
                        <w14:solidFill>
                          <w14:schemeClr w14:val="tx1"/>
                        </w14:solidFill>
                      </w14:textFill>
                    </w:rPr>
                  </w:pPr>
                </w:p>
              </w:tc>
              <w:tc>
                <w:tcPr>
                  <w:tcW w:w="723" w:type="dxa"/>
                  <w:shd w:val="clear" w:color="auto" w:fill="auto"/>
                  <w:noWrap/>
                  <w:vAlign w:val="center"/>
                </w:tcPr>
                <w:p w14:paraId="778A0629">
                  <w:pPr>
                    <w:pStyle w:val="57"/>
                    <w:rPr>
                      <w:rFonts w:cs="Times New Roman"/>
                      <w:color w:val="000000" w:themeColor="text1"/>
                      <w:szCs w:val="21"/>
                      <w:u w:val="none" w:color="auto"/>
                      <w14:textFill>
                        <w14:solidFill>
                          <w14:schemeClr w14:val="tx1"/>
                        </w14:solidFill>
                      </w14:textFill>
                    </w:rPr>
                  </w:pPr>
                  <w:r>
                    <w:rPr>
                      <w:rFonts w:cs="Times New Roman"/>
                      <w:color w:val="000000" w:themeColor="text1"/>
                      <w:szCs w:val="21"/>
                      <w:u w:val="none" w:color="auto"/>
                      <w14:textFill>
                        <w14:solidFill>
                          <w14:schemeClr w14:val="tx1"/>
                        </w14:solidFill>
                      </w14:textFill>
                    </w:rPr>
                    <w:t>声压级/dB(A)</w:t>
                  </w:r>
                </w:p>
              </w:tc>
              <w:tc>
                <w:tcPr>
                  <w:tcW w:w="624" w:type="dxa"/>
                  <w:shd w:val="clear" w:color="auto" w:fill="auto"/>
                  <w:noWrap/>
                  <w:vAlign w:val="center"/>
                </w:tcPr>
                <w:p w14:paraId="051B5D84">
                  <w:pPr>
                    <w:pStyle w:val="57"/>
                    <w:rPr>
                      <w:rFonts w:cs="Times New Roman"/>
                      <w:color w:val="000000" w:themeColor="text1"/>
                      <w:szCs w:val="21"/>
                      <w:u w:val="none" w:color="auto"/>
                      <w14:textFill>
                        <w14:solidFill>
                          <w14:schemeClr w14:val="tx1"/>
                        </w14:solidFill>
                      </w14:textFill>
                    </w:rPr>
                  </w:pPr>
                  <w:r>
                    <w:rPr>
                      <w:rFonts w:cs="Times New Roman"/>
                      <w:color w:val="000000" w:themeColor="text1"/>
                      <w:szCs w:val="21"/>
                      <w:u w:val="none" w:color="auto"/>
                      <w14:textFill>
                        <w14:solidFill>
                          <w14:schemeClr w14:val="tx1"/>
                        </w14:solidFill>
                      </w14:textFill>
                    </w:rPr>
                    <w:t>建筑物外距离</w:t>
                  </w:r>
                </w:p>
              </w:tc>
            </w:tr>
            <w:tr w14:paraId="68A6B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restart"/>
                  <w:shd w:val="clear" w:color="auto" w:fill="auto"/>
                  <w:noWrap/>
                  <w:vAlign w:val="center"/>
                </w:tcPr>
                <w:p w14:paraId="633F6B63">
                  <w:pPr>
                    <w:pStyle w:val="57"/>
                    <w:rPr>
                      <w:rFonts w:cs="Times New Roman"/>
                      <w:color w:val="000000" w:themeColor="text1"/>
                      <w:szCs w:val="21"/>
                      <w:u w:val="none" w:color="auto"/>
                      <w14:textFill>
                        <w14:solidFill>
                          <w14:schemeClr w14:val="tx1"/>
                        </w14:solidFill>
                      </w14:textFill>
                    </w:rPr>
                  </w:pPr>
                  <w:r>
                    <w:rPr>
                      <w:rFonts w:hint="eastAsia" w:cs="Times New Roman"/>
                      <w:color w:val="000000" w:themeColor="text1"/>
                      <w:szCs w:val="21"/>
                      <w:u w:val="none" w:color="auto"/>
                      <w14:textFill>
                        <w14:solidFill>
                          <w14:schemeClr w14:val="tx1"/>
                        </w14:solidFill>
                      </w14:textFill>
                    </w:rPr>
                    <w:t>1</w:t>
                  </w:r>
                </w:p>
              </w:tc>
              <w:tc>
                <w:tcPr>
                  <w:tcW w:w="450" w:type="dxa"/>
                  <w:vMerge w:val="restart"/>
                  <w:shd w:val="clear" w:color="auto" w:fill="auto"/>
                  <w:noWrap/>
                  <w:vAlign w:val="center"/>
                </w:tcPr>
                <w:p w14:paraId="1307A270">
                  <w:pPr>
                    <w:pStyle w:val="57"/>
                    <w:rPr>
                      <w:rFonts w:hint="default" w:eastAsia="宋体"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生产车间</w:t>
                  </w:r>
                </w:p>
              </w:tc>
              <w:tc>
                <w:tcPr>
                  <w:tcW w:w="550" w:type="dxa"/>
                  <w:vMerge w:val="restart"/>
                  <w:shd w:val="clear" w:color="auto" w:fill="auto"/>
                  <w:noWrap/>
                  <w:vAlign w:val="center"/>
                </w:tcPr>
                <w:p w14:paraId="26EF64A0">
                  <w:pPr>
                    <w:pStyle w:val="57"/>
                    <w:rPr>
                      <w:rFonts w:cs="Times New Roman"/>
                      <w:color w:val="000000" w:themeColor="text1"/>
                      <w:szCs w:val="21"/>
                      <w:u w:val="none" w:color="auto"/>
                      <w14:textFill>
                        <w14:solidFill>
                          <w14:schemeClr w14:val="tx1"/>
                        </w14:solidFill>
                      </w14:textFill>
                    </w:rPr>
                  </w:pPr>
                  <w:r>
                    <w:rPr>
                      <w:rFonts w:hint="eastAsia" w:cs="Times New Roman"/>
                      <w:color w:val="000000" w:themeColor="text1"/>
                      <w:szCs w:val="21"/>
                      <w:u w:val="none" w:color="auto"/>
                      <w14:textFill>
                        <w14:solidFill>
                          <w14:schemeClr w14:val="tx1"/>
                        </w14:solidFill>
                      </w14:textFill>
                    </w:rPr>
                    <w:t>锅炉</w:t>
                  </w:r>
                </w:p>
              </w:tc>
              <w:tc>
                <w:tcPr>
                  <w:tcW w:w="663" w:type="dxa"/>
                  <w:vMerge w:val="restart"/>
                  <w:shd w:val="clear" w:color="auto" w:fill="auto"/>
                  <w:noWrap/>
                  <w:vAlign w:val="center"/>
                </w:tcPr>
                <w:p w14:paraId="48F421F8">
                  <w:pPr>
                    <w:pStyle w:val="57"/>
                    <w:rPr>
                      <w:rFonts w:hint="default" w:eastAsia="宋体"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80</w:t>
                  </w:r>
                </w:p>
              </w:tc>
              <w:tc>
                <w:tcPr>
                  <w:tcW w:w="618" w:type="dxa"/>
                  <w:vMerge w:val="restart"/>
                  <w:shd w:val="clear" w:color="auto" w:fill="auto"/>
                  <w:noWrap/>
                  <w:vAlign w:val="center"/>
                </w:tcPr>
                <w:p w14:paraId="58C80ABF">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47.91</w:t>
                  </w:r>
                </w:p>
              </w:tc>
              <w:tc>
                <w:tcPr>
                  <w:tcW w:w="618" w:type="dxa"/>
                  <w:vMerge w:val="restart"/>
                  <w:shd w:val="clear" w:color="auto" w:fill="auto"/>
                  <w:noWrap/>
                  <w:vAlign w:val="center"/>
                </w:tcPr>
                <w:p w14:paraId="0D51318F">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20.27</w:t>
                  </w:r>
                </w:p>
              </w:tc>
              <w:tc>
                <w:tcPr>
                  <w:tcW w:w="477" w:type="dxa"/>
                  <w:vMerge w:val="restart"/>
                  <w:shd w:val="clear" w:color="auto" w:fill="auto"/>
                  <w:noWrap/>
                  <w:vAlign w:val="center"/>
                </w:tcPr>
                <w:p w14:paraId="7EE6EB33">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w:t>
                  </w:r>
                </w:p>
              </w:tc>
              <w:tc>
                <w:tcPr>
                  <w:tcW w:w="727" w:type="dxa"/>
                  <w:shd w:val="clear" w:color="auto" w:fill="auto"/>
                  <w:noWrap/>
                  <w:vAlign w:val="center"/>
                </w:tcPr>
                <w:p w14:paraId="7BDA02D4">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32.53</w:t>
                  </w:r>
                </w:p>
              </w:tc>
              <w:tc>
                <w:tcPr>
                  <w:tcW w:w="723" w:type="dxa"/>
                  <w:shd w:val="clear" w:color="auto" w:fill="auto"/>
                  <w:noWrap/>
                  <w:vAlign w:val="center"/>
                </w:tcPr>
                <w:p w14:paraId="75AB703B">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69.06</w:t>
                  </w:r>
                </w:p>
              </w:tc>
              <w:tc>
                <w:tcPr>
                  <w:tcW w:w="437" w:type="dxa"/>
                  <w:vMerge w:val="restart"/>
                  <w:shd w:val="clear" w:color="auto" w:fill="auto"/>
                  <w:noWrap/>
                  <w:vAlign w:val="center"/>
                </w:tcPr>
                <w:p w14:paraId="4CFD72F5">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昼间</w:t>
                  </w:r>
                </w:p>
              </w:tc>
              <w:tc>
                <w:tcPr>
                  <w:tcW w:w="723" w:type="dxa"/>
                  <w:vMerge w:val="restart"/>
                  <w:shd w:val="clear" w:color="auto" w:fill="auto"/>
                  <w:noWrap/>
                  <w:vAlign w:val="center"/>
                </w:tcPr>
                <w:p w14:paraId="322FEDA8">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16</w:t>
                  </w:r>
                </w:p>
              </w:tc>
              <w:tc>
                <w:tcPr>
                  <w:tcW w:w="723" w:type="dxa"/>
                  <w:shd w:val="clear" w:color="auto" w:fill="auto"/>
                  <w:noWrap/>
                  <w:vAlign w:val="center"/>
                </w:tcPr>
                <w:p w14:paraId="73BD18E6">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53.06</w:t>
                  </w:r>
                </w:p>
              </w:tc>
              <w:tc>
                <w:tcPr>
                  <w:tcW w:w="624" w:type="dxa"/>
                  <w:shd w:val="clear" w:color="auto" w:fill="auto"/>
                  <w:noWrap/>
                  <w:vAlign w:val="center"/>
                </w:tcPr>
                <w:p w14:paraId="38712BB6">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w:t>
                  </w:r>
                </w:p>
              </w:tc>
            </w:tr>
            <w:tr w14:paraId="4FA7C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5FDBCFF8">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0EC63955">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65923C5B">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36225E07">
                  <w:pPr>
                    <w:pStyle w:val="57"/>
                    <w:rPr>
                      <w:rFonts w:cs="Times New Roman"/>
                      <w:color w:val="000000" w:themeColor="text1"/>
                      <w:szCs w:val="21"/>
                      <w:u w:val="none" w:color="auto"/>
                      <w14:textFill>
                        <w14:solidFill>
                          <w14:schemeClr w14:val="tx1"/>
                        </w14:solidFill>
                      </w14:textFill>
                    </w:rPr>
                  </w:pPr>
                </w:p>
              </w:tc>
              <w:tc>
                <w:tcPr>
                  <w:tcW w:w="618" w:type="dxa"/>
                  <w:vMerge w:val="continue"/>
                  <w:shd w:val="clear" w:color="auto" w:fill="auto"/>
                  <w:noWrap/>
                  <w:vAlign w:val="center"/>
                </w:tcPr>
                <w:p w14:paraId="5F7E0CC1">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p>
              </w:tc>
              <w:tc>
                <w:tcPr>
                  <w:tcW w:w="618" w:type="dxa"/>
                  <w:vMerge w:val="continue"/>
                  <w:shd w:val="clear" w:color="auto" w:fill="auto"/>
                  <w:noWrap/>
                  <w:vAlign w:val="center"/>
                </w:tcPr>
                <w:p w14:paraId="01BC3CA2">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p>
              </w:tc>
              <w:tc>
                <w:tcPr>
                  <w:tcW w:w="477" w:type="dxa"/>
                  <w:vMerge w:val="continue"/>
                  <w:shd w:val="clear" w:color="auto" w:fill="auto"/>
                  <w:noWrap/>
                  <w:vAlign w:val="center"/>
                </w:tcPr>
                <w:p w14:paraId="2D6EB146">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p>
              </w:tc>
              <w:tc>
                <w:tcPr>
                  <w:tcW w:w="727" w:type="dxa"/>
                  <w:shd w:val="clear" w:color="auto" w:fill="auto"/>
                  <w:noWrap/>
                  <w:vAlign w:val="center"/>
                </w:tcPr>
                <w:p w14:paraId="0A939A89">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17.60</w:t>
                  </w:r>
                </w:p>
              </w:tc>
              <w:tc>
                <w:tcPr>
                  <w:tcW w:w="723" w:type="dxa"/>
                  <w:shd w:val="clear" w:color="auto" w:fill="auto"/>
                  <w:noWrap/>
                  <w:vAlign w:val="center"/>
                </w:tcPr>
                <w:p w14:paraId="5B9C248D">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69.06</w:t>
                  </w:r>
                </w:p>
              </w:tc>
              <w:tc>
                <w:tcPr>
                  <w:tcW w:w="437" w:type="dxa"/>
                  <w:vMerge w:val="continue"/>
                  <w:shd w:val="clear" w:color="auto" w:fill="auto"/>
                  <w:noWrap/>
                  <w:vAlign w:val="center"/>
                </w:tcPr>
                <w:p w14:paraId="10332A90">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p>
              </w:tc>
              <w:tc>
                <w:tcPr>
                  <w:tcW w:w="723" w:type="dxa"/>
                  <w:vMerge w:val="continue"/>
                  <w:shd w:val="clear" w:color="auto" w:fill="auto"/>
                  <w:noWrap/>
                  <w:vAlign w:val="center"/>
                </w:tcPr>
                <w:p w14:paraId="15F49B06">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p>
              </w:tc>
              <w:tc>
                <w:tcPr>
                  <w:tcW w:w="723" w:type="dxa"/>
                  <w:shd w:val="clear" w:color="auto" w:fill="auto"/>
                  <w:noWrap/>
                  <w:vAlign w:val="center"/>
                </w:tcPr>
                <w:p w14:paraId="63EBFE4F">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53.06</w:t>
                  </w:r>
                </w:p>
              </w:tc>
              <w:tc>
                <w:tcPr>
                  <w:tcW w:w="624" w:type="dxa"/>
                  <w:shd w:val="clear" w:color="auto" w:fill="auto"/>
                  <w:noWrap/>
                  <w:vAlign w:val="center"/>
                </w:tcPr>
                <w:p w14:paraId="6F880153">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w:t>
                  </w:r>
                </w:p>
              </w:tc>
            </w:tr>
            <w:tr w14:paraId="23221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732A91A1">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4321B93C">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7FCC146D">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53388D70">
                  <w:pPr>
                    <w:pStyle w:val="57"/>
                    <w:rPr>
                      <w:rFonts w:cs="Times New Roman"/>
                      <w:color w:val="000000" w:themeColor="text1"/>
                      <w:szCs w:val="21"/>
                      <w:u w:val="none" w:color="auto"/>
                      <w14:textFill>
                        <w14:solidFill>
                          <w14:schemeClr w14:val="tx1"/>
                        </w14:solidFill>
                      </w14:textFill>
                    </w:rPr>
                  </w:pPr>
                </w:p>
              </w:tc>
              <w:tc>
                <w:tcPr>
                  <w:tcW w:w="618" w:type="dxa"/>
                  <w:vMerge w:val="continue"/>
                  <w:shd w:val="clear" w:color="auto" w:fill="auto"/>
                  <w:noWrap/>
                  <w:vAlign w:val="center"/>
                </w:tcPr>
                <w:p w14:paraId="3B96D4A2">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p>
              </w:tc>
              <w:tc>
                <w:tcPr>
                  <w:tcW w:w="618" w:type="dxa"/>
                  <w:vMerge w:val="continue"/>
                  <w:shd w:val="clear" w:color="auto" w:fill="auto"/>
                  <w:noWrap/>
                  <w:vAlign w:val="center"/>
                </w:tcPr>
                <w:p w14:paraId="2468279D">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p>
              </w:tc>
              <w:tc>
                <w:tcPr>
                  <w:tcW w:w="477" w:type="dxa"/>
                  <w:vMerge w:val="continue"/>
                  <w:shd w:val="clear" w:color="auto" w:fill="auto"/>
                  <w:noWrap/>
                  <w:vAlign w:val="center"/>
                </w:tcPr>
                <w:p w14:paraId="4AC486EE">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p>
              </w:tc>
              <w:tc>
                <w:tcPr>
                  <w:tcW w:w="727" w:type="dxa"/>
                  <w:shd w:val="clear" w:color="auto" w:fill="auto"/>
                  <w:noWrap/>
                  <w:vAlign w:val="center"/>
                </w:tcPr>
                <w:p w14:paraId="70792A94">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7.42</w:t>
                  </w:r>
                </w:p>
              </w:tc>
              <w:tc>
                <w:tcPr>
                  <w:tcW w:w="723" w:type="dxa"/>
                  <w:shd w:val="clear" w:color="auto" w:fill="auto"/>
                  <w:noWrap/>
                  <w:vAlign w:val="center"/>
                </w:tcPr>
                <w:p w14:paraId="736372F6">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69.13</w:t>
                  </w:r>
                </w:p>
              </w:tc>
              <w:tc>
                <w:tcPr>
                  <w:tcW w:w="437" w:type="dxa"/>
                  <w:vMerge w:val="continue"/>
                  <w:shd w:val="clear" w:color="auto" w:fill="auto"/>
                  <w:noWrap/>
                  <w:vAlign w:val="center"/>
                </w:tcPr>
                <w:p w14:paraId="493E49AB">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p>
              </w:tc>
              <w:tc>
                <w:tcPr>
                  <w:tcW w:w="723" w:type="dxa"/>
                  <w:vMerge w:val="continue"/>
                  <w:shd w:val="clear" w:color="auto" w:fill="auto"/>
                  <w:noWrap/>
                  <w:vAlign w:val="center"/>
                </w:tcPr>
                <w:p w14:paraId="759CFA29">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p>
              </w:tc>
              <w:tc>
                <w:tcPr>
                  <w:tcW w:w="723" w:type="dxa"/>
                  <w:shd w:val="clear" w:color="auto" w:fill="auto"/>
                  <w:noWrap/>
                  <w:vAlign w:val="center"/>
                </w:tcPr>
                <w:p w14:paraId="2235FD51">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53.13</w:t>
                  </w:r>
                </w:p>
              </w:tc>
              <w:tc>
                <w:tcPr>
                  <w:tcW w:w="624" w:type="dxa"/>
                  <w:shd w:val="clear" w:color="auto" w:fill="auto"/>
                  <w:noWrap/>
                  <w:vAlign w:val="center"/>
                </w:tcPr>
                <w:p w14:paraId="0C43E12C">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w:t>
                  </w:r>
                </w:p>
              </w:tc>
            </w:tr>
            <w:tr w14:paraId="39782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6E2C6BB2">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392C8D24">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7D2F731E">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20604C52">
                  <w:pPr>
                    <w:pStyle w:val="57"/>
                    <w:rPr>
                      <w:rFonts w:cs="Times New Roman"/>
                      <w:color w:val="000000" w:themeColor="text1"/>
                      <w:szCs w:val="21"/>
                      <w:u w:val="none" w:color="auto"/>
                      <w14:textFill>
                        <w14:solidFill>
                          <w14:schemeClr w14:val="tx1"/>
                        </w14:solidFill>
                      </w14:textFill>
                    </w:rPr>
                  </w:pPr>
                </w:p>
              </w:tc>
              <w:tc>
                <w:tcPr>
                  <w:tcW w:w="618" w:type="dxa"/>
                  <w:vMerge w:val="continue"/>
                  <w:shd w:val="clear" w:color="auto" w:fill="auto"/>
                  <w:noWrap/>
                  <w:vAlign w:val="center"/>
                </w:tcPr>
                <w:p w14:paraId="295CBA89">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p>
              </w:tc>
              <w:tc>
                <w:tcPr>
                  <w:tcW w:w="618" w:type="dxa"/>
                  <w:vMerge w:val="continue"/>
                  <w:shd w:val="clear" w:color="auto" w:fill="auto"/>
                  <w:noWrap/>
                  <w:vAlign w:val="center"/>
                </w:tcPr>
                <w:p w14:paraId="656CDDF4">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p>
              </w:tc>
              <w:tc>
                <w:tcPr>
                  <w:tcW w:w="477" w:type="dxa"/>
                  <w:vMerge w:val="continue"/>
                  <w:shd w:val="clear" w:color="auto" w:fill="auto"/>
                  <w:noWrap/>
                  <w:vAlign w:val="center"/>
                </w:tcPr>
                <w:p w14:paraId="1C8BBEB9">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p>
              </w:tc>
              <w:tc>
                <w:tcPr>
                  <w:tcW w:w="727" w:type="dxa"/>
                  <w:shd w:val="clear" w:color="auto" w:fill="auto"/>
                  <w:noWrap/>
                  <w:vAlign w:val="center"/>
                </w:tcPr>
                <w:p w14:paraId="382073F5">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28.59</w:t>
                  </w:r>
                </w:p>
              </w:tc>
              <w:tc>
                <w:tcPr>
                  <w:tcW w:w="723" w:type="dxa"/>
                  <w:shd w:val="clear" w:color="auto" w:fill="auto"/>
                  <w:noWrap/>
                  <w:vAlign w:val="center"/>
                </w:tcPr>
                <w:p w14:paraId="500D530C">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69.06</w:t>
                  </w:r>
                </w:p>
              </w:tc>
              <w:tc>
                <w:tcPr>
                  <w:tcW w:w="437" w:type="dxa"/>
                  <w:vMerge w:val="continue"/>
                  <w:shd w:val="clear" w:color="auto" w:fill="auto"/>
                  <w:noWrap/>
                  <w:vAlign w:val="center"/>
                </w:tcPr>
                <w:p w14:paraId="2A37D36B">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p>
              </w:tc>
              <w:tc>
                <w:tcPr>
                  <w:tcW w:w="723" w:type="dxa"/>
                  <w:vMerge w:val="continue"/>
                  <w:shd w:val="clear" w:color="auto" w:fill="auto"/>
                  <w:noWrap/>
                  <w:vAlign w:val="center"/>
                </w:tcPr>
                <w:p w14:paraId="3AB68477">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p>
              </w:tc>
              <w:tc>
                <w:tcPr>
                  <w:tcW w:w="723" w:type="dxa"/>
                  <w:shd w:val="clear" w:color="auto" w:fill="auto"/>
                  <w:noWrap/>
                  <w:vAlign w:val="center"/>
                </w:tcPr>
                <w:p w14:paraId="0704A5D8">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53.06</w:t>
                  </w:r>
                </w:p>
              </w:tc>
              <w:tc>
                <w:tcPr>
                  <w:tcW w:w="624" w:type="dxa"/>
                  <w:shd w:val="clear" w:color="auto" w:fill="auto"/>
                  <w:noWrap/>
                  <w:vAlign w:val="center"/>
                </w:tcPr>
                <w:p w14:paraId="585B166D">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w:t>
                  </w:r>
                </w:p>
              </w:tc>
            </w:tr>
            <w:tr w14:paraId="56D54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restart"/>
                  <w:shd w:val="clear" w:color="auto" w:fill="auto"/>
                  <w:noWrap/>
                  <w:vAlign w:val="center"/>
                </w:tcPr>
                <w:p w14:paraId="52881274">
                  <w:pPr>
                    <w:pStyle w:val="57"/>
                    <w:rPr>
                      <w:rFonts w:cs="Times New Roman"/>
                      <w:color w:val="000000" w:themeColor="text1"/>
                      <w:szCs w:val="21"/>
                      <w:u w:val="none" w:color="auto"/>
                      <w14:textFill>
                        <w14:solidFill>
                          <w14:schemeClr w14:val="tx1"/>
                        </w14:solidFill>
                      </w14:textFill>
                    </w:rPr>
                  </w:pPr>
                  <w:r>
                    <w:rPr>
                      <w:rFonts w:hint="eastAsia" w:cs="Times New Roman"/>
                      <w:color w:val="000000" w:themeColor="text1"/>
                      <w:szCs w:val="21"/>
                      <w:u w:val="none" w:color="auto"/>
                      <w14:textFill>
                        <w14:solidFill>
                          <w14:schemeClr w14:val="tx1"/>
                        </w14:solidFill>
                      </w14:textFill>
                    </w:rPr>
                    <w:t>2</w:t>
                  </w:r>
                </w:p>
              </w:tc>
              <w:tc>
                <w:tcPr>
                  <w:tcW w:w="450" w:type="dxa"/>
                  <w:vMerge w:val="continue"/>
                  <w:shd w:val="clear" w:color="auto" w:fill="auto"/>
                  <w:noWrap/>
                  <w:vAlign w:val="center"/>
                </w:tcPr>
                <w:p w14:paraId="4938CF0C">
                  <w:pPr>
                    <w:pStyle w:val="57"/>
                    <w:rPr>
                      <w:rFonts w:cs="Times New Roman"/>
                      <w:color w:val="000000" w:themeColor="text1"/>
                      <w:szCs w:val="21"/>
                      <w:u w:val="none" w:color="auto"/>
                      <w14:textFill>
                        <w14:solidFill>
                          <w14:schemeClr w14:val="tx1"/>
                        </w14:solidFill>
                      </w14:textFill>
                    </w:rPr>
                  </w:pPr>
                </w:p>
              </w:tc>
              <w:tc>
                <w:tcPr>
                  <w:tcW w:w="550" w:type="dxa"/>
                  <w:vMerge w:val="restart"/>
                  <w:shd w:val="clear" w:color="auto" w:fill="auto"/>
                  <w:noWrap/>
                  <w:vAlign w:val="center"/>
                </w:tcPr>
                <w:p w14:paraId="236BD036">
                  <w:pPr>
                    <w:pStyle w:val="57"/>
                    <w:rPr>
                      <w:rFonts w:cs="Times New Roman"/>
                      <w:color w:val="000000" w:themeColor="text1"/>
                      <w:szCs w:val="21"/>
                      <w:u w:val="none" w:color="auto"/>
                      <w14:textFill>
                        <w14:solidFill>
                          <w14:schemeClr w14:val="tx1"/>
                        </w14:solidFill>
                      </w14:textFill>
                    </w:rPr>
                  </w:pPr>
                  <w:r>
                    <w:rPr>
                      <w:rFonts w:hint="eastAsia" w:cs="Times New Roman"/>
                      <w:color w:val="000000" w:themeColor="text1"/>
                      <w:szCs w:val="21"/>
                      <w:u w:val="none" w:color="auto"/>
                      <w14:textFill>
                        <w14:solidFill>
                          <w14:schemeClr w14:val="tx1"/>
                        </w14:solidFill>
                      </w14:textFill>
                    </w:rPr>
                    <w:t>软水制备机</w:t>
                  </w:r>
                </w:p>
              </w:tc>
              <w:tc>
                <w:tcPr>
                  <w:tcW w:w="663" w:type="dxa"/>
                  <w:vMerge w:val="restart"/>
                  <w:shd w:val="clear" w:color="auto" w:fill="auto"/>
                  <w:noWrap/>
                  <w:vAlign w:val="center"/>
                </w:tcPr>
                <w:p w14:paraId="7A1F5AB7">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r>
                    <w:rPr>
                      <w:rFonts w:hint="eastAsia" w:ascii="Times New Roman" w:hAnsi="Times New Roman" w:cs="Times New Roman"/>
                      <w:color w:val="000000" w:themeColor="text1"/>
                      <w:szCs w:val="21"/>
                      <w:u w:val="none" w:color="auto"/>
                      <w:lang w:val="en-US" w:eastAsia="zh-CN"/>
                      <w14:textFill>
                        <w14:solidFill>
                          <w14:schemeClr w14:val="tx1"/>
                        </w14:solidFill>
                      </w14:textFill>
                    </w:rPr>
                    <w:t>70</w:t>
                  </w:r>
                </w:p>
              </w:tc>
              <w:tc>
                <w:tcPr>
                  <w:tcW w:w="618" w:type="dxa"/>
                  <w:vMerge w:val="restart"/>
                  <w:shd w:val="clear" w:color="auto" w:fill="auto"/>
                  <w:noWrap/>
                  <w:vAlign w:val="center"/>
                </w:tcPr>
                <w:p w14:paraId="1FE81A0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42.86</w:t>
                  </w:r>
                </w:p>
              </w:tc>
              <w:tc>
                <w:tcPr>
                  <w:tcW w:w="618" w:type="dxa"/>
                  <w:vMerge w:val="restart"/>
                  <w:shd w:val="clear" w:color="auto" w:fill="auto"/>
                  <w:noWrap/>
                  <w:vAlign w:val="center"/>
                </w:tcPr>
                <w:p w14:paraId="263BB957">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26.58</w:t>
                  </w:r>
                </w:p>
              </w:tc>
              <w:tc>
                <w:tcPr>
                  <w:tcW w:w="477" w:type="dxa"/>
                  <w:vMerge w:val="restart"/>
                  <w:shd w:val="clear" w:color="auto" w:fill="auto"/>
                  <w:noWrap/>
                  <w:vAlign w:val="center"/>
                </w:tcPr>
                <w:p w14:paraId="5C4211E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w:t>
                  </w:r>
                </w:p>
              </w:tc>
              <w:tc>
                <w:tcPr>
                  <w:tcW w:w="727" w:type="dxa"/>
                  <w:shd w:val="clear" w:color="auto" w:fill="auto"/>
                  <w:noWrap/>
                  <w:vAlign w:val="center"/>
                </w:tcPr>
                <w:p w14:paraId="6DB68A5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32.29</w:t>
                  </w:r>
                </w:p>
              </w:tc>
              <w:tc>
                <w:tcPr>
                  <w:tcW w:w="723" w:type="dxa"/>
                  <w:shd w:val="clear" w:color="auto" w:fill="auto"/>
                  <w:noWrap/>
                  <w:vAlign w:val="center"/>
                </w:tcPr>
                <w:p w14:paraId="0EE5EBE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59.06</w:t>
                  </w:r>
                </w:p>
              </w:tc>
              <w:tc>
                <w:tcPr>
                  <w:tcW w:w="437" w:type="dxa"/>
                  <w:vMerge w:val="restart"/>
                  <w:shd w:val="clear" w:color="auto" w:fill="auto"/>
                  <w:noWrap/>
                  <w:vAlign w:val="center"/>
                </w:tcPr>
                <w:p w14:paraId="2597845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昼间</w:t>
                  </w:r>
                </w:p>
              </w:tc>
              <w:tc>
                <w:tcPr>
                  <w:tcW w:w="723" w:type="dxa"/>
                  <w:vMerge w:val="restart"/>
                  <w:shd w:val="clear" w:color="auto" w:fill="auto"/>
                  <w:noWrap/>
                  <w:vAlign w:val="center"/>
                </w:tcPr>
                <w:p w14:paraId="40BCB068">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16</w:t>
                  </w:r>
                </w:p>
              </w:tc>
              <w:tc>
                <w:tcPr>
                  <w:tcW w:w="723" w:type="dxa"/>
                  <w:shd w:val="clear" w:color="auto" w:fill="auto"/>
                  <w:noWrap/>
                  <w:vAlign w:val="center"/>
                </w:tcPr>
                <w:p w14:paraId="21C8657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43.06</w:t>
                  </w:r>
                </w:p>
              </w:tc>
              <w:tc>
                <w:tcPr>
                  <w:tcW w:w="624" w:type="dxa"/>
                  <w:shd w:val="clear" w:color="auto" w:fill="auto"/>
                  <w:noWrap/>
                  <w:vAlign w:val="center"/>
                </w:tcPr>
                <w:p w14:paraId="1FE95E59">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5F45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4F18C185">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03C4F74B">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364FA1E8">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28031AD3">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1A28C67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295213A7">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4CC8BA6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4BA38E8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25.61</w:t>
                  </w:r>
                </w:p>
              </w:tc>
              <w:tc>
                <w:tcPr>
                  <w:tcW w:w="723" w:type="dxa"/>
                  <w:shd w:val="clear" w:color="auto" w:fill="auto"/>
                  <w:noWrap/>
                  <w:vAlign w:val="center"/>
                </w:tcPr>
                <w:p w14:paraId="5C9FC91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59.06</w:t>
                  </w:r>
                </w:p>
              </w:tc>
              <w:tc>
                <w:tcPr>
                  <w:tcW w:w="437" w:type="dxa"/>
                  <w:vMerge w:val="continue"/>
                  <w:shd w:val="clear" w:color="auto" w:fill="auto"/>
                  <w:noWrap/>
                  <w:vAlign w:val="center"/>
                </w:tcPr>
                <w:p w14:paraId="78F1DDA7">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71D1444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043463BC">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43.06</w:t>
                  </w:r>
                </w:p>
              </w:tc>
              <w:tc>
                <w:tcPr>
                  <w:tcW w:w="624" w:type="dxa"/>
                  <w:shd w:val="clear" w:color="auto" w:fill="auto"/>
                  <w:noWrap/>
                  <w:vAlign w:val="center"/>
                </w:tcPr>
                <w:p w14:paraId="68E2C8FC">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073AA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019D4075">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08BE7829">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0E148475">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442A2707">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2028015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39C71A0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263F433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640223F7">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9.02</w:t>
                  </w:r>
                </w:p>
              </w:tc>
              <w:tc>
                <w:tcPr>
                  <w:tcW w:w="723" w:type="dxa"/>
                  <w:shd w:val="clear" w:color="auto" w:fill="auto"/>
                  <w:noWrap/>
                  <w:vAlign w:val="center"/>
                </w:tcPr>
                <w:p w14:paraId="412AA12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59.10</w:t>
                  </w:r>
                </w:p>
              </w:tc>
              <w:tc>
                <w:tcPr>
                  <w:tcW w:w="437" w:type="dxa"/>
                  <w:vMerge w:val="continue"/>
                  <w:shd w:val="clear" w:color="auto" w:fill="auto"/>
                  <w:noWrap/>
                  <w:vAlign w:val="center"/>
                </w:tcPr>
                <w:p w14:paraId="1B7560F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01167B2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567ED48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43.10</w:t>
                  </w:r>
                </w:p>
              </w:tc>
              <w:tc>
                <w:tcPr>
                  <w:tcW w:w="624" w:type="dxa"/>
                  <w:shd w:val="clear" w:color="auto" w:fill="auto"/>
                  <w:noWrap/>
                  <w:vAlign w:val="center"/>
                </w:tcPr>
                <w:p w14:paraId="5AABADE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28EEC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70E210AA">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2BA62FBD">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21822161">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1847572A">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03E7A05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67FE879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2AA473D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01FDAE1F">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21.13</w:t>
                  </w:r>
                </w:p>
              </w:tc>
              <w:tc>
                <w:tcPr>
                  <w:tcW w:w="723" w:type="dxa"/>
                  <w:shd w:val="clear" w:color="auto" w:fill="auto"/>
                  <w:noWrap/>
                  <w:vAlign w:val="center"/>
                </w:tcPr>
                <w:p w14:paraId="7C0D7DA7">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59.06</w:t>
                  </w:r>
                </w:p>
              </w:tc>
              <w:tc>
                <w:tcPr>
                  <w:tcW w:w="437" w:type="dxa"/>
                  <w:vMerge w:val="continue"/>
                  <w:shd w:val="clear" w:color="auto" w:fill="auto"/>
                  <w:noWrap/>
                  <w:vAlign w:val="center"/>
                </w:tcPr>
                <w:p w14:paraId="2C9A57D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3827F047">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6F39973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43.06</w:t>
                  </w:r>
                </w:p>
              </w:tc>
              <w:tc>
                <w:tcPr>
                  <w:tcW w:w="624" w:type="dxa"/>
                  <w:shd w:val="clear" w:color="auto" w:fill="auto"/>
                  <w:noWrap/>
                  <w:vAlign w:val="center"/>
                </w:tcPr>
                <w:p w14:paraId="0F6B783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4A6EB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restart"/>
                  <w:shd w:val="clear" w:color="auto" w:fill="auto"/>
                  <w:noWrap/>
                  <w:vAlign w:val="center"/>
                </w:tcPr>
                <w:p w14:paraId="2D346DCE">
                  <w:pPr>
                    <w:pStyle w:val="57"/>
                    <w:rPr>
                      <w:rFonts w:cs="Times New Roman"/>
                      <w:color w:val="000000" w:themeColor="text1"/>
                      <w:szCs w:val="21"/>
                      <w:u w:val="none" w:color="auto"/>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3</w:t>
                  </w:r>
                </w:p>
              </w:tc>
              <w:tc>
                <w:tcPr>
                  <w:tcW w:w="450" w:type="dxa"/>
                  <w:vMerge w:val="continue"/>
                  <w:shd w:val="clear" w:color="auto" w:fill="auto"/>
                  <w:noWrap/>
                  <w:vAlign w:val="center"/>
                </w:tcPr>
                <w:p w14:paraId="37C2882A">
                  <w:pPr>
                    <w:pStyle w:val="57"/>
                    <w:rPr>
                      <w:rFonts w:cs="Times New Roman"/>
                      <w:color w:val="000000" w:themeColor="text1"/>
                      <w:szCs w:val="21"/>
                      <w:u w:val="none" w:color="auto"/>
                      <w14:textFill>
                        <w14:solidFill>
                          <w14:schemeClr w14:val="tx1"/>
                        </w14:solidFill>
                      </w14:textFill>
                    </w:rPr>
                  </w:pPr>
                </w:p>
              </w:tc>
              <w:tc>
                <w:tcPr>
                  <w:tcW w:w="550" w:type="dxa"/>
                  <w:vMerge w:val="restart"/>
                  <w:shd w:val="clear" w:color="auto" w:fill="auto"/>
                  <w:noWrap/>
                  <w:vAlign w:val="center"/>
                </w:tcPr>
                <w:p w14:paraId="28F1EF97">
                  <w:pPr>
                    <w:pStyle w:val="57"/>
                    <w:rPr>
                      <w:rFonts w:hint="default"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olor w:val="000000" w:themeColor="text1"/>
                      <w:u w:val="none" w:color="auto"/>
                      <w:lang w:val="en-US" w:eastAsia="zh-CN"/>
                      <w14:textFill>
                        <w14:solidFill>
                          <w14:schemeClr w14:val="tx1"/>
                        </w14:solidFill>
                      </w14:textFill>
                    </w:rPr>
                    <w:t>风机</w:t>
                  </w:r>
                  <w:r>
                    <w:rPr>
                      <w:rFonts w:hint="eastAsia"/>
                      <w:color w:val="000000" w:themeColor="text1"/>
                      <w:u w:val="none" w:color="auto"/>
                      <w:lang w:val="en-US" w:eastAsia="zh-CN"/>
                      <w14:textFill>
                        <w14:solidFill>
                          <w14:schemeClr w14:val="tx1"/>
                        </w14:solidFill>
                      </w14:textFill>
                    </w:rPr>
                    <w:t>1#</w:t>
                  </w:r>
                </w:p>
              </w:tc>
              <w:tc>
                <w:tcPr>
                  <w:tcW w:w="663" w:type="dxa"/>
                  <w:vMerge w:val="restart"/>
                  <w:shd w:val="clear" w:color="auto" w:fill="auto"/>
                  <w:noWrap/>
                  <w:vAlign w:val="center"/>
                </w:tcPr>
                <w:p w14:paraId="3FE8CA6C">
                  <w:pPr>
                    <w:pStyle w:val="57"/>
                    <w:rPr>
                      <w:rFonts w:hint="default" w:ascii="Times New Roman" w:hAnsi="Times New Roman"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85</w:t>
                  </w:r>
                </w:p>
              </w:tc>
              <w:tc>
                <w:tcPr>
                  <w:tcW w:w="618" w:type="dxa"/>
                  <w:vMerge w:val="restart"/>
                  <w:shd w:val="clear" w:color="auto" w:fill="auto"/>
                  <w:noWrap/>
                  <w:vAlign w:val="center"/>
                </w:tcPr>
                <w:p w14:paraId="49122869">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46.6</w:t>
                  </w:r>
                </w:p>
              </w:tc>
              <w:tc>
                <w:tcPr>
                  <w:tcW w:w="618" w:type="dxa"/>
                  <w:vMerge w:val="restart"/>
                  <w:shd w:val="clear" w:color="auto" w:fill="auto"/>
                  <w:noWrap/>
                  <w:vAlign w:val="center"/>
                </w:tcPr>
                <w:p w14:paraId="43DD6A9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22.57</w:t>
                  </w:r>
                </w:p>
              </w:tc>
              <w:tc>
                <w:tcPr>
                  <w:tcW w:w="477" w:type="dxa"/>
                  <w:vMerge w:val="restart"/>
                  <w:shd w:val="clear" w:color="auto" w:fill="auto"/>
                  <w:noWrap/>
                  <w:vAlign w:val="center"/>
                </w:tcPr>
                <w:p w14:paraId="7DA7B98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w:t>
                  </w:r>
                </w:p>
              </w:tc>
              <w:tc>
                <w:tcPr>
                  <w:tcW w:w="727" w:type="dxa"/>
                  <w:shd w:val="clear" w:color="auto" w:fill="auto"/>
                  <w:noWrap/>
                  <w:vAlign w:val="center"/>
                </w:tcPr>
                <w:p w14:paraId="299385A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32.87</w:t>
                  </w:r>
                </w:p>
              </w:tc>
              <w:tc>
                <w:tcPr>
                  <w:tcW w:w="723" w:type="dxa"/>
                  <w:shd w:val="clear" w:color="auto" w:fill="auto"/>
                  <w:noWrap/>
                  <w:vAlign w:val="center"/>
                </w:tcPr>
                <w:p w14:paraId="116E62B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74.05</w:t>
                  </w:r>
                </w:p>
              </w:tc>
              <w:tc>
                <w:tcPr>
                  <w:tcW w:w="437" w:type="dxa"/>
                  <w:vMerge w:val="restart"/>
                  <w:shd w:val="clear" w:color="auto" w:fill="auto"/>
                  <w:noWrap/>
                  <w:vAlign w:val="center"/>
                </w:tcPr>
                <w:p w14:paraId="5DB240D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昼间</w:t>
                  </w:r>
                </w:p>
              </w:tc>
              <w:tc>
                <w:tcPr>
                  <w:tcW w:w="723" w:type="dxa"/>
                  <w:vMerge w:val="restart"/>
                  <w:shd w:val="clear" w:color="auto" w:fill="auto"/>
                  <w:noWrap/>
                  <w:vAlign w:val="center"/>
                </w:tcPr>
                <w:p w14:paraId="6D260840">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16</w:t>
                  </w:r>
                </w:p>
              </w:tc>
              <w:tc>
                <w:tcPr>
                  <w:tcW w:w="723" w:type="dxa"/>
                  <w:shd w:val="clear" w:color="auto" w:fill="auto"/>
                  <w:noWrap/>
                  <w:vAlign w:val="center"/>
                </w:tcPr>
                <w:p w14:paraId="09D57F6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58.05</w:t>
                  </w:r>
                </w:p>
              </w:tc>
              <w:tc>
                <w:tcPr>
                  <w:tcW w:w="624" w:type="dxa"/>
                  <w:shd w:val="clear" w:color="auto" w:fill="auto"/>
                  <w:noWrap/>
                  <w:vAlign w:val="center"/>
                </w:tcPr>
                <w:p w14:paraId="1274106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7A9EA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2C9E798F">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435FB0A0">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2227666F">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36E038C5">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5873009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4D39B64E">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7378F6D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14AB0BD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20.25</w:t>
                  </w:r>
                </w:p>
              </w:tc>
              <w:tc>
                <w:tcPr>
                  <w:tcW w:w="723" w:type="dxa"/>
                  <w:shd w:val="clear" w:color="auto" w:fill="auto"/>
                  <w:noWrap/>
                  <w:vAlign w:val="center"/>
                </w:tcPr>
                <w:p w14:paraId="100D0E6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74.06</w:t>
                  </w:r>
                </w:p>
              </w:tc>
              <w:tc>
                <w:tcPr>
                  <w:tcW w:w="437" w:type="dxa"/>
                  <w:vMerge w:val="continue"/>
                  <w:shd w:val="clear" w:color="auto" w:fill="auto"/>
                  <w:noWrap/>
                  <w:vAlign w:val="center"/>
                </w:tcPr>
                <w:p w14:paraId="3910177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3D38CE8B">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4EA5009E">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58.06</w:t>
                  </w:r>
                </w:p>
              </w:tc>
              <w:tc>
                <w:tcPr>
                  <w:tcW w:w="624" w:type="dxa"/>
                  <w:shd w:val="clear" w:color="auto" w:fill="auto"/>
                  <w:noWrap/>
                  <w:vAlign w:val="center"/>
                </w:tcPr>
                <w:p w14:paraId="06ADC62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3E34F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75E25297">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5C4D5339">
                  <w:pPr>
                    <w:pStyle w:val="57"/>
                    <w:rPr>
                      <w:rFonts w:hint="eastAsia" w:eastAsia="宋体" w:cs="Times New Roman"/>
                      <w:color w:val="000000" w:themeColor="text1"/>
                      <w:szCs w:val="21"/>
                      <w:u w:val="none" w:color="auto"/>
                      <w:lang w:val="en-US" w:eastAsia="zh-CN"/>
                      <w14:textFill>
                        <w14:solidFill>
                          <w14:schemeClr w14:val="tx1"/>
                        </w14:solidFill>
                      </w14:textFill>
                    </w:rPr>
                  </w:pPr>
                </w:p>
              </w:tc>
              <w:tc>
                <w:tcPr>
                  <w:tcW w:w="550" w:type="dxa"/>
                  <w:vMerge w:val="continue"/>
                  <w:shd w:val="clear" w:color="auto" w:fill="auto"/>
                  <w:noWrap/>
                  <w:vAlign w:val="center"/>
                </w:tcPr>
                <w:p w14:paraId="3CB5880F">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01E6BF13">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27E221B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0AA6035B">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615900A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43C7C0C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7.53</w:t>
                  </w:r>
                </w:p>
              </w:tc>
              <w:tc>
                <w:tcPr>
                  <w:tcW w:w="723" w:type="dxa"/>
                  <w:shd w:val="clear" w:color="auto" w:fill="auto"/>
                  <w:noWrap/>
                  <w:vAlign w:val="center"/>
                </w:tcPr>
                <w:p w14:paraId="70C7167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74.13</w:t>
                  </w:r>
                </w:p>
              </w:tc>
              <w:tc>
                <w:tcPr>
                  <w:tcW w:w="437" w:type="dxa"/>
                  <w:vMerge w:val="continue"/>
                  <w:shd w:val="clear" w:color="auto" w:fill="auto"/>
                  <w:noWrap/>
                  <w:vAlign w:val="center"/>
                </w:tcPr>
                <w:p w14:paraId="75A5528E">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303A7C1C">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5C48CBA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58.13</w:t>
                  </w:r>
                </w:p>
              </w:tc>
              <w:tc>
                <w:tcPr>
                  <w:tcW w:w="624" w:type="dxa"/>
                  <w:shd w:val="clear" w:color="auto" w:fill="auto"/>
                  <w:noWrap/>
                  <w:vAlign w:val="center"/>
                </w:tcPr>
                <w:p w14:paraId="2C32532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18BC1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1116B057">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417B5C87">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49F71797">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644FB821">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287999E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7348359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087AAE7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1CB49AE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26.02</w:t>
                  </w:r>
                </w:p>
              </w:tc>
              <w:tc>
                <w:tcPr>
                  <w:tcW w:w="723" w:type="dxa"/>
                  <w:shd w:val="clear" w:color="auto" w:fill="auto"/>
                  <w:noWrap/>
                  <w:vAlign w:val="center"/>
                </w:tcPr>
                <w:p w14:paraId="36DFD709">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74.06</w:t>
                  </w:r>
                </w:p>
              </w:tc>
              <w:tc>
                <w:tcPr>
                  <w:tcW w:w="437" w:type="dxa"/>
                  <w:vMerge w:val="continue"/>
                  <w:shd w:val="clear" w:color="auto" w:fill="auto"/>
                  <w:noWrap/>
                  <w:vAlign w:val="center"/>
                </w:tcPr>
                <w:p w14:paraId="384C6AA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72630ECF">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066525E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58.06</w:t>
                  </w:r>
                </w:p>
              </w:tc>
              <w:tc>
                <w:tcPr>
                  <w:tcW w:w="624" w:type="dxa"/>
                  <w:shd w:val="clear" w:color="auto" w:fill="auto"/>
                  <w:noWrap/>
                  <w:vAlign w:val="center"/>
                </w:tcPr>
                <w:p w14:paraId="1756406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1F75A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restart"/>
                  <w:shd w:val="clear" w:color="auto" w:fill="auto"/>
                  <w:noWrap/>
                  <w:vAlign w:val="center"/>
                </w:tcPr>
                <w:p w14:paraId="6CACE5C7">
                  <w:pPr>
                    <w:pStyle w:val="57"/>
                    <w:rPr>
                      <w:rFonts w:hint="eastAsia" w:eastAsia="宋体"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4</w:t>
                  </w:r>
                </w:p>
              </w:tc>
              <w:tc>
                <w:tcPr>
                  <w:tcW w:w="450" w:type="dxa"/>
                  <w:vMerge w:val="continue"/>
                  <w:shd w:val="clear" w:color="auto" w:fill="auto"/>
                  <w:noWrap/>
                  <w:vAlign w:val="center"/>
                </w:tcPr>
                <w:p w14:paraId="177A6B45">
                  <w:pPr>
                    <w:pStyle w:val="57"/>
                    <w:rPr>
                      <w:rFonts w:cs="Times New Roman"/>
                      <w:color w:val="000000" w:themeColor="text1"/>
                      <w:szCs w:val="21"/>
                      <w:u w:val="none" w:color="auto"/>
                      <w14:textFill>
                        <w14:solidFill>
                          <w14:schemeClr w14:val="tx1"/>
                        </w14:solidFill>
                      </w14:textFill>
                    </w:rPr>
                  </w:pPr>
                </w:p>
              </w:tc>
              <w:tc>
                <w:tcPr>
                  <w:tcW w:w="550" w:type="dxa"/>
                  <w:vMerge w:val="restart"/>
                  <w:shd w:val="clear" w:color="auto" w:fill="auto"/>
                  <w:noWrap/>
                  <w:vAlign w:val="center"/>
                </w:tcPr>
                <w:p w14:paraId="708DE2AD">
                  <w:pPr>
                    <w:pStyle w:val="57"/>
                    <w:rPr>
                      <w:rFonts w:cs="Times New Roman"/>
                      <w:color w:val="000000" w:themeColor="text1"/>
                      <w:szCs w:val="21"/>
                      <w:u w:val="none" w:color="auto"/>
                      <w14:textFill>
                        <w14:solidFill>
                          <w14:schemeClr w14:val="tx1"/>
                        </w14:solidFill>
                      </w14:textFill>
                    </w:rPr>
                  </w:pPr>
                  <w:r>
                    <w:rPr>
                      <w:rFonts w:hint="eastAsia" w:cs="Times New Roman"/>
                      <w:color w:val="000000" w:themeColor="text1"/>
                      <w:u w:val="none" w:color="auto"/>
                      <w:lang w:val="en-US" w:eastAsia="zh-CN"/>
                      <w14:textFill>
                        <w14:solidFill>
                          <w14:schemeClr w14:val="tx1"/>
                        </w14:solidFill>
                      </w14:textFill>
                    </w:rPr>
                    <w:t>断料机</w:t>
                  </w:r>
                </w:p>
              </w:tc>
              <w:tc>
                <w:tcPr>
                  <w:tcW w:w="663" w:type="dxa"/>
                  <w:vMerge w:val="restart"/>
                  <w:shd w:val="clear" w:color="auto" w:fill="auto"/>
                  <w:noWrap/>
                  <w:vAlign w:val="center"/>
                </w:tcPr>
                <w:p w14:paraId="3BEA90F5">
                  <w:pPr>
                    <w:pStyle w:val="57"/>
                    <w:rPr>
                      <w:rFonts w:hint="default" w:ascii="Times New Roman" w:hAnsi="Times New Roman"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75</w:t>
                  </w:r>
                </w:p>
              </w:tc>
              <w:tc>
                <w:tcPr>
                  <w:tcW w:w="618" w:type="dxa"/>
                  <w:vMerge w:val="restart"/>
                  <w:shd w:val="clear" w:color="auto" w:fill="auto"/>
                  <w:noWrap/>
                  <w:vAlign w:val="center"/>
                </w:tcPr>
                <w:p w14:paraId="6BB981E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35.61</w:t>
                  </w:r>
                </w:p>
              </w:tc>
              <w:tc>
                <w:tcPr>
                  <w:tcW w:w="618" w:type="dxa"/>
                  <w:vMerge w:val="restart"/>
                  <w:shd w:val="clear" w:color="auto" w:fill="auto"/>
                  <w:noWrap/>
                  <w:vAlign w:val="center"/>
                </w:tcPr>
                <w:p w14:paraId="3FAB183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77.72</w:t>
                  </w:r>
                </w:p>
              </w:tc>
              <w:tc>
                <w:tcPr>
                  <w:tcW w:w="477" w:type="dxa"/>
                  <w:vMerge w:val="restart"/>
                  <w:shd w:val="clear" w:color="auto" w:fill="auto"/>
                  <w:noWrap/>
                  <w:vAlign w:val="center"/>
                </w:tcPr>
                <w:p w14:paraId="24EFF5F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w:t>
                  </w:r>
                </w:p>
              </w:tc>
              <w:tc>
                <w:tcPr>
                  <w:tcW w:w="727" w:type="dxa"/>
                  <w:shd w:val="clear" w:color="auto" w:fill="auto"/>
                  <w:noWrap/>
                  <w:vAlign w:val="center"/>
                </w:tcPr>
                <w:p w14:paraId="0B4C053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17.38</w:t>
                  </w:r>
                </w:p>
              </w:tc>
              <w:tc>
                <w:tcPr>
                  <w:tcW w:w="723" w:type="dxa"/>
                  <w:shd w:val="clear" w:color="auto" w:fill="auto"/>
                  <w:noWrap/>
                  <w:vAlign w:val="center"/>
                </w:tcPr>
                <w:p w14:paraId="1EC2F73B">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68.00</w:t>
                  </w:r>
                </w:p>
              </w:tc>
              <w:tc>
                <w:tcPr>
                  <w:tcW w:w="437" w:type="dxa"/>
                  <w:vMerge w:val="restart"/>
                  <w:shd w:val="clear" w:color="auto" w:fill="auto"/>
                  <w:noWrap/>
                  <w:vAlign w:val="center"/>
                </w:tcPr>
                <w:p w14:paraId="37F653D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昼间</w:t>
                  </w:r>
                </w:p>
              </w:tc>
              <w:tc>
                <w:tcPr>
                  <w:tcW w:w="723" w:type="dxa"/>
                  <w:vMerge w:val="restart"/>
                  <w:shd w:val="clear" w:color="auto" w:fill="auto"/>
                  <w:noWrap/>
                  <w:vAlign w:val="center"/>
                </w:tcPr>
                <w:p w14:paraId="5766A096">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16</w:t>
                  </w:r>
                </w:p>
              </w:tc>
              <w:tc>
                <w:tcPr>
                  <w:tcW w:w="723" w:type="dxa"/>
                  <w:shd w:val="clear" w:color="auto" w:fill="auto"/>
                  <w:noWrap/>
                  <w:vAlign w:val="center"/>
                </w:tcPr>
                <w:p w14:paraId="57DBA5B7">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52.00</w:t>
                  </w:r>
                </w:p>
              </w:tc>
              <w:tc>
                <w:tcPr>
                  <w:tcW w:w="624" w:type="dxa"/>
                  <w:shd w:val="clear" w:color="auto" w:fill="auto"/>
                  <w:noWrap/>
                  <w:vAlign w:val="center"/>
                </w:tcPr>
                <w:p w14:paraId="68CED5B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6E414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555CA020">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489F2141">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56E61FDD">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721EF464">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6A7DBDA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09F6C4E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5D713499">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1BDF4E3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9.59</w:t>
                  </w:r>
                </w:p>
              </w:tc>
              <w:tc>
                <w:tcPr>
                  <w:tcW w:w="723" w:type="dxa"/>
                  <w:shd w:val="clear" w:color="auto" w:fill="auto"/>
                  <w:noWrap/>
                  <w:vAlign w:val="center"/>
                </w:tcPr>
                <w:p w14:paraId="12FD716E">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68.01</w:t>
                  </w:r>
                </w:p>
              </w:tc>
              <w:tc>
                <w:tcPr>
                  <w:tcW w:w="437" w:type="dxa"/>
                  <w:vMerge w:val="continue"/>
                  <w:shd w:val="clear" w:color="auto" w:fill="auto"/>
                  <w:noWrap/>
                  <w:vAlign w:val="center"/>
                </w:tcPr>
                <w:p w14:paraId="5C79A7D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0B039C0E">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6B25D99C">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52.01</w:t>
                  </w:r>
                </w:p>
              </w:tc>
              <w:tc>
                <w:tcPr>
                  <w:tcW w:w="624" w:type="dxa"/>
                  <w:shd w:val="clear" w:color="auto" w:fill="auto"/>
                  <w:noWrap/>
                  <w:vAlign w:val="center"/>
                </w:tcPr>
                <w:p w14:paraId="6768B8C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2CDD2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4FD25DA5">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061448A2">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208E52BB">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72662212">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7FDE3A2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1033A18C">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54C0658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3AA19B6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14.66</w:t>
                  </w:r>
                </w:p>
              </w:tc>
              <w:tc>
                <w:tcPr>
                  <w:tcW w:w="723" w:type="dxa"/>
                  <w:shd w:val="clear" w:color="auto" w:fill="auto"/>
                  <w:noWrap/>
                  <w:vAlign w:val="center"/>
                </w:tcPr>
                <w:p w14:paraId="07999CF9">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68.00</w:t>
                  </w:r>
                </w:p>
              </w:tc>
              <w:tc>
                <w:tcPr>
                  <w:tcW w:w="437" w:type="dxa"/>
                  <w:vMerge w:val="continue"/>
                  <w:shd w:val="clear" w:color="auto" w:fill="auto"/>
                  <w:noWrap/>
                  <w:vAlign w:val="center"/>
                </w:tcPr>
                <w:p w14:paraId="6D8A4BA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23907E0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18594919">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52.00</w:t>
                  </w:r>
                </w:p>
              </w:tc>
              <w:tc>
                <w:tcPr>
                  <w:tcW w:w="624" w:type="dxa"/>
                  <w:shd w:val="clear" w:color="auto" w:fill="auto"/>
                  <w:noWrap/>
                  <w:vAlign w:val="center"/>
                </w:tcPr>
                <w:p w14:paraId="0C396AE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653D9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38ECA8CD">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2F397E38">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53E6385C">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694E31C5">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0E4162E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5507E3CF">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0C6EBFD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4FC2143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8.80</w:t>
                  </w:r>
                </w:p>
              </w:tc>
              <w:tc>
                <w:tcPr>
                  <w:tcW w:w="723" w:type="dxa"/>
                  <w:shd w:val="clear" w:color="auto" w:fill="auto"/>
                  <w:noWrap/>
                  <w:vAlign w:val="center"/>
                </w:tcPr>
                <w:p w14:paraId="22989A5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68.01</w:t>
                  </w:r>
                </w:p>
              </w:tc>
              <w:tc>
                <w:tcPr>
                  <w:tcW w:w="437" w:type="dxa"/>
                  <w:vMerge w:val="continue"/>
                  <w:shd w:val="clear" w:color="auto" w:fill="auto"/>
                  <w:noWrap/>
                  <w:vAlign w:val="center"/>
                </w:tcPr>
                <w:p w14:paraId="4AED869B">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37510B5B">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79A493EB">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52.01</w:t>
                  </w:r>
                </w:p>
              </w:tc>
              <w:tc>
                <w:tcPr>
                  <w:tcW w:w="624" w:type="dxa"/>
                  <w:shd w:val="clear" w:color="auto" w:fill="auto"/>
                  <w:noWrap/>
                  <w:vAlign w:val="center"/>
                </w:tcPr>
                <w:p w14:paraId="19EC3C2E">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2AAE3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restart"/>
                  <w:shd w:val="clear" w:color="auto" w:fill="auto"/>
                  <w:noWrap/>
                  <w:vAlign w:val="center"/>
                </w:tcPr>
                <w:p w14:paraId="120FFA96">
                  <w:pPr>
                    <w:pStyle w:val="57"/>
                    <w:rPr>
                      <w:rFonts w:hint="default" w:eastAsia="宋体"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5</w:t>
                  </w:r>
                </w:p>
              </w:tc>
              <w:tc>
                <w:tcPr>
                  <w:tcW w:w="450" w:type="dxa"/>
                  <w:vMerge w:val="continue"/>
                  <w:shd w:val="clear" w:color="auto" w:fill="auto"/>
                  <w:noWrap/>
                  <w:vAlign w:val="center"/>
                </w:tcPr>
                <w:p w14:paraId="4EF19BEB">
                  <w:pPr>
                    <w:pStyle w:val="57"/>
                    <w:rPr>
                      <w:rFonts w:cs="Times New Roman"/>
                      <w:color w:val="000000" w:themeColor="text1"/>
                      <w:szCs w:val="21"/>
                      <w:u w:val="none" w:color="auto"/>
                      <w14:textFill>
                        <w14:solidFill>
                          <w14:schemeClr w14:val="tx1"/>
                        </w14:solidFill>
                      </w14:textFill>
                    </w:rPr>
                  </w:pPr>
                </w:p>
              </w:tc>
              <w:tc>
                <w:tcPr>
                  <w:tcW w:w="550" w:type="dxa"/>
                  <w:vMerge w:val="restart"/>
                  <w:shd w:val="clear" w:color="auto" w:fill="auto"/>
                  <w:noWrap/>
                  <w:vAlign w:val="center"/>
                </w:tcPr>
                <w:p w14:paraId="55477C6F">
                  <w:pPr>
                    <w:pStyle w:val="57"/>
                    <w:rPr>
                      <w:rFonts w:cs="Times New Roman"/>
                      <w:color w:val="000000" w:themeColor="text1"/>
                      <w:szCs w:val="21"/>
                      <w:u w:val="none" w:color="auto"/>
                      <w14:textFill>
                        <w14:solidFill>
                          <w14:schemeClr w14:val="tx1"/>
                        </w14:solidFill>
                      </w14:textFill>
                    </w:rPr>
                  </w:pPr>
                  <w:r>
                    <w:rPr>
                      <w:rFonts w:hint="eastAsia" w:cs="Times New Roman"/>
                      <w:color w:val="000000" w:themeColor="text1"/>
                      <w:u w:val="none" w:color="auto"/>
                      <w:lang w:val="en-US" w:eastAsia="zh-CN"/>
                      <w14:textFill>
                        <w14:solidFill>
                          <w14:schemeClr w14:val="tx1"/>
                        </w14:solidFill>
                      </w14:textFill>
                    </w:rPr>
                    <w:t>开片机</w:t>
                  </w:r>
                </w:p>
              </w:tc>
              <w:tc>
                <w:tcPr>
                  <w:tcW w:w="663" w:type="dxa"/>
                  <w:vMerge w:val="restart"/>
                  <w:shd w:val="clear" w:color="auto" w:fill="auto"/>
                  <w:noWrap/>
                  <w:vAlign w:val="center"/>
                </w:tcPr>
                <w:p w14:paraId="75673439">
                  <w:pPr>
                    <w:pStyle w:val="57"/>
                    <w:rPr>
                      <w:rFonts w:hint="default" w:ascii="Times New Roman" w:hAnsi="Times New Roman"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75</w:t>
                  </w:r>
                </w:p>
              </w:tc>
              <w:tc>
                <w:tcPr>
                  <w:tcW w:w="618" w:type="dxa"/>
                  <w:vMerge w:val="restart"/>
                  <w:shd w:val="clear" w:color="auto" w:fill="auto"/>
                  <w:noWrap/>
                  <w:vAlign w:val="center"/>
                </w:tcPr>
                <w:p w14:paraId="05D5A06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21.42</w:t>
                  </w:r>
                </w:p>
              </w:tc>
              <w:tc>
                <w:tcPr>
                  <w:tcW w:w="618" w:type="dxa"/>
                  <w:vMerge w:val="restart"/>
                  <w:shd w:val="clear" w:color="auto" w:fill="auto"/>
                  <w:noWrap/>
                  <w:vAlign w:val="center"/>
                </w:tcPr>
                <w:p w14:paraId="1287876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20.94</w:t>
                  </w:r>
                </w:p>
              </w:tc>
              <w:tc>
                <w:tcPr>
                  <w:tcW w:w="477" w:type="dxa"/>
                  <w:vMerge w:val="restart"/>
                  <w:shd w:val="clear" w:color="auto" w:fill="auto"/>
                  <w:noWrap/>
                  <w:vAlign w:val="center"/>
                </w:tcPr>
                <w:p w14:paraId="58EDF6B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w:t>
                  </w:r>
                </w:p>
              </w:tc>
              <w:tc>
                <w:tcPr>
                  <w:tcW w:w="727" w:type="dxa"/>
                  <w:shd w:val="clear" w:color="auto" w:fill="auto"/>
                  <w:noWrap/>
                  <w:vAlign w:val="center"/>
                </w:tcPr>
                <w:p w14:paraId="0A6843EB">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11.76</w:t>
                  </w:r>
                </w:p>
              </w:tc>
              <w:tc>
                <w:tcPr>
                  <w:tcW w:w="723" w:type="dxa"/>
                  <w:shd w:val="clear" w:color="auto" w:fill="auto"/>
                  <w:noWrap/>
                  <w:vAlign w:val="center"/>
                </w:tcPr>
                <w:p w14:paraId="023D7C4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64.08</w:t>
                  </w:r>
                </w:p>
              </w:tc>
              <w:tc>
                <w:tcPr>
                  <w:tcW w:w="437" w:type="dxa"/>
                  <w:vMerge w:val="restart"/>
                  <w:shd w:val="clear" w:color="auto" w:fill="auto"/>
                  <w:noWrap/>
                  <w:vAlign w:val="center"/>
                </w:tcPr>
                <w:p w14:paraId="30EF8C5B">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昼间</w:t>
                  </w:r>
                </w:p>
              </w:tc>
              <w:tc>
                <w:tcPr>
                  <w:tcW w:w="723" w:type="dxa"/>
                  <w:vMerge w:val="restart"/>
                  <w:shd w:val="clear" w:color="auto" w:fill="auto"/>
                  <w:noWrap/>
                  <w:vAlign w:val="center"/>
                </w:tcPr>
                <w:p w14:paraId="496FDF2C">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16</w:t>
                  </w:r>
                </w:p>
              </w:tc>
              <w:tc>
                <w:tcPr>
                  <w:tcW w:w="723" w:type="dxa"/>
                  <w:shd w:val="clear" w:color="auto" w:fill="auto"/>
                  <w:noWrap/>
                  <w:vAlign w:val="center"/>
                </w:tcPr>
                <w:p w14:paraId="4726E93A">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48.08</w:t>
                  </w:r>
                </w:p>
              </w:tc>
              <w:tc>
                <w:tcPr>
                  <w:tcW w:w="624" w:type="dxa"/>
                  <w:shd w:val="clear" w:color="auto" w:fill="auto"/>
                  <w:noWrap/>
                  <w:vAlign w:val="center"/>
                </w:tcPr>
                <w:p w14:paraId="6889F32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51887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2261FC04">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68E07DBD">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4378746B">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051EDB41">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5B921D8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222165F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01804D5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29240B4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31.78</w:t>
                  </w:r>
                </w:p>
              </w:tc>
              <w:tc>
                <w:tcPr>
                  <w:tcW w:w="723" w:type="dxa"/>
                  <w:shd w:val="clear" w:color="auto" w:fill="auto"/>
                  <w:noWrap/>
                  <w:vAlign w:val="center"/>
                </w:tcPr>
                <w:p w14:paraId="4130F32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64.06</w:t>
                  </w:r>
                </w:p>
              </w:tc>
              <w:tc>
                <w:tcPr>
                  <w:tcW w:w="437" w:type="dxa"/>
                  <w:vMerge w:val="continue"/>
                  <w:shd w:val="clear" w:color="auto" w:fill="auto"/>
                  <w:noWrap/>
                  <w:vAlign w:val="center"/>
                </w:tcPr>
                <w:p w14:paraId="5FAEE6F9">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4287DF8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7ABB04B2">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48.06</w:t>
                  </w:r>
                </w:p>
              </w:tc>
              <w:tc>
                <w:tcPr>
                  <w:tcW w:w="624" w:type="dxa"/>
                  <w:shd w:val="clear" w:color="auto" w:fill="auto"/>
                  <w:noWrap/>
                  <w:vAlign w:val="center"/>
                </w:tcPr>
                <w:p w14:paraId="45D51A09">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57BF5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5649C17B">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70783804">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2823ECC2">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655DCCA2">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7AAD9B0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5E644CB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52EF15AF">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673B5B1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20.57</w:t>
                  </w:r>
                </w:p>
              </w:tc>
              <w:tc>
                <w:tcPr>
                  <w:tcW w:w="723" w:type="dxa"/>
                  <w:shd w:val="clear" w:color="auto" w:fill="auto"/>
                  <w:noWrap/>
                  <w:vAlign w:val="center"/>
                </w:tcPr>
                <w:p w14:paraId="2CE1960B">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64.06</w:t>
                  </w:r>
                </w:p>
              </w:tc>
              <w:tc>
                <w:tcPr>
                  <w:tcW w:w="437" w:type="dxa"/>
                  <w:vMerge w:val="continue"/>
                  <w:shd w:val="clear" w:color="auto" w:fill="auto"/>
                  <w:noWrap/>
                  <w:vAlign w:val="center"/>
                </w:tcPr>
                <w:p w14:paraId="25C8D7AB">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27E3AB7C">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17996345">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48.06</w:t>
                  </w:r>
                </w:p>
              </w:tc>
              <w:tc>
                <w:tcPr>
                  <w:tcW w:w="624" w:type="dxa"/>
                  <w:shd w:val="clear" w:color="auto" w:fill="auto"/>
                  <w:noWrap/>
                  <w:vAlign w:val="center"/>
                </w:tcPr>
                <w:p w14:paraId="77E1B60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02EBC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6CC55774">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44E9167D">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71CE0BF9">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5ECD65F9">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35DC719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7274BA4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6F4D78EC">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49A356E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2.78</w:t>
                  </w:r>
                </w:p>
              </w:tc>
              <w:tc>
                <w:tcPr>
                  <w:tcW w:w="723" w:type="dxa"/>
                  <w:shd w:val="clear" w:color="auto" w:fill="auto"/>
                  <w:noWrap/>
                  <w:vAlign w:val="center"/>
                </w:tcPr>
                <w:p w14:paraId="7324D5B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64.57</w:t>
                  </w:r>
                </w:p>
              </w:tc>
              <w:tc>
                <w:tcPr>
                  <w:tcW w:w="437" w:type="dxa"/>
                  <w:vMerge w:val="continue"/>
                  <w:shd w:val="clear" w:color="auto" w:fill="auto"/>
                  <w:noWrap/>
                  <w:vAlign w:val="center"/>
                </w:tcPr>
                <w:p w14:paraId="69C1C38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281ED02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3D7F8F94">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48.57</w:t>
                  </w:r>
                </w:p>
              </w:tc>
              <w:tc>
                <w:tcPr>
                  <w:tcW w:w="624" w:type="dxa"/>
                  <w:shd w:val="clear" w:color="auto" w:fill="auto"/>
                  <w:noWrap/>
                  <w:vAlign w:val="center"/>
                </w:tcPr>
                <w:p w14:paraId="27686B7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752AE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restart"/>
                  <w:shd w:val="clear" w:color="auto" w:fill="auto"/>
                  <w:noWrap/>
                  <w:vAlign w:val="center"/>
                </w:tcPr>
                <w:p w14:paraId="0EC4A940">
                  <w:pPr>
                    <w:pStyle w:val="57"/>
                    <w:rPr>
                      <w:rFonts w:hint="eastAsia" w:eastAsia="宋体"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6</w:t>
                  </w:r>
                </w:p>
              </w:tc>
              <w:tc>
                <w:tcPr>
                  <w:tcW w:w="450" w:type="dxa"/>
                  <w:vMerge w:val="continue"/>
                  <w:shd w:val="clear" w:color="auto" w:fill="auto"/>
                  <w:noWrap/>
                  <w:vAlign w:val="center"/>
                </w:tcPr>
                <w:p w14:paraId="02668A2B">
                  <w:pPr>
                    <w:pStyle w:val="57"/>
                    <w:rPr>
                      <w:rFonts w:cs="Times New Roman"/>
                      <w:color w:val="000000" w:themeColor="text1"/>
                      <w:szCs w:val="21"/>
                      <w:u w:val="none" w:color="auto"/>
                      <w14:textFill>
                        <w14:solidFill>
                          <w14:schemeClr w14:val="tx1"/>
                        </w14:solidFill>
                      </w14:textFill>
                    </w:rPr>
                  </w:pPr>
                </w:p>
              </w:tc>
              <w:tc>
                <w:tcPr>
                  <w:tcW w:w="550" w:type="dxa"/>
                  <w:vMerge w:val="restart"/>
                  <w:shd w:val="clear" w:color="auto" w:fill="auto"/>
                  <w:noWrap/>
                  <w:vAlign w:val="center"/>
                </w:tcPr>
                <w:p w14:paraId="5FA4D873">
                  <w:pPr>
                    <w:pStyle w:val="57"/>
                    <w:rPr>
                      <w:rFonts w:cs="Times New Roman"/>
                      <w:color w:val="000000" w:themeColor="text1"/>
                      <w:szCs w:val="21"/>
                      <w:u w:val="none" w:color="auto"/>
                      <w14:textFill>
                        <w14:solidFill>
                          <w14:schemeClr w14:val="tx1"/>
                        </w14:solidFill>
                      </w14:textFill>
                    </w:rPr>
                  </w:pPr>
                  <w:r>
                    <w:rPr>
                      <w:rFonts w:hint="eastAsia" w:cs="Times New Roman"/>
                      <w:color w:val="000000" w:themeColor="text1"/>
                      <w:u w:val="none" w:color="auto"/>
                      <w:lang w:val="en-US" w:eastAsia="zh-CN"/>
                      <w14:textFill>
                        <w14:solidFill>
                          <w14:schemeClr w14:val="tx1"/>
                        </w14:solidFill>
                      </w14:textFill>
                    </w:rPr>
                    <w:t>拉丝机</w:t>
                  </w:r>
                </w:p>
              </w:tc>
              <w:tc>
                <w:tcPr>
                  <w:tcW w:w="663" w:type="dxa"/>
                  <w:vMerge w:val="restart"/>
                  <w:shd w:val="clear" w:color="auto" w:fill="auto"/>
                  <w:noWrap/>
                  <w:vAlign w:val="center"/>
                </w:tcPr>
                <w:p w14:paraId="4B4D0037">
                  <w:pPr>
                    <w:pStyle w:val="57"/>
                    <w:rPr>
                      <w:rFonts w:hint="default" w:ascii="Times New Roman" w:hAnsi="Times New Roman" w:cs="Times New Roman"/>
                      <w:color w:val="000000" w:themeColor="text1"/>
                      <w:szCs w:val="21"/>
                      <w:u w:val="none" w:color="auto"/>
                      <w:lang w:val="en-US" w:eastAsia="zh-CN"/>
                      <w14:textFill>
                        <w14:solidFill>
                          <w14:schemeClr w14:val="tx1"/>
                        </w14:solidFill>
                      </w14:textFill>
                    </w:rPr>
                  </w:pPr>
                  <w:r>
                    <w:rPr>
                      <w:rFonts w:hint="eastAsia"/>
                      <w:color w:val="000000" w:themeColor="text1"/>
                      <w:szCs w:val="21"/>
                      <w:u w:val="none"/>
                      <w:lang w:val="en-US" w:eastAsia="zh-CN"/>
                      <w14:textFill>
                        <w14:solidFill>
                          <w14:schemeClr w14:val="tx1"/>
                        </w14:solidFill>
                      </w14:textFill>
                    </w:rPr>
                    <w:t>单台75，5台叠加81.99</w:t>
                  </w:r>
                </w:p>
              </w:tc>
              <w:tc>
                <w:tcPr>
                  <w:tcW w:w="618" w:type="dxa"/>
                  <w:vMerge w:val="restart"/>
                  <w:shd w:val="clear" w:color="auto" w:fill="auto"/>
                  <w:noWrap/>
                  <w:vAlign w:val="center"/>
                </w:tcPr>
                <w:p w14:paraId="543F1367">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27.35</w:t>
                  </w:r>
                </w:p>
              </w:tc>
              <w:tc>
                <w:tcPr>
                  <w:tcW w:w="618" w:type="dxa"/>
                  <w:vMerge w:val="restart"/>
                  <w:shd w:val="clear" w:color="auto" w:fill="auto"/>
                  <w:noWrap/>
                  <w:vAlign w:val="center"/>
                </w:tcPr>
                <w:p w14:paraId="6BF4A25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13.23</w:t>
                  </w:r>
                </w:p>
              </w:tc>
              <w:tc>
                <w:tcPr>
                  <w:tcW w:w="477" w:type="dxa"/>
                  <w:vMerge w:val="restart"/>
                  <w:shd w:val="clear" w:color="auto" w:fill="auto"/>
                  <w:noWrap/>
                  <w:vAlign w:val="center"/>
                </w:tcPr>
                <w:p w14:paraId="15E908D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w:t>
                  </w:r>
                </w:p>
              </w:tc>
              <w:tc>
                <w:tcPr>
                  <w:tcW w:w="727" w:type="dxa"/>
                  <w:shd w:val="clear" w:color="auto" w:fill="auto"/>
                  <w:noWrap/>
                  <w:vAlign w:val="center"/>
                </w:tcPr>
                <w:p w14:paraId="1624372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11.87</w:t>
                  </w:r>
                </w:p>
              </w:tc>
              <w:tc>
                <w:tcPr>
                  <w:tcW w:w="723" w:type="dxa"/>
                  <w:shd w:val="clear" w:color="auto" w:fill="auto"/>
                  <w:noWrap/>
                  <w:vAlign w:val="center"/>
                </w:tcPr>
                <w:p w14:paraId="5DBFC41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71.07</w:t>
                  </w:r>
                </w:p>
              </w:tc>
              <w:tc>
                <w:tcPr>
                  <w:tcW w:w="437" w:type="dxa"/>
                  <w:vMerge w:val="restart"/>
                  <w:shd w:val="clear" w:color="auto" w:fill="auto"/>
                  <w:noWrap/>
                  <w:vAlign w:val="center"/>
                </w:tcPr>
                <w:p w14:paraId="1563689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昼间</w:t>
                  </w:r>
                </w:p>
              </w:tc>
              <w:tc>
                <w:tcPr>
                  <w:tcW w:w="723" w:type="dxa"/>
                  <w:vMerge w:val="restart"/>
                  <w:shd w:val="clear" w:color="auto" w:fill="auto"/>
                  <w:noWrap/>
                  <w:vAlign w:val="center"/>
                </w:tcPr>
                <w:p w14:paraId="78634DFB">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16</w:t>
                  </w:r>
                </w:p>
              </w:tc>
              <w:tc>
                <w:tcPr>
                  <w:tcW w:w="723" w:type="dxa"/>
                  <w:shd w:val="clear" w:color="auto" w:fill="auto"/>
                  <w:noWrap/>
                  <w:vAlign w:val="center"/>
                </w:tcPr>
                <w:p w14:paraId="6BD02CBC">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55.07</w:t>
                  </w:r>
                </w:p>
              </w:tc>
              <w:tc>
                <w:tcPr>
                  <w:tcW w:w="624" w:type="dxa"/>
                  <w:shd w:val="clear" w:color="auto" w:fill="auto"/>
                  <w:noWrap/>
                  <w:vAlign w:val="center"/>
                </w:tcPr>
                <w:p w14:paraId="395DCB9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2977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7B8A3015">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67D69EA9">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2B42B161">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7595EC10">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7D01125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0E9A6D9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5BE3A35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0AE8C58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22.12</w:t>
                  </w:r>
                </w:p>
              </w:tc>
              <w:tc>
                <w:tcPr>
                  <w:tcW w:w="723" w:type="dxa"/>
                  <w:shd w:val="clear" w:color="auto" w:fill="auto"/>
                  <w:noWrap/>
                  <w:vAlign w:val="center"/>
                </w:tcPr>
                <w:p w14:paraId="588A54E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71.05</w:t>
                  </w:r>
                </w:p>
              </w:tc>
              <w:tc>
                <w:tcPr>
                  <w:tcW w:w="437" w:type="dxa"/>
                  <w:vMerge w:val="continue"/>
                  <w:shd w:val="clear" w:color="auto" w:fill="auto"/>
                  <w:noWrap/>
                  <w:vAlign w:val="center"/>
                </w:tcPr>
                <w:p w14:paraId="1FC3B33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5395F55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5E94798A">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55.05</w:t>
                  </w:r>
                </w:p>
              </w:tc>
              <w:tc>
                <w:tcPr>
                  <w:tcW w:w="624" w:type="dxa"/>
                  <w:shd w:val="clear" w:color="auto" w:fill="auto"/>
                  <w:noWrap/>
                  <w:vAlign w:val="center"/>
                </w:tcPr>
                <w:p w14:paraId="66CEDE7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7F055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3EA56D6D">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54D2FA59">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53AC8FF0">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72378E8F">
                  <w:pPr>
                    <w:pStyle w:val="57"/>
                    <w:rPr>
                      <w:rFonts w:hint="default"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08085FB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36CF93FC">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33C6C8B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540171D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29.63</w:t>
                  </w:r>
                </w:p>
              </w:tc>
              <w:tc>
                <w:tcPr>
                  <w:tcW w:w="723" w:type="dxa"/>
                  <w:shd w:val="clear" w:color="auto" w:fill="auto"/>
                  <w:noWrap/>
                  <w:vAlign w:val="center"/>
                </w:tcPr>
                <w:p w14:paraId="17AE0A8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71.05</w:t>
                  </w:r>
                </w:p>
              </w:tc>
              <w:tc>
                <w:tcPr>
                  <w:tcW w:w="437" w:type="dxa"/>
                  <w:vMerge w:val="continue"/>
                  <w:shd w:val="clear" w:color="auto" w:fill="auto"/>
                  <w:noWrap/>
                  <w:vAlign w:val="center"/>
                </w:tcPr>
                <w:p w14:paraId="457E48B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5D0E262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21791376">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t>55.05</w:t>
                  </w:r>
                </w:p>
              </w:tc>
              <w:tc>
                <w:tcPr>
                  <w:tcW w:w="624" w:type="dxa"/>
                  <w:shd w:val="clear" w:color="auto" w:fill="auto"/>
                  <w:noWrap/>
                  <w:vAlign w:val="center"/>
                </w:tcPr>
                <w:p w14:paraId="4D64864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429EB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05A95003">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3FE88CD8">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5CAB19F6">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07122344">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629F688B">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5A105E4F">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68D9821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2AFA86DC">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13.29</w:t>
                  </w:r>
                </w:p>
              </w:tc>
              <w:tc>
                <w:tcPr>
                  <w:tcW w:w="723" w:type="dxa"/>
                  <w:shd w:val="clear" w:color="auto" w:fill="auto"/>
                  <w:noWrap/>
                  <w:vAlign w:val="center"/>
                </w:tcPr>
                <w:p w14:paraId="2CA9EA1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71.07</w:t>
                  </w:r>
                </w:p>
              </w:tc>
              <w:tc>
                <w:tcPr>
                  <w:tcW w:w="437" w:type="dxa"/>
                  <w:vMerge w:val="continue"/>
                  <w:shd w:val="clear" w:color="auto" w:fill="auto"/>
                  <w:noWrap/>
                  <w:vAlign w:val="center"/>
                </w:tcPr>
                <w:p w14:paraId="68E40A7F">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0BEC61E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2E2EF73A">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t>45.07</w:t>
                  </w:r>
                </w:p>
                <w:p w14:paraId="3835E96D">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24" w:type="dxa"/>
                  <w:shd w:val="clear" w:color="auto" w:fill="auto"/>
                  <w:noWrap/>
                  <w:vAlign w:val="center"/>
                </w:tcPr>
                <w:p w14:paraId="4CE62AC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0D20C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restart"/>
                  <w:shd w:val="clear" w:color="auto" w:fill="auto"/>
                  <w:noWrap/>
                  <w:vAlign w:val="center"/>
                </w:tcPr>
                <w:p w14:paraId="685498B4">
                  <w:pPr>
                    <w:pStyle w:val="57"/>
                    <w:rPr>
                      <w:rFonts w:hint="eastAsia" w:eastAsia="宋体"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7</w:t>
                  </w:r>
                </w:p>
              </w:tc>
              <w:tc>
                <w:tcPr>
                  <w:tcW w:w="450" w:type="dxa"/>
                  <w:vMerge w:val="continue"/>
                  <w:shd w:val="clear" w:color="auto" w:fill="auto"/>
                  <w:noWrap/>
                  <w:vAlign w:val="center"/>
                </w:tcPr>
                <w:p w14:paraId="6A079002">
                  <w:pPr>
                    <w:pStyle w:val="57"/>
                    <w:rPr>
                      <w:rFonts w:cs="Times New Roman"/>
                      <w:color w:val="000000" w:themeColor="text1"/>
                      <w:szCs w:val="21"/>
                      <w:u w:val="none" w:color="auto"/>
                      <w14:textFill>
                        <w14:solidFill>
                          <w14:schemeClr w14:val="tx1"/>
                        </w14:solidFill>
                      </w14:textFill>
                    </w:rPr>
                  </w:pPr>
                </w:p>
              </w:tc>
              <w:tc>
                <w:tcPr>
                  <w:tcW w:w="550" w:type="dxa"/>
                  <w:vMerge w:val="restart"/>
                  <w:shd w:val="clear" w:color="auto" w:fill="auto"/>
                  <w:noWrap/>
                  <w:vAlign w:val="center"/>
                </w:tcPr>
                <w:p w14:paraId="6BB9E909">
                  <w:pPr>
                    <w:pStyle w:val="57"/>
                    <w:rPr>
                      <w:rFonts w:cs="Times New Roman"/>
                      <w:color w:val="000000" w:themeColor="text1"/>
                      <w:szCs w:val="21"/>
                      <w:u w:val="none" w:color="auto"/>
                      <w14:textFill>
                        <w14:solidFill>
                          <w14:schemeClr w14:val="tx1"/>
                        </w14:solidFill>
                      </w14:textFill>
                    </w:rPr>
                  </w:pPr>
                  <w:r>
                    <w:rPr>
                      <w:rFonts w:hint="eastAsia" w:cs="Times New Roman"/>
                      <w:color w:val="000000" w:themeColor="text1"/>
                      <w:u w:val="none" w:color="auto"/>
                      <w:lang w:val="en-US" w:eastAsia="zh-CN"/>
                      <w14:textFill>
                        <w14:solidFill>
                          <w14:schemeClr w14:val="tx1"/>
                        </w14:solidFill>
                      </w14:textFill>
                    </w:rPr>
                    <w:t>成型机</w:t>
                  </w:r>
                </w:p>
              </w:tc>
              <w:tc>
                <w:tcPr>
                  <w:tcW w:w="663" w:type="dxa"/>
                  <w:vMerge w:val="restart"/>
                  <w:shd w:val="clear" w:color="auto" w:fill="auto"/>
                  <w:noWrap/>
                  <w:vAlign w:val="center"/>
                </w:tcPr>
                <w:p w14:paraId="047EEEC5">
                  <w:pPr>
                    <w:pStyle w:val="57"/>
                    <w:rPr>
                      <w:rFonts w:hint="default" w:ascii="Times New Roman" w:hAnsi="Times New Roman" w:cs="Times New Roman"/>
                      <w:color w:val="000000" w:themeColor="text1"/>
                      <w:szCs w:val="21"/>
                      <w:u w:val="none" w:color="auto"/>
                      <w:lang w:val="en-US" w:eastAsia="zh-CN"/>
                      <w14:textFill>
                        <w14:solidFill>
                          <w14:schemeClr w14:val="tx1"/>
                        </w14:solidFill>
                      </w14:textFill>
                    </w:rPr>
                  </w:pPr>
                  <w:r>
                    <w:rPr>
                      <w:rFonts w:hint="eastAsia"/>
                      <w:color w:val="000000" w:themeColor="text1"/>
                      <w:szCs w:val="21"/>
                      <w:u w:val="none"/>
                      <w:lang w:val="en-US" w:eastAsia="zh-CN"/>
                      <w14:textFill>
                        <w14:solidFill>
                          <w14:schemeClr w14:val="tx1"/>
                        </w14:solidFill>
                      </w14:textFill>
                    </w:rPr>
                    <w:t>单台75，5台叠加81.99</w:t>
                  </w:r>
                </w:p>
              </w:tc>
              <w:tc>
                <w:tcPr>
                  <w:tcW w:w="618" w:type="dxa"/>
                  <w:vMerge w:val="restart"/>
                  <w:shd w:val="clear" w:color="auto" w:fill="auto"/>
                  <w:noWrap/>
                  <w:vAlign w:val="center"/>
                </w:tcPr>
                <w:p w14:paraId="0C9D42E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34.27</w:t>
                  </w:r>
                </w:p>
              </w:tc>
              <w:tc>
                <w:tcPr>
                  <w:tcW w:w="618" w:type="dxa"/>
                  <w:vMerge w:val="restart"/>
                  <w:shd w:val="clear" w:color="auto" w:fill="auto"/>
                  <w:noWrap/>
                  <w:vAlign w:val="center"/>
                </w:tcPr>
                <w:p w14:paraId="4008C8F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29.64</w:t>
                  </w:r>
                </w:p>
              </w:tc>
              <w:tc>
                <w:tcPr>
                  <w:tcW w:w="477" w:type="dxa"/>
                  <w:vMerge w:val="restart"/>
                  <w:shd w:val="clear" w:color="auto" w:fill="auto"/>
                  <w:noWrap/>
                  <w:vAlign w:val="center"/>
                </w:tcPr>
                <w:p w14:paraId="2046D6D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w:t>
                  </w:r>
                </w:p>
              </w:tc>
              <w:tc>
                <w:tcPr>
                  <w:tcW w:w="727" w:type="dxa"/>
                  <w:shd w:val="clear" w:color="auto" w:fill="auto"/>
                  <w:noWrap/>
                  <w:vAlign w:val="center"/>
                </w:tcPr>
                <w:p w14:paraId="241956D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13.11</w:t>
                  </w:r>
                </w:p>
              </w:tc>
              <w:tc>
                <w:tcPr>
                  <w:tcW w:w="723" w:type="dxa"/>
                  <w:shd w:val="clear" w:color="auto" w:fill="auto"/>
                  <w:noWrap/>
                  <w:vAlign w:val="center"/>
                </w:tcPr>
                <w:p w14:paraId="5567D6A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71.07</w:t>
                  </w:r>
                </w:p>
              </w:tc>
              <w:tc>
                <w:tcPr>
                  <w:tcW w:w="437" w:type="dxa"/>
                  <w:vMerge w:val="restart"/>
                  <w:shd w:val="clear" w:color="auto" w:fill="auto"/>
                  <w:noWrap/>
                  <w:vAlign w:val="center"/>
                </w:tcPr>
                <w:p w14:paraId="6811E06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昼间</w:t>
                  </w:r>
                </w:p>
              </w:tc>
              <w:tc>
                <w:tcPr>
                  <w:tcW w:w="723" w:type="dxa"/>
                  <w:vMerge w:val="restart"/>
                  <w:shd w:val="clear" w:color="auto" w:fill="auto"/>
                  <w:noWrap/>
                  <w:vAlign w:val="center"/>
                </w:tcPr>
                <w:p w14:paraId="10350B5A">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16</w:t>
                  </w:r>
                </w:p>
              </w:tc>
              <w:tc>
                <w:tcPr>
                  <w:tcW w:w="723" w:type="dxa"/>
                  <w:shd w:val="clear" w:color="auto" w:fill="auto"/>
                  <w:noWrap/>
                  <w:vAlign w:val="center"/>
                </w:tcPr>
                <w:p w14:paraId="1E3AFE1D">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55.07</w:t>
                  </w:r>
                </w:p>
              </w:tc>
              <w:tc>
                <w:tcPr>
                  <w:tcW w:w="624" w:type="dxa"/>
                  <w:shd w:val="clear" w:color="auto" w:fill="auto"/>
                  <w:noWrap/>
                  <w:vAlign w:val="center"/>
                </w:tcPr>
                <w:p w14:paraId="6BB9E97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6186C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381C2C44">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60F24565">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1ABA0DE3">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52EEE72C">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2B09D5D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678937E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52B1EC8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7C08321B">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27.52</w:t>
                  </w:r>
                </w:p>
              </w:tc>
              <w:tc>
                <w:tcPr>
                  <w:tcW w:w="723" w:type="dxa"/>
                  <w:shd w:val="clear" w:color="auto" w:fill="auto"/>
                  <w:noWrap/>
                  <w:vAlign w:val="center"/>
                </w:tcPr>
                <w:p w14:paraId="5734347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71.05</w:t>
                  </w:r>
                </w:p>
              </w:tc>
              <w:tc>
                <w:tcPr>
                  <w:tcW w:w="437" w:type="dxa"/>
                  <w:vMerge w:val="continue"/>
                  <w:shd w:val="clear" w:color="auto" w:fill="auto"/>
                  <w:noWrap/>
                  <w:vAlign w:val="center"/>
                </w:tcPr>
                <w:p w14:paraId="5722671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10AD015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102F9342">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55.07</w:t>
                  </w:r>
                </w:p>
              </w:tc>
              <w:tc>
                <w:tcPr>
                  <w:tcW w:w="624" w:type="dxa"/>
                  <w:shd w:val="clear" w:color="auto" w:fill="auto"/>
                  <w:noWrap/>
                  <w:vAlign w:val="center"/>
                </w:tcPr>
                <w:p w14:paraId="069E214F">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420B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00DA5FA1">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306DD78B">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2EF94048">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4FED04A1">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6764FFA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2949A03E">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51AB656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5D5C111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38.14</w:t>
                  </w:r>
                </w:p>
              </w:tc>
              <w:tc>
                <w:tcPr>
                  <w:tcW w:w="723" w:type="dxa"/>
                  <w:shd w:val="clear" w:color="auto" w:fill="auto"/>
                  <w:noWrap/>
                  <w:vAlign w:val="center"/>
                </w:tcPr>
                <w:p w14:paraId="5930A189">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71.04</w:t>
                  </w:r>
                </w:p>
              </w:tc>
              <w:tc>
                <w:tcPr>
                  <w:tcW w:w="437" w:type="dxa"/>
                  <w:vMerge w:val="continue"/>
                  <w:shd w:val="clear" w:color="auto" w:fill="auto"/>
                  <w:noWrap/>
                  <w:vAlign w:val="center"/>
                </w:tcPr>
                <w:p w14:paraId="2042A92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37583497">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6DC08027">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55.04</w:t>
                  </w:r>
                </w:p>
              </w:tc>
              <w:tc>
                <w:tcPr>
                  <w:tcW w:w="624" w:type="dxa"/>
                  <w:shd w:val="clear" w:color="auto" w:fill="auto"/>
                  <w:noWrap/>
                  <w:vAlign w:val="center"/>
                </w:tcPr>
                <w:p w14:paraId="0525E90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2E871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4D412676">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7DF9F062">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2C3E4B44">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6E501BE5">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276B42B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501246F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1895145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59C39BD7">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3.24</w:t>
                  </w:r>
                </w:p>
              </w:tc>
              <w:tc>
                <w:tcPr>
                  <w:tcW w:w="723" w:type="dxa"/>
                  <w:shd w:val="clear" w:color="auto" w:fill="auto"/>
                  <w:noWrap/>
                  <w:vAlign w:val="center"/>
                </w:tcPr>
                <w:p w14:paraId="34A47C0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71.43</w:t>
                  </w:r>
                </w:p>
              </w:tc>
              <w:tc>
                <w:tcPr>
                  <w:tcW w:w="437" w:type="dxa"/>
                  <w:vMerge w:val="continue"/>
                  <w:shd w:val="clear" w:color="auto" w:fill="auto"/>
                  <w:noWrap/>
                  <w:vAlign w:val="center"/>
                </w:tcPr>
                <w:p w14:paraId="4D613F3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306A937B">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215235CE">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55.43</w:t>
                  </w:r>
                </w:p>
              </w:tc>
              <w:tc>
                <w:tcPr>
                  <w:tcW w:w="624" w:type="dxa"/>
                  <w:shd w:val="clear" w:color="auto" w:fill="auto"/>
                  <w:noWrap/>
                  <w:vAlign w:val="center"/>
                </w:tcPr>
                <w:p w14:paraId="51A4D1F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4E7C8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434" w:type="dxa"/>
                  <w:vMerge w:val="restart"/>
                  <w:shd w:val="clear" w:color="auto" w:fill="auto"/>
                  <w:noWrap/>
                  <w:vAlign w:val="center"/>
                </w:tcPr>
                <w:p w14:paraId="57D1FEEA">
                  <w:pPr>
                    <w:pStyle w:val="57"/>
                    <w:rPr>
                      <w:rFonts w:hint="eastAsia" w:eastAsia="宋体"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8</w:t>
                  </w:r>
                </w:p>
              </w:tc>
              <w:tc>
                <w:tcPr>
                  <w:tcW w:w="450" w:type="dxa"/>
                  <w:vMerge w:val="continue"/>
                  <w:shd w:val="clear" w:color="auto" w:fill="auto"/>
                  <w:noWrap/>
                  <w:vAlign w:val="center"/>
                </w:tcPr>
                <w:p w14:paraId="159F179F">
                  <w:pPr>
                    <w:pStyle w:val="57"/>
                    <w:rPr>
                      <w:rFonts w:cs="Times New Roman"/>
                      <w:color w:val="000000" w:themeColor="text1"/>
                      <w:szCs w:val="21"/>
                      <w:u w:val="none" w:color="auto"/>
                      <w14:textFill>
                        <w14:solidFill>
                          <w14:schemeClr w14:val="tx1"/>
                        </w14:solidFill>
                      </w14:textFill>
                    </w:rPr>
                  </w:pPr>
                </w:p>
              </w:tc>
              <w:tc>
                <w:tcPr>
                  <w:tcW w:w="550" w:type="dxa"/>
                  <w:vMerge w:val="restart"/>
                  <w:shd w:val="clear" w:color="auto" w:fill="auto"/>
                  <w:noWrap/>
                  <w:vAlign w:val="center"/>
                </w:tcPr>
                <w:p w14:paraId="7A4EFE37">
                  <w:pPr>
                    <w:pStyle w:val="57"/>
                    <w:rPr>
                      <w:rFonts w:cs="Times New Roman"/>
                      <w:color w:val="000000" w:themeColor="text1"/>
                      <w:szCs w:val="21"/>
                      <w:u w:val="none" w:color="auto"/>
                      <w14:textFill>
                        <w14:solidFill>
                          <w14:schemeClr w14:val="tx1"/>
                        </w14:solidFill>
                      </w14:textFill>
                    </w:rPr>
                  </w:pPr>
                  <w:r>
                    <w:rPr>
                      <w:rFonts w:hint="eastAsia" w:cs="Times New Roman"/>
                      <w:color w:val="000000" w:themeColor="text1"/>
                      <w:u w:val="none" w:color="auto"/>
                      <w:lang w:val="en-US" w:eastAsia="zh-CN"/>
                      <w14:textFill>
                        <w14:solidFill>
                          <w14:schemeClr w14:val="tx1"/>
                        </w14:solidFill>
                      </w14:textFill>
                    </w:rPr>
                    <w:t>烘干房</w:t>
                  </w:r>
                </w:p>
              </w:tc>
              <w:tc>
                <w:tcPr>
                  <w:tcW w:w="663" w:type="dxa"/>
                  <w:vMerge w:val="restart"/>
                  <w:shd w:val="clear" w:color="auto" w:fill="auto"/>
                  <w:noWrap/>
                  <w:vAlign w:val="center"/>
                </w:tcPr>
                <w:p w14:paraId="227CF6D9">
                  <w:pPr>
                    <w:pStyle w:val="57"/>
                    <w:rPr>
                      <w:rFonts w:hint="default" w:ascii="Times New Roman" w:hAnsi="Times New Roman"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70</w:t>
                  </w:r>
                </w:p>
              </w:tc>
              <w:tc>
                <w:tcPr>
                  <w:tcW w:w="618" w:type="dxa"/>
                  <w:vMerge w:val="restart"/>
                  <w:shd w:val="clear" w:color="auto" w:fill="auto"/>
                  <w:noWrap/>
                  <w:vAlign w:val="center"/>
                </w:tcPr>
                <w:p w14:paraId="4ADEE08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34.27</w:t>
                  </w:r>
                </w:p>
              </w:tc>
              <w:tc>
                <w:tcPr>
                  <w:tcW w:w="618" w:type="dxa"/>
                  <w:vMerge w:val="restart"/>
                  <w:shd w:val="clear" w:color="auto" w:fill="auto"/>
                  <w:noWrap/>
                  <w:vAlign w:val="center"/>
                </w:tcPr>
                <w:p w14:paraId="69A15B2C">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29.64</w:t>
                  </w:r>
                </w:p>
              </w:tc>
              <w:tc>
                <w:tcPr>
                  <w:tcW w:w="477" w:type="dxa"/>
                  <w:vMerge w:val="restart"/>
                  <w:shd w:val="clear" w:color="auto" w:fill="auto"/>
                  <w:noWrap/>
                  <w:vAlign w:val="center"/>
                </w:tcPr>
                <w:p w14:paraId="2F9D794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w:t>
                  </w:r>
                </w:p>
              </w:tc>
              <w:tc>
                <w:tcPr>
                  <w:tcW w:w="727" w:type="dxa"/>
                  <w:shd w:val="clear" w:color="auto" w:fill="auto"/>
                  <w:noWrap/>
                  <w:vAlign w:val="center"/>
                </w:tcPr>
                <w:p w14:paraId="489DB989">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27.26</w:t>
                  </w:r>
                </w:p>
              </w:tc>
              <w:tc>
                <w:tcPr>
                  <w:tcW w:w="723" w:type="dxa"/>
                  <w:shd w:val="clear" w:color="auto" w:fill="auto"/>
                  <w:noWrap/>
                  <w:vAlign w:val="center"/>
                </w:tcPr>
                <w:p w14:paraId="5C07BD8E">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59.06</w:t>
                  </w:r>
                </w:p>
              </w:tc>
              <w:tc>
                <w:tcPr>
                  <w:tcW w:w="437" w:type="dxa"/>
                  <w:vMerge w:val="restart"/>
                  <w:shd w:val="clear" w:color="auto" w:fill="auto"/>
                  <w:noWrap/>
                  <w:vAlign w:val="center"/>
                </w:tcPr>
                <w:p w14:paraId="775F237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昼间</w:t>
                  </w:r>
                </w:p>
              </w:tc>
              <w:tc>
                <w:tcPr>
                  <w:tcW w:w="723" w:type="dxa"/>
                  <w:vMerge w:val="restart"/>
                  <w:shd w:val="clear" w:color="auto" w:fill="auto"/>
                  <w:noWrap/>
                  <w:vAlign w:val="center"/>
                </w:tcPr>
                <w:p w14:paraId="474A1745">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16</w:t>
                  </w:r>
                </w:p>
              </w:tc>
              <w:tc>
                <w:tcPr>
                  <w:tcW w:w="723" w:type="dxa"/>
                  <w:shd w:val="clear" w:color="auto" w:fill="auto"/>
                  <w:noWrap/>
                  <w:vAlign w:val="center"/>
                </w:tcPr>
                <w:p w14:paraId="69AA0595">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43.06</w:t>
                  </w:r>
                </w:p>
              </w:tc>
              <w:tc>
                <w:tcPr>
                  <w:tcW w:w="624" w:type="dxa"/>
                  <w:shd w:val="clear" w:color="auto" w:fill="auto"/>
                  <w:noWrap/>
                  <w:vAlign w:val="center"/>
                </w:tcPr>
                <w:p w14:paraId="702EDCE7">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63E6A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745F28C2">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1BB19C8A">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0FD34486">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04B5E03C">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7D13BC8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0EAD748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0DE535F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33EB50C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32.65</w:t>
                  </w:r>
                </w:p>
              </w:tc>
              <w:tc>
                <w:tcPr>
                  <w:tcW w:w="723" w:type="dxa"/>
                  <w:shd w:val="clear" w:color="auto" w:fill="auto"/>
                  <w:noWrap/>
                  <w:vAlign w:val="center"/>
                </w:tcPr>
                <w:p w14:paraId="20B58689">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59.05</w:t>
                  </w:r>
                </w:p>
              </w:tc>
              <w:tc>
                <w:tcPr>
                  <w:tcW w:w="437" w:type="dxa"/>
                  <w:vMerge w:val="continue"/>
                  <w:shd w:val="clear" w:color="auto" w:fill="auto"/>
                  <w:noWrap/>
                  <w:vAlign w:val="center"/>
                </w:tcPr>
                <w:p w14:paraId="27D1018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78FA2D2C">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01F01D73">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43.05</w:t>
                  </w:r>
                </w:p>
              </w:tc>
              <w:tc>
                <w:tcPr>
                  <w:tcW w:w="624" w:type="dxa"/>
                  <w:shd w:val="clear" w:color="auto" w:fill="auto"/>
                  <w:noWrap/>
                  <w:vAlign w:val="center"/>
                </w:tcPr>
                <w:p w14:paraId="4E6C5FF7">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025A7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39A11489">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4B710216">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7A296D26">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73821EB9">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5FB4BFB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057978A7">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611E005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07E6EC5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15.80</w:t>
                  </w:r>
                </w:p>
              </w:tc>
              <w:tc>
                <w:tcPr>
                  <w:tcW w:w="723" w:type="dxa"/>
                  <w:shd w:val="clear" w:color="auto" w:fill="auto"/>
                  <w:noWrap/>
                  <w:vAlign w:val="center"/>
                </w:tcPr>
                <w:p w14:paraId="261BC58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59.07</w:t>
                  </w:r>
                </w:p>
              </w:tc>
              <w:tc>
                <w:tcPr>
                  <w:tcW w:w="437" w:type="dxa"/>
                  <w:vMerge w:val="continue"/>
                  <w:shd w:val="clear" w:color="auto" w:fill="auto"/>
                  <w:noWrap/>
                  <w:vAlign w:val="center"/>
                </w:tcPr>
                <w:p w14:paraId="2C4A798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4F3C1F6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77BE0CC4">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43.07</w:t>
                  </w:r>
                </w:p>
              </w:tc>
              <w:tc>
                <w:tcPr>
                  <w:tcW w:w="624" w:type="dxa"/>
                  <w:shd w:val="clear" w:color="auto" w:fill="auto"/>
                  <w:noWrap/>
                  <w:vAlign w:val="center"/>
                </w:tcPr>
                <w:p w14:paraId="7300F3F9">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67EB0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696E1FA9">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10B23F8E">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0DA8B42E">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770DB00C">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62D6DDE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2202DC17">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69A2230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0B928ADE">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12.14</w:t>
                  </w:r>
                </w:p>
              </w:tc>
              <w:tc>
                <w:tcPr>
                  <w:tcW w:w="723" w:type="dxa"/>
                  <w:shd w:val="clear" w:color="auto" w:fill="auto"/>
                  <w:noWrap/>
                  <w:vAlign w:val="center"/>
                </w:tcPr>
                <w:p w14:paraId="43BB851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59.08</w:t>
                  </w:r>
                </w:p>
              </w:tc>
              <w:tc>
                <w:tcPr>
                  <w:tcW w:w="437" w:type="dxa"/>
                  <w:vMerge w:val="continue"/>
                  <w:shd w:val="clear" w:color="auto" w:fill="auto"/>
                  <w:noWrap/>
                  <w:vAlign w:val="center"/>
                </w:tcPr>
                <w:p w14:paraId="762B0C5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6AC17E4B">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46B6CE61">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43.08</w:t>
                  </w:r>
                </w:p>
              </w:tc>
              <w:tc>
                <w:tcPr>
                  <w:tcW w:w="624" w:type="dxa"/>
                  <w:shd w:val="clear" w:color="auto" w:fill="auto"/>
                  <w:noWrap/>
                  <w:vAlign w:val="center"/>
                </w:tcPr>
                <w:p w14:paraId="708BA6A7">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0F7E3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restart"/>
                  <w:shd w:val="clear" w:color="auto" w:fill="auto"/>
                  <w:noWrap/>
                  <w:vAlign w:val="center"/>
                </w:tcPr>
                <w:p w14:paraId="036DEFD8">
                  <w:pPr>
                    <w:pStyle w:val="57"/>
                    <w:rPr>
                      <w:rFonts w:hint="default" w:eastAsia="宋体"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9</w:t>
                  </w:r>
                </w:p>
              </w:tc>
              <w:tc>
                <w:tcPr>
                  <w:tcW w:w="450" w:type="dxa"/>
                  <w:vMerge w:val="continue"/>
                  <w:shd w:val="clear" w:color="auto" w:fill="auto"/>
                  <w:noWrap/>
                  <w:vAlign w:val="center"/>
                </w:tcPr>
                <w:p w14:paraId="45A87401">
                  <w:pPr>
                    <w:pStyle w:val="57"/>
                    <w:rPr>
                      <w:rFonts w:cs="Times New Roman"/>
                      <w:color w:val="000000" w:themeColor="text1"/>
                      <w:szCs w:val="21"/>
                      <w:u w:val="none" w:color="auto"/>
                      <w14:textFill>
                        <w14:solidFill>
                          <w14:schemeClr w14:val="tx1"/>
                        </w14:solidFill>
                      </w14:textFill>
                    </w:rPr>
                  </w:pPr>
                </w:p>
              </w:tc>
              <w:tc>
                <w:tcPr>
                  <w:tcW w:w="550" w:type="dxa"/>
                  <w:vMerge w:val="restart"/>
                  <w:shd w:val="clear" w:color="auto" w:fill="auto"/>
                  <w:noWrap/>
                  <w:vAlign w:val="center"/>
                </w:tcPr>
                <w:p w14:paraId="167BDF3A">
                  <w:pPr>
                    <w:pStyle w:val="57"/>
                    <w:rPr>
                      <w:rFonts w:cs="Times New Roman"/>
                      <w:color w:val="000000" w:themeColor="text1"/>
                      <w:szCs w:val="21"/>
                      <w:u w:val="none" w:color="auto"/>
                      <w14:textFill>
                        <w14:solidFill>
                          <w14:schemeClr w14:val="tx1"/>
                        </w14:solidFill>
                      </w14:textFill>
                    </w:rPr>
                  </w:pPr>
                  <w:r>
                    <w:rPr>
                      <w:rFonts w:hint="eastAsia" w:cs="Times New Roman"/>
                      <w:color w:val="000000" w:themeColor="text1"/>
                      <w:u w:val="none" w:color="auto"/>
                      <w:lang w:val="en-US" w:eastAsia="zh-CN"/>
                      <w14:textFill>
                        <w14:solidFill>
                          <w14:schemeClr w14:val="tx1"/>
                        </w14:solidFill>
                      </w14:textFill>
                    </w:rPr>
                    <w:t>蒸汽杀菌锅</w:t>
                  </w:r>
                </w:p>
              </w:tc>
              <w:tc>
                <w:tcPr>
                  <w:tcW w:w="663" w:type="dxa"/>
                  <w:vMerge w:val="restart"/>
                  <w:shd w:val="clear" w:color="auto" w:fill="auto"/>
                  <w:noWrap/>
                  <w:vAlign w:val="center"/>
                </w:tcPr>
                <w:p w14:paraId="0AD65EDD">
                  <w:pPr>
                    <w:pStyle w:val="57"/>
                    <w:rPr>
                      <w:rFonts w:hint="default" w:ascii="Times New Roman" w:hAnsi="Times New Roman"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70</w:t>
                  </w:r>
                </w:p>
              </w:tc>
              <w:tc>
                <w:tcPr>
                  <w:tcW w:w="618" w:type="dxa"/>
                  <w:vMerge w:val="restart"/>
                  <w:shd w:val="clear" w:color="auto" w:fill="auto"/>
                  <w:noWrap/>
                  <w:vAlign w:val="center"/>
                </w:tcPr>
                <w:p w14:paraId="075751C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45.14</w:t>
                  </w:r>
                </w:p>
              </w:tc>
              <w:tc>
                <w:tcPr>
                  <w:tcW w:w="618" w:type="dxa"/>
                  <w:vMerge w:val="restart"/>
                  <w:shd w:val="clear" w:color="auto" w:fill="auto"/>
                  <w:noWrap/>
                  <w:vAlign w:val="center"/>
                </w:tcPr>
                <w:p w14:paraId="0A69F08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9.28</w:t>
                  </w:r>
                </w:p>
              </w:tc>
              <w:tc>
                <w:tcPr>
                  <w:tcW w:w="477" w:type="dxa"/>
                  <w:vMerge w:val="restart"/>
                  <w:shd w:val="clear" w:color="auto" w:fill="auto"/>
                  <w:noWrap/>
                  <w:vAlign w:val="center"/>
                </w:tcPr>
                <w:p w14:paraId="2FADE18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w:t>
                  </w:r>
                </w:p>
              </w:tc>
              <w:tc>
                <w:tcPr>
                  <w:tcW w:w="727" w:type="dxa"/>
                  <w:shd w:val="clear" w:color="auto" w:fill="auto"/>
                  <w:noWrap/>
                  <w:vAlign w:val="center"/>
                </w:tcPr>
                <w:p w14:paraId="6649E6BC">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23.71</w:t>
                  </w:r>
                </w:p>
              </w:tc>
              <w:tc>
                <w:tcPr>
                  <w:tcW w:w="723" w:type="dxa"/>
                  <w:shd w:val="clear" w:color="auto" w:fill="auto"/>
                  <w:noWrap/>
                  <w:vAlign w:val="center"/>
                </w:tcPr>
                <w:p w14:paraId="466E2C7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59.06</w:t>
                  </w:r>
                </w:p>
              </w:tc>
              <w:tc>
                <w:tcPr>
                  <w:tcW w:w="437" w:type="dxa"/>
                  <w:vMerge w:val="restart"/>
                  <w:shd w:val="clear" w:color="auto" w:fill="auto"/>
                  <w:noWrap/>
                  <w:vAlign w:val="center"/>
                </w:tcPr>
                <w:p w14:paraId="62290C1C">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昼间</w:t>
                  </w:r>
                </w:p>
              </w:tc>
              <w:tc>
                <w:tcPr>
                  <w:tcW w:w="723" w:type="dxa"/>
                  <w:vMerge w:val="restart"/>
                  <w:shd w:val="clear" w:color="auto" w:fill="auto"/>
                  <w:noWrap/>
                  <w:vAlign w:val="center"/>
                </w:tcPr>
                <w:p w14:paraId="2E7E6FC5">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16</w:t>
                  </w:r>
                </w:p>
              </w:tc>
              <w:tc>
                <w:tcPr>
                  <w:tcW w:w="723" w:type="dxa"/>
                  <w:shd w:val="clear" w:color="auto" w:fill="auto"/>
                  <w:noWrap/>
                  <w:vAlign w:val="center"/>
                </w:tcPr>
                <w:p w14:paraId="5F0DEF74">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43.06</w:t>
                  </w:r>
                </w:p>
              </w:tc>
              <w:tc>
                <w:tcPr>
                  <w:tcW w:w="624" w:type="dxa"/>
                  <w:shd w:val="clear" w:color="auto" w:fill="auto"/>
                  <w:noWrap/>
                  <w:vAlign w:val="center"/>
                </w:tcPr>
                <w:p w14:paraId="15B9D10B">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7F6B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08A2B2CA">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26D5A2BA">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5CD57844">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175E528C">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7803027E">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2446F66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2359194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002A3979">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9.60</w:t>
                  </w:r>
                </w:p>
              </w:tc>
              <w:tc>
                <w:tcPr>
                  <w:tcW w:w="723" w:type="dxa"/>
                  <w:shd w:val="clear" w:color="auto" w:fill="auto"/>
                  <w:noWrap/>
                  <w:vAlign w:val="center"/>
                </w:tcPr>
                <w:p w14:paraId="0212FEEE">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59.10</w:t>
                  </w:r>
                </w:p>
              </w:tc>
              <w:tc>
                <w:tcPr>
                  <w:tcW w:w="437" w:type="dxa"/>
                  <w:vMerge w:val="continue"/>
                  <w:shd w:val="clear" w:color="auto" w:fill="auto"/>
                  <w:noWrap/>
                  <w:vAlign w:val="center"/>
                </w:tcPr>
                <w:p w14:paraId="63B116FE">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027B17FC">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7B29FD35">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43.10</w:t>
                  </w:r>
                </w:p>
              </w:tc>
              <w:tc>
                <w:tcPr>
                  <w:tcW w:w="624" w:type="dxa"/>
                  <w:shd w:val="clear" w:color="auto" w:fill="auto"/>
                  <w:noWrap/>
                  <w:vAlign w:val="center"/>
                </w:tcPr>
                <w:p w14:paraId="61FEBD8F">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3EB9F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1B90CA8D">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41D71438">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4DE0ADDC">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26D87892">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0445A93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2EBBAB8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0732C65F">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55EB80E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38.38</w:t>
                  </w:r>
                </w:p>
              </w:tc>
              <w:tc>
                <w:tcPr>
                  <w:tcW w:w="723" w:type="dxa"/>
                  <w:shd w:val="clear" w:color="auto" w:fill="auto"/>
                  <w:noWrap/>
                  <w:vAlign w:val="center"/>
                </w:tcPr>
                <w:p w14:paraId="20BCC61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59.05</w:t>
                  </w:r>
                </w:p>
              </w:tc>
              <w:tc>
                <w:tcPr>
                  <w:tcW w:w="437" w:type="dxa"/>
                  <w:vMerge w:val="continue"/>
                  <w:shd w:val="clear" w:color="auto" w:fill="auto"/>
                  <w:noWrap/>
                  <w:vAlign w:val="center"/>
                </w:tcPr>
                <w:p w14:paraId="0CC5F45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7E7402F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177BFFB4">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43.05</w:t>
                  </w:r>
                </w:p>
              </w:tc>
              <w:tc>
                <w:tcPr>
                  <w:tcW w:w="624" w:type="dxa"/>
                  <w:shd w:val="clear" w:color="auto" w:fill="auto"/>
                  <w:noWrap/>
                  <w:vAlign w:val="center"/>
                </w:tcPr>
                <w:p w14:paraId="1B62C80F">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2FC91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2A6C94C9">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3CB90FE4">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35C703EA">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792C9F31">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5B9CC6B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3665EF2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14037A2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170FB93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16.12</w:t>
                  </w:r>
                </w:p>
              </w:tc>
              <w:tc>
                <w:tcPr>
                  <w:tcW w:w="723" w:type="dxa"/>
                  <w:shd w:val="clear" w:color="auto" w:fill="auto"/>
                  <w:noWrap/>
                  <w:vAlign w:val="center"/>
                </w:tcPr>
                <w:p w14:paraId="5F56B5F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59.07</w:t>
                  </w:r>
                </w:p>
              </w:tc>
              <w:tc>
                <w:tcPr>
                  <w:tcW w:w="437" w:type="dxa"/>
                  <w:vMerge w:val="continue"/>
                  <w:shd w:val="clear" w:color="auto" w:fill="auto"/>
                  <w:noWrap/>
                  <w:vAlign w:val="center"/>
                </w:tcPr>
                <w:p w14:paraId="229952B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434B386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7780B9FC">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43.07</w:t>
                  </w:r>
                </w:p>
              </w:tc>
              <w:tc>
                <w:tcPr>
                  <w:tcW w:w="624" w:type="dxa"/>
                  <w:shd w:val="clear" w:color="auto" w:fill="auto"/>
                  <w:noWrap/>
                  <w:vAlign w:val="center"/>
                </w:tcPr>
                <w:p w14:paraId="1B34D35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4F40A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restart"/>
                  <w:shd w:val="clear" w:color="auto" w:fill="auto"/>
                  <w:noWrap/>
                  <w:vAlign w:val="center"/>
                </w:tcPr>
                <w:p w14:paraId="59A17FBE">
                  <w:pPr>
                    <w:pStyle w:val="57"/>
                    <w:rPr>
                      <w:rFonts w:hint="default" w:eastAsia="宋体"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10</w:t>
                  </w:r>
                </w:p>
              </w:tc>
              <w:tc>
                <w:tcPr>
                  <w:tcW w:w="450" w:type="dxa"/>
                  <w:vMerge w:val="continue"/>
                  <w:shd w:val="clear" w:color="auto" w:fill="auto"/>
                  <w:noWrap/>
                  <w:vAlign w:val="center"/>
                </w:tcPr>
                <w:p w14:paraId="3FDDC038">
                  <w:pPr>
                    <w:pStyle w:val="57"/>
                    <w:rPr>
                      <w:rFonts w:cs="Times New Roman"/>
                      <w:color w:val="000000" w:themeColor="text1"/>
                      <w:szCs w:val="21"/>
                      <w:u w:val="none" w:color="auto"/>
                      <w14:textFill>
                        <w14:solidFill>
                          <w14:schemeClr w14:val="tx1"/>
                        </w14:solidFill>
                      </w14:textFill>
                    </w:rPr>
                  </w:pPr>
                </w:p>
              </w:tc>
              <w:tc>
                <w:tcPr>
                  <w:tcW w:w="550" w:type="dxa"/>
                  <w:vMerge w:val="restart"/>
                  <w:shd w:val="clear" w:color="auto" w:fill="auto"/>
                  <w:noWrap/>
                  <w:vAlign w:val="center"/>
                </w:tcPr>
                <w:p w14:paraId="5A12A3F3">
                  <w:pPr>
                    <w:pStyle w:val="57"/>
                    <w:rPr>
                      <w:rFonts w:hint="default" w:eastAsia="宋体"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风机2#</w:t>
                  </w:r>
                </w:p>
              </w:tc>
              <w:tc>
                <w:tcPr>
                  <w:tcW w:w="663" w:type="dxa"/>
                  <w:vMerge w:val="restart"/>
                  <w:shd w:val="clear" w:color="auto" w:fill="auto"/>
                  <w:noWrap/>
                  <w:vAlign w:val="center"/>
                </w:tcPr>
                <w:p w14:paraId="0DFC116C">
                  <w:pPr>
                    <w:pStyle w:val="57"/>
                    <w:rPr>
                      <w:rFonts w:hint="default" w:ascii="Times New Roman" w:hAnsi="Times New Roman"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85</w:t>
                  </w:r>
                </w:p>
              </w:tc>
              <w:tc>
                <w:tcPr>
                  <w:tcW w:w="618" w:type="dxa"/>
                  <w:vMerge w:val="restart"/>
                  <w:shd w:val="clear" w:color="auto" w:fill="auto"/>
                  <w:noWrap/>
                  <w:vAlign w:val="center"/>
                </w:tcPr>
                <w:p w14:paraId="3134343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16.04</w:t>
                  </w:r>
                </w:p>
              </w:tc>
              <w:tc>
                <w:tcPr>
                  <w:tcW w:w="618" w:type="dxa"/>
                  <w:vMerge w:val="restart"/>
                  <w:shd w:val="clear" w:color="auto" w:fill="auto"/>
                  <w:noWrap/>
                  <w:vAlign w:val="center"/>
                </w:tcPr>
                <w:p w14:paraId="1187773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18.2</w:t>
                  </w:r>
                </w:p>
              </w:tc>
              <w:tc>
                <w:tcPr>
                  <w:tcW w:w="477" w:type="dxa"/>
                  <w:vMerge w:val="restart"/>
                  <w:shd w:val="clear" w:color="auto" w:fill="auto"/>
                  <w:noWrap/>
                  <w:vAlign w:val="center"/>
                </w:tcPr>
                <w:p w14:paraId="46616B0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w:t>
                  </w:r>
                </w:p>
              </w:tc>
              <w:tc>
                <w:tcPr>
                  <w:tcW w:w="727" w:type="dxa"/>
                  <w:shd w:val="clear" w:color="auto" w:fill="auto"/>
                  <w:noWrap/>
                  <w:vAlign w:val="center"/>
                </w:tcPr>
                <w:p w14:paraId="7B60C327">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5.82</w:t>
                  </w:r>
                </w:p>
              </w:tc>
              <w:tc>
                <w:tcPr>
                  <w:tcW w:w="723" w:type="dxa"/>
                  <w:shd w:val="clear" w:color="auto" w:fill="auto"/>
                  <w:noWrap/>
                  <w:vAlign w:val="center"/>
                </w:tcPr>
                <w:p w14:paraId="5656C068">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74.18</w:t>
                  </w:r>
                </w:p>
              </w:tc>
              <w:tc>
                <w:tcPr>
                  <w:tcW w:w="437" w:type="dxa"/>
                  <w:vMerge w:val="restart"/>
                  <w:shd w:val="clear" w:color="auto" w:fill="auto"/>
                  <w:noWrap/>
                  <w:vAlign w:val="center"/>
                </w:tcPr>
                <w:p w14:paraId="61AF7B5B">
                  <w:pPr>
                    <w:pStyle w:val="57"/>
                    <w:rPr>
                      <w:rFonts w:hint="eastAsia"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昼间</w:t>
                  </w:r>
                </w:p>
              </w:tc>
              <w:tc>
                <w:tcPr>
                  <w:tcW w:w="723" w:type="dxa"/>
                  <w:vMerge w:val="restart"/>
                  <w:shd w:val="clear" w:color="auto" w:fill="auto"/>
                  <w:noWrap/>
                  <w:vAlign w:val="center"/>
                </w:tcPr>
                <w:p w14:paraId="3CB76172">
                  <w:pPr>
                    <w:pStyle w:val="57"/>
                    <w:rPr>
                      <w:rFonts w:hint="eastAsia"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16</w:t>
                  </w:r>
                </w:p>
              </w:tc>
              <w:tc>
                <w:tcPr>
                  <w:tcW w:w="723" w:type="dxa"/>
                  <w:shd w:val="clear" w:color="auto" w:fill="auto"/>
                  <w:noWrap/>
                  <w:vAlign w:val="center"/>
                </w:tcPr>
                <w:p w14:paraId="1356809A">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58.18</w:t>
                  </w:r>
                </w:p>
              </w:tc>
              <w:tc>
                <w:tcPr>
                  <w:tcW w:w="624" w:type="dxa"/>
                  <w:shd w:val="clear" w:color="auto" w:fill="auto"/>
                  <w:noWrap/>
                  <w:vAlign w:val="center"/>
                </w:tcPr>
                <w:p w14:paraId="1F9825FA">
                  <w:pPr>
                    <w:pStyle w:val="57"/>
                    <w:rPr>
                      <w:rFonts w:hint="eastAsia"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0E36C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13A4289C">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141C6C39">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650459E3">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580CAB48">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461DD9F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0A3B6F6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214480E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26857F42">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32.20</w:t>
                  </w:r>
                </w:p>
              </w:tc>
              <w:tc>
                <w:tcPr>
                  <w:tcW w:w="723" w:type="dxa"/>
                  <w:shd w:val="clear" w:color="auto" w:fill="auto"/>
                  <w:noWrap/>
                  <w:vAlign w:val="center"/>
                </w:tcPr>
                <w:p w14:paraId="294606B6">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74.06</w:t>
                  </w:r>
                </w:p>
              </w:tc>
              <w:tc>
                <w:tcPr>
                  <w:tcW w:w="437" w:type="dxa"/>
                  <w:vMerge w:val="continue"/>
                  <w:shd w:val="clear" w:color="auto" w:fill="auto"/>
                  <w:noWrap/>
                  <w:vAlign w:val="center"/>
                </w:tcPr>
                <w:p w14:paraId="3E77B327">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13D09A7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709836F7">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58.06</w:t>
                  </w:r>
                </w:p>
              </w:tc>
              <w:tc>
                <w:tcPr>
                  <w:tcW w:w="624" w:type="dxa"/>
                  <w:shd w:val="clear" w:color="auto" w:fill="auto"/>
                  <w:noWrap/>
                  <w:vAlign w:val="center"/>
                </w:tcPr>
                <w:p w14:paraId="3DB0C1B2">
                  <w:pPr>
                    <w:pStyle w:val="57"/>
                    <w:rPr>
                      <w:rFonts w:hint="eastAsia"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70175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2729F52C">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0188ECF8">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6334835B">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4BF9835B">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4853143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1F5C176C">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22B63A1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3B2EB3A0">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21.70</w:t>
                  </w:r>
                </w:p>
              </w:tc>
              <w:tc>
                <w:tcPr>
                  <w:tcW w:w="723" w:type="dxa"/>
                  <w:shd w:val="clear" w:color="auto" w:fill="auto"/>
                  <w:noWrap/>
                  <w:vAlign w:val="center"/>
                </w:tcPr>
                <w:p w14:paraId="11205CA0">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74.06</w:t>
                  </w:r>
                </w:p>
              </w:tc>
              <w:tc>
                <w:tcPr>
                  <w:tcW w:w="437" w:type="dxa"/>
                  <w:vMerge w:val="continue"/>
                  <w:shd w:val="clear" w:color="auto" w:fill="auto"/>
                  <w:noWrap/>
                  <w:vAlign w:val="center"/>
                </w:tcPr>
                <w:p w14:paraId="4B40AE2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41D89CBF">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4A6321B4">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58.06</w:t>
                  </w:r>
                </w:p>
              </w:tc>
              <w:tc>
                <w:tcPr>
                  <w:tcW w:w="624" w:type="dxa"/>
                  <w:shd w:val="clear" w:color="auto" w:fill="auto"/>
                  <w:noWrap/>
                  <w:vAlign w:val="center"/>
                </w:tcPr>
                <w:p w14:paraId="25C209B3">
                  <w:pPr>
                    <w:pStyle w:val="57"/>
                    <w:rPr>
                      <w:rFonts w:hint="eastAsia"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5F64E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3D6ABF9A">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63A515B0">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0FA18B24">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0C4E3510">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4DF2BB7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31E541A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283AB3A9">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249C6B9E">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8.75</w:t>
                  </w:r>
                </w:p>
              </w:tc>
              <w:tc>
                <w:tcPr>
                  <w:tcW w:w="723" w:type="dxa"/>
                  <w:shd w:val="clear" w:color="auto" w:fill="auto"/>
                  <w:noWrap/>
                  <w:vAlign w:val="center"/>
                </w:tcPr>
                <w:p w14:paraId="0600EDA7">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74.11</w:t>
                  </w:r>
                </w:p>
              </w:tc>
              <w:tc>
                <w:tcPr>
                  <w:tcW w:w="437" w:type="dxa"/>
                  <w:vMerge w:val="continue"/>
                  <w:shd w:val="clear" w:color="auto" w:fill="auto"/>
                  <w:noWrap/>
                  <w:vAlign w:val="center"/>
                </w:tcPr>
                <w:p w14:paraId="731A51C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5DAD547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4D675331">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58.11</w:t>
                  </w:r>
                </w:p>
              </w:tc>
              <w:tc>
                <w:tcPr>
                  <w:tcW w:w="624" w:type="dxa"/>
                  <w:shd w:val="clear" w:color="auto" w:fill="auto"/>
                  <w:noWrap/>
                  <w:vAlign w:val="center"/>
                </w:tcPr>
                <w:p w14:paraId="00D98862">
                  <w:pPr>
                    <w:pStyle w:val="57"/>
                    <w:rPr>
                      <w:rFonts w:hint="eastAsia"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bl>
          <w:p w14:paraId="6BAAC474">
            <w:pPr>
              <w:pStyle w:val="35"/>
              <w:ind w:firstLine="480"/>
              <w:rPr>
                <w:rFonts w:hint="eastAsia" w:ascii="Times New Roman" w:hAnsi="Times New Roman" w:eastAsia="宋体" w:cs="Times New Roman"/>
                <w:b/>
                <w:color w:val="000000" w:themeColor="text1"/>
                <w:kern w:val="2"/>
                <w:sz w:val="21"/>
                <w:szCs w:val="21"/>
                <w:u w:val="none" w:color="auto"/>
                <w:lang w:val="en-US" w:eastAsia="zh-CN" w:bidi="ar-SA"/>
                <w14:textFill>
                  <w14:solidFill>
                    <w14:schemeClr w14:val="tx1"/>
                  </w14:solidFill>
                </w14:textFill>
              </w:rPr>
            </w:pPr>
            <w:r>
              <w:rPr>
                <w:rFonts w:hint="eastAsia"/>
                <w:color w:val="000000" w:themeColor="text1"/>
                <w14:textFill>
                  <w14:solidFill>
                    <w14:schemeClr w14:val="tx1"/>
                  </w14:solidFill>
                </w14:textFill>
              </w:rPr>
              <w:t>注：1、建筑物插入损失为建筑物隔声量+6dB</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A</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，本项目厂房参考《工业企业噪声控制设计规范》（GB/T 50087-2013）隔声间的隔声量，本次取1</w:t>
            </w:r>
            <w:r>
              <w:rPr>
                <w:rFonts w:hint="eastAsia"/>
                <w:color w:val="000000" w:themeColor="text1"/>
                <w:lang w:val="en-US" w:eastAsia="zh-CN"/>
                <w14:textFill>
                  <w14:solidFill>
                    <w14:schemeClr w14:val="tx1"/>
                  </w14:solidFill>
                </w14:textFill>
              </w:rPr>
              <w:t>0</w:t>
            </w:r>
            <w:r>
              <w:rPr>
                <w:rFonts w:hint="eastAsia"/>
                <w:color w:val="000000" w:themeColor="text1"/>
                <w14:textFill>
                  <w14:solidFill>
                    <w14:schemeClr w14:val="tx1"/>
                  </w14:solidFill>
                </w14:textFill>
              </w:rPr>
              <w:t>dB</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A</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，因此建筑物插入损失为</w:t>
            </w:r>
            <w:r>
              <w:rPr>
                <w:rFonts w:hint="eastAsia"/>
                <w:color w:val="000000" w:themeColor="text1"/>
                <w:lang w:val="en-US" w:eastAsia="zh-CN"/>
                <w14:textFill>
                  <w14:solidFill>
                    <w14:schemeClr w14:val="tx1"/>
                  </w14:solidFill>
                </w14:textFill>
              </w:rPr>
              <w:t>16</w:t>
            </w:r>
            <w:r>
              <w:rPr>
                <w:rFonts w:hint="eastAsia"/>
                <w:color w:val="000000" w:themeColor="text1"/>
                <w14:textFill>
                  <w14:solidFill>
                    <w14:schemeClr w14:val="tx1"/>
                  </w14:solidFill>
                </w14:textFill>
              </w:rPr>
              <w:t>dB</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A</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w:t>
            </w:r>
          </w:p>
          <w:p w14:paraId="62CD96F4">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（2）声环境影响预测</w:t>
            </w:r>
          </w:p>
          <w:p w14:paraId="0424EF87">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根据《环境影响评价技术导则声环境》（</w:t>
            </w:r>
            <w:r>
              <w:rPr>
                <w:color w:val="000000" w:themeColor="text1"/>
                <w:u w:val="none" w:color="auto"/>
                <w14:textFill>
                  <w14:solidFill>
                    <w14:schemeClr w14:val="tx1"/>
                  </w14:solidFill>
                </w14:textFill>
              </w:rPr>
              <w:t>HJ2.4-20</w:t>
            </w:r>
            <w:r>
              <w:rPr>
                <w:rFonts w:hint="eastAsia"/>
                <w:color w:val="000000" w:themeColor="text1"/>
                <w:u w:val="none" w:color="auto"/>
                <w14:textFill>
                  <w14:solidFill>
                    <w14:schemeClr w14:val="tx1"/>
                  </w14:solidFill>
                </w14:textFill>
              </w:rPr>
              <w:t>21</w:t>
            </w:r>
            <w:r>
              <w:rPr>
                <w:color w:val="000000" w:themeColor="text1"/>
                <w:u w:val="none" w:color="auto"/>
                <w14:textFill>
                  <w14:solidFill>
                    <w14:schemeClr w14:val="tx1"/>
                  </w14:solidFill>
                </w14:textFill>
              </w:rPr>
              <w:t>），预测范围应为项目厂界和评</w:t>
            </w:r>
            <w:r>
              <w:rPr>
                <w:rFonts w:hint="eastAsia"/>
                <w:color w:val="000000" w:themeColor="text1"/>
                <w:u w:val="none" w:color="auto"/>
                <w14:textFill>
                  <w14:solidFill>
                    <w14:schemeClr w14:val="tx1"/>
                  </w14:solidFill>
                </w14:textFill>
              </w:rPr>
              <w:t>价范围内的敏感目标。</w:t>
            </w:r>
          </w:p>
          <w:p w14:paraId="1805BC34">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本项目所用设备均选用低噪声设备，并采取了相应的噪声污染防治措施。根据声源的特征和所在位置，采用相应的计算模式计算各声源对各预测点的影响值。</w:t>
            </w:r>
          </w:p>
          <w:p w14:paraId="2F11C62C">
            <w:pPr>
              <w:pStyle w:val="3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1）预测模式</w:t>
            </w:r>
          </w:p>
          <w:p w14:paraId="57EC5110">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以厂区厂界预测点为原点，选择一个坐标系，确定各噪声源位置，并测量各噪声源到预测点的距离，将各噪声源视为半自由状态噪声源，按声能量在空气传播中衰减模式可计算出某噪声源在预测点的声压级，预测模式如下。</w:t>
            </w:r>
          </w:p>
          <w:p w14:paraId="1FEEACCE">
            <w:pPr>
              <w:pStyle w:val="7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①室内声源</w:t>
            </w:r>
          </w:p>
          <w:p w14:paraId="22681415">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a.首先计算出某个室内靠近围护结构处的倍频带声压级：</w:t>
            </w:r>
          </w:p>
          <w:p w14:paraId="0DD73AC8">
            <w:pPr>
              <w:pStyle w:val="57"/>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drawing>
                <wp:inline distT="0" distB="0" distL="0" distR="0">
                  <wp:extent cx="1971675" cy="495300"/>
                  <wp:effectExtent l="0" t="0" r="0" b="0"/>
                  <wp:docPr id="4255157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515730" name="图片 1"/>
                          <pic:cNvPicPr>
                            <a:picLocks noChangeAspect="1"/>
                          </pic:cNvPicPr>
                        </pic:nvPicPr>
                        <pic:blipFill>
                          <a:blip r:embed="rId24"/>
                          <a:stretch>
                            <a:fillRect/>
                          </a:stretch>
                        </pic:blipFill>
                        <pic:spPr>
                          <a:xfrm>
                            <a:off x="0" y="0"/>
                            <a:ext cx="1991400" cy="500607"/>
                          </a:xfrm>
                          <a:prstGeom prst="rect">
                            <a:avLst/>
                          </a:prstGeom>
                        </pic:spPr>
                      </pic:pic>
                    </a:graphicData>
                  </a:graphic>
                </wp:inline>
              </w:drawing>
            </w:r>
          </w:p>
          <w:p w14:paraId="14F6B345">
            <w:pPr>
              <w:pStyle w:val="7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式中：</w:t>
            </w:r>
            <w:r>
              <w:rPr>
                <w:color w:val="000000" w:themeColor="text1"/>
                <w:u w:val="none" w:color="auto"/>
                <w14:textFill>
                  <w14:solidFill>
                    <w14:schemeClr w14:val="tx1"/>
                  </w14:solidFill>
                </w14:textFill>
              </w:rPr>
              <w:t>Loct，1——某个室内声源在靠近围护结构处产生的倍频带声压级；</w:t>
            </w:r>
          </w:p>
          <w:p w14:paraId="574822C6">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Lw oct——某个声源的倍频带声功率级；</w:t>
            </w:r>
          </w:p>
          <w:p w14:paraId="056AF56D">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r1——室内某个声源与靠近围护结构处的距离；</w:t>
            </w:r>
          </w:p>
          <w:p w14:paraId="735614DC">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R——房间常数；</w:t>
            </w:r>
          </w:p>
          <w:p w14:paraId="486B39F3">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Q——方向因子。</w:t>
            </w:r>
          </w:p>
          <w:p w14:paraId="549B0D32">
            <w:pPr>
              <w:pStyle w:val="57"/>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drawing>
                <wp:inline distT="0" distB="0" distL="0" distR="0">
                  <wp:extent cx="2238375" cy="1122680"/>
                  <wp:effectExtent l="0" t="0" r="0" b="0"/>
                  <wp:docPr id="15570522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052217" name="图片 1"/>
                          <pic:cNvPicPr>
                            <a:picLocks noChangeAspect="1"/>
                          </pic:cNvPicPr>
                        </pic:nvPicPr>
                        <pic:blipFill>
                          <a:blip r:embed="rId25"/>
                          <a:stretch>
                            <a:fillRect/>
                          </a:stretch>
                        </pic:blipFill>
                        <pic:spPr>
                          <a:xfrm>
                            <a:off x="0" y="0"/>
                            <a:ext cx="2248364" cy="1127971"/>
                          </a:xfrm>
                          <a:prstGeom prst="rect">
                            <a:avLst/>
                          </a:prstGeom>
                        </pic:spPr>
                      </pic:pic>
                    </a:graphicData>
                  </a:graphic>
                </wp:inline>
              </w:drawing>
            </w:r>
          </w:p>
          <w:p w14:paraId="5B5622E9">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b.再计算出所有室内声源在靠近围护结构处产生的总倍频带声压级：</w:t>
            </w:r>
          </w:p>
          <w:p w14:paraId="12862621">
            <w:pPr>
              <w:pStyle w:val="57"/>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drawing>
                <wp:inline distT="0" distB="0" distL="0" distR="0">
                  <wp:extent cx="2371725" cy="610235"/>
                  <wp:effectExtent l="0" t="0" r="0" b="0"/>
                  <wp:docPr id="7076023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02360" name="图片 1"/>
                          <pic:cNvPicPr>
                            <a:picLocks noChangeAspect="1"/>
                          </pic:cNvPicPr>
                        </pic:nvPicPr>
                        <pic:blipFill>
                          <a:blip r:embed="rId26"/>
                          <a:stretch>
                            <a:fillRect/>
                          </a:stretch>
                        </pic:blipFill>
                        <pic:spPr>
                          <a:xfrm>
                            <a:off x="0" y="0"/>
                            <a:ext cx="2396016" cy="617034"/>
                          </a:xfrm>
                          <a:prstGeom prst="rect">
                            <a:avLst/>
                          </a:prstGeom>
                        </pic:spPr>
                      </pic:pic>
                    </a:graphicData>
                  </a:graphic>
                </wp:inline>
              </w:drawing>
            </w:r>
          </w:p>
          <w:p w14:paraId="3F717F87">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c.计算出室外靠近围护结构处的声压级：</w:t>
            </w:r>
          </w:p>
          <w:p w14:paraId="00363916">
            <w:pPr>
              <w:pStyle w:val="57"/>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drawing>
                <wp:inline distT="0" distB="0" distL="0" distR="0">
                  <wp:extent cx="2152650" cy="229235"/>
                  <wp:effectExtent l="0" t="0" r="0" b="0"/>
                  <wp:docPr id="20487149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714933" name="图片 1"/>
                          <pic:cNvPicPr>
                            <a:picLocks noChangeAspect="1"/>
                          </pic:cNvPicPr>
                        </pic:nvPicPr>
                        <pic:blipFill>
                          <a:blip r:embed="rId27"/>
                          <a:stretch>
                            <a:fillRect/>
                          </a:stretch>
                        </pic:blipFill>
                        <pic:spPr>
                          <a:xfrm>
                            <a:off x="0" y="0"/>
                            <a:ext cx="2234761" cy="238382"/>
                          </a:xfrm>
                          <a:prstGeom prst="rect">
                            <a:avLst/>
                          </a:prstGeom>
                        </pic:spPr>
                      </pic:pic>
                    </a:graphicData>
                  </a:graphic>
                </wp:inline>
              </w:drawing>
            </w:r>
          </w:p>
          <w:p w14:paraId="3B38A8B4">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d.将室外声级 Loct，2（T）和透声面积换算成等效的室外声源，计算出等效声源第 i 个</w:t>
            </w:r>
            <w:r>
              <w:rPr>
                <w:rFonts w:hint="eastAsia"/>
                <w:color w:val="000000" w:themeColor="text1"/>
                <w:u w:val="none" w:color="auto"/>
                <w14:textFill>
                  <w14:solidFill>
                    <w14:schemeClr w14:val="tx1"/>
                  </w14:solidFill>
                </w14:textFill>
              </w:rPr>
              <w:t>倍频带的声功率级</w:t>
            </w:r>
            <w:r>
              <w:rPr>
                <w:color w:val="000000" w:themeColor="text1"/>
                <w:u w:val="none" w:color="auto"/>
                <w14:textFill>
                  <w14:solidFill>
                    <w14:schemeClr w14:val="tx1"/>
                  </w14:solidFill>
                </w14:textFill>
              </w:rPr>
              <w:t xml:space="preserve"> Lw oct：</w:t>
            </w:r>
          </w:p>
          <w:p w14:paraId="07ACE593">
            <w:pPr>
              <w:pStyle w:val="57"/>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drawing>
                <wp:inline distT="0" distB="0" distL="0" distR="0">
                  <wp:extent cx="2237105" cy="287020"/>
                  <wp:effectExtent l="0" t="0" r="0" b="0"/>
                  <wp:docPr id="12159731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973194" name="图片 1"/>
                          <pic:cNvPicPr>
                            <a:picLocks noChangeAspect="1"/>
                          </pic:cNvPicPr>
                        </pic:nvPicPr>
                        <pic:blipFill>
                          <a:blip r:embed="rId28"/>
                          <a:stretch>
                            <a:fillRect/>
                          </a:stretch>
                        </pic:blipFill>
                        <pic:spPr>
                          <a:xfrm>
                            <a:off x="0" y="0"/>
                            <a:ext cx="2256133" cy="289504"/>
                          </a:xfrm>
                          <a:prstGeom prst="rect">
                            <a:avLst/>
                          </a:prstGeom>
                        </pic:spPr>
                      </pic:pic>
                    </a:graphicData>
                  </a:graphic>
                </wp:inline>
              </w:drawing>
            </w:r>
          </w:p>
          <w:p w14:paraId="0EEFF4A6">
            <w:pPr>
              <w:pStyle w:val="7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式中：</w:t>
            </w:r>
            <w:r>
              <w:rPr>
                <w:color w:val="000000" w:themeColor="text1"/>
                <w:u w:val="none" w:color="auto"/>
                <w14:textFill>
                  <w14:solidFill>
                    <w14:schemeClr w14:val="tx1"/>
                  </w14:solidFill>
                </w14:textFill>
              </w:rPr>
              <w:t>S——透声面积，m</w:t>
            </w:r>
            <w:r>
              <w:rPr>
                <w:color w:val="000000" w:themeColor="text1"/>
                <w:u w:val="none" w:color="auto"/>
                <w:vertAlign w:val="superscript"/>
                <w14:textFill>
                  <w14:solidFill>
                    <w14:schemeClr w14:val="tx1"/>
                  </w14:solidFill>
                </w14:textFill>
              </w:rPr>
              <w:t>2</w:t>
            </w:r>
            <w:r>
              <w:rPr>
                <w:color w:val="000000" w:themeColor="text1"/>
                <w:u w:val="none" w:color="auto"/>
                <w14:textFill>
                  <w14:solidFill>
                    <w14:schemeClr w14:val="tx1"/>
                  </w14:solidFill>
                </w14:textFill>
              </w:rPr>
              <w:t>。</w:t>
            </w:r>
          </w:p>
          <w:p w14:paraId="26893948">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e.等效室外声源的位置为围护结构的位置，其倍频带声功率级为 Lw oct，由此按室外声</w:t>
            </w:r>
            <w:r>
              <w:rPr>
                <w:rFonts w:hint="eastAsia"/>
                <w:color w:val="000000" w:themeColor="text1"/>
                <w:u w:val="none" w:color="auto"/>
                <w14:textFill>
                  <w14:solidFill>
                    <w14:schemeClr w14:val="tx1"/>
                  </w14:solidFill>
                </w14:textFill>
              </w:rPr>
              <w:t>源方法计算等效室外声源在预测点产生的声级。</w:t>
            </w:r>
          </w:p>
          <w:p w14:paraId="796742BD">
            <w:pPr>
              <w:pStyle w:val="7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由上述各式可计算出周围声环境因该项目设备新增加的声级值，综合该区内的声环境背景值，再按声能量</w:t>
            </w:r>
            <w:r>
              <w:rPr>
                <w:rFonts w:hint="eastAsia"/>
                <w:color w:val="000000" w:themeColor="text1"/>
                <w:u w:val="none" w:color="auto"/>
                <w:lang w:eastAsia="zh-CN"/>
                <w14:textFill>
                  <w14:solidFill>
                    <w14:schemeClr w14:val="tx1"/>
                  </w14:solidFill>
                </w14:textFill>
              </w:rPr>
              <w:t>叠加</w:t>
            </w:r>
            <w:r>
              <w:rPr>
                <w:rFonts w:hint="eastAsia"/>
                <w:color w:val="000000" w:themeColor="text1"/>
                <w:u w:val="none" w:color="auto"/>
                <w14:textFill>
                  <w14:solidFill>
                    <w14:schemeClr w14:val="tx1"/>
                  </w14:solidFill>
                </w14:textFill>
              </w:rPr>
              <w:t>模式预测出某点的总声压级值，预测模式如下：</w:t>
            </w:r>
          </w:p>
          <w:p w14:paraId="097846B9">
            <w:pPr>
              <w:pStyle w:val="57"/>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drawing>
                <wp:inline distT="0" distB="0" distL="0" distR="0">
                  <wp:extent cx="3171825" cy="450215"/>
                  <wp:effectExtent l="0" t="0" r="0" b="0"/>
                  <wp:docPr id="37963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6303" name="图片 1"/>
                          <pic:cNvPicPr>
                            <a:picLocks noChangeAspect="1"/>
                          </pic:cNvPicPr>
                        </pic:nvPicPr>
                        <pic:blipFill>
                          <a:blip r:embed="rId29"/>
                          <a:stretch>
                            <a:fillRect/>
                          </a:stretch>
                        </pic:blipFill>
                        <pic:spPr>
                          <a:xfrm>
                            <a:off x="0" y="0"/>
                            <a:ext cx="3198512" cy="454399"/>
                          </a:xfrm>
                          <a:prstGeom prst="rect">
                            <a:avLst/>
                          </a:prstGeom>
                        </pic:spPr>
                      </pic:pic>
                    </a:graphicData>
                  </a:graphic>
                </wp:inline>
              </w:drawing>
            </w:r>
          </w:p>
          <w:p w14:paraId="663DD6A2">
            <w:pPr>
              <w:pStyle w:val="7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式中：</w:t>
            </w:r>
            <w:r>
              <w:rPr>
                <w:color w:val="000000" w:themeColor="text1"/>
                <w:u w:val="none" w:color="auto"/>
                <w14:textFill>
                  <w14:solidFill>
                    <w14:schemeClr w14:val="tx1"/>
                  </w14:solidFill>
                </w14:textFill>
              </w:rPr>
              <w:t>Leq 总——某预测点总声压级，dB(A)；</w:t>
            </w:r>
          </w:p>
          <w:p w14:paraId="6D60043A">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n——室外声源个数；</w:t>
            </w:r>
          </w:p>
          <w:p w14:paraId="178F1D2F">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m——等效室外声源个数；</w:t>
            </w:r>
          </w:p>
          <w:p w14:paraId="685F4E24">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T——计算等效声级时间。</w:t>
            </w:r>
          </w:p>
          <w:p w14:paraId="2B45B284">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2）预测参数</w:t>
            </w:r>
          </w:p>
          <w:p w14:paraId="2BDE39F6">
            <w:pPr>
              <w:pStyle w:val="7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经对现有资料整理分析，拟选用如下参数和条件进行计算：</w:t>
            </w:r>
          </w:p>
          <w:p w14:paraId="07625B34">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a.一般属性</w:t>
            </w:r>
          </w:p>
          <w:p w14:paraId="63517C48">
            <w:pPr>
              <w:pStyle w:val="7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声源离地面高度为</w:t>
            </w:r>
            <w:r>
              <w:rPr>
                <w:color w:val="000000" w:themeColor="text1"/>
                <w:u w:val="none" w:color="auto"/>
                <w14:textFill>
                  <w14:solidFill>
                    <w14:schemeClr w14:val="tx1"/>
                  </w14:solidFill>
                </w14:textFill>
              </w:rPr>
              <w:t xml:space="preserve"> </w:t>
            </w:r>
            <w:r>
              <w:rPr>
                <w:rFonts w:hint="eastAsia"/>
                <w:color w:val="000000" w:themeColor="text1"/>
                <w:u w:val="none" w:color="auto"/>
                <w14:textFill>
                  <w14:solidFill>
                    <w14:schemeClr w14:val="tx1"/>
                  </w14:solidFill>
                </w14:textFill>
              </w:rPr>
              <w:t>1</w:t>
            </w:r>
            <w:r>
              <w:rPr>
                <w:color w:val="000000" w:themeColor="text1"/>
                <w:u w:val="none" w:color="auto"/>
                <w14:textFill>
                  <w14:solidFill>
                    <w14:schemeClr w14:val="tx1"/>
                  </w14:solidFill>
                </w14:textFill>
              </w:rPr>
              <w:t>，室内点源位置为地面，声源所在房间内壁的吸声系数 0.01。</w:t>
            </w:r>
          </w:p>
          <w:p w14:paraId="4819BE4E">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b.发声特性</w:t>
            </w:r>
          </w:p>
          <w:p w14:paraId="1EA6A29C">
            <w:pPr>
              <w:pStyle w:val="7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稳态发声，不分频。</w:t>
            </w:r>
          </w:p>
          <w:p w14:paraId="79B90034">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3）建立坐标系</w:t>
            </w:r>
          </w:p>
          <w:p w14:paraId="4949BA4F">
            <w:pPr>
              <w:pStyle w:val="7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噪声评价厂界按项目厂界计算，坐标原点设在厂区西厂界和南厂界交叉处，</w:t>
            </w:r>
            <w:r>
              <w:rPr>
                <w:color w:val="000000" w:themeColor="text1"/>
                <w:u w:val="none" w:color="auto"/>
                <w14:textFill>
                  <w14:solidFill>
                    <w14:schemeClr w14:val="tx1"/>
                  </w14:solidFill>
                </w14:textFill>
              </w:rPr>
              <w:t>X 轴正向</w:t>
            </w:r>
            <w:r>
              <w:rPr>
                <w:rFonts w:hint="eastAsia"/>
                <w:color w:val="000000" w:themeColor="text1"/>
                <w:u w:val="none" w:color="auto"/>
                <w14:textFill>
                  <w14:solidFill>
                    <w14:schemeClr w14:val="tx1"/>
                  </w14:solidFill>
                </w14:textFill>
              </w:rPr>
              <w:t>为正东方向，</w:t>
            </w:r>
            <w:r>
              <w:rPr>
                <w:color w:val="000000" w:themeColor="text1"/>
                <w:u w:val="none" w:color="auto"/>
                <w14:textFill>
                  <w14:solidFill>
                    <w14:schemeClr w14:val="tx1"/>
                  </w14:solidFill>
                </w14:textFill>
              </w:rPr>
              <w:t>Y 轴正向为正北方向。计算中，坐标系坐标起点和终点的位置为：起点（0，0），终点（500，500）。预测区内测算点的间隔为 X 方向 10m，Y 方向 10m。</w:t>
            </w:r>
          </w:p>
          <w:p w14:paraId="2C7D4670">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要预测一个有限区域上的多种噪声设备共同对外界的影响，首先必须确定各个噪声源的坐标位置和源强参数，然后将其代入预测模式当中进行计算。</w:t>
            </w:r>
          </w:p>
          <w:p w14:paraId="5D03F314">
            <w:pPr>
              <w:pStyle w:val="35"/>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000000" w:themeColor="text1"/>
                <w:u w:val="none" w:color="auto"/>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4</w:t>
            </w:r>
            <w:r>
              <w:rPr>
                <w:rFonts w:hint="eastAsia"/>
                <w:color w:val="000000" w:themeColor="text1"/>
                <w:u w:val="none" w:color="auto"/>
                <w14:textFill>
                  <w14:solidFill>
                    <w14:schemeClr w14:val="tx1"/>
                  </w14:solidFill>
                </w14:textFill>
              </w:rPr>
              <w:t>）噪声预测结果</w:t>
            </w:r>
          </w:p>
          <w:p w14:paraId="7B912F89">
            <w:pPr>
              <w:pStyle w:val="34"/>
              <w:spacing w:before="156"/>
              <w:rPr>
                <w:color w:val="000000" w:themeColor="text1"/>
                <w:sz w:val="21"/>
                <w:szCs w:val="21"/>
                <w:u w:val="none" w:color="auto"/>
                <w14:textFill>
                  <w14:solidFill>
                    <w14:schemeClr w14:val="tx1"/>
                  </w14:solidFill>
                </w14:textFill>
              </w:rPr>
            </w:pPr>
            <w:r>
              <w:rPr>
                <w:rFonts w:hint="eastAsia"/>
                <w:color w:val="000000" w:themeColor="text1"/>
                <w:sz w:val="21"/>
                <w:szCs w:val="21"/>
                <w:u w:val="none" w:color="auto"/>
                <w14:textFill>
                  <w14:solidFill>
                    <w14:schemeClr w14:val="tx1"/>
                  </w14:solidFill>
                </w14:textFill>
              </w:rPr>
              <w:t>表4-</w:t>
            </w:r>
            <w:r>
              <w:rPr>
                <w:rFonts w:hint="eastAsia"/>
                <w:color w:val="000000" w:themeColor="text1"/>
                <w:sz w:val="21"/>
                <w:szCs w:val="21"/>
                <w:u w:val="none" w:color="auto"/>
                <w:lang w:val="en-US" w:eastAsia="zh-CN"/>
                <w14:textFill>
                  <w14:solidFill>
                    <w14:schemeClr w14:val="tx1"/>
                  </w14:solidFill>
                </w14:textFill>
              </w:rPr>
              <w:t>14</w:t>
            </w:r>
            <w:r>
              <w:rPr>
                <w:rFonts w:hint="eastAsia"/>
                <w:color w:val="000000" w:themeColor="text1"/>
                <w:sz w:val="21"/>
                <w:szCs w:val="21"/>
                <w:u w:val="none" w:color="auto"/>
                <w14:textFill>
                  <w14:solidFill>
                    <w14:schemeClr w14:val="tx1"/>
                  </w14:solidFill>
                </w14:textFill>
              </w:rPr>
              <w:t xml:space="preserve">  项目厂界噪声预测结果表</w:t>
            </w:r>
          </w:p>
          <w:tbl>
            <w:tblPr>
              <w:tblStyle w:val="27"/>
              <w:tblW w:w="7789" w:type="dxa"/>
              <w:tblInd w:w="5"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96"/>
              <w:gridCol w:w="1200"/>
              <w:gridCol w:w="1084"/>
              <w:gridCol w:w="1363"/>
              <w:gridCol w:w="1364"/>
              <w:gridCol w:w="1282"/>
            </w:tblGrid>
            <w:tr w14:paraId="1420A4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59" w:hRule="atLeast"/>
              </w:trPr>
              <w:tc>
                <w:tcPr>
                  <w:tcW w:w="1496" w:type="dxa"/>
                  <w:tcBorders>
                    <w:tl2br w:val="nil"/>
                    <w:tr2bl w:val="nil"/>
                  </w:tcBorders>
                  <w:vAlign w:val="center"/>
                </w:tcPr>
                <w:p w14:paraId="2A666E74">
                  <w:pPr>
                    <w:pStyle w:val="106"/>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厂界方位</w:t>
                  </w:r>
                </w:p>
              </w:tc>
              <w:tc>
                <w:tcPr>
                  <w:tcW w:w="1200" w:type="dxa"/>
                  <w:tcBorders>
                    <w:tl2br w:val="nil"/>
                    <w:tr2bl w:val="nil"/>
                  </w:tcBorders>
                  <w:vAlign w:val="center"/>
                </w:tcPr>
                <w:p w14:paraId="7F36FBAA">
                  <w:pPr>
                    <w:pStyle w:val="106"/>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贡献值</w:t>
                  </w:r>
                </w:p>
              </w:tc>
              <w:tc>
                <w:tcPr>
                  <w:tcW w:w="1084" w:type="dxa"/>
                  <w:tcBorders>
                    <w:tl2br w:val="nil"/>
                    <w:tr2bl w:val="nil"/>
                  </w:tcBorders>
                  <w:vAlign w:val="center"/>
                </w:tcPr>
                <w:p w14:paraId="054642CD">
                  <w:pPr>
                    <w:pStyle w:val="106"/>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背景值</w:t>
                  </w:r>
                </w:p>
              </w:tc>
              <w:tc>
                <w:tcPr>
                  <w:tcW w:w="1363" w:type="dxa"/>
                  <w:tcBorders>
                    <w:tl2br w:val="nil"/>
                    <w:tr2bl w:val="nil"/>
                  </w:tcBorders>
                  <w:vAlign w:val="center"/>
                </w:tcPr>
                <w:p w14:paraId="44DEF545">
                  <w:pPr>
                    <w:pStyle w:val="106"/>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叠加值</w:t>
                  </w:r>
                </w:p>
              </w:tc>
              <w:tc>
                <w:tcPr>
                  <w:tcW w:w="1364" w:type="dxa"/>
                  <w:tcBorders>
                    <w:tl2br w:val="nil"/>
                    <w:tr2bl w:val="nil"/>
                  </w:tcBorders>
                  <w:vAlign w:val="center"/>
                </w:tcPr>
                <w:p w14:paraId="4D606039">
                  <w:pPr>
                    <w:pStyle w:val="106"/>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标准限值</w:t>
                  </w:r>
                </w:p>
              </w:tc>
              <w:tc>
                <w:tcPr>
                  <w:tcW w:w="1282" w:type="dxa"/>
                  <w:tcBorders>
                    <w:tl2br w:val="nil"/>
                    <w:tr2bl w:val="nil"/>
                  </w:tcBorders>
                  <w:vAlign w:val="center"/>
                </w:tcPr>
                <w:p w14:paraId="096DE9A6">
                  <w:pPr>
                    <w:pStyle w:val="106"/>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是否达标</w:t>
                  </w:r>
                </w:p>
              </w:tc>
            </w:tr>
            <w:tr w14:paraId="6C5CC5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99" w:hRule="atLeast"/>
              </w:trPr>
              <w:tc>
                <w:tcPr>
                  <w:tcW w:w="1496" w:type="dxa"/>
                  <w:tcBorders>
                    <w:tl2br w:val="nil"/>
                    <w:tr2bl w:val="nil"/>
                  </w:tcBorders>
                  <w:vAlign w:val="center"/>
                </w:tcPr>
                <w:p w14:paraId="6EAA08C9">
                  <w:pPr>
                    <w:pStyle w:val="106"/>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东厂界</w:t>
                  </w:r>
                </w:p>
              </w:tc>
              <w:tc>
                <w:tcPr>
                  <w:tcW w:w="1200" w:type="dxa"/>
                  <w:tcBorders>
                    <w:tl2br w:val="nil"/>
                    <w:tr2bl w:val="nil"/>
                  </w:tcBorders>
                  <w:vAlign w:val="center"/>
                </w:tcPr>
                <w:p w14:paraId="696E9FFA">
                  <w:pPr>
                    <w:pStyle w:val="106"/>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53.04</w:t>
                  </w:r>
                </w:p>
              </w:tc>
              <w:tc>
                <w:tcPr>
                  <w:tcW w:w="1084" w:type="dxa"/>
                  <w:tcBorders>
                    <w:tl2br w:val="nil"/>
                    <w:tr2bl w:val="nil"/>
                  </w:tcBorders>
                  <w:vAlign w:val="center"/>
                </w:tcPr>
                <w:p w14:paraId="0CDB8893">
                  <w:pPr>
                    <w:jc w:val="cente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w:t>
                  </w:r>
                </w:p>
              </w:tc>
              <w:tc>
                <w:tcPr>
                  <w:tcW w:w="1363" w:type="dxa"/>
                  <w:tcBorders>
                    <w:tl2br w:val="nil"/>
                    <w:tr2bl w:val="nil"/>
                  </w:tcBorders>
                  <w:shd w:val="clear" w:color="auto" w:fill="auto"/>
                  <w:vAlign w:val="center"/>
                </w:tcPr>
                <w:p w14:paraId="5000A2F8">
                  <w:pPr>
                    <w:pStyle w:val="106"/>
                    <w:rPr>
                      <w:rFonts w:hint="default" w:ascii="Times New Roman" w:hAnsi="Times New Roman" w:eastAsia="宋体" w:cs="Times New Roman"/>
                      <w:b w:val="0"/>
                      <w:bCs w:val="0"/>
                      <w:color w:val="000000" w:themeColor="text1"/>
                      <w:kern w:val="2"/>
                      <w:sz w:val="21"/>
                      <w:szCs w:val="21"/>
                      <w:u w:val="none" w:color="auto"/>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53.04</w:t>
                  </w:r>
                </w:p>
              </w:tc>
              <w:tc>
                <w:tcPr>
                  <w:tcW w:w="1364" w:type="dxa"/>
                  <w:tcBorders>
                    <w:tl2br w:val="nil"/>
                    <w:tr2bl w:val="nil"/>
                  </w:tcBorders>
                  <w:vAlign w:val="center"/>
                </w:tcPr>
                <w:p w14:paraId="1D636B01">
                  <w:pPr>
                    <w:jc w:val="cente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60</w:t>
                  </w:r>
                </w:p>
              </w:tc>
              <w:tc>
                <w:tcPr>
                  <w:tcW w:w="1282" w:type="dxa"/>
                  <w:tcBorders>
                    <w:tl2br w:val="nil"/>
                    <w:tr2bl w:val="nil"/>
                  </w:tcBorders>
                  <w:vAlign w:val="center"/>
                </w:tcPr>
                <w:p w14:paraId="673FF62E">
                  <w:pPr>
                    <w:jc w:val="cente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达标</w:t>
                  </w:r>
                </w:p>
              </w:tc>
            </w:tr>
            <w:tr w14:paraId="560B89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99" w:hRule="atLeast"/>
              </w:trPr>
              <w:tc>
                <w:tcPr>
                  <w:tcW w:w="1496" w:type="dxa"/>
                  <w:tcBorders>
                    <w:tl2br w:val="nil"/>
                    <w:tr2bl w:val="nil"/>
                  </w:tcBorders>
                  <w:vAlign w:val="center"/>
                </w:tcPr>
                <w:p w14:paraId="0B8302C9">
                  <w:pPr>
                    <w:pStyle w:val="106"/>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南厂界</w:t>
                  </w:r>
                </w:p>
              </w:tc>
              <w:tc>
                <w:tcPr>
                  <w:tcW w:w="1200" w:type="dxa"/>
                  <w:tcBorders>
                    <w:tl2br w:val="nil"/>
                    <w:tr2bl w:val="nil"/>
                  </w:tcBorders>
                  <w:vAlign w:val="center"/>
                </w:tcPr>
                <w:p w14:paraId="2D36D4F5">
                  <w:pPr>
                    <w:pStyle w:val="106"/>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58.94</w:t>
                  </w:r>
                </w:p>
              </w:tc>
              <w:tc>
                <w:tcPr>
                  <w:tcW w:w="1084" w:type="dxa"/>
                  <w:tcBorders>
                    <w:tl2br w:val="nil"/>
                    <w:tr2bl w:val="nil"/>
                  </w:tcBorders>
                  <w:vAlign w:val="center"/>
                </w:tcPr>
                <w:p w14:paraId="14F2C660">
                  <w:pPr>
                    <w:jc w:val="cente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w:t>
                  </w:r>
                </w:p>
              </w:tc>
              <w:tc>
                <w:tcPr>
                  <w:tcW w:w="1363" w:type="dxa"/>
                  <w:tcBorders>
                    <w:tl2br w:val="nil"/>
                    <w:tr2bl w:val="nil"/>
                  </w:tcBorders>
                  <w:shd w:val="clear" w:color="auto" w:fill="auto"/>
                  <w:vAlign w:val="center"/>
                </w:tcPr>
                <w:p w14:paraId="782574F4">
                  <w:pPr>
                    <w:pStyle w:val="106"/>
                    <w:rPr>
                      <w:rFonts w:hint="default" w:ascii="Times New Roman" w:hAnsi="Times New Roman" w:eastAsia="宋体" w:cs="Times New Roman"/>
                      <w:b w:val="0"/>
                      <w:bCs w:val="0"/>
                      <w:color w:val="000000" w:themeColor="text1"/>
                      <w:kern w:val="2"/>
                      <w:sz w:val="21"/>
                      <w:szCs w:val="21"/>
                      <w:u w:val="none" w:color="auto"/>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58.94</w:t>
                  </w:r>
                </w:p>
              </w:tc>
              <w:tc>
                <w:tcPr>
                  <w:tcW w:w="1364" w:type="dxa"/>
                  <w:tcBorders>
                    <w:tl2br w:val="nil"/>
                    <w:tr2bl w:val="nil"/>
                  </w:tcBorders>
                  <w:vAlign w:val="center"/>
                </w:tcPr>
                <w:p w14:paraId="30DA8A7A">
                  <w:pPr>
                    <w:jc w:val="cente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60</w:t>
                  </w:r>
                </w:p>
              </w:tc>
              <w:tc>
                <w:tcPr>
                  <w:tcW w:w="1282" w:type="dxa"/>
                  <w:tcBorders>
                    <w:tl2br w:val="nil"/>
                    <w:tr2bl w:val="nil"/>
                  </w:tcBorders>
                  <w:vAlign w:val="center"/>
                </w:tcPr>
                <w:p w14:paraId="04C3C197">
                  <w:pPr>
                    <w:jc w:val="cente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达标</w:t>
                  </w:r>
                </w:p>
              </w:tc>
            </w:tr>
            <w:tr w14:paraId="02E7C1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99" w:hRule="atLeast"/>
              </w:trPr>
              <w:tc>
                <w:tcPr>
                  <w:tcW w:w="1496" w:type="dxa"/>
                  <w:tcBorders>
                    <w:tl2br w:val="nil"/>
                    <w:tr2bl w:val="nil"/>
                  </w:tcBorders>
                  <w:vAlign w:val="center"/>
                </w:tcPr>
                <w:p w14:paraId="08FF4205">
                  <w:pPr>
                    <w:pStyle w:val="106"/>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西厂界</w:t>
                  </w:r>
                </w:p>
              </w:tc>
              <w:tc>
                <w:tcPr>
                  <w:tcW w:w="1200" w:type="dxa"/>
                  <w:tcBorders>
                    <w:tl2br w:val="nil"/>
                    <w:tr2bl w:val="nil"/>
                  </w:tcBorders>
                  <w:vAlign w:val="center"/>
                </w:tcPr>
                <w:p w14:paraId="7E707252">
                  <w:pPr>
                    <w:pStyle w:val="106"/>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45.54</w:t>
                  </w:r>
                </w:p>
              </w:tc>
              <w:tc>
                <w:tcPr>
                  <w:tcW w:w="1084" w:type="dxa"/>
                  <w:tcBorders>
                    <w:tl2br w:val="nil"/>
                    <w:tr2bl w:val="nil"/>
                  </w:tcBorders>
                  <w:vAlign w:val="center"/>
                </w:tcPr>
                <w:p w14:paraId="27DDC819">
                  <w:pPr>
                    <w:jc w:val="cente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w:t>
                  </w:r>
                </w:p>
              </w:tc>
              <w:tc>
                <w:tcPr>
                  <w:tcW w:w="1363" w:type="dxa"/>
                  <w:tcBorders>
                    <w:tl2br w:val="nil"/>
                    <w:tr2bl w:val="nil"/>
                  </w:tcBorders>
                  <w:shd w:val="clear" w:color="auto" w:fill="auto"/>
                  <w:vAlign w:val="center"/>
                </w:tcPr>
                <w:p w14:paraId="0DAF5D31">
                  <w:pPr>
                    <w:pStyle w:val="106"/>
                    <w:rPr>
                      <w:rFonts w:hint="default" w:ascii="Times New Roman" w:hAnsi="Times New Roman" w:eastAsia="宋体" w:cs="Times New Roman"/>
                      <w:b w:val="0"/>
                      <w:bCs w:val="0"/>
                      <w:color w:val="000000" w:themeColor="text1"/>
                      <w:kern w:val="2"/>
                      <w:sz w:val="21"/>
                      <w:szCs w:val="21"/>
                      <w:u w:val="none" w:color="auto"/>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45.54</w:t>
                  </w:r>
                </w:p>
              </w:tc>
              <w:tc>
                <w:tcPr>
                  <w:tcW w:w="1364" w:type="dxa"/>
                  <w:tcBorders>
                    <w:tl2br w:val="nil"/>
                    <w:tr2bl w:val="nil"/>
                  </w:tcBorders>
                  <w:vAlign w:val="center"/>
                </w:tcPr>
                <w:p w14:paraId="635AE57C">
                  <w:pPr>
                    <w:jc w:val="cente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60</w:t>
                  </w:r>
                </w:p>
              </w:tc>
              <w:tc>
                <w:tcPr>
                  <w:tcW w:w="1282" w:type="dxa"/>
                  <w:tcBorders>
                    <w:tl2br w:val="nil"/>
                    <w:tr2bl w:val="nil"/>
                  </w:tcBorders>
                  <w:vAlign w:val="center"/>
                </w:tcPr>
                <w:p w14:paraId="5040F79D">
                  <w:pPr>
                    <w:jc w:val="cente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达标</w:t>
                  </w:r>
                </w:p>
              </w:tc>
            </w:tr>
            <w:tr w14:paraId="623F99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99" w:hRule="atLeast"/>
              </w:trPr>
              <w:tc>
                <w:tcPr>
                  <w:tcW w:w="1496" w:type="dxa"/>
                  <w:tcBorders>
                    <w:tl2br w:val="nil"/>
                    <w:tr2bl w:val="nil"/>
                  </w:tcBorders>
                  <w:vAlign w:val="center"/>
                </w:tcPr>
                <w:p w14:paraId="58372A7C">
                  <w:pPr>
                    <w:pStyle w:val="106"/>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北厂界</w:t>
                  </w:r>
                </w:p>
              </w:tc>
              <w:tc>
                <w:tcPr>
                  <w:tcW w:w="1200" w:type="dxa"/>
                  <w:tcBorders>
                    <w:tl2br w:val="nil"/>
                    <w:tr2bl w:val="nil"/>
                  </w:tcBorders>
                  <w:vAlign w:val="center"/>
                </w:tcPr>
                <w:p w14:paraId="306F66B2">
                  <w:pPr>
                    <w:pStyle w:val="106"/>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47.30</w:t>
                  </w:r>
                </w:p>
              </w:tc>
              <w:tc>
                <w:tcPr>
                  <w:tcW w:w="1084" w:type="dxa"/>
                  <w:tcBorders>
                    <w:tl2br w:val="nil"/>
                    <w:tr2bl w:val="nil"/>
                  </w:tcBorders>
                  <w:vAlign w:val="center"/>
                </w:tcPr>
                <w:p w14:paraId="77ED8555">
                  <w:pPr>
                    <w:jc w:val="cente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w:t>
                  </w:r>
                </w:p>
              </w:tc>
              <w:tc>
                <w:tcPr>
                  <w:tcW w:w="1363" w:type="dxa"/>
                  <w:tcBorders>
                    <w:tl2br w:val="nil"/>
                    <w:tr2bl w:val="nil"/>
                  </w:tcBorders>
                  <w:shd w:val="clear" w:color="auto" w:fill="auto"/>
                  <w:vAlign w:val="center"/>
                </w:tcPr>
                <w:p w14:paraId="160A9DEA">
                  <w:pPr>
                    <w:pStyle w:val="106"/>
                    <w:rPr>
                      <w:rFonts w:hint="default" w:ascii="Times New Roman" w:hAnsi="Times New Roman" w:eastAsia="宋体" w:cs="Times New Roman"/>
                      <w:b w:val="0"/>
                      <w:bCs w:val="0"/>
                      <w:color w:val="000000" w:themeColor="text1"/>
                      <w:kern w:val="2"/>
                      <w:sz w:val="21"/>
                      <w:szCs w:val="21"/>
                      <w:u w:val="none" w:color="auto"/>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47.30</w:t>
                  </w:r>
                </w:p>
              </w:tc>
              <w:tc>
                <w:tcPr>
                  <w:tcW w:w="1364" w:type="dxa"/>
                  <w:tcBorders>
                    <w:tl2br w:val="nil"/>
                    <w:tr2bl w:val="nil"/>
                  </w:tcBorders>
                  <w:vAlign w:val="center"/>
                </w:tcPr>
                <w:p w14:paraId="71ECD918">
                  <w:pPr>
                    <w:jc w:val="cente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60</w:t>
                  </w:r>
                </w:p>
              </w:tc>
              <w:tc>
                <w:tcPr>
                  <w:tcW w:w="1282" w:type="dxa"/>
                  <w:tcBorders>
                    <w:tl2br w:val="nil"/>
                    <w:tr2bl w:val="nil"/>
                  </w:tcBorders>
                  <w:shd w:val="clear" w:color="auto" w:fill="auto"/>
                  <w:vAlign w:val="center"/>
                </w:tcPr>
                <w:p w14:paraId="0A54DBD6">
                  <w:pPr>
                    <w:jc w:val="center"/>
                    <w:rPr>
                      <w:rFonts w:hint="eastAsia" w:ascii="Times New Roman" w:hAnsi="Times New Roman" w:eastAsia="宋体" w:cs="Times New Roman"/>
                      <w:b w:val="0"/>
                      <w:bCs w:val="0"/>
                      <w:color w:val="000000" w:themeColor="text1"/>
                      <w:kern w:val="2"/>
                      <w:sz w:val="21"/>
                      <w:szCs w:val="21"/>
                      <w:u w:val="none" w:color="auto"/>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达标</w:t>
                  </w:r>
                </w:p>
              </w:tc>
            </w:tr>
            <w:tr w14:paraId="5EDD3D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7" w:hRule="atLeast"/>
              </w:trPr>
              <w:tc>
                <w:tcPr>
                  <w:tcW w:w="1496" w:type="dxa"/>
                  <w:tcBorders>
                    <w:tl2br w:val="nil"/>
                    <w:tr2bl w:val="nil"/>
                  </w:tcBorders>
                  <w:vAlign w:val="center"/>
                </w:tcPr>
                <w:p w14:paraId="4693F838">
                  <w:pPr>
                    <w:pStyle w:val="106"/>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西北侧居民点</w:t>
                  </w:r>
                </w:p>
              </w:tc>
              <w:tc>
                <w:tcPr>
                  <w:tcW w:w="1200" w:type="dxa"/>
                  <w:tcBorders>
                    <w:tl2br w:val="nil"/>
                    <w:tr2bl w:val="nil"/>
                  </w:tcBorders>
                  <w:vAlign w:val="center"/>
                </w:tcPr>
                <w:p w14:paraId="274FF6B1">
                  <w:pPr>
                    <w:pStyle w:val="106"/>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43.59</w:t>
                  </w:r>
                </w:p>
              </w:tc>
              <w:tc>
                <w:tcPr>
                  <w:tcW w:w="1084" w:type="dxa"/>
                  <w:tcBorders>
                    <w:tl2br w:val="nil"/>
                    <w:tr2bl w:val="nil"/>
                  </w:tcBorders>
                  <w:vAlign w:val="center"/>
                </w:tcPr>
                <w:p w14:paraId="1B2E71FD">
                  <w:pPr>
                    <w:jc w:val="cente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52.00</w:t>
                  </w:r>
                </w:p>
              </w:tc>
              <w:tc>
                <w:tcPr>
                  <w:tcW w:w="1363" w:type="dxa"/>
                  <w:tcBorders>
                    <w:tl2br w:val="nil"/>
                    <w:tr2bl w:val="nil"/>
                  </w:tcBorders>
                  <w:vAlign w:val="center"/>
                </w:tcPr>
                <w:p w14:paraId="1BAFCB95">
                  <w:pPr>
                    <w:jc w:val="cente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52.58</w:t>
                  </w:r>
                </w:p>
              </w:tc>
              <w:tc>
                <w:tcPr>
                  <w:tcW w:w="1364" w:type="dxa"/>
                  <w:tcBorders>
                    <w:tl2br w:val="nil"/>
                    <w:tr2bl w:val="nil"/>
                  </w:tcBorders>
                  <w:vAlign w:val="center"/>
                </w:tcPr>
                <w:p w14:paraId="49901BA6">
                  <w:pPr>
                    <w:jc w:val="cente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60</w:t>
                  </w:r>
                </w:p>
              </w:tc>
              <w:tc>
                <w:tcPr>
                  <w:tcW w:w="1282" w:type="dxa"/>
                  <w:tcBorders>
                    <w:tl2br w:val="nil"/>
                    <w:tr2bl w:val="nil"/>
                  </w:tcBorders>
                  <w:shd w:val="clear" w:color="auto" w:fill="auto"/>
                  <w:vAlign w:val="center"/>
                </w:tcPr>
                <w:p w14:paraId="581E8E1C">
                  <w:pPr>
                    <w:jc w:val="center"/>
                    <w:rPr>
                      <w:rFonts w:hint="default" w:ascii="Times New Roman" w:hAnsi="Times New Roman" w:eastAsia="宋体" w:cs="Times New Roman"/>
                      <w:b w:val="0"/>
                      <w:bCs w:val="0"/>
                      <w:color w:val="000000" w:themeColor="text1"/>
                      <w:kern w:val="2"/>
                      <w:sz w:val="21"/>
                      <w:szCs w:val="21"/>
                      <w:u w:val="none" w:color="auto"/>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达标</w:t>
                  </w:r>
                </w:p>
              </w:tc>
            </w:tr>
            <w:tr w14:paraId="2334AF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7" w:hRule="atLeast"/>
              </w:trPr>
              <w:tc>
                <w:tcPr>
                  <w:tcW w:w="1496" w:type="dxa"/>
                  <w:tcBorders>
                    <w:tl2br w:val="nil"/>
                    <w:tr2bl w:val="nil"/>
                  </w:tcBorders>
                  <w:vAlign w:val="center"/>
                </w:tcPr>
                <w:p w14:paraId="21A36E6D">
                  <w:pPr>
                    <w:pStyle w:val="106"/>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东北侧居民点</w:t>
                  </w:r>
                </w:p>
              </w:tc>
              <w:tc>
                <w:tcPr>
                  <w:tcW w:w="1200" w:type="dxa"/>
                  <w:tcBorders>
                    <w:tl2br w:val="nil"/>
                    <w:tr2bl w:val="nil"/>
                  </w:tcBorders>
                  <w:vAlign w:val="center"/>
                </w:tcPr>
                <w:p w14:paraId="02660F8E">
                  <w:pPr>
                    <w:pStyle w:val="106"/>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46.39</w:t>
                  </w:r>
                </w:p>
              </w:tc>
              <w:tc>
                <w:tcPr>
                  <w:tcW w:w="1084" w:type="dxa"/>
                  <w:tcBorders>
                    <w:tl2br w:val="nil"/>
                    <w:tr2bl w:val="nil"/>
                  </w:tcBorders>
                  <w:vAlign w:val="center"/>
                </w:tcPr>
                <w:p w14:paraId="768BF9E5">
                  <w:pPr>
                    <w:jc w:val="cente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51.00</w:t>
                  </w:r>
                </w:p>
              </w:tc>
              <w:tc>
                <w:tcPr>
                  <w:tcW w:w="1363" w:type="dxa"/>
                  <w:tcBorders>
                    <w:tl2br w:val="nil"/>
                    <w:tr2bl w:val="nil"/>
                  </w:tcBorders>
                  <w:vAlign w:val="center"/>
                </w:tcPr>
                <w:p w14:paraId="44EC1895">
                  <w:pPr>
                    <w:jc w:val="cente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52.29</w:t>
                  </w:r>
                </w:p>
              </w:tc>
              <w:tc>
                <w:tcPr>
                  <w:tcW w:w="1364" w:type="dxa"/>
                  <w:tcBorders>
                    <w:tl2br w:val="nil"/>
                    <w:tr2bl w:val="nil"/>
                  </w:tcBorders>
                  <w:vAlign w:val="center"/>
                </w:tcPr>
                <w:p w14:paraId="4C12A9CE">
                  <w:pPr>
                    <w:jc w:val="cente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60</w:t>
                  </w:r>
                </w:p>
              </w:tc>
              <w:tc>
                <w:tcPr>
                  <w:tcW w:w="1282" w:type="dxa"/>
                  <w:tcBorders>
                    <w:tl2br w:val="nil"/>
                    <w:tr2bl w:val="nil"/>
                  </w:tcBorders>
                  <w:shd w:val="clear" w:color="auto" w:fill="auto"/>
                  <w:vAlign w:val="center"/>
                </w:tcPr>
                <w:p w14:paraId="35DBE8F1">
                  <w:pPr>
                    <w:jc w:val="center"/>
                    <w:rPr>
                      <w:rFonts w:hint="default" w:ascii="Times New Roman" w:hAnsi="Times New Roman" w:eastAsia="宋体" w:cs="Times New Roman"/>
                      <w:b w:val="0"/>
                      <w:bCs w:val="0"/>
                      <w:color w:val="000000" w:themeColor="text1"/>
                      <w:kern w:val="2"/>
                      <w:sz w:val="21"/>
                      <w:szCs w:val="21"/>
                      <w:u w:val="none" w:color="auto"/>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达标</w:t>
                  </w:r>
                </w:p>
              </w:tc>
            </w:tr>
            <w:tr w14:paraId="07D902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7" w:hRule="atLeast"/>
              </w:trPr>
              <w:tc>
                <w:tcPr>
                  <w:tcW w:w="1496" w:type="dxa"/>
                  <w:tcBorders>
                    <w:tl2br w:val="nil"/>
                    <w:tr2bl w:val="nil"/>
                  </w:tcBorders>
                  <w:vAlign w:val="center"/>
                </w:tcPr>
                <w:p w14:paraId="14B0A173">
                  <w:pPr>
                    <w:pStyle w:val="106"/>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东侧居民点</w:t>
                  </w:r>
                </w:p>
              </w:tc>
              <w:tc>
                <w:tcPr>
                  <w:tcW w:w="1200" w:type="dxa"/>
                  <w:tcBorders>
                    <w:tl2br w:val="nil"/>
                    <w:tr2bl w:val="nil"/>
                  </w:tcBorders>
                  <w:vAlign w:val="center"/>
                </w:tcPr>
                <w:p w14:paraId="0E5C53A2">
                  <w:pPr>
                    <w:pStyle w:val="106"/>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53.30</w:t>
                  </w:r>
                </w:p>
              </w:tc>
              <w:tc>
                <w:tcPr>
                  <w:tcW w:w="1084" w:type="dxa"/>
                  <w:tcBorders>
                    <w:tl2br w:val="nil"/>
                    <w:tr2bl w:val="nil"/>
                  </w:tcBorders>
                  <w:vAlign w:val="center"/>
                </w:tcPr>
                <w:p w14:paraId="6DA2287C">
                  <w:pPr>
                    <w:jc w:val="cente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55.00</w:t>
                  </w:r>
                </w:p>
              </w:tc>
              <w:tc>
                <w:tcPr>
                  <w:tcW w:w="1363" w:type="dxa"/>
                  <w:tcBorders>
                    <w:tl2br w:val="nil"/>
                    <w:tr2bl w:val="nil"/>
                  </w:tcBorders>
                  <w:vAlign w:val="center"/>
                </w:tcPr>
                <w:p w14:paraId="3B73626B">
                  <w:pPr>
                    <w:jc w:val="cente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57.24</w:t>
                  </w:r>
                </w:p>
              </w:tc>
              <w:tc>
                <w:tcPr>
                  <w:tcW w:w="1364" w:type="dxa"/>
                  <w:tcBorders>
                    <w:tl2br w:val="nil"/>
                    <w:tr2bl w:val="nil"/>
                  </w:tcBorders>
                  <w:vAlign w:val="center"/>
                </w:tcPr>
                <w:p w14:paraId="3A3FEC65">
                  <w:pPr>
                    <w:jc w:val="cente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60</w:t>
                  </w:r>
                </w:p>
              </w:tc>
              <w:tc>
                <w:tcPr>
                  <w:tcW w:w="1282" w:type="dxa"/>
                  <w:tcBorders>
                    <w:tl2br w:val="nil"/>
                    <w:tr2bl w:val="nil"/>
                  </w:tcBorders>
                  <w:shd w:val="clear" w:color="auto" w:fill="auto"/>
                  <w:vAlign w:val="center"/>
                </w:tcPr>
                <w:p w14:paraId="252710F0">
                  <w:pPr>
                    <w:jc w:val="center"/>
                    <w:rPr>
                      <w:rFonts w:hint="default" w:ascii="Times New Roman" w:hAnsi="Times New Roman" w:eastAsia="宋体" w:cs="Times New Roman"/>
                      <w:b w:val="0"/>
                      <w:bCs w:val="0"/>
                      <w:color w:val="000000" w:themeColor="text1"/>
                      <w:kern w:val="2"/>
                      <w:sz w:val="21"/>
                      <w:szCs w:val="21"/>
                      <w:u w:val="none" w:color="auto"/>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达标</w:t>
                  </w:r>
                </w:p>
              </w:tc>
            </w:tr>
          </w:tbl>
          <w:p w14:paraId="3CB2951E">
            <w:pPr>
              <w:adjustRightInd w:val="0"/>
              <w:spacing w:line="360" w:lineRule="auto"/>
              <w:ind w:firstLine="480" w:firstLineChars="200"/>
              <w:rPr>
                <w:rFonts w:hint="eastAsia" w:ascii="Times New Roman" w:hAnsi="Times New Roman" w:eastAsia="宋体" w:cstheme="minorBidi"/>
                <w:color w:val="000000" w:themeColor="text1"/>
                <w:kern w:val="2"/>
                <w:sz w:val="24"/>
                <w:szCs w:val="22"/>
                <w:u w:val="none" w:color="auto"/>
                <w:lang w:val="en-US" w:eastAsia="zh-CN" w:bidi="ar-SA"/>
                <w14:textFill>
                  <w14:solidFill>
                    <w14:schemeClr w14:val="tx1"/>
                  </w14:solidFill>
                </w14:textFill>
              </w:rPr>
            </w:pPr>
            <w:r>
              <w:rPr>
                <w:rFonts w:hint="eastAsia" w:ascii="Times New Roman" w:hAnsi="Times New Roman" w:eastAsia="宋体" w:cstheme="minorBidi"/>
                <w:color w:val="000000" w:themeColor="text1"/>
                <w:kern w:val="2"/>
                <w:sz w:val="24"/>
                <w:szCs w:val="22"/>
                <w:u w:val="none" w:color="auto"/>
                <w:lang w:val="en-US" w:eastAsia="zh-CN" w:bidi="ar-SA"/>
                <w14:textFill>
                  <w14:solidFill>
                    <w14:schemeClr w14:val="tx1"/>
                  </w14:solidFill>
                </w14:textFill>
              </w:rPr>
              <w:t>根据预测结果可知，项目厂界噪声昼间贡献值能够满足《工业企业厂界环境噪声排放标准》（GB12348-2008）中2类标准要求，夜间不进行生产。项目西北侧、东北侧、东侧敏感点噪声昼间可满足《声环境质量标准》（GB3096-2008）中2类标准要求。</w:t>
            </w:r>
          </w:p>
          <w:p w14:paraId="3F254A95">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（3）噪声污染防治措施</w:t>
            </w:r>
          </w:p>
          <w:p w14:paraId="14AAFF56">
            <w:pPr>
              <w:pStyle w:val="7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本项目噪声源主要为</w:t>
            </w:r>
            <w:r>
              <w:rPr>
                <w:rFonts w:hint="eastAsia" w:cs="Times New Roman"/>
                <w:color w:val="000000" w:themeColor="text1"/>
                <w:u w:val="none" w:color="auto"/>
                <w:lang w:val="en-US" w:eastAsia="zh-CN"/>
                <w14:textFill>
                  <w14:solidFill>
                    <w14:schemeClr w14:val="tx1"/>
                  </w14:solidFill>
                </w14:textFill>
              </w:rPr>
              <w:t>断料机、开片机、拉丝机、成型机、</w:t>
            </w:r>
            <w:r>
              <w:rPr>
                <w:rFonts w:hint="eastAsia"/>
                <w:color w:val="000000" w:themeColor="text1"/>
                <w:u w:val="none" w:color="auto"/>
                <w14:textFill>
                  <w14:solidFill>
                    <w14:schemeClr w14:val="tx1"/>
                  </w14:solidFill>
                </w14:textFill>
              </w:rPr>
              <w:t>风机、</w:t>
            </w:r>
            <w:r>
              <w:rPr>
                <w:rFonts w:hint="eastAsia"/>
                <w:color w:val="000000" w:themeColor="text1"/>
                <w:u w:val="none" w:color="auto"/>
                <w:lang w:val="en-US" w:eastAsia="zh-CN"/>
                <w14:textFill>
                  <w14:solidFill>
                    <w14:schemeClr w14:val="tx1"/>
                  </w14:solidFill>
                </w14:textFill>
              </w:rPr>
              <w:t>锅炉等</w:t>
            </w:r>
            <w:r>
              <w:rPr>
                <w:rFonts w:hint="eastAsia"/>
                <w:color w:val="000000" w:themeColor="text1"/>
                <w:u w:val="none" w:color="auto"/>
                <w14:textFill>
                  <w14:solidFill>
                    <w14:schemeClr w14:val="tx1"/>
                  </w14:solidFill>
                </w14:textFill>
              </w:rPr>
              <w:t>，根据各噪声源噪声级、位置及影响预测结果，须采取必要的噪声污染防治措施，以确保噪声排放达标，并不对厂界声环境产生影响。具体措施如下：</w:t>
            </w:r>
          </w:p>
          <w:p w14:paraId="7F124B79">
            <w:pPr>
              <w:pStyle w:val="7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①根据噪声源特征，建议在设计和设备采购阶段，充分选用先进的低噪设备，从噪声源上降低设备本身噪声，以减少对员工和周围环境的影响。</w:t>
            </w:r>
          </w:p>
          <w:p w14:paraId="7BE65ADD">
            <w:pPr>
              <w:pStyle w:val="7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②合理布置，注意设备安装。安装中采用减震、隔震措施，在支撑料件的台座上使用不发声的衬垫材料，对设备配置的电动机基座减震，并安装弹性衬垫和保护套。如在设备底部加减震垫，在设备的四周可开设一定宽度和深度的沟槽，里面填充松软物质，用来隔离振动传递。</w:t>
            </w:r>
          </w:p>
          <w:p w14:paraId="4EF13C32">
            <w:pPr>
              <w:pStyle w:val="75"/>
              <w:ind w:firstLine="480"/>
              <w:rPr>
                <w:color w:val="000000" w:themeColor="text1"/>
                <w:u w:val="none" w:color="auto"/>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③</w:t>
            </w:r>
            <w:r>
              <w:rPr>
                <w:rFonts w:hint="eastAsia"/>
                <w:color w:val="000000" w:themeColor="text1"/>
                <w:u w:val="none" w:color="auto"/>
                <w14:textFill>
                  <w14:solidFill>
                    <w14:schemeClr w14:val="tx1"/>
                  </w14:solidFill>
                </w14:textFill>
              </w:rPr>
              <w:t>定期检查设备，加强设备的维护，确保设备处于良好的运转状态，杜绝因设备不正常运转时产生的高噪声现象，做到文明生产。</w:t>
            </w:r>
          </w:p>
          <w:p w14:paraId="179F2222">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（4）噪声监测计划</w:t>
            </w:r>
          </w:p>
          <w:p w14:paraId="4EED2F45">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根据《排污许可证申请与核发技术规范 工业噪声》（HJ1301-2023）、《排污单位自行监测技术指南 总则》（HJ819-2017）对项目厂界噪声设置如下监测计划：</w:t>
            </w:r>
          </w:p>
          <w:p w14:paraId="7C3B3764">
            <w:pPr>
              <w:pStyle w:val="34"/>
              <w:keepNext w:val="0"/>
              <w:keepLines w:val="0"/>
              <w:pageBreakBefore w:val="0"/>
              <w:widowControl w:val="0"/>
              <w:kinsoku/>
              <w:wordWrap/>
              <w:overflowPunct/>
              <w:topLinePunct w:val="0"/>
              <w:autoSpaceDE/>
              <w:autoSpaceDN/>
              <w:bidi w:val="0"/>
              <w:adjustRightInd/>
              <w:snapToGrid/>
              <w:spacing w:before="0" w:beforeLines="0"/>
              <w:textAlignment w:val="auto"/>
              <w:rPr>
                <w:color w:val="000000" w:themeColor="text1"/>
                <w:sz w:val="21"/>
                <w:szCs w:val="21"/>
                <w:u w:val="none" w:color="auto"/>
                <w14:textFill>
                  <w14:solidFill>
                    <w14:schemeClr w14:val="tx1"/>
                  </w14:solidFill>
                </w14:textFill>
              </w:rPr>
            </w:pPr>
            <w:r>
              <w:rPr>
                <w:rFonts w:hint="eastAsia"/>
                <w:color w:val="000000" w:themeColor="text1"/>
                <w:sz w:val="21"/>
                <w:szCs w:val="21"/>
                <w:u w:val="none" w:color="auto"/>
                <w14:textFill>
                  <w14:solidFill>
                    <w14:schemeClr w14:val="tx1"/>
                  </w14:solidFill>
                </w14:textFill>
              </w:rPr>
              <w:t>表4-</w:t>
            </w:r>
            <w:r>
              <w:rPr>
                <w:rFonts w:hint="eastAsia"/>
                <w:color w:val="000000" w:themeColor="text1"/>
                <w:sz w:val="21"/>
                <w:szCs w:val="21"/>
                <w:u w:val="none" w:color="auto"/>
                <w:lang w:val="en-US" w:eastAsia="zh-CN"/>
                <w14:textFill>
                  <w14:solidFill>
                    <w14:schemeClr w14:val="tx1"/>
                  </w14:solidFill>
                </w14:textFill>
              </w:rPr>
              <w:t>15</w:t>
            </w:r>
            <w:r>
              <w:rPr>
                <w:rFonts w:hint="eastAsia"/>
                <w:color w:val="000000" w:themeColor="text1"/>
                <w:sz w:val="21"/>
                <w:szCs w:val="21"/>
                <w:u w:val="none" w:color="auto"/>
                <w14:textFill>
                  <w14:solidFill>
                    <w14:schemeClr w14:val="tx1"/>
                  </w14:solidFill>
                </w14:textFill>
              </w:rPr>
              <w:t xml:space="preserve">  噪声监测计划表</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4"/>
              <w:gridCol w:w="1843"/>
              <w:gridCol w:w="1701"/>
              <w:gridCol w:w="2759"/>
            </w:tblGrid>
            <w:tr w14:paraId="3E5ED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4" w:type="dxa"/>
                  <w:vAlign w:val="center"/>
                </w:tcPr>
                <w:p w14:paraId="06C8E28E">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监测点位</w:t>
                  </w:r>
                </w:p>
              </w:tc>
              <w:tc>
                <w:tcPr>
                  <w:tcW w:w="1843" w:type="dxa"/>
                  <w:vAlign w:val="center"/>
                </w:tcPr>
                <w:p w14:paraId="63A8125D">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监测因子</w:t>
                  </w:r>
                </w:p>
              </w:tc>
              <w:tc>
                <w:tcPr>
                  <w:tcW w:w="1701" w:type="dxa"/>
                  <w:vAlign w:val="center"/>
                </w:tcPr>
                <w:p w14:paraId="41D55D24">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监测频次</w:t>
                  </w:r>
                </w:p>
              </w:tc>
              <w:tc>
                <w:tcPr>
                  <w:tcW w:w="2759" w:type="dxa"/>
                  <w:vAlign w:val="center"/>
                </w:tcPr>
                <w:p w14:paraId="31630260">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执行标准</w:t>
                  </w:r>
                </w:p>
              </w:tc>
            </w:tr>
            <w:tr w14:paraId="42053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4" w:type="dxa"/>
                  <w:vAlign w:val="center"/>
                </w:tcPr>
                <w:p w14:paraId="5868A77A">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厂界</w:t>
                  </w:r>
                </w:p>
              </w:tc>
              <w:tc>
                <w:tcPr>
                  <w:tcW w:w="1843" w:type="dxa"/>
                  <w:vAlign w:val="center"/>
                </w:tcPr>
                <w:p w14:paraId="41EDCC2F">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厂界噪声</w:t>
                  </w:r>
                </w:p>
              </w:tc>
              <w:tc>
                <w:tcPr>
                  <w:tcW w:w="1701" w:type="dxa"/>
                  <w:vAlign w:val="center"/>
                </w:tcPr>
                <w:p w14:paraId="5ABF113F">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1次/季度</w:t>
                  </w:r>
                </w:p>
              </w:tc>
              <w:tc>
                <w:tcPr>
                  <w:tcW w:w="2759" w:type="dxa"/>
                  <w:vAlign w:val="center"/>
                </w:tcPr>
                <w:p w14:paraId="6F05867C">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《工业企业厂界环境噪声排放标准》（GB12348-2008）</w:t>
                  </w:r>
                </w:p>
              </w:tc>
            </w:tr>
          </w:tbl>
          <w:p w14:paraId="5C795C72">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（5）小结</w:t>
            </w:r>
          </w:p>
          <w:p w14:paraId="36DC7A0D">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项目采用先进低噪设备，各设备采取基础减振、建筑隔声等措施后，根据预测结果，项目厂界噪声能够达标排放，项目噪声环境影响可接受。</w:t>
            </w:r>
          </w:p>
          <w:p w14:paraId="43430922">
            <w:pPr>
              <w:pStyle w:val="35"/>
              <w:ind w:firstLine="480"/>
              <w:rPr>
                <w:b/>
                <w:bCs/>
                <w:color w:val="000000" w:themeColor="text1"/>
                <w:u w:val="none" w:color="auto"/>
                <w14:textFill>
                  <w14:solidFill>
                    <w14:schemeClr w14:val="tx1"/>
                  </w14:solidFill>
                </w14:textFill>
              </w:rPr>
            </w:pPr>
            <w:r>
              <w:rPr>
                <w:rFonts w:hint="eastAsia"/>
                <w:b/>
                <w:bCs/>
                <w:color w:val="000000" w:themeColor="text1"/>
                <w:u w:val="none" w:color="auto"/>
                <w14:textFill>
                  <w14:solidFill>
                    <w14:schemeClr w14:val="tx1"/>
                  </w14:solidFill>
                </w14:textFill>
              </w:rPr>
              <w:t>4、固体废物</w:t>
            </w:r>
          </w:p>
          <w:p w14:paraId="7DC230F8">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（1）污染源强核算</w:t>
            </w:r>
          </w:p>
          <w:p w14:paraId="65F50C07">
            <w:pPr>
              <w:pStyle w:val="35"/>
              <w:ind w:firstLine="480"/>
              <w:rPr>
                <w:rFonts w:hint="eastAsia"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color w:val="000000" w:themeColor="text1"/>
                <w:u w:val="none" w:color="auto"/>
                <w14:textFill>
                  <w14:solidFill>
                    <w14:schemeClr w14:val="tx1"/>
                  </w14:solidFill>
                </w14:textFill>
              </w:rPr>
              <w:t>本项目运营期产生的固体废物主要为</w:t>
            </w:r>
            <w:r>
              <w:rPr>
                <w:rFonts w:hint="eastAsia"/>
                <w:color w:val="000000" w:themeColor="text1"/>
                <w:u w:val="none" w:color="auto"/>
                <w:lang w:val="en-US" w:eastAsia="zh-CN"/>
                <w14:textFill>
                  <w14:solidFill>
                    <w14:schemeClr w14:val="tx1"/>
                  </w14:solidFill>
                </w14:textFill>
              </w:rPr>
              <w:t>生活垃圾、废包装材料、废边角料及不合格品、地面收集尘、布袋除尘器收集尘、</w:t>
            </w:r>
            <w:r>
              <w:rPr>
                <w:rFonts w:hint="eastAsia"/>
                <w:color w:val="000000" w:themeColor="text1"/>
                <w:u w:val="none" w:color="auto"/>
                <w14:textFill>
                  <w14:solidFill>
                    <w14:schemeClr w14:val="tx1"/>
                  </w14:solidFill>
                </w14:textFill>
              </w:rPr>
              <w:t>生物质锅炉灰渣、锅炉烟气除尘灰渣</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lang w:val="en-US" w:eastAsia="zh-CN"/>
                <w14:textFill>
                  <w14:solidFill>
                    <w14:schemeClr w14:val="tx1"/>
                  </w14:solidFill>
                </w14:textFill>
              </w:rPr>
              <w:t>废机油、废机油桶、</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废含油抹布及手套</w:t>
            </w:r>
            <w:r>
              <w:rPr>
                <w:rFonts w:hint="eastAsia" w:ascii="Times New Roman" w:hAnsi="Times New Roman" w:eastAsia="宋体" w:cs="Times New Roman"/>
                <w:color w:val="000000" w:themeColor="text1"/>
                <w:u w:val="none" w:color="auto"/>
                <w14:textFill>
                  <w14:solidFill>
                    <w14:schemeClr w14:val="tx1"/>
                  </w14:solidFill>
                </w14:textFill>
              </w:rPr>
              <w:t>等。</w:t>
            </w:r>
          </w:p>
          <w:p w14:paraId="2AC449FE">
            <w:pPr>
              <w:pStyle w:val="35"/>
              <w:ind w:firstLine="480"/>
              <w:rPr>
                <w:rFonts w:hint="eastAsia"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①生活垃圾</w:t>
            </w:r>
          </w:p>
          <w:p w14:paraId="6C8338AE">
            <w:pPr>
              <w:pStyle w:val="35"/>
              <w:ind w:firstLine="480"/>
              <w:rPr>
                <w:rFonts w:hint="eastAsia" w:ascii="Times New Roman" w:hAnsi="Times New Roman" w:eastAsia="宋体" w:cs="Times New Roman"/>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本项目员工共</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15</w:t>
            </w:r>
            <w:r>
              <w:rPr>
                <w:rFonts w:hint="eastAsia" w:ascii="Times New Roman" w:hAnsi="Times New Roman" w:eastAsia="宋体" w:cs="Times New Roman"/>
                <w:color w:val="000000" w:themeColor="text1"/>
                <w:u w:val="none" w:color="auto"/>
                <w14:textFill>
                  <w14:solidFill>
                    <w14:schemeClr w14:val="tx1"/>
                  </w14:solidFill>
                </w14:textFill>
              </w:rPr>
              <w:t>人，年工作</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160</w:t>
            </w:r>
            <w:r>
              <w:rPr>
                <w:rFonts w:hint="eastAsia" w:ascii="Times New Roman" w:hAnsi="Times New Roman" w:eastAsia="宋体" w:cs="Times New Roman"/>
                <w:color w:val="000000" w:themeColor="text1"/>
                <w:u w:val="none" w:color="auto"/>
                <w14:textFill>
                  <w14:solidFill>
                    <w14:schemeClr w14:val="tx1"/>
                  </w14:solidFill>
                </w14:textFill>
              </w:rPr>
              <w:t>天，按人均每天0.5kg计，产生生活垃圾</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1.2</w:t>
            </w:r>
            <w:r>
              <w:rPr>
                <w:rFonts w:hint="eastAsia" w:ascii="Times New Roman" w:hAnsi="Times New Roman" w:eastAsia="宋体" w:cs="Times New Roman"/>
                <w:color w:val="000000" w:themeColor="text1"/>
                <w:u w:val="none" w:color="auto"/>
                <w14:textFill>
                  <w14:solidFill>
                    <w14:schemeClr w14:val="tx1"/>
                  </w14:solidFill>
                </w14:textFill>
              </w:rPr>
              <w:t>t</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a，生活垃圾通过分类收集，由环卫部门统一清理。</w:t>
            </w:r>
          </w:p>
          <w:p w14:paraId="329DCA67">
            <w:pPr>
              <w:pStyle w:val="35"/>
              <w:ind w:firstLine="480"/>
              <w:rPr>
                <w:rFonts w:hint="eastAsia" w:ascii="Times New Roman" w:hAnsi="Times New Roman" w:eastAsia="宋体" w:cs="Times New Roman"/>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②</w:t>
            </w:r>
            <w:r>
              <w:rPr>
                <w:rFonts w:hint="eastAsia" w:ascii="Times New Roman" w:hAnsi="Times New Roman" w:eastAsia="宋体" w:cs="Times New Roman"/>
                <w:color w:val="000000" w:themeColor="text1"/>
                <w:u w:val="none" w:color="auto"/>
                <w14:textFill>
                  <w14:solidFill>
                    <w14:schemeClr w14:val="tx1"/>
                  </w14:solidFill>
                </w14:textFill>
              </w:rPr>
              <w:t>废包装材料</w:t>
            </w:r>
          </w:p>
          <w:p w14:paraId="3EC0E433">
            <w:pPr>
              <w:pStyle w:val="35"/>
              <w:ind w:firstLine="480"/>
              <w:rPr>
                <w:rFonts w:hint="eastAsia" w:ascii="Times New Roman" w:hAnsi="Times New Roman" w:eastAsia="宋体" w:cs="Times New Roman"/>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本项目产品包装需采用外包装材料，根据建设单位提供资料，废包装材料年产生量约为0.1t</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a。废包装材料收集后在一般固废暂存间内暂存，外售综合利用。根据《固体废物分类与代码目录》</w:t>
            </w:r>
            <w:r>
              <w:rPr>
                <w:rFonts w:hint="eastAsia" w:ascii="Times New Roman" w:hAnsi="Times New Roman" w:eastAsia="宋体" w:cs="Times New Roman"/>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2024年</w:t>
            </w:r>
            <w:r>
              <w:rPr>
                <w:rFonts w:hint="eastAsia" w:ascii="Times New Roman" w:hAnsi="Times New Roman" w:eastAsia="宋体" w:cs="Times New Roman"/>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，其一般固体废物代码为900-00</w:t>
            </w:r>
            <w:r>
              <w:rPr>
                <w:rFonts w:hint="eastAsia" w:cs="Times New Roman"/>
                <w:color w:val="000000" w:themeColor="text1"/>
                <w:u w:val="none" w:color="auto"/>
                <w:lang w:val="en-US" w:eastAsia="zh-CN"/>
                <w14:textFill>
                  <w14:solidFill>
                    <w14:schemeClr w14:val="tx1"/>
                  </w14:solidFill>
                </w14:textFill>
              </w:rPr>
              <w:t>3</w:t>
            </w:r>
            <w:r>
              <w:rPr>
                <w:rFonts w:hint="eastAsia" w:ascii="Times New Roman" w:hAnsi="Times New Roman" w:eastAsia="宋体" w:cs="Times New Roman"/>
                <w:color w:val="000000" w:themeColor="text1"/>
                <w:u w:val="none" w:color="auto"/>
                <w14:textFill>
                  <w14:solidFill>
                    <w14:schemeClr w14:val="tx1"/>
                  </w14:solidFill>
                </w14:textFill>
              </w:rPr>
              <w:t>-S17。</w:t>
            </w:r>
          </w:p>
          <w:p w14:paraId="60B73351">
            <w:pPr>
              <w:pStyle w:val="35"/>
              <w:ind w:firstLine="480"/>
              <w:rPr>
                <w:rFonts w:hint="eastAsia" w:ascii="Times New Roman" w:hAnsi="Times New Roman" w:eastAsia="宋体" w:cs="Times New Roman"/>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③</w:t>
            </w:r>
            <w:r>
              <w:rPr>
                <w:rFonts w:hint="eastAsia" w:ascii="Times New Roman" w:hAnsi="Times New Roman" w:eastAsia="宋体" w:cs="Times New Roman"/>
                <w:color w:val="000000" w:themeColor="text1"/>
                <w:u w:val="none" w:color="auto"/>
                <w14:textFill>
                  <w14:solidFill>
                    <w14:schemeClr w14:val="tx1"/>
                  </w14:solidFill>
                </w14:textFill>
              </w:rPr>
              <w:t>废边角料和不合格品</w:t>
            </w:r>
          </w:p>
          <w:p w14:paraId="2771B6EA">
            <w:pPr>
              <w:pStyle w:val="35"/>
              <w:ind w:firstLine="480"/>
              <w:rPr>
                <w:rFonts w:hint="eastAsia" w:ascii="Times New Roman" w:hAnsi="Times New Roman" w:eastAsia="宋体" w:cs="Times New Roman"/>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本项目切割、开片、拉丝等工序产生废边角料，检验工序产生不合格品，根据建设单位提供资料，废边角料和不合格品产生量约为原辅材料的</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20</w:t>
            </w:r>
            <w:r>
              <w:rPr>
                <w:rFonts w:hint="eastAsia" w:ascii="Times New Roman" w:hAnsi="Times New Roman" w:eastAsia="宋体" w:cs="Times New Roman"/>
                <w:color w:val="000000" w:themeColor="text1"/>
                <w:u w:val="none" w:color="auto"/>
                <w14:textFill>
                  <w14:solidFill>
                    <w14:schemeClr w14:val="tx1"/>
                  </w14:solidFill>
                </w14:textFill>
              </w:rPr>
              <w:t>%，本项目楠竹原料年用量为</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3775.25t/</w:t>
            </w:r>
            <w:r>
              <w:rPr>
                <w:rFonts w:hint="eastAsia" w:ascii="Times New Roman" w:hAnsi="Times New Roman" w:eastAsia="宋体" w:cs="Times New Roman"/>
                <w:color w:val="000000" w:themeColor="text1"/>
                <w:u w:val="none" w:color="auto"/>
                <w14:textFill>
                  <w14:solidFill>
                    <w14:schemeClr w14:val="tx1"/>
                  </w14:solidFill>
                </w14:textFill>
              </w:rPr>
              <w:t>a，则废边角料和不合格品产生量为</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755.05</w:t>
            </w:r>
            <w:r>
              <w:rPr>
                <w:rFonts w:hint="eastAsia" w:ascii="Times New Roman" w:hAnsi="Times New Roman" w:eastAsia="宋体" w:cs="Times New Roman"/>
                <w:color w:val="000000" w:themeColor="text1"/>
                <w:u w:val="none" w:color="auto"/>
                <w14:textFill>
                  <w14:solidFill>
                    <w14:schemeClr w14:val="tx1"/>
                  </w14:solidFill>
                </w14:textFill>
              </w:rPr>
              <w:t>t</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a。废边角料和不合格品收集后在一般固废暂存间内暂存，外售综合利用。根据《固体废物分类与代码目录》</w:t>
            </w:r>
            <w:r>
              <w:rPr>
                <w:rFonts w:hint="eastAsia" w:ascii="Times New Roman" w:hAnsi="Times New Roman" w:eastAsia="宋体" w:cs="Times New Roman"/>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2024年</w:t>
            </w:r>
            <w:r>
              <w:rPr>
                <w:rFonts w:hint="eastAsia" w:ascii="Times New Roman" w:hAnsi="Times New Roman" w:eastAsia="宋体" w:cs="Times New Roman"/>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，其一般固体废物代码为900-009-S17。</w:t>
            </w:r>
          </w:p>
          <w:p w14:paraId="6EA1F09D">
            <w:pPr>
              <w:pStyle w:val="35"/>
              <w:numPr>
                <w:ilvl w:val="0"/>
                <w:numId w:val="0"/>
              </w:numPr>
              <w:ind w:firstLine="480" w:firstLineChars="200"/>
              <w:rPr>
                <w:rFonts w:hint="eastAsia"/>
                <w:color w:val="000000" w:themeColor="text1"/>
                <w:u w:val="none" w:color="auto"/>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④</w:t>
            </w:r>
            <w:r>
              <w:rPr>
                <w:rFonts w:hint="eastAsia"/>
                <w:color w:val="000000" w:themeColor="text1"/>
                <w:u w:val="none" w:color="auto"/>
                <w14:textFill>
                  <w14:solidFill>
                    <w14:schemeClr w14:val="tx1"/>
                  </w14:solidFill>
                </w14:textFill>
              </w:rPr>
              <w:t>地面收集尘</w:t>
            </w:r>
          </w:p>
          <w:p w14:paraId="197BA2BA">
            <w:pPr>
              <w:pStyle w:val="35"/>
              <w:numPr>
                <w:ilvl w:val="0"/>
                <w:numId w:val="0"/>
              </w:numPr>
              <w:ind w:firstLine="480" w:firstLineChars="200"/>
              <w:rPr>
                <w:rFonts w:hint="eastAsia" w:eastAsia="宋体"/>
                <w:color w:val="000000" w:themeColor="text1"/>
                <w:u w:val="none" w:color="auto"/>
                <w:lang w:eastAsia="zh-CN"/>
                <w14:textFill>
                  <w14:solidFill>
                    <w14:schemeClr w14:val="tx1"/>
                  </w14:solidFill>
                </w14:textFill>
              </w:rPr>
            </w:pPr>
            <w:r>
              <w:rPr>
                <w:rFonts w:hint="eastAsia"/>
                <w:color w:val="000000" w:themeColor="text1"/>
                <w:u w:val="none" w:color="auto"/>
                <w14:textFill>
                  <w14:solidFill>
                    <w14:schemeClr w14:val="tx1"/>
                  </w14:solidFill>
                </w14:textFill>
              </w:rPr>
              <w:t>本项目对自然沉降的竹筷加工粉尘进行清扫，根据前文废气核算，地面收集粉尘量为</w:t>
            </w:r>
            <w:r>
              <w:rPr>
                <w:rFonts w:hint="eastAsia"/>
                <w:color w:val="000000" w:themeColor="text1"/>
                <w:u w:val="none" w:color="auto"/>
                <w:lang w:val="en-US" w:eastAsia="zh-CN"/>
                <w14:textFill>
                  <w14:solidFill>
                    <w14:schemeClr w14:val="tx1"/>
                  </w14:solidFill>
                </w14:textFill>
              </w:rPr>
              <w:t>0.3696</w:t>
            </w:r>
            <w:r>
              <w:rPr>
                <w:rFonts w:hint="eastAsia"/>
                <w:color w:val="000000" w:themeColor="text1"/>
                <w:u w:val="none" w:color="auto"/>
                <w14:textFill>
                  <w14:solidFill>
                    <w14:schemeClr w14:val="tx1"/>
                  </w14:solidFill>
                </w14:textFill>
              </w:rPr>
              <w:t>t</w:t>
            </w:r>
            <w:r>
              <w:rPr>
                <w:rFonts w:hint="eastAsia"/>
                <w:color w:val="000000" w:themeColor="text1"/>
                <w:u w:val="none" w:color="auto"/>
                <w:lang w:val="en-US" w:eastAsia="zh-CN"/>
                <w14:textFill>
                  <w14:solidFill>
                    <w14:schemeClr w14:val="tx1"/>
                  </w14:solidFill>
                </w14:textFill>
              </w:rPr>
              <w:t>/</w:t>
            </w:r>
            <w:r>
              <w:rPr>
                <w:rFonts w:hint="eastAsia"/>
                <w:color w:val="000000" w:themeColor="text1"/>
                <w:u w:val="none" w:color="auto"/>
                <w14:textFill>
                  <w14:solidFill>
                    <w14:schemeClr w14:val="tx1"/>
                  </w14:solidFill>
                </w14:textFill>
              </w:rPr>
              <w:t>a。地面收集尘收集后在一般固废暂存间内暂存，外售综合利用。根据《固体废物分类与代码目录》</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14:textFill>
                  <w14:solidFill>
                    <w14:schemeClr w14:val="tx1"/>
                  </w14:solidFill>
                </w14:textFill>
              </w:rPr>
              <w:t>2024年</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14:textFill>
                  <w14:solidFill>
                    <w14:schemeClr w14:val="tx1"/>
                  </w14:solidFill>
                </w14:textFill>
              </w:rPr>
              <w:t>，其一般固体废物代码为900-009-S17</w:t>
            </w:r>
            <w:r>
              <w:rPr>
                <w:rFonts w:hint="eastAsia"/>
                <w:color w:val="000000" w:themeColor="text1"/>
                <w:u w:val="none" w:color="auto"/>
                <w:lang w:eastAsia="zh-CN"/>
                <w14:textFill>
                  <w14:solidFill>
                    <w14:schemeClr w14:val="tx1"/>
                  </w14:solidFill>
                </w14:textFill>
              </w:rPr>
              <w:t>。</w:t>
            </w:r>
          </w:p>
          <w:p w14:paraId="3EF38688">
            <w:pPr>
              <w:pStyle w:val="35"/>
              <w:numPr>
                <w:ilvl w:val="0"/>
                <w:numId w:val="0"/>
              </w:numPr>
              <w:ind w:firstLine="480" w:firstLineChars="200"/>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⑤布袋除尘器收集尘</w:t>
            </w:r>
          </w:p>
          <w:p w14:paraId="4A4BB52C">
            <w:pPr>
              <w:pStyle w:val="35"/>
              <w:numPr>
                <w:ilvl w:val="0"/>
                <w:numId w:val="0"/>
              </w:numPr>
              <w:ind w:firstLine="480" w:firstLineChars="200"/>
              <w:rPr>
                <w:rFonts w:hint="eastAsia" w:eastAsia="宋体"/>
                <w:color w:val="000000" w:themeColor="text1"/>
                <w:u w:val="none" w:color="auto"/>
                <w:lang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本项目采用布袋除尘器对拉丝工序废气进行处理，根据前文废气核算，布袋除尘器收集尘为0.1584</w:t>
            </w:r>
            <w:r>
              <w:rPr>
                <w:rFonts w:hint="eastAsia"/>
                <w:color w:val="000000" w:themeColor="text1"/>
                <w:u w:val="none" w:color="auto"/>
                <w14:textFill>
                  <w14:solidFill>
                    <w14:schemeClr w14:val="tx1"/>
                  </w14:solidFill>
                </w14:textFill>
              </w:rPr>
              <w:t>t</w:t>
            </w:r>
            <w:r>
              <w:rPr>
                <w:rFonts w:hint="eastAsia"/>
                <w:color w:val="000000" w:themeColor="text1"/>
                <w:u w:val="none" w:color="auto"/>
                <w:lang w:val="en-US" w:eastAsia="zh-CN"/>
                <w14:textFill>
                  <w14:solidFill>
                    <w14:schemeClr w14:val="tx1"/>
                  </w14:solidFill>
                </w14:textFill>
              </w:rPr>
              <w:t>/</w:t>
            </w:r>
            <w:r>
              <w:rPr>
                <w:rFonts w:hint="eastAsia"/>
                <w:color w:val="000000" w:themeColor="text1"/>
                <w:u w:val="none" w:color="auto"/>
                <w14:textFill>
                  <w14:solidFill>
                    <w14:schemeClr w14:val="tx1"/>
                  </w14:solidFill>
                </w14:textFill>
              </w:rPr>
              <w:t>a。收集后在一般固废暂存间内暂存，外售综合利用。根据《固体废物分类与代码目录》</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14:textFill>
                  <w14:solidFill>
                    <w14:schemeClr w14:val="tx1"/>
                  </w14:solidFill>
                </w14:textFill>
              </w:rPr>
              <w:t>2024年</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14:textFill>
                  <w14:solidFill>
                    <w14:schemeClr w14:val="tx1"/>
                  </w14:solidFill>
                </w14:textFill>
              </w:rPr>
              <w:t>，其一般固体废物代码为900-009-S17</w:t>
            </w:r>
            <w:r>
              <w:rPr>
                <w:rFonts w:hint="eastAsia"/>
                <w:color w:val="000000" w:themeColor="text1"/>
                <w:u w:val="none" w:color="auto"/>
                <w:lang w:eastAsia="zh-CN"/>
                <w14:textFill>
                  <w14:solidFill>
                    <w14:schemeClr w14:val="tx1"/>
                  </w14:solidFill>
                </w14:textFill>
              </w:rPr>
              <w:t>。</w:t>
            </w:r>
          </w:p>
          <w:p w14:paraId="4A28FB72">
            <w:pPr>
              <w:pStyle w:val="35"/>
              <w:numPr>
                <w:ilvl w:val="0"/>
                <w:numId w:val="0"/>
              </w:numPr>
              <w:ind w:firstLine="480" w:firstLineChars="200"/>
              <w:rPr>
                <w:rFonts w:hint="eastAsia"/>
                <w:color w:val="000000" w:themeColor="text1"/>
                <w:u w:val="none" w:color="auto"/>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⑥</w:t>
            </w:r>
            <w:r>
              <w:rPr>
                <w:rFonts w:hint="eastAsia"/>
                <w:color w:val="000000" w:themeColor="text1"/>
                <w:u w:val="none" w:color="auto"/>
                <w14:textFill>
                  <w14:solidFill>
                    <w14:schemeClr w14:val="tx1"/>
                  </w14:solidFill>
                </w14:textFill>
              </w:rPr>
              <w:t>生物质锅炉灰渣</w:t>
            </w:r>
          </w:p>
          <w:p w14:paraId="6F3B5890">
            <w:pPr>
              <w:pStyle w:val="75"/>
              <w:ind w:firstLine="480" w:firstLineChars="200"/>
              <w:rPr>
                <w:color w:val="000000" w:themeColor="text1"/>
                <w:u w:val="none" w:color="auto"/>
                <w14:textFill>
                  <w14:solidFill>
                    <w14:schemeClr w14:val="tx1"/>
                  </w14:solidFill>
                </w14:textFill>
              </w:rPr>
            </w:pPr>
            <w:r>
              <w:rPr>
                <w:rFonts w:hint="default" w:ascii="Times New Roman" w:hAnsi="Times New Roman" w:cs="Times New Roman"/>
                <w:color w:val="000000" w:themeColor="text1"/>
                <w:u w:val="none"/>
                <w:lang w:val="en-US" w:eastAsia="zh-CN"/>
                <w14:textFill>
                  <w14:solidFill>
                    <w14:schemeClr w14:val="tx1"/>
                  </w14:solidFill>
                </w14:textFill>
              </w:rPr>
              <w:t>本项目锅炉采用生物质作为燃料，生物质颗粒燃烧后产生灰渣，根据附件5，本项目生物质颗粒灰分含量为</w:t>
            </w:r>
            <w:r>
              <w:rPr>
                <w:rFonts w:hint="eastAsia" w:cs="Times New Roman"/>
                <w:color w:val="000000" w:themeColor="text1"/>
                <w:u w:val="none"/>
                <w:lang w:val="en-US" w:eastAsia="zh-CN"/>
                <w14:textFill>
                  <w14:solidFill>
                    <w14:schemeClr w14:val="tx1"/>
                  </w14:solidFill>
                </w14:textFill>
              </w:rPr>
              <w:t>0.32</w:t>
            </w:r>
            <w:r>
              <w:rPr>
                <w:rFonts w:hint="default" w:ascii="Times New Roman" w:hAnsi="Times New Roman" w:cs="Times New Roman"/>
                <w:color w:val="000000" w:themeColor="text1"/>
                <w:u w:val="none"/>
                <w:lang w:val="en-US" w:eastAsia="zh-CN"/>
                <w14:textFill>
                  <w14:solidFill>
                    <w14:schemeClr w14:val="tx1"/>
                  </w14:solidFill>
                </w14:textFill>
              </w:rPr>
              <w:t>%，本项目生物质颗粒年用量为</w:t>
            </w:r>
            <w:r>
              <w:rPr>
                <w:rFonts w:hint="eastAsia" w:cs="Times New Roman"/>
                <w:color w:val="000000" w:themeColor="text1"/>
                <w:u w:val="none"/>
                <w:lang w:val="en-US" w:eastAsia="zh-CN"/>
                <w14:textFill>
                  <w14:solidFill>
                    <w14:schemeClr w14:val="tx1"/>
                  </w14:solidFill>
                </w14:textFill>
              </w:rPr>
              <w:t>350</w:t>
            </w:r>
            <w:r>
              <w:rPr>
                <w:rFonts w:hint="default" w:ascii="Times New Roman" w:hAnsi="Times New Roman" w:cs="Times New Roman"/>
                <w:color w:val="000000" w:themeColor="text1"/>
                <w:u w:val="none"/>
                <w:lang w:val="en-US" w:eastAsia="zh-CN"/>
                <w14:textFill>
                  <w14:solidFill>
                    <w14:schemeClr w14:val="tx1"/>
                  </w14:solidFill>
                </w14:textFill>
              </w:rPr>
              <w:t>t</w:t>
            </w:r>
            <w:r>
              <w:rPr>
                <w:rFonts w:hint="eastAsia" w:cs="Times New Roman"/>
                <w:color w:val="000000" w:themeColor="text1"/>
                <w:u w:val="none"/>
                <w:lang w:val="en-US" w:eastAsia="zh-CN"/>
                <w14:textFill>
                  <w14:solidFill>
                    <w14:schemeClr w14:val="tx1"/>
                  </w14:solidFill>
                </w14:textFill>
              </w:rPr>
              <w:t>/</w:t>
            </w:r>
            <w:r>
              <w:rPr>
                <w:rFonts w:hint="default" w:ascii="Times New Roman" w:hAnsi="Times New Roman" w:cs="Times New Roman"/>
                <w:color w:val="000000" w:themeColor="text1"/>
                <w:u w:val="none"/>
                <w:lang w:val="en-US" w:eastAsia="zh-CN"/>
                <w14:textFill>
                  <w14:solidFill>
                    <w14:schemeClr w14:val="tx1"/>
                  </w14:solidFill>
                </w14:textFill>
              </w:rPr>
              <w:t>a，则锅炉灰渣产生量为</w:t>
            </w:r>
            <w:r>
              <w:rPr>
                <w:rFonts w:hint="eastAsia" w:cs="Times New Roman"/>
                <w:color w:val="000000" w:themeColor="text1"/>
                <w:u w:val="none"/>
                <w:lang w:val="en-US" w:eastAsia="zh-CN"/>
                <w14:textFill>
                  <w14:solidFill>
                    <w14:schemeClr w14:val="tx1"/>
                  </w14:solidFill>
                </w14:textFill>
              </w:rPr>
              <w:t>1.12t/</w:t>
            </w:r>
            <w:r>
              <w:rPr>
                <w:rFonts w:hint="default" w:ascii="Times New Roman" w:hAnsi="Times New Roman" w:cs="Times New Roman"/>
                <w:color w:val="000000" w:themeColor="text1"/>
                <w:u w:val="none"/>
                <w:lang w:val="en-US" w:eastAsia="zh-CN"/>
                <w14:textFill>
                  <w14:solidFill>
                    <w14:schemeClr w14:val="tx1"/>
                  </w14:solidFill>
                </w14:textFill>
              </w:rPr>
              <w:t>a，属于一般固废。灰渣经袋装收集后，作为农肥外售综合利用。根据《固体废物分类与代码目录》</w:t>
            </w:r>
            <w:r>
              <w:rPr>
                <w:rFonts w:hint="eastAsia" w:cs="Times New Roman"/>
                <w:color w:val="000000" w:themeColor="text1"/>
                <w:u w:val="none"/>
                <w:lang w:val="en-US" w:eastAsia="zh-CN"/>
                <w14:textFill>
                  <w14:solidFill>
                    <w14:schemeClr w14:val="tx1"/>
                  </w14:solidFill>
                </w14:textFill>
              </w:rPr>
              <w:t>（</w:t>
            </w:r>
            <w:r>
              <w:rPr>
                <w:rFonts w:hint="default" w:ascii="Times New Roman" w:hAnsi="Times New Roman" w:cs="Times New Roman"/>
                <w:color w:val="000000" w:themeColor="text1"/>
                <w:u w:val="none"/>
                <w:lang w:val="en-US" w:eastAsia="zh-CN"/>
                <w14:textFill>
                  <w14:solidFill>
                    <w14:schemeClr w14:val="tx1"/>
                  </w14:solidFill>
                </w14:textFill>
              </w:rPr>
              <w:t>2024年</w:t>
            </w:r>
            <w:r>
              <w:rPr>
                <w:rFonts w:hint="eastAsia" w:cs="Times New Roman"/>
                <w:color w:val="000000" w:themeColor="text1"/>
                <w:u w:val="none"/>
                <w:lang w:val="en-US" w:eastAsia="zh-CN"/>
                <w14:textFill>
                  <w14:solidFill>
                    <w14:schemeClr w14:val="tx1"/>
                  </w14:solidFill>
                </w14:textFill>
              </w:rPr>
              <w:t>）</w:t>
            </w:r>
            <w:r>
              <w:rPr>
                <w:rFonts w:hint="default" w:ascii="Times New Roman" w:hAnsi="Times New Roman" w:cs="Times New Roman"/>
                <w:color w:val="000000" w:themeColor="text1"/>
                <w:u w:val="none"/>
                <w:lang w:val="en-US" w:eastAsia="zh-CN"/>
                <w14:textFill>
                  <w14:solidFill>
                    <w14:schemeClr w14:val="tx1"/>
                  </w14:solidFill>
                </w14:textFill>
              </w:rPr>
              <w:t>，其一般固体废物代码为900-099-S03。</w:t>
            </w:r>
          </w:p>
          <w:p w14:paraId="01FF0212">
            <w:pPr>
              <w:pStyle w:val="35"/>
              <w:ind w:firstLine="480"/>
              <w:rPr>
                <w:color w:val="000000" w:themeColor="text1"/>
                <w:u w:val="none" w:color="auto"/>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⑦</w:t>
            </w:r>
            <w:r>
              <w:rPr>
                <w:rFonts w:hint="eastAsia"/>
                <w:color w:val="000000" w:themeColor="text1"/>
                <w:u w:val="none" w:color="auto"/>
                <w14:textFill>
                  <w14:solidFill>
                    <w14:schemeClr w14:val="tx1"/>
                  </w14:solidFill>
                </w14:textFill>
              </w:rPr>
              <w:t>锅炉烟气除尘灰渣</w:t>
            </w:r>
          </w:p>
          <w:p w14:paraId="2EFF136E">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根据前文废气污染源强核算，“旋风除尘+袋式除尘</w:t>
            </w:r>
            <w:r>
              <w:rPr>
                <w:rFonts w:hint="eastAsia"/>
                <w:color w:val="000000" w:themeColor="text1"/>
                <w:u w:val="none" w:color="auto"/>
                <w:lang w:val="en-US" w:eastAsia="zh-CN"/>
                <w14:textFill>
                  <w14:solidFill>
                    <w14:schemeClr w14:val="tx1"/>
                  </w14:solidFill>
                </w14:textFill>
              </w:rPr>
              <w:t>+水膜除尘</w:t>
            </w:r>
            <w:r>
              <w:rPr>
                <w:rFonts w:hint="eastAsia"/>
                <w:color w:val="000000" w:themeColor="text1"/>
                <w:u w:val="none" w:color="auto"/>
                <w14:textFill>
                  <w14:solidFill>
                    <w14:schemeClr w14:val="tx1"/>
                  </w14:solidFill>
                </w14:textFill>
              </w:rPr>
              <w:t>”的除尘效率为99%，除尘灰渣产生量为</w:t>
            </w:r>
            <w:r>
              <w:rPr>
                <w:rFonts w:hint="eastAsia"/>
                <w:color w:val="000000" w:themeColor="text1"/>
                <w:u w:val="none" w:color="auto"/>
                <w:lang w:val="en-US" w:eastAsia="zh-CN"/>
                <w14:textFill>
                  <w14:solidFill>
                    <w14:schemeClr w14:val="tx1"/>
                  </w14:solidFill>
                </w14:textFill>
              </w:rPr>
              <w:t>0.173</w:t>
            </w:r>
            <w:r>
              <w:rPr>
                <w:rFonts w:hint="eastAsia"/>
                <w:color w:val="000000" w:themeColor="text1"/>
                <w:u w:val="none" w:color="auto"/>
                <w14:textFill>
                  <w14:solidFill>
                    <w14:schemeClr w14:val="tx1"/>
                  </w14:solidFill>
                </w14:textFill>
              </w:rPr>
              <w:t>t/a，主要成分为生物质燃烧烟尘，</w:t>
            </w:r>
            <w:r>
              <w:rPr>
                <w:rFonts w:hint="default" w:ascii="Times New Roman" w:hAnsi="Times New Roman" w:cs="Times New Roman"/>
                <w:color w:val="000000" w:themeColor="text1"/>
                <w:u w:val="none"/>
                <w:lang w:val="en-US" w:eastAsia="zh-CN"/>
                <w14:textFill>
                  <w14:solidFill>
                    <w14:schemeClr w14:val="tx1"/>
                  </w14:solidFill>
                </w14:textFill>
              </w:rPr>
              <w:t>作为农肥外售综合利用</w:t>
            </w:r>
            <w:r>
              <w:rPr>
                <w:rFonts w:hint="eastAsia"/>
                <w:color w:val="000000" w:themeColor="text1"/>
                <w:u w:val="none" w:color="auto"/>
                <w14:textFill>
                  <w14:solidFill>
                    <w14:schemeClr w14:val="tx1"/>
                  </w14:solidFill>
                </w14:textFill>
              </w:rPr>
              <w:t>。根据《固体废物分类与代码目录》</w:t>
            </w:r>
            <w:r>
              <w:rPr>
                <w:rFonts w:hint="eastAsia" w:cs="Times New Roman"/>
                <w:color w:val="000000" w:themeColor="text1"/>
                <w:u w:val="none"/>
                <w:lang w:val="en-US" w:eastAsia="zh-CN"/>
                <w14:textFill>
                  <w14:solidFill>
                    <w14:schemeClr w14:val="tx1"/>
                  </w14:solidFill>
                </w14:textFill>
              </w:rPr>
              <w:t>（</w:t>
            </w:r>
            <w:r>
              <w:rPr>
                <w:rFonts w:hint="default" w:ascii="Times New Roman" w:hAnsi="Times New Roman" w:cs="Times New Roman"/>
                <w:color w:val="000000" w:themeColor="text1"/>
                <w:u w:val="none"/>
                <w:lang w:val="en-US" w:eastAsia="zh-CN"/>
                <w14:textFill>
                  <w14:solidFill>
                    <w14:schemeClr w14:val="tx1"/>
                  </w14:solidFill>
                </w14:textFill>
              </w:rPr>
              <w:t>2024年</w:t>
            </w:r>
            <w:r>
              <w:rPr>
                <w:rFonts w:hint="eastAsia" w:cs="Times New Roman"/>
                <w:color w:val="000000" w:themeColor="text1"/>
                <w:u w:val="none"/>
                <w:lang w:val="en-US" w:eastAsia="zh-CN"/>
                <w14:textFill>
                  <w14:solidFill>
                    <w14:schemeClr w14:val="tx1"/>
                  </w14:solidFill>
                </w14:textFill>
              </w:rPr>
              <w:t>）</w:t>
            </w:r>
            <w:r>
              <w:rPr>
                <w:rFonts w:hint="eastAsia"/>
                <w:color w:val="000000" w:themeColor="text1"/>
                <w:u w:val="none" w:color="auto"/>
                <w14:textFill>
                  <w14:solidFill>
                    <w14:schemeClr w14:val="tx1"/>
                  </w14:solidFill>
                </w14:textFill>
              </w:rPr>
              <w:t>，其一般固体废物代码为900-099-S59。</w:t>
            </w:r>
          </w:p>
          <w:p w14:paraId="5D41EEFC">
            <w:pPr>
              <w:pStyle w:val="35"/>
              <w:ind w:firstLine="480"/>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⑧</w:t>
            </w:r>
            <w:r>
              <w:rPr>
                <w:rFonts w:hint="eastAsia"/>
                <w:color w:val="000000" w:themeColor="text1"/>
                <w14:textFill>
                  <w14:solidFill>
                    <w14:schemeClr w14:val="tx1"/>
                  </w14:solidFill>
                </w14:textFill>
              </w:rPr>
              <w:t>废树脂</w:t>
            </w:r>
            <w:r>
              <w:rPr>
                <w:rFonts w:hint="eastAsia"/>
                <w:color w:val="000000" w:themeColor="text1"/>
                <w:lang w:eastAsia="zh-CN"/>
                <w14:textFill>
                  <w14:solidFill>
                    <w14:schemeClr w14:val="tx1"/>
                  </w14:solidFill>
                </w14:textFill>
              </w:rPr>
              <w:t>、</w:t>
            </w:r>
            <w:r>
              <w:rPr>
                <w:rFonts w:hint="eastAsia" w:ascii="Times New Roman" w:hAnsi="Times New Roman" w:eastAsia="宋体" w:cs="Times New Roman"/>
                <w:color w:val="000000" w:themeColor="text1"/>
                <w:szCs w:val="22"/>
                <w:u w:val="none"/>
                <w:lang w:val="en-US" w:eastAsia="zh-CN"/>
                <w14:textFill>
                  <w14:solidFill>
                    <w14:schemeClr w14:val="tx1"/>
                  </w14:solidFill>
                </w14:textFill>
              </w:rPr>
              <w:t>废活性炭、废石英砂、</w:t>
            </w:r>
            <w:r>
              <w:rPr>
                <w:rFonts w:hint="eastAsia"/>
                <w:color w:val="000000" w:themeColor="text1"/>
                <w:lang w:val="en-US" w:eastAsia="zh-CN"/>
                <w14:textFill>
                  <w14:solidFill>
                    <w14:schemeClr w14:val="tx1"/>
                  </w14:solidFill>
                </w14:textFill>
              </w:rPr>
              <w:t>废滤膜</w:t>
            </w:r>
          </w:p>
          <w:p w14:paraId="700FBF23">
            <w:pPr>
              <w:pStyle w:val="35"/>
              <w:ind w:firstLine="480"/>
              <w:rPr>
                <w:rFonts w:hint="eastAsia" w:ascii="Times New Roman" w:hAnsi="Times New Roman" w:eastAsia="宋体" w:cs="Times New Roman"/>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项目采用软水制备机</w:t>
            </w:r>
            <w:r>
              <w:rPr>
                <w:rFonts w:hint="eastAsia"/>
                <w:color w:val="000000" w:themeColor="text1"/>
                <w:u w:val="none" w:color="auto"/>
                <w:lang w:val="en-US" w:eastAsia="zh-CN"/>
                <w14:textFill>
                  <w14:solidFill>
                    <w14:schemeClr w14:val="tx1"/>
                  </w14:solidFill>
                </w14:textFill>
              </w:rPr>
              <w:t>制备软水</w:t>
            </w:r>
            <w:r>
              <w:rPr>
                <w:rFonts w:hint="eastAsia"/>
                <w:color w:val="000000" w:themeColor="text1"/>
                <w:u w:val="none" w:color="auto"/>
                <w14:textFill>
                  <w14:solidFill>
                    <w14:schemeClr w14:val="tx1"/>
                  </w14:solidFill>
                </w14:textFill>
              </w:rPr>
              <w:t>，</w:t>
            </w:r>
            <w:r>
              <w:rPr>
                <w:rFonts w:hint="eastAsia"/>
                <w:color w:val="000000" w:themeColor="text1"/>
                <w:u w:val="none" w:color="auto"/>
                <w:lang w:val="en-US" w:eastAsia="zh-CN"/>
                <w14:textFill>
                  <w14:solidFill>
                    <w14:schemeClr w14:val="tx1"/>
                  </w14:solidFill>
                </w14:textFill>
              </w:rPr>
              <w:t>会产生一定量的废</w:t>
            </w:r>
            <w:r>
              <w:rPr>
                <w:rFonts w:hint="eastAsia"/>
                <w:color w:val="000000" w:themeColor="text1"/>
                <w:u w:val="none" w:color="auto"/>
                <w14:textFill>
                  <w14:solidFill>
                    <w14:schemeClr w14:val="tx1"/>
                  </w14:solidFill>
                </w14:textFill>
              </w:rPr>
              <w:t>离子交换树脂</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lang w:val="en-US" w:eastAsia="zh-CN"/>
                <w14:textFill>
                  <w14:solidFill>
                    <w14:schemeClr w14:val="tx1"/>
                  </w14:solidFill>
                </w14:textFill>
              </w:rPr>
              <w:t>废活性炭、废石英砂</w:t>
            </w:r>
            <w:r>
              <w:rPr>
                <w:rFonts w:hint="eastAsia" w:ascii="Times New Roman" w:hAnsi="Times New Roman" w:eastAsia="宋体" w:cs="Times New Roman"/>
                <w:color w:val="000000" w:themeColor="text1"/>
                <w:szCs w:val="22"/>
                <w:u w:val="none"/>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废滤膜</w:t>
            </w:r>
            <w:r>
              <w:rPr>
                <w:rFonts w:hint="eastAsia"/>
                <w:color w:val="000000" w:themeColor="text1"/>
                <w:u w:val="none" w:color="auto"/>
                <w:lang w:val="en-US" w:eastAsia="zh-CN"/>
                <w14:textFill>
                  <w14:solidFill>
                    <w14:schemeClr w14:val="tx1"/>
                  </w14:solidFill>
                </w14:textFill>
              </w:rPr>
              <w:t>，</w:t>
            </w:r>
            <w:r>
              <w:rPr>
                <w:rFonts w:hint="eastAsia"/>
                <w:color w:val="000000" w:themeColor="text1"/>
                <w:u w:val="none" w:color="auto"/>
                <w14:textFill>
                  <w14:solidFill>
                    <w14:schemeClr w14:val="tx1"/>
                  </w14:solidFill>
                </w14:textFill>
              </w:rPr>
              <w:t>根据设计，正常使用周期为1~2年，建设单位为保证锅炉运行，每年更换一次，产生废弃离子树脂</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lang w:val="en-US" w:eastAsia="zh-CN"/>
                <w14:textFill>
                  <w14:solidFill>
                    <w14:schemeClr w14:val="tx1"/>
                  </w14:solidFill>
                </w14:textFill>
              </w:rPr>
              <w:t>废活性炭、废石英砂、废滤膜约</w:t>
            </w:r>
            <w:r>
              <w:rPr>
                <w:rFonts w:hint="eastAsia"/>
                <w:color w:val="000000" w:themeColor="text1"/>
                <w:u w:val="none" w:color="auto"/>
                <w14:textFill>
                  <w14:solidFill>
                    <w14:schemeClr w14:val="tx1"/>
                  </w14:solidFill>
                </w14:textFill>
              </w:rPr>
              <w:t>0.</w:t>
            </w:r>
            <w:r>
              <w:rPr>
                <w:rFonts w:hint="eastAsia"/>
                <w:color w:val="000000" w:themeColor="text1"/>
                <w:u w:val="none" w:color="auto"/>
                <w:lang w:val="en-US" w:eastAsia="zh-CN"/>
                <w14:textFill>
                  <w14:solidFill>
                    <w14:schemeClr w14:val="tx1"/>
                  </w14:solidFill>
                </w14:textFill>
              </w:rPr>
              <w:t>2</w:t>
            </w:r>
            <w:r>
              <w:rPr>
                <w:rFonts w:hint="eastAsia"/>
                <w:color w:val="000000" w:themeColor="text1"/>
                <w:u w:val="none" w:color="auto"/>
                <w14:textFill>
                  <w14:solidFill>
                    <w14:schemeClr w14:val="tx1"/>
                  </w14:solidFill>
                </w14:textFill>
              </w:rPr>
              <w:t>t/a</w:t>
            </w:r>
            <w:r>
              <w:rPr>
                <w:rFonts w:hint="eastAsia"/>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自来水制备软水过程中产生的废离子交换树脂</w:t>
            </w:r>
            <w:r>
              <w:rPr>
                <w:rFonts w:hint="eastAsia" w:cs="Times New Roman"/>
                <w:color w:val="000000" w:themeColor="text1"/>
                <w:u w:val="none" w:color="auto"/>
                <w:lang w:val="en-US" w:eastAsia="zh-CN"/>
                <w14:textFill>
                  <w14:solidFill>
                    <w14:schemeClr w14:val="tx1"/>
                  </w14:solidFill>
                </w14:textFill>
              </w:rPr>
              <w:t>等废物</w:t>
            </w:r>
            <w:r>
              <w:rPr>
                <w:rFonts w:hint="eastAsia" w:ascii="Times New Roman" w:hAnsi="Times New Roman" w:eastAsia="宋体" w:cs="Times New Roman"/>
                <w:color w:val="000000" w:themeColor="text1"/>
                <w:u w:val="none" w:color="auto"/>
                <w14:textFill>
                  <w14:solidFill>
                    <w14:schemeClr w14:val="tx1"/>
                  </w14:solidFill>
                </w14:textFill>
              </w:rPr>
              <w:t>未被列入《国家危险废物名录》（2025年版），不涉及毒性、腐蚀性、反应性、感染性等危险特性，故软水制备产生的废离子交换树脂</w:t>
            </w:r>
            <w:r>
              <w:rPr>
                <w:rFonts w:hint="eastAsia" w:cs="Times New Roman"/>
                <w:color w:val="000000" w:themeColor="text1"/>
                <w:u w:val="none" w:color="auto"/>
                <w:lang w:val="en-US" w:eastAsia="zh-CN"/>
                <w14:textFill>
                  <w14:solidFill>
                    <w14:schemeClr w14:val="tx1"/>
                  </w14:solidFill>
                </w14:textFill>
              </w:rPr>
              <w:t>等废物</w:t>
            </w:r>
            <w:r>
              <w:rPr>
                <w:rFonts w:hint="eastAsia" w:ascii="Times New Roman" w:hAnsi="Times New Roman" w:eastAsia="宋体" w:cs="Times New Roman"/>
                <w:color w:val="000000" w:themeColor="text1"/>
                <w:u w:val="none" w:color="auto"/>
                <w14:textFill>
                  <w14:solidFill>
                    <w14:schemeClr w14:val="tx1"/>
                  </w14:solidFill>
                </w14:textFill>
              </w:rPr>
              <w:t>属于一般固废，由厂家进行更换回收。</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根据《固体废物分类与代码目录》（2024年），其一般固体废物代码为</w:t>
            </w:r>
            <w:r>
              <w:rPr>
                <w:rFonts w:hint="eastAsia" w:ascii="Times New Roman" w:hAnsi="Times New Roman"/>
                <w:color w:val="000000" w:themeColor="text1"/>
                <w:u w:val="none" w:color="auto"/>
                <w:lang w:val="en-US" w:eastAsia="zh-CN"/>
                <w14:textFill>
                  <w14:solidFill>
                    <w14:schemeClr w14:val="tx1"/>
                  </w14:solidFill>
                </w14:textFill>
              </w:rPr>
              <w:t>900-008-S59。</w:t>
            </w:r>
          </w:p>
          <w:p w14:paraId="00D41C1B">
            <w:pPr>
              <w:pStyle w:val="35"/>
              <w:ind w:firstLine="480"/>
              <w:rPr>
                <w:rFonts w:hint="eastAsia" w:ascii="Times New Roman" w:hAnsi="Times New Roman" w:eastAsia="宋体" w:cs="Times New Roman"/>
                <w:color w:val="000000" w:themeColor="text1"/>
                <w:u w:val="none" w:color="auto"/>
                <w14:textFill>
                  <w14:solidFill>
                    <w14:schemeClr w14:val="tx1"/>
                  </w14:solidFill>
                </w14:textFill>
              </w:rPr>
            </w:pPr>
            <w:r>
              <w:rPr>
                <w:rFonts w:hint="eastAsia"/>
                <w:color w:val="000000" w:themeColor="text1"/>
                <w:lang w:val="en-US" w:eastAsia="zh-CN"/>
                <w14:textFill>
                  <w14:solidFill>
                    <w14:schemeClr w14:val="tx1"/>
                  </w14:solidFill>
                </w14:textFill>
              </w:rPr>
              <w:t>⑨</w:t>
            </w:r>
            <w:r>
              <w:rPr>
                <w:rFonts w:hint="eastAsia" w:ascii="Times New Roman" w:hAnsi="Times New Roman" w:eastAsia="宋体" w:cs="Times New Roman"/>
                <w:color w:val="000000" w:themeColor="text1"/>
                <w:u w:val="none" w:color="auto"/>
                <w14:textFill>
                  <w14:solidFill>
                    <w14:schemeClr w14:val="tx1"/>
                  </w14:solidFill>
                </w14:textFill>
              </w:rPr>
              <w:t>废机油</w:t>
            </w:r>
          </w:p>
          <w:p w14:paraId="6446D720">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项目所使用的水泵、风机等设备需要使用到机油，设备每年均需要进行保养或维修，保养和维修过程中会产生废机油，根据建设单位运营经验，每年更换产生废机油的量约为0.</w:t>
            </w:r>
            <w:r>
              <w:rPr>
                <w:rFonts w:hint="eastAsia"/>
                <w:color w:val="000000" w:themeColor="text1"/>
                <w:u w:val="none" w:color="auto"/>
                <w:lang w:val="en-US" w:eastAsia="zh-CN"/>
                <w14:textFill>
                  <w14:solidFill>
                    <w14:schemeClr w14:val="tx1"/>
                  </w14:solidFill>
                </w14:textFill>
              </w:rPr>
              <w:t>05</w:t>
            </w:r>
            <w:r>
              <w:rPr>
                <w:rFonts w:hint="eastAsia"/>
                <w:color w:val="000000" w:themeColor="text1"/>
                <w:u w:val="none" w:color="auto"/>
                <w14:textFill>
                  <w14:solidFill>
                    <w14:schemeClr w14:val="tx1"/>
                  </w14:solidFill>
                </w14:textFill>
              </w:rPr>
              <w:t>t/a，属于危险废物，根据《国家危险废物名录（202</w:t>
            </w:r>
            <w:r>
              <w:rPr>
                <w:rFonts w:hint="eastAsia"/>
                <w:color w:val="000000" w:themeColor="text1"/>
                <w:u w:val="none" w:color="auto"/>
                <w:lang w:val="en-US" w:eastAsia="zh-CN"/>
                <w14:textFill>
                  <w14:solidFill>
                    <w14:schemeClr w14:val="tx1"/>
                  </w14:solidFill>
                </w14:textFill>
              </w:rPr>
              <w:t>5</w:t>
            </w:r>
            <w:r>
              <w:rPr>
                <w:rFonts w:hint="eastAsia"/>
                <w:color w:val="000000" w:themeColor="text1"/>
                <w:u w:val="none" w:color="auto"/>
                <w14:textFill>
                  <w14:solidFill>
                    <w14:schemeClr w14:val="tx1"/>
                  </w14:solidFill>
                </w14:textFill>
              </w:rPr>
              <w:t>年版）》，其属于HW08废矿物油与含矿物油废物，危废代码为900-214-08，危险特性为T</w:t>
            </w:r>
            <w:r>
              <w:rPr>
                <w:rFonts w:hint="eastAsia" w:cs="Times New Roman"/>
                <w:color w:val="000000" w:themeColor="text1"/>
                <w:kern w:val="0"/>
                <w:sz w:val="21"/>
                <w:szCs w:val="28"/>
                <w:u w:val="none" w:color="auto"/>
                <w14:textFill>
                  <w14:solidFill>
                    <w14:schemeClr w14:val="tx1"/>
                  </w14:solidFill>
                </w14:textFill>
              </w:rPr>
              <w:t>,</w:t>
            </w:r>
            <w:r>
              <w:rPr>
                <w:rFonts w:hint="eastAsia"/>
                <w:color w:val="000000" w:themeColor="text1"/>
                <w:u w:val="none" w:color="auto"/>
                <w14:textFill>
                  <w14:solidFill>
                    <w14:schemeClr w14:val="tx1"/>
                  </w14:solidFill>
                </w14:textFill>
              </w:rPr>
              <w:t>I，暂存于危废暂存间，委托有资质单位处置。</w:t>
            </w:r>
          </w:p>
          <w:p w14:paraId="0CB7E3FC">
            <w:pPr>
              <w:pStyle w:val="35"/>
              <w:ind w:firstLine="480"/>
              <w:rPr>
                <w:color w:val="000000" w:themeColor="text1"/>
                <w:u w:val="none" w:color="auto"/>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⑩</w:t>
            </w:r>
            <w:r>
              <w:rPr>
                <w:rFonts w:hint="eastAsia"/>
                <w:color w:val="000000" w:themeColor="text1"/>
                <w:u w:val="none" w:color="auto"/>
                <w14:textFill>
                  <w14:solidFill>
                    <w14:schemeClr w14:val="tx1"/>
                  </w14:solidFill>
                </w14:textFill>
              </w:rPr>
              <w:t>废机油桶</w:t>
            </w:r>
          </w:p>
          <w:p w14:paraId="05B1F512">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项目购买的机油使用后会产生废机油桶，</w:t>
            </w:r>
            <w:r>
              <w:rPr>
                <w:rFonts w:hint="default" w:ascii="Times New Roman" w:hAnsi="Times New Roman" w:eastAsia="宋体" w:cs="Times New Roman"/>
                <w:bCs/>
                <w:color w:val="000000" w:themeColor="text1"/>
                <w:kern w:val="2"/>
                <w:sz w:val="24"/>
                <w:szCs w:val="24"/>
                <w:lang w:val="en-US" w:eastAsia="zh-CN" w:bidi="ar-SA"/>
                <w14:textFill>
                  <w14:solidFill>
                    <w14:schemeClr w14:val="tx1"/>
                  </w14:solidFill>
                </w14:textFill>
              </w:rPr>
              <w:t>根据建设单位提供资料可知，</w:t>
            </w:r>
            <w:r>
              <w:rPr>
                <w:rFonts w:hint="eastAsia" w:ascii="Times New Roman" w:hAnsi="Times New Roman" w:eastAsia="宋体" w:cs="Times New Roman"/>
                <w:bCs/>
                <w:color w:val="000000" w:themeColor="text1"/>
                <w:kern w:val="2"/>
                <w:sz w:val="24"/>
                <w:szCs w:val="24"/>
                <w:lang w:val="en-US" w:eastAsia="zh-CN" w:bidi="ar-SA"/>
                <w14:textFill>
                  <w14:solidFill>
                    <w14:schemeClr w14:val="tx1"/>
                  </w14:solidFill>
                </w14:textFill>
              </w:rPr>
              <w:t>年使用机油0.1t/a，</w:t>
            </w:r>
            <w:r>
              <w:rPr>
                <w:rFonts w:hint="eastAsia" w:cs="Times New Roman"/>
                <w:bCs/>
                <w:color w:val="000000" w:themeColor="text1"/>
                <w:kern w:val="2"/>
                <w:sz w:val="24"/>
                <w:szCs w:val="24"/>
                <w:lang w:val="en-US" w:eastAsia="zh-CN" w:bidi="ar-SA"/>
                <w14:textFill>
                  <w14:solidFill>
                    <w14:schemeClr w14:val="tx1"/>
                  </w14:solidFill>
                </w14:textFill>
              </w:rPr>
              <w:t>包装规格为25kg/桶，</w:t>
            </w:r>
            <w:r>
              <w:rPr>
                <w:rFonts w:hint="default" w:ascii="Times New Roman" w:hAnsi="Times New Roman" w:eastAsia="宋体" w:cs="Times New Roman"/>
                <w:bCs/>
                <w:color w:val="000000" w:themeColor="text1"/>
                <w:kern w:val="2"/>
                <w:sz w:val="24"/>
                <w:szCs w:val="24"/>
                <w:lang w:val="en-US" w:eastAsia="zh-CN" w:bidi="ar-SA"/>
                <w14:textFill>
                  <w14:solidFill>
                    <w14:schemeClr w14:val="tx1"/>
                  </w14:solidFill>
                </w14:textFill>
              </w:rPr>
              <w:t>单个废包装桶重量约为1</w:t>
            </w:r>
            <w:r>
              <w:rPr>
                <w:rFonts w:hint="eastAsia" w:cs="Times New Roman"/>
                <w:bCs/>
                <w:color w:val="000000" w:themeColor="text1"/>
                <w:kern w:val="2"/>
                <w:sz w:val="24"/>
                <w:szCs w:val="24"/>
                <w:lang w:val="en-US" w:eastAsia="zh-CN" w:bidi="ar-SA"/>
                <w14:textFill>
                  <w14:solidFill>
                    <w14:schemeClr w14:val="tx1"/>
                  </w14:solidFill>
                </w14:textFill>
              </w:rPr>
              <w:t>.5</w:t>
            </w:r>
            <w:r>
              <w:rPr>
                <w:rFonts w:hint="default" w:ascii="Times New Roman" w:hAnsi="Times New Roman" w:eastAsia="宋体" w:cs="Times New Roman"/>
                <w:bCs/>
                <w:color w:val="000000" w:themeColor="text1"/>
                <w:kern w:val="2"/>
                <w:sz w:val="24"/>
                <w:szCs w:val="24"/>
                <w:lang w:val="en-US" w:eastAsia="zh-CN" w:bidi="ar-SA"/>
                <w14:textFill>
                  <w14:solidFill>
                    <w14:schemeClr w14:val="tx1"/>
                  </w14:solidFill>
                </w14:textFill>
              </w:rPr>
              <w:t>kg，</w:t>
            </w:r>
            <w:r>
              <w:rPr>
                <w:rFonts w:hint="eastAsia" w:ascii="Times New Roman" w:hAnsi="Times New Roman" w:eastAsia="宋体" w:cs="Times New Roman"/>
                <w:bCs/>
                <w:color w:val="000000" w:themeColor="text1"/>
                <w:kern w:val="2"/>
                <w:sz w:val="24"/>
                <w:szCs w:val="24"/>
                <w:lang w:val="en-US" w:eastAsia="zh-CN" w:bidi="ar-SA"/>
                <w14:textFill>
                  <w14:solidFill>
                    <w14:schemeClr w14:val="tx1"/>
                  </w14:solidFill>
                </w14:textFill>
              </w:rPr>
              <w:t>则</w:t>
            </w:r>
            <w:r>
              <w:rPr>
                <w:rFonts w:hint="eastAsia"/>
                <w:color w:val="000000" w:themeColor="text1"/>
                <w:u w:val="none" w:color="auto"/>
                <w14:textFill>
                  <w14:solidFill>
                    <w14:schemeClr w14:val="tx1"/>
                  </w14:solidFill>
                </w14:textFill>
              </w:rPr>
              <w:t>产生量约为0.</w:t>
            </w:r>
            <w:r>
              <w:rPr>
                <w:rFonts w:hint="eastAsia"/>
                <w:color w:val="000000" w:themeColor="text1"/>
                <w:u w:val="none" w:color="auto"/>
                <w:lang w:val="en-US" w:eastAsia="zh-CN"/>
                <w14:textFill>
                  <w14:solidFill>
                    <w14:schemeClr w14:val="tx1"/>
                  </w14:solidFill>
                </w14:textFill>
              </w:rPr>
              <w:t>006</w:t>
            </w:r>
            <w:r>
              <w:rPr>
                <w:rFonts w:hint="eastAsia"/>
                <w:color w:val="000000" w:themeColor="text1"/>
                <w:u w:val="none" w:color="auto"/>
                <w14:textFill>
                  <w14:solidFill>
                    <w14:schemeClr w14:val="tx1"/>
                  </w14:solidFill>
                </w14:textFill>
              </w:rPr>
              <w:t>t/a，属于危险废物，根据《国家危险废物名录（202</w:t>
            </w:r>
            <w:r>
              <w:rPr>
                <w:rFonts w:hint="eastAsia"/>
                <w:color w:val="000000" w:themeColor="text1"/>
                <w:u w:val="none" w:color="auto"/>
                <w:lang w:val="en-US" w:eastAsia="zh-CN"/>
                <w14:textFill>
                  <w14:solidFill>
                    <w14:schemeClr w14:val="tx1"/>
                  </w14:solidFill>
                </w14:textFill>
              </w:rPr>
              <w:t>5</w:t>
            </w:r>
            <w:r>
              <w:rPr>
                <w:rFonts w:hint="eastAsia"/>
                <w:color w:val="000000" w:themeColor="text1"/>
                <w:u w:val="none" w:color="auto"/>
                <w14:textFill>
                  <w14:solidFill>
                    <w14:schemeClr w14:val="tx1"/>
                  </w14:solidFill>
                </w14:textFill>
              </w:rPr>
              <w:t>年版）》，其属于HW08废矿物油与含矿物油废物，危废代码为900-249-08，危险特性为T</w:t>
            </w:r>
            <w:r>
              <w:rPr>
                <w:rFonts w:hint="eastAsia" w:cs="Times New Roman"/>
                <w:color w:val="000000" w:themeColor="text1"/>
                <w:kern w:val="0"/>
                <w:sz w:val="21"/>
                <w:szCs w:val="28"/>
                <w:u w:val="none" w:color="auto"/>
                <w14:textFill>
                  <w14:solidFill>
                    <w14:schemeClr w14:val="tx1"/>
                  </w14:solidFill>
                </w14:textFill>
              </w:rPr>
              <w:t>,</w:t>
            </w:r>
            <w:r>
              <w:rPr>
                <w:rFonts w:hint="eastAsia"/>
                <w:color w:val="000000" w:themeColor="text1"/>
                <w:u w:val="none" w:color="auto"/>
                <w14:textFill>
                  <w14:solidFill>
                    <w14:schemeClr w14:val="tx1"/>
                  </w14:solidFill>
                </w14:textFill>
              </w:rPr>
              <w:t>I，暂存于危废暂存间，委托有资质单位处置。</w:t>
            </w:r>
          </w:p>
          <w:p w14:paraId="171361B3">
            <w:pPr>
              <w:pStyle w:val="35"/>
              <w:ind w:firstLine="480"/>
              <w:rPr>
                <w:color w:val="000000" w:themeColor="text1"/>
                <w:u w:val="none" w:color="auto"/>
                <w14:textFill>
                  <w14:solidFill>
                    <w14:schemeClr w14:val="tx1"/>
                  </w14:solidFill>
                </w14:textFill>
              </w:rPr>
            </w:pPr>
            <w:r>
              <w:rPr>
                <w:rFonts w:hint="eastAsia" w:ascii="微软雅黑" w:hAnsi="微软雅黑" w:eastAsia="微软雅黑" w:cs="微软雅黑"/>
                <w:color w:val="000000" w:themeColor="text1"/>
                <w:u w:val="none" w:color="auto"/>
                <w14:textFill>
                  <w14:solidFill>
                    <w14:schemeClr w14:val="tx1"/>
                  </w14:solidFill>
                </w14:textFill>
              </w:rPr>
              <w:t>⑪</w:t>
            </w:r>
            <w:r>
              <w:rPr>
                <w:rFonts w:hint="eastAsia"/>
                <w:color w:val="000000" w:themeColor="text1"/>
                <w:u w:val="none" w:color="auto"/>
                <w14:textFill>
                  <w14:solidFill>
                    <w14:schemeClr w14:val="tx1"/>
                  </w14:solidFill>
                </w14:textFill>
              </w:rPr>
              <w:t>含油抹布和手套</w:t>
            </w:r>
          </w:p>
          <w:p w14:paraId="5D97BF4E">
            <w:pPr>
              <w:pStyle w:val="35"/>
              <w:ind w:firstLine="480"/>
              <w:rPr>
                <w:rFonts w:hint="eastAsia" w:eastAsia="宋体"/>
                <w:color w:val="000000" w:themeColor="text1"/>
                <w:u w:val="none" w:color="auto"/>
                <w:lang w:eastAsia="zh-CN"/>
                <w14:textFill>
                  <w14:solidFill>
                    <w14:schemeClr w14:val="tx1"/>
                  </w14:solidFill>
                </w14:textFill>
              </w:rPr>
            </w:pPr>
            <w:r>
              <w:rPr>
                <w:bCs/>
                <w:color w:val="000000" w:themeColor="text1"/>
                <w:u w:val="none" w:color="auto"/>
                <w14:textFill>
                  <w14:solidFill>
                    <w14:schemeClr w14:val="tx1"/>
                  </w14:solidFill>
                </w14:textFill>
              </w:rPr>
              <w:t>含油废抹布和手套产生量约为0.0</w:t>
            </w:r>
            <w:r>
              <w:rPr>
                <w:rFonts w:hint="eastAsia"/>
                <w:bCs/>
                <w:color w:val="000000" w:themeColor="text1"/>
                <w:u w:val="none" w:color="auto"/>
                <w14:textFill>
                  <w14:solidFill>
                    <w14:schemeClr w14:val="tx1"/>
                  </w14:solidFill>
                </w14:textFill>
              </w:rPr>
              <w:t>1</w:t>
            </w:r>
            <w:r>
              <w:rPr>
                <w:bCs/>
                <w:color w:val="000000" w:themeColor="text1"/>
                <w:u w:val="none" w:color="auto"/>
                <w14:textFill>
                  <w14:solidFill>
                    <w14:schemeClr w14:val="tx1"/>
                  </w14:solidFill>
                </w14:textFill>
              </w:rPr>
              <w:t>t/a，</w:t>
            </w:r>
            <w:r>
              <w:rPr>
                <w:color w:val="000000" w:themeColor="text1"/>
                <w:u w:val="none" w:color="auto"/>
                <w:lang w:bidi="ar"/>
                <w14:textFill>
                  <w14:solidFill>
                    <w14:schemeClr w14:val="tx1"/>
                  </w14:solidFill>
                </w14:textFill>
              </w:rPr>
              <w:t>属于</w:t>
            </w:r>
            <w:r>
              <w:rPr>
                <w:rFonts w:hint="eastAsia"/>
                <w:color w:val="000000" w:themeColor="text1"/>
                <w:u w:val="none" w:color="auto"/>
                <w:lang w:bidi="ar"/>
                <w14:textFill>
                  <w14:solidFill>
                    <w14:schemeClr w14:val="tx1"/>
                  </w14:solidFill>
                </w14:textFill>
              </w:rPr>
              <w:t>危险废物，根据</w:t>
            </w:r>
            <w:r>
              <w:rPr>
                <w:color w:val="000000" w:themeColor="text1"/>
                <w:u w:val="none" w:color="auto"/>
                <w:lang w:bidi="ar"/>
                <w14:textFill>
                  <w14:solidFill>
                    <w14:schemeClr w14:val="tx1"/>
                  </w14:solidFill>
                </w14:textFill>
              </w:rPr>
              <w:t>《国家危险废物名录》（202</w:t>
            </w:r>
            <w:r>
              <w:rPr>
                <w:rFonts w:hint="eastAsia"/>
                <w:color w:val="000000" w:themeColor="text1"/>
                <w:u w:val="none" w:color="auto"/>
                <w:lang w:val="en-US" w:eastAsia="zh-CN" w:bidi="ar"/>
                <w14:textFill>
                  <w14:solidFill>
                    <w14:schemeClr w14:val="tx1"/>
                  </w14:solidFill>
                </w14:textFill>
              </w:rPr>
              <w:t>5</w:t>
            </w:r>
            <w:r>
              <w:rPr>
                <w:color w:val="000000" w:themeColor="text1"/>
                <w:u w:val="none" w:color="auto"/>
                <w:lang w:bidi="ar"/>
                <w14:textFill>
                  <w14:solidFill>
                    <w14:schemeClr w14:val="tx1"/>
                  </w14:solidFill>
                </w14:textFill>
              </w:rPr>
              <w:t>年）</w:t>
            </w:r>
            <w:r>
              <w:rPr>
                <w:rFonts w:hint="eastAsia"/>
                <w:color w:val="000000" w:themeColor="text1"/>
                <w:u w:val="none" w:color="auto"/>
                <w:lang w:bidi="ar"/>
                <w14:textFill>
                  <w14:solidFill>
                    <w14:schemeClr w14:val="tx1"/>
                  </w14:solidFill>
                </w14:textFill>
              </w:rPr>
              <w:t>，其属于</w:t>
            </w:r>
            <w:r>
              <w:rPr>
                <w:color w:val="000000" w:themeColor="text1"/>
                <w:u w:val="none" w:color="auto"/>
                <w:lang w:bidi="ar"/>
                <w14:textFill>
                  <w14:solidFill>
                    <w14:schemeClr w14:val="tx1"/>
                  </w14:solidFill>
                </w14:textFill>
              </w:rPr>
              <w:t>HW49其他废物，</w:t>
            </w:r>
            <w:r>
              <w:rPr>
                <w:rFonts w:hint="eastAsia"/>
                <w:color w:val="000000" w:themeColor="text1"/>
                <w:u w:val="none" w:color="auto"/>
                <w:lang w:bidi="ar"/>
                <w14:textFill>
                  <w14:solidFill>
                    <w14:schemeClr w14:val="tx1"/>
                  </w14:solidFill>
                </w14:textFill>
              </w:rPr>
              <w:t>危废</w:t>
            </w:r>
            <w:r>
              <w:rPr>
                <w:color w:val="000000" w:themeColor="text1"/>
                <w:u w:val="none" w:color="auto"/>
                <w:lang w:bidi="ar"/>
                <w14:textFill>
                  <w14:solidFill>
                    <w14:schemeClr w14:val="tx1"/>
                  </w14:solidFill>
                </w14:textFill>
              </w:rPr>
              <w:t>代码为900-041-49</w:t>
            </w:r>
            <w:r>
              <w:rPr>
                <w:rFonts w:hint="eastAsia"/>
                <w:color w:val="000000" w:themeColor="text1"/>
                <w:u w:val="none" w:color="auto"/>
                <w:lang w:bidi="ar"/>
                <w14:textFill>
                  <w14:solidFill>
                    <w14:schemeClr w14:val="tx1"/>
                  </w14:solidFill>
                </w14:textFill>
              </w:rPr>
              <w:t>，危险特性为T/In，</w:t>
            </w:r>
            <w:r>
              <w:rPr>
                <w:rFonts w:hint="eastAsia"/>
                <w:color w:val="000000" w:themeColor="text1"/>
                <w:u w:val="none" w:color="auto"/>
                <w14:textFill>
                  <w14:solidFill>
                    <w14:schemeClr w14:val="tx1"/>
                  </w14:solidFill>
                </w14:textFill>
              </w:rPr>
              <w:t>暂存于危废暂存间，委托有资质单位处置</w:t>
            </w:r>
            <w:r>
              <w:rPr>
                <w:rFonts w:hint="eastAsia"/>
                <w:color w:val="000000" w:themeColor="text1"/>
                <w:u w:val="none" w:color="auto"/>
                <w:lang w:eastAsia="zh-CN"/>
                <w14:textFill>
                  <w14:solidFill>
                    <w14:schemeClr w14:val="tx1"/>
                  </w14:solidFill>
                </w14:textFill>
              </w:rPr>
              <w:t>。</w:t>
            </w:r>
          </w:p>
          <w:p w14:paraId="318249C4">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项目运营期固体废物产生及处置方式详见下表：</w:t>
            </w:r>
          </w:p>
          <w:p w14:paraId="6E54B559">
            <w:pPr>
              <w:pStyle w:val="34"/>
              <w:keepNext w:val="0"/>
              <w:keepLines w:val="0"/>
              <w:pageBreakBefore w:val="0"/>
              <w:widowControl w:val="0"/>
              <w:kinsoku/>
              <w:wordWrap/>
              <w:overflowPunct/>
              <w:topLinePunct w:val="0"/>
              <w:autoSpaceDE/>
              <w:autoSpaceDN/>
              <w:bidi w:val="0"/>
              <w:adjustRightInd/>
              <w:snapToGrid/>
              <w:spacing w:before="0" w:beforeLines="0"/>
              <w:textAlignment w:val="auto"/>
              <w:rPr>
                <w:color w:val="000000" w:themeColor="text1"/>
                <w:sz w:val="21"/>
                <w:szCs w:val="21"/>
                <w:u w:val="none" w:color="auto"/>
                <w14:textFill>
                  <w14:solidFill>
                    <w14:schemeClr w14:val="tx1"/>
                  </w14:solidFill>
                </w14:textFill>
              </w:rPr>
            </w:pPr>
            <w:r>
              <w:rPr>
                <w:rFonts w:hint="eastAsia"/>
                <w:color w:val="000000" w:themeColor="text1"/>
                <w:sz w:val="21"/>
                <w:szCs w:val="21"/>
                <w:u w:val="none" w:color="auto"/>
                <w14:textFill>
                  <w14:solidFill>
                    <w14:schemeClr w14:val="tx1"/>
                  </w14:solidFill>
                </w14:textFill>
              </w:rPr>
              <w:t>表4-1</w:t>
            </w:r>
            <w:r>
              <w:rPr>
                <w:rFonts w:hint="eastAsia"/>
                <w:color w:val="000000" w:themeColor="text1"/>
                <w:sz w:val="21"/>
                <w:szCs w:val="21"/>
                <w:u w:val="none" w:color="auto"/>
                <w:lang w:val="en-US" w:eastAsia="zh-CN"/>
                <w14:textFill>
                  <w14:solidFill>
                    <w14:schemeClr w14:val="tx1"/>
                  </w14:solidFill>
                </w14:textFill>
              </w:rPr>
              <w:t>6</w:t>
            </w:r>
            <w:r>
              <w:rPr>
                <w:rFonts w:hint="eastAsia"/>
                <w:color w:val="000000" w:themeColor="text1"/>
                <w:sz w:val="21"/>
                <w:szCs w:val="21"/>
                <w:u w:val="none" w:color="auto"/>
                <w14:textFill>
                  <w14:solidFill>
                    <w14:schemeClr w14:val="tx1"/>
                  </w14:solidFill>
                </w14:textFill>
              </w:rPr>
              <w:t xml:space="preserve">  固体废物产生情况汇总表</w:t>
            </w:r>
          </w:p>
          <w:tbl>
            <w:tblPr>
              <w:tblStyle w:val="28"/>
              <w:tblW w:w="501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10"/>
              <w:gridCol w:w="658"/>
              <w:gridCol w:w="1603"/>
              <w:gridCol w:w="1189"/>
              <w:gridCol w:w="1187"/>
              <w:gridCol w:w="1759"/>
            </w:tblGrid>
            <w:tr w14:paraId="32137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903" w:type="pct"/>
                  <w:vAlign w:val="center"/>
                </w:tcPr>
                <w:p w14:paraId="42BE0CAB">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名称</w:t>
                  </w:r>
                </w:p>
              </w:tc>
              <w:tc>
                <w:tcPr>
                  <w:tcW w:w="421" w:type="pct"/>
                  <w:vAlign w:val="center"/>
                </w:tcPr>
                <w:p w14:paraId="0FF8E759">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类型</w:t>
                  </w:r>
                </w:p>
              </w:tc>
              <w:tc>
                <w:tcPr>
                  <w:tcW w:w="1026" w:type="pct"/>
                  <w:vAlign w:val="center"/>
                </w:tcPr>
                <w:p w14:paraId="5ACFF209">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固废代码</w:t>
                  </w:r>
                </w:p>
              </w:tc>
              <w:tc>
                <w:tcPr>
                  <w:tcW w:w="761" w:type="pct"/>
                  <w:vAlign w:val="center"/>
                </w:tcPr>
                <w:p w14:paraId="76851FA7">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产生量</w:t>
                  </w:r>
                </w:p>
                <w:p w14:paraId="6C1C4872">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t/a</w:t>
                  </w:r>
                </w:p>
              </w:tc>
              <w:tc>
                <w:tcPr>
                  <w:tcW w:w="760" w:type="pct"/>
                  <w:vAlign w:val="center"/>
                </w:tcPr>
                <w:p w14:paraId="14142425">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暂存位置</w:t>
                  </w:r>
                </w:p>
              </w:tc>
              <w:tc>
                <w:tcPr>
                  <w:tcW w:w="1126" w:type="pct"/>
                  <w:vAlign w:val="center"/>
                </w:tcPr>
                <w:p w14:paraId="48DBC4A3">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处置方式</w:t>
                  </w:r>
                </w:p>
              </w:tc>
            </w:tr>
            <w:tr w14:paraId="1CA22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903" w:type="pct"/>
                  <w:vAlign w:val="center"/>
                </w:tcPr>
                <w:p w14:paraId="18B88BC6">
                  <w:pPr>
                    <w:pStyle w:val="57"/>
                    <w:rPr>
                      <w:rFonts w:hint="eastAsia"/>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生活垃圾</w:t>
                  </w:r>
                </w:p>
              </w:tc>
              <w:tc>
                <w:tcPr>
                  <w:tcW w:w="421" w:type="pct"/>
                  <w:vMerge w:val="restart"/>
                  <w:vAlign w:val="center"/>
                </w:tcPr>
                <w:p w14:paraId="1C1294A4">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一般工业</w:t>
                  </w:r>
                </w:p>
                <w:p w14:paraId="68038AC8">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固体废物</w:t>
                  </w:r>
                </w:p>
              </w:tc>
              <w:tc>
                <w:tcPr>
                  <w:tcW w:w="1026" w:type="pct"/>
                  <w:vAlign w:val="center"/>
                </w:tcPr>
                <w:p w14:paraId="5690F01C">
                  <w:pPr>
                    <w:pStyle w:val="57"/>
                    <w:rPr>
                      <w:rFonts w:hint="eastAsia"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w:t>
                  </w:r>
                </w:p>
              </w:tc>
              <w:tc>
                <w:tcPr>
                  <w:tcW w:w="761" w:type="pct"/>
                  <w:vAlign w:val="center"/>
                </w:tcPr>
                <w:p w14:paraId="13874C9B">
                  <w:pPr>
                    <w:pStyle w:val="57"/>
                    <w:rPr>
                      <w:rFonts w:hint="eastAsia"/>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1.2</w:t>
                  </w:r>
                </w:p>
              </w:tc>
              <w:tc>
                <w:tcPr>
                  <w:tcW w:w="760" w:type="pct"/>
                  <w:vAlign w:val="center"/>
                </w:tcPr>
                <w:p w14:paraId="08794208">
                  <w:pPr>
                    <w:pStyle w:val="57"/>
                    <w:rPr>
                      <w:rFonts w:hint="eastAsia"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垃圾桶</w:t>
                  </w:r>
                </w:p>
              </w:tc>
              <w:tc>
                <w:tcPr>
                  <w:tcW w:w="1126" w:type="pct"/>
                  <w:vAlign w:val="center"/>
                </w:tcPr>
                <w:p w14:paraId="08582F72">
                  <w:pPr>
                    <w:pStyle w:val="57"/>
                    <w:rPr>
                      <w:rFonts w:hint="eastAsia"/>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由环卫部门统一清理</w:t>
                  </w:r>
                </w:p>
              </w:tc>
            </w:tr>
            <w:tr w14:paraId="48025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903" w:type="pct"/>
                  <w:vAlign w:val="center"/>
                </w:tcPr>
                <w:p w14:paraId="2BC941A7">
                  <w:pPr>
                    <w:pStyle w:val="57"/>
                    <w:rPr>
                      <w:rFonts w:hint="eastAsia"/>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废包装材料</w:t>
                  </w:r>
                </w:p>
              </w:tc>
              <w:tc>
                <w:tcPr>
                  <w:tcW w:w="421" w:type="pct"/>
                  <w:vMerge w:val="continue"/>
                  <w:vAlign w:val="center"/>
                </w:tcPr>
                <w:p w14:paraId="4C59F13B">
                  <w:pPr>
                    <w:pStyle w:val="57"/>
                    <w:rPr>
                      <w:rFonts w:hint="eastAsia"/>
                      <w:color w:val="000000" w:themeColor="text1"/>
                      <w:u w:val="none" w:color="auto"/>
                      <w14:textFill>
                        <w14:solidFill>
                          <w14:schemeClr w14:val="tx1"/>
                        </w14:solidFill>
                      </w14:textFill>
                    </w:rPr>
                  </w:pPr>
                </w:p>
              </w:tc>
              <w:tc>
                <w:tcPr>
                  <w:tcW w:w="1026" w:type="pct"/>
                  <w:vAlign w:val="center"/>
                </w:tcPr>
                <w:p w14:paraId="0119CA42">
                  <w:pPr>
                    <w:pStyle w:val="57"/>
                    <w:rPr>
                      <w:rFonts w:hint="eastAsia"/>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900-00</w:t>
                  </w:r>
                  <w:r>
                    <w:rPr>
                      <w:rFonts w:hint="eastAsia" w:cs="Times New Roman"/>
                      <w:color w:val="000000" w:themeColor="text1"/>
                      <w:u w:val="none" w:color="auto"/>
                      <w:lang w:val="en-US" w:eastAsia="zh-CN"/>
                      <w14:textFill>
                        <w14:solidFill>
                          <w14:schemeClr w14:val="tx1"/>
                        </w14:solidFill>
                      </w14:textFill>
                    </w:rPr>
                    <w:t>3</w:t>
                  </w:r>
                  <w:r>
                    <w:rPr>
                      <w:rFonts w:hint="eastAsia" w:ascii="Times New Roman" w:hAnsi="Times New Roman" w:eastAsia="宋体" w:cs="Times New Roman"/>
                      <w:color w:val="000000" w:themeColor="text1"/>
                      <w:u w:val="none" w:color="auto"/>
                      <w14:textFill>
                        <w14:solidFill>
                          <w14:schemeClr w14:val="tx1"/>
                        </w14:solidFill>
                      </w14:textFill>
                    </w:rPr>
                    <w:t>-S17</w:t>
                  </w:r>
                </w:p>
              </w:tc>
              <w:tc>
                <w:tcPr>
                  <w:tcW w:w="761" w:type="pct"/>
                  <w:vAlign w:val="center"/>
                </w:tcPr>
                <w:p w14:paraId="7D600D1A">
                  <w:pPr>
                    <w:pStyle w:val="57"/>
                    <w:rPr>
                      <w:rFonts w:hint="eastAsia"/>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0.1</w:t>
                  </w:r>
                </w:p>
              </w:tc>
              <w:tc>
                <w:tcPr>
                  <w:tcW w:w="760" w:type="pct"/>
                  <w:vMerge w:val="restart"/>
                  <w:vAlign w:val="center"/>
                </w:tcPr>
                <w:p w14:paraId="57657235">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一般固废暂存间</w:t>
                  </w:r>
                </w:p>
              </w:tc>
              <w:tc>
                <w:tcPr>
                  <w:tcW w:w="1126" w:type="pct"/>
                  <w:vAlign w:val="center"/>
                </w:tcPr>
                <w:p w14:paraId="31DBE791">
                  <w:pPr>
                    <w:pStyle w:val="57"/>
                    <w:rPr>
                      <w:rFonts w:hint="eastAsia"/>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外售综合利用</w:t>
                  </w:r>
                </w:p>
              </w:tc>
            </w:tr>
            <w:tr w14:paraId="1BE9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903" w:type="pct"/>
                  <w:vAlign w:val="center"/>
                </w:tcPr>
                <w:p w14:paraId="70F2A52E">
                  <w:pPr>
                    <w:pStyle w:val="57"/>
                    <w:rPr>
                      <w:rFonts w:hint="eastAsia"/>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废边角料和不合格品</w:t>
                  </w:r>
                </w:p>
              </w:tc>
              <w:tc>
                <w:tcPr>
                  <w:tcW w:w="421" w:type="pct"/>
                  <w:vMerge w:val="continue"/>
                  <w:vAlign w:val="center"/>
                </w:tcPr>
                <w:p w14:paraId="57817963">
                  <w:pPr>
                    <w:pStyle w:val="57"/>
                    <w:rPr>
                      <w:rFonts w:hint="eastAsia"/>
                      <w:color w:val="000000" w:themeColor="text1"/>
                      <w:u w:val="none" w:color="auto"/>
                      <w14:textFill>
                        <w14:solidFill>
                          <w14:schemeClr w14:val="tx1"/>
                        </w14:solidFill>
                      </w14:textFill>
                    </w:rPr>
                  </w:pPr>
                </w:p>
              </w:tc>
              <w:tc>
                <w:tcPr>
                  <w:tcW w:w="1026" w:type="pct"/>
                  <w:vAlign w:val="center"/>
                </w:tcPr>
                <w:p w14:paraId="735E04C0">
                  <w:pPr>
                    <w:pStyle w:val="57"/>
                    <w:rPr>
                      <w:rFonts w:hint="eastAsia"/>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900-009-S17</w:t>
                  </w:r>
                </w:p>
              </w:tc>
              <w:tc>
                <w:tcPr>
                  <w:tcW w:w="761" w:type="pct"/>
                  <w:vAlign w:val="center"/>
                </w:tcPr>
                <w:p w14:paraId="6A2611A9">
                  <w:pPr>
                    <w:pStyle w:val="57"/>
                    <w:rPr>
                      <w:rFonts w:hint="eastAsia"/>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755.05</w:t>
                  </w:r>
                </w:p>
              </w:tc>
              <w:tc>
                <w:tcPr>
                  <w:tcW w:w="760" w:type="pct"/>
                  <w:vMerge w:val="continue"/>
                  <w:vAlign w:val="center"/>
                </w:tcPr>
                <w:p w14:paraId="36EBA726">
                  <w:pPr>
                    <w:pStyle w:val="57"/>
                    <w:rPr>
                      <w:rFonts w:hint="eastAsia"/>
                      <w:color w:val="000000" w:themeColor="text1"/>
                      <w:u w:val="none" w:color="auto"/>
                      <w14:textFill>
                        <w14:solidFill>
                          <w14:schemeClr w14:val="tx1"/>
                        </w14:solidFill>
                      </w14:textFill>
                    </w:rPr>
                  </w:pPr>
                </w:p>
              </w:tc>
              <w:tc>
                <w:tcPr>
                  <w:tcW w:w="1126" w:type="pct"/>
                  <w:vAlign w:val="center"/>
                </w:tcPr>
                <w:p w14:paraId="55ED4AE7">
                  <w:pPr>
                    <w:pStyle w:val="57"/>
                    <w:rPr>
                      <w:rFonts w:hint="eastAsia"/>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外售综合利用</w:t>
                  </w:r>
                </w:p>
              </w:tc>
            </w:tr>
            <w:tr w14:paraId="2EBB4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903" w:type="pct"/>
                  <w:vAlign w:val="center"/>
                </w:tcPr>
                <w:p w14:paraId="1CD998ED">
                  <w:pPr>
                    <w:pStyle w:val="57"/>
                    <w:rPr>
                      <w:rFonts w:hint="eastAsia"/>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地面收集尘</w:t>
                  </w:r>
                </w:p>
              </w:tc>
              <w:tc>
                <w:tcPr>
                  <w:tcW w:w="421" w:type="pct"/>
                  <w:vMerge w:val="continue"/>
                  <w:vAlign w:val="center"/>
                </w:tcPr>
                <w:p w14:paraId="76B3BD62">
                  <w:pPr>
                    <w:pStyle w:val="57"/>
                    <w:rPr>
                      <w:rFonts w:hint="eastAsia"/>
                      <w:color w:val="000000" w:themeColor="text1"/>
                      <w:u w:val="none" w:color="auto"/>
                      <w14:textFill>
                        <w14:solidFill>
                          <w14:schemeClr w14:val="tx1"/>
                        </w14:solidFill>
                      </w14:textFill>
                    </w:rPr>
                  </w:pPr>
                </w:p>
              </w:tc>
              <w:tc>
                <w:tcPr>
                  <w:tcW w:w="1026" w:type="pct"/>
                  <w:vAlign w:val="center"/>
                </w:tcPr>
                <w:p w14:paraId="7E4CFC12">
                  <w:pPr>
                    <w:pStyle w:val="57"/>
                    <w:rPr>
                      <w:rFonts w:hint="eastAsia"/>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900-009-S17</w:t>
                  </w:r>
                </w:p>
              </w:tc>
              <w:tc>
                <w:tcPr>
                  <w:tcW w:w="761" w:type="pct"/>
                  <w:vAlign w:val="center"/>
                </w:tcPr>
                <w:p w14:paraId="335F646E">
                  <w:pPr>
                    <w:pStyle w:val="57"/>
                    <w:rPr>
                      <w:rFonts w:hint="eastAsia"/>
                      <w:color w:val="000000" w:themeColor="text1"/>
                      <w:u w:val="none" w:color="auto"/>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0.3696</w:t>
                  </w:r>
                </w:p>
              </w:tc>
              <w:tc>
                <w:tcPr>
                  <w:tcW w:w="760" w:type="pct"/>
                  <w:vMerge w:val="continue"/>
                  <w:vAlign w:val="center"/>
                </w:tcPr>
                <w:p w14:paraId="2502584D">
                  <w:pPr>
                    <w:pStyle w:val="57"/>
                    <w:rPr>
                      <w:rFonts w:hint="eastAsia"/>
                      <w:color w:val="000000" w:themeColor="text1"/>
                      <w:u w:val="none" w:color="auto"/>
                      <w14:textFill>
                        <w14:solidFill>
                          <w14:schemeClr w14:val="tx1"/>
                        </w14:solidFill>
                      </w14:textFill>
                    </w:rPr>
                  </w:pPr>
                </w:p>
              </w:tc>
              <w:tc>
                <w:tcPr>
                  <w:tcW w:w="1126" w:type="pct"/>
                  <w:vAlign w:val="center"/>
                </w:tcPr>
                <w:p w14:paraId="0F860E66">
                  <w:pPr>
                    <w:pStyle w:val="57"/>
                    <w:rPr>
                      <w:rFonts w:hint="eastAsia"/>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外售综合利用</w:t>
                  </w:r>
                </w:p>
              </w:tc>
            </w:tr>
            <w:tr w14:paraId="05D15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903" w:type="pct"/>
                  <w:vAlign w:val="center"/>
                </w:tcPr>
                <w:p w14:paraId="0CB2F515">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布袋除尘器收集尘</w:t>
                  </w:r>
                </w:p>
              </w:tc>
              <w:tc>
                <w:tcPr>
                  <w:tcW w:w="421" w:type="pct"/>
                  <w:vMerge w:val="continue"/>
                  <w:vAlign w:val="center"/>
                </w:tcPr>
                <w:p w14:paraId="76E4EF61">
                  <w:pPr>
                    <w:pStyle w:val="57"/>
                    <w:rPr>
                      <w:rFonts w:hint="eastAsia"/>
                      <w:color w:val="000000" w:themeColor="text1"/>
                      <w:u w:val="none" w:color="auto"/>
                      <w14:textFill>
                        <w14:solidFill>
                          <w14:schemeClr w14:val="tx1"/>
                        </w14:solidFill>
                      </w14:textFill>
                    </w:rPr>
                  </w:pPr>
                </w:p>
              </w:tc>
              <w:tc>
                <w:tcPr>
                  <w:tcW w:w="1026" w:type="pct"/>
                  <w:vAlign w:val="center"/>
                </w:tcPr>
                <w:p w14:paraId="5A780341">
                  <w:pPr>
                    <w:pStyle w:val="57"/>
                    <w:rPr>
                      <w:rFonts w:hint="eastAsia"/>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900-009-S17</w:t>
                  </w:r>
                </w:p>
              </w:tc>
              <w:tc>
                <w:tcPr>
                  <w:tcW w:w="761" w:type="pct"/>
                  <w:vAlign w:val="center"/>
                </w:tcPr>
                <w:p w14:paraId="04A108DF">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0.1584</w:t>
                  </w:r>
                </w:p>
              </w:tc>
              <w:tc>
                <w:tcPr>
                  <w:tcW w:w="760" w:type="pct"/>
                  <w:vMerge w:val="continue"/>
                  <w:vAlign w:val="center"/>
                </w:tcPr>
                <w:p w14:paraId="726D1A5C">
                  <w:pPr>
                    <w:pStyle w:val="57"/>
                    <w:rPr>
                      <w:rFonts w:hint="eastAsia"/>
                      <w:color w:val="000000" w:themeColor="text1"/>
                      <w:u w:val="none" w:color="auto"/>
                      <w14:textFill>
                        <w14:solidFill>
                          <w14:schemeClr w14:val="tx1"/>
                        </w14:solidFill>
                      </w14:textFill>
                    </w:rPr>
                  </w:pPr>
                </w:p>
              </w:tc>
              <w:tc>
                <w:tcPr>
                  <w:tcW w:w="1126" w:type="pct"/>
                  <w:vAlign w:val="center"/>
                </w:tcPr>
                <w:p w14:paraId="27746842">
                  <w:pPr>
                    <w:pStyle w:val="57"/>
                    <w:rPr>
                      <w:rFonts w:hint="eastAsia"/>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外售综合利用</w:t>
                  </w:r>
                </w:p>
              </w:tc>
            </w:tr>
            <w:tr w14:paraId="66D94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903" w:type="pct"/>
                  <w:vAlign w:val="center"/>
                </w:tcPr>
                <w:p w14:paraId="2F8D0375">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生物质锅炉灰渣</w:t>
                  </w:r>
                </w:p>
              </w:tc>
              <w:tc>
                <w:tcPr>
                  <w:tcW w:w="421" w:type="pct"/>
                  <w:vMerge w:val="continue"/>
                  <w:vAlign w:val="center"/>
                </w:tcPr>
                <w:p w14:paraId="25E013AB">
                  <w:pPr>
                    <w:pStyle w:val="57"/>
                    <w:rPr>
                      <w:color w:val="000000" w:themeColor="text1"/>
                      <w:u w:val="none" w:color="auto"/>
                      <w14:textFill>
                        <w14:solidFill>
                          <w14:schemeClr w14:val="tx1"/>
                        </w14:solidFill>
                      </w14:textFill>
                    </w:rPr>
                  </w:pPr>
                </w:p>
              </w:tc>
              <w:tc>
                <w:tcPr>
                  <w:tcW w:w="1026" w:type="pct"/>
                  <w:vAlign w:val="center"/>
                </w:tcPr>
                <w:p w14:paraId="205F4E75">
                  <w:pPr>
                    <w:pStyle w:val="57"/>
                    <w:rPr>
                      <w:rFonts w:hint="eastAsia" w:ascii="Times New Roman" w:hAnsi="Times New Roman"/>
                      <w:color w:val="000000" w:themeColor="text1"/>
                      <w:u w:val="none" w:color="auto"/>
                      <w14:textFill>
                        <w14:solidFill>
                          <w14:schemeClr w14:val="tx1"/>
                        </w14:solidFill>
                      </w14:textFill>
                    </w:rPr>
                  </w:pPr>
                  <w:r>
                    <w:rPr>
                      <w:rFonts w:hint="eastAsia" w:ascii="Times New Roman" w:hAnsi="Times New Roman"/>
                      <w:color w:val="000000" w:themeColor="text1"/>
                      <w:u w:val="none" w:color="auto"/>
                      <w:lang w:val="en-US" w:eastAsia="zh-CN"/>
                      <w14:textFill>
                        <w14:solidFill>
                          <w14:schemeClr w14:val="tx1"/>
                        </w14:solidFill>
                      </w14:textFill>
                    </w:rPr>
                    <w:t>900-099-S03</w:t>
                  </w:r>
                </w:p>
              </w:tc>
              <w:tc>
                <w:tcPr>
                  <w:tcW w:w="761" w:type="pct"/>
                  <w:vAlign w:val="center"/>
                </w:tcPr>
                <w:p w14:paraId="03518EFD">
                  <w:pPr>
                    <w:pStyle w:val="57"/>
                    <w:rPr>
                      <w:rFonts w:hint="default" w:ascii="Times New Roman" w:hAnsi="Times New Roman"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1.12</w:t>
                  </w:r>
                </w:p>
              </w:tc>
              <w:tc>
                <w:tcPr>
                  <w:tcW w:w="760" w:type="pct"/>
                  <w:vMerge w:val="continue"/>
                  <w:vAlign w:val="center"/>
                </w:tcPr>
                <w:p w14:paraId="6AE72107">
                  <w:pPr>
                    <w:pStyle w:val="57"/>
                    <w:rPr>
                      <w:color w:val="000000" w:themeColor="text1"/>
                      <w:u w:val="none" w:color="auto"/>
                      <w14:textFill>
                        <w14:solidFill>
                          <w14:schemeClr w14:val="tx1"/>
                        </w14:solidFill>
                      </w14:textFill>
                    </w:rPr>
                  </w:pPr>
                </w:p>
              </w:tc>
              <w:tc>
                <w:tcPr>
                  <w:tcW w:w="1126" w:type="pct"/>
                  <w:vMerge w:val="restart"/>
                  <w:vAlign w:val="center"/>
                </w:tcPr>
                <w:p w14:paraId="32C5BC65">
                  <w:pPr>
                    <w:pStyle w:val="57"/>
                    <w:rPr>
                      <w:color w:val="000000" w:themeColor="text1"/>
                      <w:u w:val="none" w:color="auto"/>
                      <w14:textFill>
                        <w14:solidFill>
                          <w14:schemeClr w14:val="tx1"/>
                        </w14:solidFill>
                      </w14:textFill>
                    </w:rPr>
                  </w:pPr>
                  <w:r>
                    <w:rPr>
                      <w:rFonts w:hint="default" w:ascii="Times New Roman" w:hAnsi="Times New Roman" w:cs="Times New Roman"/>
                      <w:color w:val="000000" w:themeColor="text1"/>
                      <w:u w:val="none"/>
                      <w:lang w:val="en-US" w:eastAsia="zh-CN"/>
                      <w14:textFill>
                        <w14:solidFill>
                          <w14:schemeClr w14:val="tx1"/>
                        </w14:solidFill>
                      </w14:textFill>
                    </w:rPr>
                    <w:t>作为农肥外售综合利用</w:t>
                  </w:r>
                </w:p>
              </w:tc>
            </w:tr>
            <w:tr w14:paraId="77975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903" w:type="pct"/>
                  <w:vAlign w:val="center"/>
                </w:tcPr>
                <w:p w14:paraId="3924F68D">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锅炉烟气除尘灰渣</w:t>
                  </w:r>
                </w:p>
              </w:tc>
              <w:tc>
                <w:tcPr>
                  <w:tcW w:w="421" w:type="pct"/>
                  <w:vMerge w:val="continue"/>
                  <w:vAlign w:val="center"/>
                </w:tcPr>
                <w:p w14:paraId="5A1361D4">
                  <w:pPr>
                    <w:pStyle w:val="57"/>
                    <w:rPr>
                      <w:color w:val="000000" w:themeColor="text1"/>
                      <w:u w:val="none" w:color="auto"/>
                      <w14:textFill>
                        <w14:solidFill>
                          <w14:schemeClr w14:val="tx1"/>
                        </w14:solidFill>
                      </w14:textFill>
                    </w:rPr>
                  </w:pPr>
                </w:p>
              </w:tc>
              <w:tc>
                <w:tcPr>
                  <w:tcW w:w="1026" w:type="pct"/>
                  <w:vAlign w:val="center"/>
                </w:tcPr>
                <w:p w14:paraId="349CDD5B">
                  <w:pPr>
                    <w:pStyle w:val="57"/>
                    <w:rPr>
                      <w:rFonts w:hint="eastAsia" w:ascii="Times New Roman" w:hAnsi="Times New Roman"/>
                      <w:color w:val="000000" w:themeColor="text1"/>
                      <w:u w:val="none" w:color="auto"/>
                      <w:lang w:val="en-US" w:eastAsia="zh-CN"/>
                      <w14:textFill>
                        <w14:solidFill>
                          <w14:schemeClr w14:val="tx1"/>
                        </w14:solidFill>
                      </w14:textFill>
                    </w:rPr>
                  </w:pPr>
                  <w:r>
                    <w:rPr>
                      <w:rFonts w:hint="eastAsia" w:ascii="Times New Roman" w:hAnsi="Times New Roman"/>
                      <w:color w:val="000000" w:themeColor="text1"/>
                      <w:u w:val="none" w:color="auto"/>
                      <w:lang w:val="en-US" w:eastAsia="zh-CN"/>
                      <w14:textFill>
                        <w14:solidFill>
                          <w14:schemeClr w14:val="tx1"/>
                        </w14:solidFill>
                      </w14:textFill>
                    </w:rPr>
                    <w:t>900-099-S59</w:t>
                  </w:r>
                </w:p>
              </w:tc>
              <w:tc>
                <w:tcPr>
                  <w:tcW w:w="761" w:type="pct"/>
                  <w:vAlign w:val="center"/>
                </w:tcPr>
                <w:p w14:paraId="00E4AFA6">
                  <w:pPr>
                    <w:pStyle w:val="57"/>
                    <w:rPr>
                      <w:rFonts w:hint="default"/>
                      <w:color w:val="000000" w:themeColor="text1"/>
                      <w:u w:val="none" w:color="auto"/>
                      <w:lang w:val="en-US"/>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0.173</w:t>
                  </w:r>
                </w:p>
              </w:tc>
              <w:tc>
                <w:tcPr>
                  <w:tcW w:w="760" w:type="pct"/>
                  <w:vMerge w:val="continue"/>
                  <w:vAlign w:val="center"/>
                </w:tcPr>
                <w:p w14:paraId="603320A2">
                  <w:pPr>
                    <w:pStyle w:val="57"/>
                    <w:rPr>
                      <w:color w:val="000000" w:themeColor="text1"/>
                      <w:u w:val="none" w:color="auto"/>
                      <w14:textFill>
                        <w14:solidFill>
                          <w14:schemeClr w14:val="tx1"/>
                        </w14:solidFill>
                      </w14:textFill>
                    </w:rPr>
                  </w:pPr>
                </w:p>
              </w:tc>
              <w:tc>
                <w:tcPr>
                  <w:tcW w:w="1126" w:type="pct"/>
                  <w:vMerge w:val="continue"/>
                  <w:vAlign w:val="center"/>
                </w:tcPr>
                <w:p w14:paraId="2649C856">
                  <w:pPr>
                    <w:pStyle w:val="57"/>
                    <w:rPr>
                      <w:color w:val="000000" w:themeColor="text1"/>
                      <w:u w:val="none" w:color="auto"/>
                      <w14:textFill>
                        <w14:solidFill>
                          <w14:schemeClr w14:val="tx1"/>
                        </w14:solidFill>
                      </w14:textFill>
                    </w:rPr>
                  </w:pPr>
                </w:p>
              </w:tc>
            </w:tr>
            <w:tr w14:paraId="04A5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903" w:type="pct"/>
                  <w:vAlign w:val="center"/>
                </w:tcPr>
                <w:p w14:paraId="0FFDAB59">
                  <w:pPr>
                    <w:pStyle w:val="57"/>
                    <w:rPr>
                      <w:color w:val="000000" w:themeColor="text1"/>
                      <w:u w:val="none" w:color="auto"/>
                      <w14:textFill>
                        <w14:solidFill>
                          <w14:schemeClr w14:val="tx1"/>
                        </w14:solidFill>
                      </w14:textFill>
                    </w:rPr>
                  </w:pPr>
                  <w:r>
                    <w:rPr>
                      <w:rFonts w:hint="eastAsia"/>
                      <w:color w:val="000000" w:themeColor="text1"/>
                      <w14:textFill>
                        <w14:solidFill>
                          <w14:schemeClr w14:val="tx1"/>
                        </w14:solidFill>
                      </w14:textFill>
                    </w:rPr>
                    <w:t>废树脂</w:t>
                  </w:r>
                  <w:r>
                    <w:rPr>
                      <w:rFonts w:hint="eastAsia"/>
                      <w:color w:val="000000" w:themeColor="text1"/>
                      <w:lang w:eastAsia="zh-CN"/>
                      <w14:textFill>
                        <w14:solidFill>
                          <w14:schemeClr w14:val="tx1"/>
                        </w14:solidFill>
                      </w14:textFill>
                    </w:rPr>
                    <w:t>、</w:t>
                  </w:r>
                  <w:r>
                    <w:rPr>
                      <w:rFonts w:hint="eastAsia" w:ascii="Times New Roman" w:hAnsi="Times New Roman" w:eastAsia="宋体" w:cs="Times New Roman"/>
                      <w:color w:val="000000" w:themeColor="text1"/>
                      <w:szCs w:val="22"/>
                      <w:u w:val="none"/>
                      <w:lang w:val="en-US" w:eastAsia="zh-CN"/>
                      <w14:textFill>
                        <w14:solidFill>
                          <w14:schemeClr w14:val="tx1"/>
                        </w14:solidFill>
                      </w14:textFill>
                    </w:rPr>
                    <w:t>废活性炭、废石英砂、</w:t>
                  </w:r>
                  <w:r>
                    <w:rPr>
                      <w:rFonts w:hint="eastAsia"/>
                      <w:color w:val="000000" w:themeColor="text1"/>
                      <w:lang w:val="en-US" w:eastAsia="zh-CN"/>
                      <w14:textFill>
                        <w14:solidFill>
                          <w14:schemeClr w14:val="tx1"/>
                        </w14:solidFill>
                      </w14:textFill>
                    </w:rPr>
                    <w:t>废滤膜</w:t>
                  </w:r>
                </w:p>
              </w:tc>
              <w:tc>
                <w:tcPr>
                  <w:tcW w:w="421" w:type="pct"/>
                  <w:vMerge w:val="continue"/>
                  <w:vAlign w:val="center"/>
                </w:tcPr>
                <w:p w14:paraId="11A3254A">
                  <w:pPr>
                    <w:pStyle w:val="57"/>
                    <w:rPr>
                      <w:color w:val="000000" w:themeColor="text1"/>
                      <w:u w:val="none" w:color="auto"/>
                      <w14:textFill>
                        <w14:solidFill>
                          <w14:schemeClr w14:val="tx1"/>
                        </w14:solidFill>
                      </w14:textFill>
                    </w:rPr>
                  </w:pPr>
                </w:p>
              </w:tc>
              <w:tc>
                <w:tcPr>
                  <w:tcW w:w="1026" w:type="pct"/>
                  <w:vAlign w:val="center"/>
                </w:tcPr>
                <w:p w14:paraId="3ADA44F3">
                  <w:pPr>
                    <w:pStyle w:val="57"/>
                    <w:rPr>
                      <w:rFonts w:hint="eastAsia" w:ascii="Times New Roman" w:hAnsi="Times New Roman"/>
                      <w:color w:val="000000" w:themeColor="text1"/>
                      <w:u w:val="none" w:color="auto"/>
                      <w:lang w:val="en-US" w:eastAsia="zh-CN"/>
                      <w14:textFill>
                        <w14:solidFill>
                          <w14:schemeClr w14:val="tx1"/>
                        </w14:solidFill>
                      </w14:textFill>
                    </w:rPr>
                  </w:pPr>
                  <w:r>
                    <w:rPr>
                      <w:rFonts w:hint="eastAsia" w:ascii="Times New Roman" w:hAnsi="Times New Roman"/>
                      <w:color w:val="000000" w:themeColor="text1"/>
                      <w:u w:val="none" w:color="auto"/>
                      <w:lang w:val="en-US" w:eastAsia="zh-CN"/>
                      <w14:textFill>
                        <w14:solidFill>
                          <w14:schemeClr w14:val="tx1"/>
                        </w14:solidFill>
                      </w14:textFill>
                    </w:rPr>
                    <w:t>900-008-S59</w:t>
                  </w:r>
                </w:p>
              </w:tc>
              <w:tc>
                <w:tcPr>
                  <w:tcW w:w="761" w:type="pct"/>
                  <w:vAlign w:val="center"/>
                </w:tcPr>
                <w:p w14:paraId="6293F98A">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0.</w:t>
                  </w:r>
                  <w:r>
                    <w:rPr>
                      <w:rFonts w:hint="eastAsia" w:ascii="Times New Roman" w:hAnsi="Times New Roman" w:eastAsia="宋体"/>
                      <w:color w:val="000000" w:themeColor="text1"/>
                      <w:u w:val="none" w:color="auto"/>
                      <w:lang w:val="en-US" w:eastAsia="zh-CN"/>
                      <w14:textFill>
                        <w14:solidFill>
                          <w14:schemeClr w14:val="tx1"/>
                        </w14:solidFill>
                      </w14:textFill>
                    </w:rPr>
                    <w:t>2</w:t>
                  </w:r>
                </w:p>
              </w:tc>
              <w:tc>
                <w:tcPr>
                  <w:tcW w:w="760" w:type="pct"/>
                  <w:vMerge w:val="continue"/>
                  <w:vAlign w:val="center"/>
                </w:tcPr>
                <w:p w14:paraId="61D9061D">
                  <w:pPr>
                    <w:pStyle w:val="57"/>
                    <w:rPr>
                      <w:color w:val="000000" w:themeColor="text1"/>
                      <w:u w:val="none" w:color="auto"/>
                      <w14:textFill>
                        <w14:solidFill>
                          <w14:schemeClr w14:val="tx1"/>
                        </w14:solidFill>
                      </w14:textFill>
                    </w:rPr>
                  </w:pPr>
                </w:p>
              </w:tc>
              <w:tc>
                <w:tcPr>
                  <w:tcW w:w="1126" w:type="pct"/>
                  <w:vAlign w:val="center"/>
                </w:tcPr>
                <w:p w14:paraId="044C780B">
                  <w:pPr>
                    <w:pStyle w:val="57"/>
                    <w:rPr>
                      <w:color w:val="000000" w:themeColor="text1"/>
                      <w:u w:val="none" w:color="auto"/>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交</w:t>
                  </w:r>
                  <w:r>
                    <w:rPr>
                      <w:rFonts w:hint="eastAsia"/>
                      <w:color w:val="000000" w:themeColor="text1"/>
                      <w:u w:val="none" w:color="auto"/>
                      <w14:textFill>
                        <w14:solidFill>
                          <w14:schemeClr w14:val="tx1"/>
                        </w14:solidFill>
                      </w14:textFill>
                    </w:rPr>
                    <w:t>由</w:t>
                  </w:r>
                  <w:r>
                    <w:rPr>
                      <w:rFonts w:hint="eastAsia"/>
                      <w:color w:val="000000" w:themeColor="text1"/>
                      <w:u w:val="none" w:color="auto"/>
                      <w:lang w:val="en-US" w:eastAsia="zh-CN"/>
                      <w14:textFill>
                        <w14:solidFill>
                          <w14:schemeClr w14:val="tx1"/>
                        </w14:solidFill>
                      </w14:textFill>
                    </w:rPr>
                    <w:t>厂家回收处置</w:t>
                  </w:r>
                </w:p>
              </w:tc>
            </w:tr>
            <w:tr w14:paraId="39867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903" w:type="pct"/>
                  <w:vAlign w:val="center"/>
                </w:tcPr>
                <w:p w14:paraId="6C89A800">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废机油</w:t>
                  </w:r>
                </w:p>
              </w:tc>
              <w:tc>
                <w:tcPr>
                  <w:tcW w:w="421" w:type="pct"/>
                  <w:vMerge w:val="restart"/>
                  <w:vAlign w:val="center"/>
                </w:tcPr>
                <w:p w14:paraId="77FEE61B">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危险废物</w:t>
                  </w:r>
                </w:p>
              </w:tc>
              <w:tc>
                <w:tcPr>
                  <w:tcW w:w="1026" w:type="pct"/>
                  <w:vAlign w:val="center"/>
                </w:tcPr>
                <w:p w14:paraId="08CE9F69">
                  <w:pPr>
                    <w:pStyle w:val="57"/>
                    <w:rPr>
                      <w:rFonts w:hint="default" w:ascii="Times New Roman" w:hAnsi="Times New Roman"/>
                      <w:color w:val="000000" w:themeColor="text1"/>
                      <w:u w:val="none" w:color="auto"/>
                      <w:lang w:val="en-US" w:eastAsia="zh-CN"/>
                      <w14:textFill>
                        <w14:solidFill>
                          <w14:schemeClr w14:val="tx1"/>
                        </w14:solidFill>
                      </w14:textFill>
                    </w:rPr>
                  </w:pPr>
                  <w:r>
                    <w:rPr>
                      <w:rFonts w:hint="eastAsia" w:ascii="Times New Roman" w:hAnsi="Times New Roman"/>
                      <w:color w:val="000000" w:themeColor="text1"/>
                      <w:u w:val="none" w:color="auto"/>
                      <w:lang w:val="en-US" w:eastAsia="zh-CN"/>
                      <w14:textFill>
                        <w14:solidFill>
                          <w14:schemeClr w14:val="tx1"/>
                        </w14:solidFill>
                      </w14:textFill>
                    </w:rPr>
                    <w:t>900-214-08</w:t>
                  </w:r>
                </w:p>
              </w:tc>
              <w:tc>
                <w:tcPr>
                  <w:tcW w:w="761" w:type="pct"/>
                  <w:vAlign w:val="center"/>
                </w:tcPr>
                <w:p w14:paraId="79C62D86">
                  <w:pPr>
                    <w:pStyle w:val="57"/>
                    <w:rPr>
                      <w:rFonts w:hint="default" w:ascii="Times New Roman" w:hAnsi="Times New Roman" w:eastAsia="宋体"/>
                      <w:color w:val="000000" w:themeColor="text1"/>
                      <w:u w:val="none" w:color="auto"/>
                      <w:lang w:val="en-US" w:eastAsia="zh-CN"/>
                      <w14:textFill>
                        <w14:solidFill>
                          <w14:schemeClr w14:val="tx1"/>
                        </w14:solidFill>
                      </w14:textFill>
                    </w:rPr>
                  </w:pPr>
                  <w:r>
                    <w:rPr>
                      <w:rFonts w:hint="eastAsia" w:ascii="Times New Roman" w:hAnsi="Times New Roman" w:eastAsia="宋体"/>
                      <w:color w:val="000000" w:themeColor="text1"/>
                      <w:u w:val="none" w:color="auto"/>
                      <w:lang w:val="en-US" w:eastAsia="zh-CN"/>
                      <w14:textFill>
                        <w14:solidFill>
                          <w14:schemeClr w14:val="tx1"/>
                        </w14:solidFill>
                      </w14:textFill>
                    </w:rPr>
                    <w:t>0.05</w:t>
                  </w:r>
                </w:p>
              </w:tc>
              <w:tc>
                <w:tcPr>
                  <w:tcW w:w="760" w:type="pct"/>
                  <w:vMerge w:val="restart"/>
                  <w:vAlign w:val="center"/>
                </w:tcPr>
                <w:p w14:paraId="42CD583A">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危险废物暂存间</w:t>
                  </w:r>
                </w:p>
              </w:tc>
              <w:tc>
                <w:tcPr>
                  <w:tcW w:w="1126" w:type="pct"/>
                  <w:vMerge w:val="restart"/>
                  <w:vAlign w:val="center"/>
                </w:tcPr>
                <w:p w14:paraId="5B65E2A8">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委托有资质</w:t>
                  </w:r>
                </w:p>
                <w:p w14:paraId="6EB53A32">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单位处置</w:t>
                  </w:r>
                </w:p>
              </w:tc>
            </w:tr>
            <w:tr w14:paraId="572FB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903" w:type="pct"/>
                  <w:vAlign w:val="center"/>
                </w:tcPr>
                <w:p w14:paraId="75A8CE01">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废机油桶</w:t>
                  </w:r>
                </w:p>
              </w:tc>
              <w:tc>
                <w:tcPr>
                  <w:tcW w:w="421" w:type="pct"/>
                  <w:vMerge w:val="continue"/>
                  <w:vAlign w:val="center"/>
                </w:tcPr>
                <w:p w14:paraId="67F3FC7D">
                  <w:pPr>
                    <w:pStyle w:val="57"/>
                    <w:rPr>
                      <w:color w:val="000000" w:themeColor="text1"/>
                      <w:u w:val="none" w:color="auto"/>
                      <w14:textFill>
                        <w14:solidFill>
                          <w14:schemeClr w14:val="tx1"/>
                        </w14:solidFill>
                      </w14:textFill>
                    </w:rPr>
                  </w:pPr>
                </w:p>
              </w:tc>
              <w:tc>
                <w:tcPr>
                  <w:tcW w:w="1026" w:type="pct"/>
                  <w:vAlign w:val="center"/>
                </w:tcPr>
                <w:p w14:paraId="162A38A1">
                  <w:pPr>
                    <w:pStyle w:val="57"/>
                    <w:rPr>
                      <w:rFonts w:hint="default" w:ascii="Times New Roman" w:hAnsi="Times New Roman"/>
                      <w:color w:val="000000" w:themeColor="text1"/>
                      <w:u w:val="none" w:color="auto"/>
                      <w:lang w:val="en-US" w:eastAsia="zh-CN"/>
                      <w14:textFill>
                        <w14:solidFill>
                          <w14:schemeClr w14:val="tx1"/>
                        </w14:solidFill>
                      </w14:textFill>
                    </w:rPr>
                  </w:pPr>
                  <w:r>
                    <w:rPr>
                      <w:rFonts w:hint="eastAsia" w:ascii="Times New Roman" w:hAnsi="Times New Roman"/>
                      <w:color w:val="000000" w:themeColor="text1"/>
                      <w:u w:val="none" w:color="auto"/>
                      <w:lang w:val="en-US" w:eastAsia="zh-CN"/>
                      <w14:textFill>
                        <w14:solidFill>
                          <w14:schemeClr w14:val="tx1"/>
                        </w14:solidFill>
                      </w14:textFill>
                    </w:rPr>
                    <w:t>900-249-08</w:t>
                  </w:r>
                </w:p>
              </w:tc>
              <w:tc>
                <w:tcPr>
                  <w:tcW w:w="761" w:type="pct"/>
                  <w:vAlign w:val="center"/>
                </w:tcPr>
                <w:p w14:paraId="6CCB3D92">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0.006</w:t>
                  </w:r>
                </w:p>
              </w:tc>
              <w:tc>
                <w:tcPr>
                  <w:tcW w:w="760" w:type="pct"/>
                  <w:vMerge w:val="continue"/>
                  <w:vAlign w:val="center"/>
                </w:tcPr>
                <w:p w14:paraId="4C05F603">
                  <w:pPr>
                    <w:pStyle w:val="57"/>
                    <w:rPr>
                      <w:color w:val="000000" w:themeColor="text1"/>
                      <w:u w:val="none" w:color="auto"/>
                      <w14:textFill>
                        <w14:solidFill>
                          <w14:schemeClr w14:val="tx1"/>
                        </w14:solidFill>
                      </w14:textFill>
                    </w:rPr>
                  </w:pPr>
                </w:p>
              </w:tc>
              <w:tc>
                <w:tcPr>
                  <w:tcW w:w="1126" w:type="pct"/>
                  <w:vMerge w:val="continue"/>
                  <w:vAlign w:val="center"/>
                </w:tcPr>
                <w:p w14:paraId="08238EF3">
                  <w:pPr>
                    <w:pStyle w:val="57"/>
                    <w:rPr>
                      <w:color w:val="000000" w:themeColor="text1"/>
                      <w:u w:val="none" w:color="auto"/>
                      <w14:textFill>
                        <w14:solidFill>
                          <w14:schemeClr w14:val="tx1"/>
                        </w14:solidFill>
                      </w14:textFill>
                    </w:rPr>
                  </w:pPr>
                </w:p>
              </w:tc>
            </w:tr>
            <w:tr w14:paraId="4BCB2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903" w:type="pct"/>
                  <w:vAlign w:val="center"/>
                </w:tcPr>
                <w:p w14:paraId="2A3DA69E">
                  <w:pPr>
                    <w:pStyle w:val="57"/>
                    <w:rPr>
                      <w:color w:val="000000" w:themeColor="text1"/>
                      <w:u w:val="none" w:color="auto"/>
                      <w14:textFill>
                        <w14:solidFill>
                          <w14:schemeClr w14:val="tx1"/>
                        </w14:solidFill>
                      </w14:textFill>
                    </w:rPr>
                  </w:pPr>
                  <w:r>
                    <w:rPr>
                      <w:bCs/>
                      <w:color w:val="000000" w:themeColor="text1"/>
                      <w:u w:val="none" w:color="auto"/>
                      <w14:textFill>
                        <w14:solidFill>
                          <w14:schemeClr w14:val="tx1"/>
                        </w14:solidFill>
                      </w14:textFill>
                    </w:rPr>
                    <w:t>含油废抹布和手套</w:t>
                  </w:r>
                </w:p>
              </w:tc>
              <w:tc>
                <w:tcPr>
                  <w:tcW w:w="421" w:type="pct"/>
                  <w:vMerge w:val="continue"/>
                  <w:vAlign w:val="center"/>
                </w:tcPr>
                <w:p w14:paraId="1A2DB64B">
                  <w:pPr>
                    <w:pStyle w:val="57"/>
                    <w:rPr>
                      <w:color w:val="000000" w:themeColor="text1"/>
                      <w:u w:val="none" w:color="auto"/>
                      <w14:textFill>
                        <w14:solidFill>
                          <w14:schemeClr w14:val="tx1"/>
                        </w14:solidFill>
                      </w14:textFill>
                    </w:rPr>
                  </w:pPr>
                </w:p>
              </w:tc>
              <w:tc>
                <w:tcPr>
                  <w:tcW w:w="1026" w:type="pct"/>
                  <w:vAlign w:val="center"/>
                </w:tcPr>
                <w:p w14:paraId="66B72C3E">
                  <w:pPr>
                    <w:pStyle w:val="57"/>
                    <w:rPr>
                      <w:rFonts w:hint="default" w:ascii="Times New Roman" w:hAnsi="Times New Roman"/>
                      <w:color w:val="000000" w:themeColor="text1"/>
                      <w:u w:val="none" w:color="auto"/>
                      <w:lang w:val="en-US" w:eastAsia="zh-CN"/>
                      <w14:textFill>
                        <w14:solidFill>
                          <w14:schemeClr w14:val="tx1"/>
                        </w14:solidFill>
                      </w14:textFill>
                    </w:rPr>
                  </w:pPr>
                  <w:r>
                    <w:rPr>
                      <w:rFonts w:hint="eastAsia" w:ascii="Times New Roman" w:hAnsi="Times New Roman"/>
                      <w:color w:val="000000" w:themeColor="text1"/>
                      <w:u w:val="none" w:color="auto"/>
                      <w:lang w:val="en-US" w:eastAsia="zh-CN"/>
                      <w14:textFill>
                        <w14:solidFill>
                          <w14:schemeClr w14:val="tx1"/>
                        </w14:solidFill>
                      </w14:textFill>
                    </w:rPr>
                    <w:t>900-041-49</w:t>
                  </w:r>
                </w:p>
              </w:tc>
              <w:tc>
                <w:tcPr>
                  <w:tcW w:w="761" w:type="pct"/>
                  <w:vAlign w:val="center"/>
                </w:tcPr>
                <w:p w14:paraId="1C292DED">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0.01</w:t>
                  </w:r>
                </w:p>
              </w:tc>
              <w:tc>
                <w:tcPr>
                  <w:tcW w:w="760" w:type="pct"/>
                  <w:vMerge w:val="continue"/>
                  <w:vAlign w:val="center"/>
                </w:tcPr>
                <w:p w14:paraId="72D3AA0C">
                  <w:pPr>
                    <w:pStyle w:val="57"/>
                    <w:rPr>
                      <w:color w:val="000000" w:themeColor="text1"/>
                      <w:u w:val="none" w:color="auto"/>
                      <w14:textFill>
                        <w14:solidFill>
                          <w14:schemeClr w14:val="tx1"/>
                        </w14:solidFill>
                      </w14:textFill>
                    </w:rPr>
                  </w:pPr>
                </w:p>
              </w:tc>
              <w:tc>
                <w:tcPr>
                  <w:tcW w:w="1126" w:type="pct"/>
                  <w:vMerge w:val="continue"/>
                  <w:vAlign w:val="center"/>
                </w:tcPr>
                <w:p w14:paraId="61DF3A44">
                  <w:pPr>
                    <w:pStyle w:val="57"/>
                    <w:rPr>
                      <w:color w:val="000000" w:themeColor="text1"/>
                      <w:u w:val="none" w:color="auto"/>
                      <w14:textFill>
                        <w14:solidFill>
                          <w14:schemeClr w14:val="tx1"/>
                        </w14:solidFill>
                      </w14:textFill>
                    </w:rPr>
                  </w:pPr>
                </w:p>
              </w:tc>
            </w:tr>
          </w:tbl>
          <w:p w14:paraId="2EE66D33">
            <w:pPr>
              <w:pStyle w:val="34"/>
              <w:spacing w:before="156"/>
              <w:rPr>
                <w:color w:val="000000" w:themeColor="text1"/>
                <w:sz w:val="21"/>
                <w:szCs w:val="21"/>
                <w:u w:val="none" w:color="auto"/>
                <w14:textFill>
                  <w14:solidFill>
                    <w14:schemeClr w14:val="tx1"/>
                  </w14:solidFill>
                </w14:textFill>
              </w:rPr>
            </w:pPr>
            <w:r>
              <w:rPr>
                <w:rFonts w:hint="eastAsia"/>
                <w:color w:val="000000" w:themeColor="text1"/>
                <w:sz w:val="21"/>
                <w:szCs w:val="21"/>
                <w:u w:val="none" w:color="auto"/>
                <w14:textFill>
                  <w14:solidFill>
                    <w14:schemeClr w14:val="tx1"/>
                  </w14:solidFill>
                </w14:textFill>
              </w:rPr>
              <w:t>表4-1</w:t>
            </w:r>
            <w:r>
              <w:rPr>
                <w:rFonts w:hint="eastAsia"/>
                <w:color w:val="000000" w:themeColor="text1"/>
                <w:sz w:val="21"/>
                <w:szCs w:val="21"/>
                <w:u w:val="none" w:color="auto"/>
                <w:lang w:val="en-US" w:eastAsia="zh-CN"/>
                <w14:textFill>
                  <w14:solidFill>
                    <w14:schemeClr w14:val="tx1"/>
                  </w14:solidFill>
                </w14:textFill>
              </w:rPr>
              <w:t>7</w:t>
            </w:r>
            <w:r>
              <w:rPr>
                <w:rFonts w:hint="eastAsia"/>
                <w:color w:val="000000" w:themeColor="text1"/>
                <w:sz w:val="21"/>
                <w:szCs w:val="21"/>
                <w:u w:val="none" w:color="auto"/>
                <w14:textFill>
                  <w14:solidFill>
                    <w14:schemeClr w14:val="tx1"/>
                  </w14:solidFill>
                </w14:textFill>
              </w:rPr>
              <w:t xml:space="preserve">  危险废物产生情况及收集情况表</w:t>
            </w:r>
          </w:p>
          <w:tbl>
            <w:tblPr>
              <w:tblStyle w:val="9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39"/>
              <w:gridCol w:w="674"/>
              <w:gridCol w:w="714"/>
              <w:gridCol w:w="1099"/>
              <w:gridCol w:w="727"/>
              <w:gridCol w:w="741"/>
              <w:gridCol w:w="421"/>
              <w:gridCol w:w="537"/>
              <w:gridCol w:w="598"/>
              <w:gridCol w:w="539"/>
              <w:gridCol w:w="486"/>
              <w:gridCol w:w="809"/>
            </w:tblGrid>
            <w:tr w14:paraId="242D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81" w:type="pct"/>
                  <w:vAlign w:val="center"/>
                </w:tcPr>
                <w:p w14:paraId="58F806CE">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序号</w:t>
                  </w:r>
                </w:p>
              </w:tc>
              <w:tc>
                <w:tcPr>
                  <w:tcW w:w="433" w:type="pct"/>
                  <w:vAlign w:val="center"/>
                </w:tcPr>
                <w:p w14:paraId="3E29FF67">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危险废物名称</w:t>
                  </w:r>
                </w:p>
              </w:tc>
              <w:tc>
                <w:tcPr>
                  <w:tcW w:w="458" w:type="pct"/>
                  <w:vAlign w:val="center"/>
                </w:tcPr>
                <w:p w14:paraId="6C37E1D7">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危险废物类别</w:t>
                  </w:r>
                </w:p>
              </w:tc>
              <w:tc>
                <w:tcPr>
                  <w:tcW w:w="705" w:type="pct"/>
                  <w:vAlign w:val="center"/>
                </w:tcPr>
                <w:p w14:paraId="36DFE3A0">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危险废物</w:t>
                  </w:r>
                </w:p>
                <w:p w14:paraId="462C47F8">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代码</w:t>
                  </w:r>
                </w:p>
              </w:tc>
              <w:tc>
                <w:tcPr>
                  <w:tcW w:w="467" w:type="pct"/>
                  <w:vAlign w:val="center"/>
                </w:tcPr>
                <w:p w14:paraId="2BD1BC94">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产生量（t/a</w:t>
                  </w:r>
                  <w:r>
                    <w:rPr>
                      <w:rFonts w:hint="eastAsia" w:cs="Times New Roman"/>
                      <w:color w:val="000000" w:themeColor="text1"/>
                      <w:kern w:val="0"/>
                      <w:sz w:val="21"/>
                      <w:szCs w:val="21"/>
                      <w:u w:val="none" w:color="auto"/>
                      <w14:textFill>
                        <w14:solidFill>
                          <w14:schemeClr w14:val="tx1"/>
                        </w14:solidFill>
                      </w14:textFill>
                    </w:rPr>
                    <w:t>）</w:t>
                  </w:r>
                </w:p>
              </w:tc>
              <w:tc>
                <w:tcPr>
                  <w:tcW w:w="476" w:type="pct"/>
                  <w:vAlign w:val="center"/>
                </w:tcPr>
                <w:p w14:paraId="283C382F">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产生工序及装置</w:t>
                  </w:r>
                </w:p>
              </w:tc>
              <w:tc>
                <w:tcPr>
                  <w:tcW w:w="270" w:type="pct"/>
                  <w:vAlign w:val="center"/>
                </w:tcPr>
                <w:p w14:paraId="29442251">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形态</w:t>
                  </w:r>
                </w:p>
              </w:tc>
              <w:tc>
                <w:tcPr>
                  <w:tcW w:w="344" w:type="pct"/>
                  <w:vAlign w:val="center"/>
                </w:tcPr>
                <w:p w14:paraId="35E53C97">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主要</w:t>
                  </w:r>
                </w:p>
                <w:p w14:paraId="36524B6A">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成分</w:t>
                  </w:r>
                </w:p>
              </w:tc>
              <w:tc>
                <w:tcPr>
                  <w:tcW w:w="384" w:type="pct"/>
                  <w:vAlign w:val="center"/>
                </w:tcPr>
                <w:p w14:paraId="0E240431">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有害</w:t>
                  </w:r>
                </w:p>
                <w:p w14:paraId="16C187BF">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成分</w:t>
                  </w:r>
                </w:p>
              </w:tc>
              <w:tc>
                <w:tcPr>
                  <w:tcW w:w="346" w:type="pct"/>
                  <w:vAlign w:val="center"/>
                </w:tcPr>
                <w:p w14:paraId="198169DB">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产废</w:t>
                  </w:r>
                </w:p>
                <w:p w14:paraId="14C6A445">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周期</w:t>
                  </w:r>
                </w:p>
              </w:tc>
              <w:tc>
                <w:tcPr>
                  <w:tcW w:w="312" w:type="pct"/>
                  <w:vAlign w:val="center"/>
                </w:tcPr>
                <w:p w14:paraId="239896E7">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危险</w:t>
                  </w:r>
                </w:p>
                <w:p w14:paraId="2FE1D95C">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特性</w:t>
                  </w:r>
                </w:p>
              </w:tc>
              <w:tc>
                <w:tcPr>
                  <w:tcW w:w="519" w:type="pct"/>
                  <w:vAlign w:val="center"/>
                </w:tcPr>
                <w:p w14:paraId="065C762B">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污染防治措施</w:t>
                  </w:r>
                </w:p>
              </w:tc>
            </w:tr>
            <w:tr w14:paraId="21628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81" w:type="pct"/>
                  <w:vAlign w:val="center"/>
                </w:tcPr>
                <w:p w14:paraId="661EAD6E">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1</w:t>
                  </w:r>
                </w:p>
              </w:tc>
              <w:tc>
                <w:tcPr>
                  <w:tcW w:w="433" w:type="pct"/>
                  <w:vAlign w:val="center"/>
                </w:tcPr>
                <w:p w14:paraId="41F0365E">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废机油</w:t>
                  </w:r>
                </w:p>
              </w:tc>
              <w:tc>
                <w:tcPr>
                  <w:tcW w:w="458" w:type="pct"/>
                  <w:vAlign w:val="center"/>
                </w:tcPr>
                <w:p w14:paraId="37629E8C">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HW08</w:t>
                  </w:r>
                </w:p>
              </w:tc>
              <w:tc>
                <w:tcPr>
                  <w:tcW w:w="705" w:type="pct"/>
                  <w:vAlign w:val="center"/>
                </w:tcPr>
                <w:p w14:paraId="5D693800">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900-214-08</w:t>
                  </w:r>
                </w:p>
              </w:tc>
              <w:tc>
                <w:tcPr>
                  <w:tcW w:w="727" w:type="dxa"/>
                  <w:vAlign w:val="center"/>
                </w:tcPr>
                <w:p w14:paraId="28963B5B">
                  <w:pPr>
                    <w:pStyle w:val="57"/>
                    <w:rPr>
                      <w:rFonts w:cs="Times New Roman"/>
                      <w:color w:val="000000" w:themeColor="text1"/>
                      <w:kern w:val="0"/>
                      <w:sz w:val="21"/>
                      <w:szCs w:val="21"/>
                      <w:u w:val="none" w:color="auto"/>
                      <w14:textFill>
                        <w14:solidFill>
                          <w14:schemeClr w14:val="tx1"/>
                        </w14:solidFill>
                      </w14:textFill>
                    </w:rPr>
                  </w:pPr>
                  <w:r>
                    <w:rPr>
                      <w:rFonts w:hint="eastAsia" w:ascii="Times New Roman" w:hAnsi="Times New Roman" w:eastAsia="宋体"/>
                      <w:color w:val="000000" w:themeColor="text1"/>
                      <w:u w:val="none" w:color="auto"/>
                      <w:lang w:val="en-US" w:eastAsia="zh-CN"/>
                      <w14:textFill>
                        <w14:solidFill>
                          <w14:schemeClr w14:val="tx1"/>
                        </w14:solidFill>
                      </w14:textFill>
                    </w:rPr>
                    <w:t>0.05</w:t>
                  </w:r>
                </w:p>
              </w:tc>
              <w:tc>
                <w:tcPr>
                  <w:tcW w:w="476" w:type="pct"/>
                  <w:vAlign w:val="center"/>
                </w:tcPr>
                <w:p w14:paraId="266FE65B">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设备维修与养护</w:t>
                  </w:r>
                </w:p>
              </w:tc>
              <w:tc>
                <w:tcPr>
                  <w:tcW w:w="270" w:type="pct"/>
                  <w:vAlign w:val="center"/>
                </w:tcPr>
                <w:p w14:paraId="2DE4F1CC">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液态</w:t>
                  </w:r>
                </w:p>
              </w:tc>
              <w:tc>
                <w:tcPr>
                  <w:tcW w:w="344" w:type="pct"/>
                  <w:vAlign w:val="center"/>
                </w:tcPr>
                <w:p w14:paraId="431CF68D">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机油</w:t>
                  </w:r>
                </w:p>
              </w:tc>
              <w:tc>
                <w:tcPr>
                  <w:tcW w:w="384" w:type="pct"/>
                  <w:vAlign w:val="center"/>
                </w:tcPr>
                <w:p w14:paraId="492B5816">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机油</w:t>
                  </w:r>
                </w:p>
              </w:tc>
              <w:tc>
                <w:tcPr>
                  <w:tcW w:w="346" w:type="pct"/>
                  <w:vAlign w:val="center"/>
                </w:tcPr>
                <w:p w14:paraId="1EDF2E2B">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1次/a</w:t>
                  </w:r>
                </w:p>
              </w:tc>
              <w:tc>
                <w:tcPr>
                  <w:tcW w:w="312" w:type="pct"/>
                  <w:vAlign w:val="center"/>
                </w:tcPr>
                <w:p w14:paraId="72FAE9DB">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T,I</w:t>
                  </w:r>
                </w:p>
              </w:tc>
              <w:tc>
                <w:tcPr>
                  <w:tcW w:w="519" w:type="pct"/>
                  <w:vMerge w:val="restart"/>
                  <w:vAlign w:val="center"/>
                </w:tcPr>
                <w:p w14:paraId="1EEA6647">
                  <w:pPr>
                    <w:pStyle w:val="57"/>
                    <w:rPr>
                      <w:rFonts w:cs="Times New Roman"/>
                      <w:color w:val="000000" w:themeColor="text1"/>
                      <w:kern w:val="0"/>
                      <w:sz w:val="21"/>
                      <w:szCs w:val="21"/>
                      <w:u w:val="none" w:color="auto"/>
                      <w14:textFill>
                        <w14:solidFill>
                          <w14:schemeClr w14:val="tx1"/>
                        </w14:solidFill>
                      </w14:textFill>
                    </w:rPr>
                  </w:pPr>
                  <w:r>
                    <w:rPr>
                      <w:rFonts w:hint="eastAsia"/>
                      <w:color w:val="000000" w:themeColor="text1"/>
                      <w:sz w:val="21"/>
                      <w:szCs w:val="21"/>
                      <w:u w:val="none" w:color="auto"/>
                      <w14:textFill>
                        <w14:solidFill>
                          <w14:schemeClr w14:val="tx1"/>
                        </w14:solidFill>
                      </w14:textFill>
                    </w:rPr>
                    <w:t>交有资质单位处理</w:t>
                  </w:r>
                </w:p>
              </w:tc>
            </w:tr>
            <w:tr w14:paraId="2F6BD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81" w:type="pct"/>
                  <w:vAlign w:val="center"/>
                </w:tcPr>
                <w:p w14:paraId="5B96A2E7">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2</w:t>
                  </w:r>
                </w:p>
              </w:tc>
              <w:tc>
                <w:tcPr>
                  <w:tcW w:w="433" w:type="pct"/>
                  <w:vAlign w:val="center"/>
                </w:tcPr>
                <w:p w14:paraId="3CF462B1">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废机油桶</w:t>
                  </w:r>
                </w:p>
              </w:tc>
              <w:tc>
                <w:tcPr>
                  <w:tcW w:w="458" w:type="pct"/>
                  <w:vAlign w:val="center"/>
                </w:tcPr>
                <w:p w14:paraId="067AF3ED">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HW08</w:t>
                  </w:r>
                </w:p>
              </w:tc>
              <w:tc>
                <w:tcPr>
                  <w:tcW w:w="705" w:type="pct"/>
                  <w:vAlign w:val="center"/>
                </w:tcPr>
                <w:p w14:paraId="35EC737C">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900-249-08</w:t>
                  </w:r>
                </w:p>
              </w:tc>
              <w:tc>
                <w:tcPr>
                  <w:tcW w:w="727" w:type="dxa"/>
                  <w:vAlign w:val="center"/>
                </w:tcPr>
                <w:p w14:paraId="4B173237">
                  <w:pPr>
                    <w:pStyle w:val="57"/>
                    <w:rPr>
                      <w:rFonts w:hint="default" w:eastAsia="宋体" w:cs="Times New Roman"/>
                      <w:color w:val="000000" w:themeColor="text1"/>
                      <w:kern w:val="0"/>
                      <w:sz w:val="21"/>
                      <w:szCs w:val="2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0.006</w:t>
                  </w:r>
                </w:p>
              </w:tc>
              <w:tc>
                <w:tcPr>
                  <w:tcW w:w="476" w:type="pct"/>
                  <w:vAlign w:val="center"/>
                </w:tcPr>
                <w:p w14:paraId="53EE3D79">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机油包装</w:t>
                  </w:r>
                </w:p>
              </w:tc>
              <w:tc>
                <w:tcPr>
                  <w:tcW w:w="270" w:type="pct"/>
                  <w:vAlign w:val="center"/>
                </w:tcPr>
                <w:p w14:paraId="75B92E75">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固态</w:t>
                  </w:r>
                </w:p>
              </w:tc>
              <w:tc>
                <w:tcPr>
                  <w:tcW w:w="344" w:type="pct"/>
                  <w:vAlign w:val="center"/>
                </w:tcPr>
                <w:p w14:paraId="5C384719">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塑料桶</w:t>
                  </w:r>
                </w:p>
              </w:tc>
              <w:tc>
                <w:tcPr>
                  <w:tcW w:w="384" w:type="pct"/>
                  <w:vAlign w:val="center"/>
                </w:tcPr>
                <w:p w14:paraId="760C6903">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沾染机油</w:t>
                  </w:r>
                </w:p>
              </w:tc>
              <w:tc>
                <w:tcPr>
                  <w:tcW w:w="346" w:type="pct"/>
                  <w:vAlign w:val="center"/>
                </w:tcPr>
                <w:p w14:paraId="55259D9C">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1次/a</w:t>
                  </w:r>
                </w:p>
              </w:tc>
              <w:tc>
                <w:tcPr>
                  <w:tcW w:w="312" w:type="pct"/>
                  <w:vAlign w:val="center"/>
                </w:tcPr>
                <w:p w14:paraId="1F1C5DE3">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T,I</w:t>
                  </w:r>
                </w:p>
              </w:tc>
              <w:tc>
                <w:tcPr>
                  <w:tcW w:w="519" w:type="pct"/>
                  <w:vMerge w:val="continue"/>
                  <w:vAlign w:val="center"/>
                </w:tcPr>
                <w:p w14:paraId="1E4A9CBE">
                  <w:pPr>
                    <w:pStyle w:val="57"/>
                    <w:rPr>
                      <w:rFonts w:cs="Times New Roman"/>
                      <w:color w:val="000000" w:themeColor="text1"/>
                      <w:kern w:val="0"/>
                      <w:sz w:val="21"/>
                      <w:szCs w:val="21"/>
                      <w:u w:val="none" w:color="auto"/>
                      <w14:textFill>
                        <w14:solidFill>
                          <w14:schemeClr w14:val="tx1"/>
                        </w14:solidFill>
                      </w14:textFill>
                    </w:rPr>
                  </w:pPr>
                </w:p>
              </w:tc>
            </w:tr>
            <w:tr w14:paraId="16BC3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81" w:type="pct"/>
                  <w:vAlign w:val="center"/>
                </w:tcPr>
                <w:p w14:paraId="58602C88">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3</w:t>
                  </w:r>
                </w:p>
              </w:tc>
              <w:tc>
                <w:tcPr>
                  <w:tcW w:w="433" w:type="pct"/>
                  <w:vAlign w:val="center"/>
                </w:tcPr>
                <w:p w14:paraId="7C994388">
                  <w:pPr>
                    <w:pStyle w:val="57"/>
                    <w:rPr>
                      <w:rFonts w:cs="Times New Roman"/>
                      <w:color w:val="000000" w:themeColor="text1"/>
                      <w:kern w:val="0"/>
                      <w:sz w:val="21"/>
                      <w:szCs w:val="21"/>
                      <w:u w:val="none" w:color="auto"/>
                      <w14:textFill>
                        <w14:solidFill>
                          <w14:schemeClr w14:val="tx1"/>
                        </w14:solidFill>
                      </w14:textFill>
                    </w:rPr>
                  </w:pPr>
                  <w:r>
                    <w:rPr>
                      <w:rFonts w:cs="Times New Roman"/>
                      <w:bCs/>
                      <w:color w:val="000000" w:themeColor="text1"/>
                      <w:kern w:val="0"/>
                      <w:sz w:val="21"/>
                      <w:szCs w:val="21"/>
                      <w:u w:val="none" w:color="auto"/>
                      <w14:textFill>
                        <w14:solidFill>
                          <w14:schemeClr w14:val="tx1"/>
                        </w14:solidFill>
                      </w14:textFill>
                    </w:rPr>
                    <w:t>含油废抹布和手套</w:t>
                  </w:r>
                </w:p>
              </w:tc>
              <w:tc>
                <w:tcPr>
                  <w:tcW w:w="458" w:type="pct"/>
                  <w:vAlign w:val="center"/>
                </w:tcPr>
                <w:p w14:paraId="1EC0A85A">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HW49</w:t>
                  </w:r>
                </w:p>
              </w:tc>
              <w:tc>
                <w:tcPr>
                  <w:tcW w:w="705" w:type="pct"/>
                  <w:vAlign w:val="center"/>
                </w:tcPr>
                <w:p w14:paraId="6007468E">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900-041-49</w:t>
                  </w:r>
                </w:p>
              </w:tc>
              <w:tc>
                <w:tcPr>
                  <w:tcW w:w="727" w:type="dxa"/>
                  <w:vAlign w:val="center"/>
                </w:tcPr>
                <w:p w14:paraId="122AA8D4">
                  <w:pPr>
                    <w:pStyle w:val="57"/>
                    <w:rPr>
                      <w:rFonts w:cs="Times New Roman"/>
                      <w:color w:val="000000" w:themeColor="text1"/>
                      <w:kern w:val="0"/>
                      <w:sz w:val="21"/>
                      <w:szCs w:val="21"/>
                      <w:u w:val="none" w:color="auto"/>
                      <w14:textFill>
                        <w14:solidFill>
                          <w14:schemeClr w14:val="tx1"/>
                        </w14:solidFill>
                      </w14:textFill>
                    </w:rPr>
                  </w:pPr>
                  <w:r>
                    <w:rPr>
                      <w:rFonts w:hint="eastAsia"/>
                      <w:color w:val="000000" w:themeColor="text1"/>
                      <w:u w:val="none" w:color="auto"/>
                      <w14:textFill>
                        <w14:solidFill>
                          <w14:schemeClr w14:val="tx1"/>
                        </w14:solidFill>
                      </w14:textFill>
                    </w:rPr>
                    <w:t>0.01</w:t>
                  </w:r>
                </w:p>
              </w:tc>
              <w:tc>
                <w:tcPr>
                  <w:tcW w:w="476" w:type="pct"/>
                  <w:vAlign w:val="center"/>
                </w:tcPr>
                <w:p w14:paraId="099B8E6F">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设备维修与养护</w:t>
                  </w:r>
                </w:p>
              </w:tc>
              <w:tc>
                <w:tcPr>
                  <w:tcW w:w="270" w:type="pct"/>
                  <w:vAlign w:val="center"/>
                </w:tcPr>
                <w:p w14:paraId="2FB3DB64">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固态</w:t>
                  </w:r>
                </w:p>
              </w:tc>
              <w:tc>
                <w:tcPr>
                  <w:tcW w:w="344" w:type="pct"/>
                  <w:vAlign w:val="center"/>
                </w:tcPr>
                <w:p w14:paraId="21F46578">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抹布和手套</w:t>
                  </w:r>
                </w:p>
              </w:tc>
              <w:tc>
                <w:tcPr>
                  <w:tcW w:w="384" w:type="pct"/>
                  <w:vAlign w:val="center"/>
                </w:tcPr>
                <w:p w14:paraId="37E573C7">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沾染机油</w:t>
                  </w:r>
                </w:p>
              </w:tc>
              <w:tc>
                <w:tcPr>
                  <w:tcW w:w="346" w:type="pct"/>
                  <w:vAlign w:val="center"/>
                </w:tcPr>
                <w:p w14:paraId="78976232">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1次/a</w:t>
                  </w:r>
                </w:p>
              </w:tc>
              <w:tc>
                <w:tcPr>
                  <w:tcW w:w="312" w:type="pct"/>
                  <w:vAlign w:val="center"/>
                </w:tcPr>
                <w:p w14:paraId="629F0E40">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lang w:bidi="ar"/>
                      <w14:textFill>
                        <w14:solidFill>
                          <w14:schemeClr w14:val="tx1"/>
                        </w14:solidFill>
                      </w14:textFill>
                    </w:rPr>
                    <w:t>T/In</w:t>
                  </w:r>
                </w:p>
              </w:tc>
              <w:tc>
                <w:tcPr>
                  <w:tcW w:w="519" w:type="pct"/>
                  <w:vMerge w:val="continue"/>
                  <w:vAlign w:val="center"/>
                </w:tcPr>
                <w:p w14:paraId="0AF29148">
                  <w:pPr>
                    <w:pStyle w:val="57"/>
                    <w:rPr>
                      <w:rFonts w:cs="Times New Roman"/>
                      <w:color w:val="000000" w:themeColor="text1"/>
                      <w:kern w:val="0"/>
                      <w:sz w:val="21"/>
                      <w:szCs w:val="21"/>
                      <w:u w:val="none" w:color="auto"/>
                      <w14:textFill>
                        <w14:solidFill>
                          <w14:schemeClr w14:val="tx1"/>
                        </w14:solidFill>
                      </w14:textFill>
                    </w:rPr>
                  </w:pPr>
                </w:p>
              </w:tc>
            </w:tr>
          </w:tbl>
          <w:p w14:paraId="1B85C0C8">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（2）固体废物管理</w:t>
            </w:r>
          </w:p>
          <w:p w14:paraId="754167EF">
            <w:pPr>
              <w:pStyle w:val="70"/>
              <w:spacing w:line="360" w:lineRule="auto"/>
              <w:ind w:firstLine="480" w:firstLineChars="200"/>
              <w:rPr>
                <w:rFonts w:hint="default"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1）一般固体废物</w:t>
            </w:r>
          </w:p>
          <w:p w14:paraId="31234E9B">
            <w:pPr>
              <w:spacing w:line="360" w:lineRule="auto"/>
              <w:ind w:firstLine="480" w:firstLineChars="200"/>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本项目一般固废间位于厂房北侧，约20m</w:t>
            </w:r>
            <w:r>
              <w:rPr>
                <w:rFonts w:hint="eastAsia" w:ascii="Times New Roman" w:hAnsi="Times New Roman" w:eastAsia="宋体" w:cs="Times New Roman"/>
                <w:color w:val="000000" w:themeColor="text1"/>
                <w:kern w:val="2"/>
                <w:sz w:val="24"/>
                <w:szCs w:val="24"/>
                <w:u w:val="none" w:color="auto"/>
                <w:vertAlign w:val="superscript"/>
                <w:lang w:val="en-US" w:eastAsia="zh-CN" w:bidi="ar-SA"/>
                <w14:textFill>
                  <w14:solidFill>
                    <w14:schemeClr w14:val="tx1"/>
                  </w14:solidFill>
                </w14:textFill>
              </w:rPr>
              <w:t>2</w:t>
            </w: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。根据《一般工业固体废物贮存和填埋污染控制标准》（GB18599-2020）中的规定，具体要求如下：</w:t>
            </w:r>
          </w:p>
          <w:p w14:paraId="73DA83F8">
            <w:pPr>
              <w:spacing w:line="360" w:lineRule="auto"/>
              <w:ind w:firstLine="480" w:firstLineChars="200"/>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①要按照《一般工业固体废物贮存和填埋污染控制标准》（GB18599-2020）的要求设置暂存场所；</w:t>
            </w:r>
          </w:p>
          <w:p w14:paraId="37FC0D19">
            <w:pPr>
              <w:spacing w:line="360" w:lineRule="auto"/>
              <w:ind w:firstLine="480" w:firstLineChars="200"/>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②不得露天堆放，防止雨水进入产生二次污染；</w:t>
            </w:r>
          </w:p>
          <w:p w14:paraId="31E34829">
            <w:pPr>
              <w:spacing w:line="360" w:lineRule="auto"/>
              <w:ind w:firstLine="480" w:firstLineChars="200"/>
              <w:rPr>
                <w:rFonts w:hint="default"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③一般工业固体废物临时贮存仓库按照《一般工业固体废物贮存和填埋 污染控制标准》（GB18599-2020）Ⅰ类场标准相关要求建设，地面基础及内墙采取防渗措施，使用防水混凝土。</w:t>
            </w:r>
          </w:p>
          <w:p w14:paraId="7D2CA9B2">
            <w:pPr>
              <w:spacing w:line="360" w:lineRule="auto"/>
              <w:ind w:firstLine="480" w:firstLineChars="200"/>
              <w:rPr>
                <w:rFonts w:hint="default"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④一般固体废物按照不同的类别和性质，分区堆放。</w:t>
            </w:r>
          </w:p>
          <w:p w14:paraId="5E4FDB81">
            <w:pPr>
              <w:spacing w:line="360" w:lineRule="auto"/>
              <w:ind w:firstLine="480" w:firstLineChars="200"/>
              <w:rPr>
                <w:rFonts w:hint="default"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通过规范设置一般固废暂存场，同时建立完善厂内一般固废防范措施和管理制度，可使一般固废在收集、存放过程中对环境的影</w:t>
            </w: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响降</w:t>
            </w:r>
            <w:r>
              <w:rPr>
                <w:rFonts w:hint="default"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至最低限度。</w:t>
            </w:r>
          </w:p>
          <w:p w14:paraId="3C491CA7">
            <w:pPr>
              <w:pStyle w:val="70"/>
              <w:spacing w:line="360" w:lineRule="auto"/>
              <w:ind w:firstLine="480" w:firstLineChars="20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2）危险废物收集的环境管理要求</w:t>
            </w:r>
          </w:p>
          <w:p w14:paraId="43DA8349">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按照《建设项目危险废物环境影响评价指南》要求，需在工程分析的基础上，从危险废物的产生、收集、贮存、运输、利用和处置等全过程以及建设期、运营期、服务期满后等全时段角度考虑，分析预测建设项目产生的危险废物可能造成的环境影响，进而指导危险废物污染防治措施的补充完善。</w:t>
            </w:r>
          </w:p>
          <w:p w14:paraId="30EB5692">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收集、贮存：</w:t>
            </w:r>
          </w:p>
          <w:p w14:paraId="4F64EAB7">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本项目危险废物</w:t>
            </w: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主要为废机油、废机油桶、废含油抹布和手套。</w:t>
            </w:r>
            <w:r>
              <w:rPr>
                <w:rFonts w:hint="default" w:ascii="Times New Roman" w:hAnsi="Times New Roman" w:eastAsia="宋体" w:cs="Times New Roman"/>
                <w:color w:val="000000" w:themeColor="text1"/>
                <w:sz w:val="24"/>
                <w:szCs w:val="24"/>
                <w:u w:val="none" w:color="auto"/>
                <w14:textFill>
                  <w14:solidFill>
                    <w14:schemeClr w14:val="tx1"/>
                  </w14:solidFill>
                </w14:textFill>
              </w:rPr>
              <w:t>按照规范要求进行收集</w:t>
            </w:r>
            <w:r>
              <w:rPr>
                <w:rFonts w:hint="eastAsia" w:ascii="Times New Roman" w:hAnsi="Times New Roman" w:eastAsia="宋体" w:cs="Times New Roman"/>
                <w:color w:val="000000" w:themeColor="text1"/>
                <w:sz w:val="24"/>
                <w:szCs w:val="24"/>
                <w:u w:val="none" w:color="auto"/>
                <w:lang w:eastAsia="zh-CN"/>
                <w14:textFill>
                  <w14:solidFill>
                    <w14:schemeClr w14:val="tx1"/>
                  </w14:solidFill>
                </w14:textFill>
              </w:rPr>
              <w:t>，</w:t>
            </w:r>
            <w:r>
              <w:rPr>
                <w:rFonts w:hint="default" w:ascii="Times New Roman" w:hAnsi="Times New Roman" w:eastAsia="宋体" w:cs="Times New Roman"/>
                <w:color w:val="000000" w:themeColor="text1"/>
                <w:sz w:val="24"/>
                <w:szCs w:val="24"/>
                <w:u w:val="none" w:color="auto"/>
                <w14:textFill>
                  <w14:solidFill>
                    <w14:schemeClr w14:val="tx1"/>
                  </w14:solidFill>
                </w14:textFill>
              </w:rPr>
              <w:t>包装容器不易破损、变形、老化，能有效防止渗漏、扩散。装有危险废物的容器必须贴有标签，在标签上详细标明危险废物的名称、质量、成分、特性以及发生泄漏扩散、污染事故时的应急措施和补救方法。</w:t>
            </w:r>
          </w:p>
          <w:p w14:paraId="6D8D59DA">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危废暂存环境管理要求：</w:t>
            </w:r>
            <w:r>
              <w:rPr>
                <w:rFonts w:hint="default" w:ascii="Times New Roman" w:hAnsi="Times New Roman" w:eastAsia="宋体" w:cs="Times New Roman"/>
                <w:color w:val="000000" w:themeColor="text1"/>
                <w:kern w:val="0"/>
                <w:sz w:val="24"/>
                <w:szCs w:val="24"/>
                <w:u w:val="none" w:color="auto"/>
                <w14:textFill>
                  <w14:solidFill>
                    <w14:schemeClr w14:val="tx1"/>
                  </w14:solidFill>
                </w14:textFill>
              </w:rPr>
              <w:t>本项目拟设置1处危废暂存间（</w:t>
            </w:r>
            <w:r>
              <w:rPr>
                <w:rFonts w:hint="default" w:ascii="Times New Roman" w:hAnsi="Times New Roman" w:eastAsia="宋体" w:cs="Times New Roman"/>
                <w:color w:val="000000" w:themeColor="text1"/>
                <w:sz w:val="24"/>
                <w:szCs w:val="24"/>
                <w:u w:val="none" w:color="auto"/>
                <w14:textFill>
                  <w14:solidFill>
                    <w14:schemeClr w14:val="tx1"/>
                  </w14:solidFill>
                </w14:textFill>
              </w:rPr>
              <w:t>占地面积约</w:t>
            </w: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u w:val="none" w:color="auto"/>
                <w14:textFill>
                  <w14:solidFill>
                    <w14:schemeClr w14:val="tx1"/>
                  </w14:solidFill>
                </w14:textFill>
              </w:rPr>
              <w:t>m</w:t>
            </w:r>
            <w:r>
              <w:rPr>
                <w:rFonts w:hint="default" w:ascii="Times New Roman" w:hAnsi="Times New Roman" w:eastAsia="宋体" w:cs="Times New Roman"/>
                <w:color w:val="000000" w:themeColor="text1"/>
                <w:sz w:val="24"/>
                <w:szCs w:val="24"/>
                <w:u w:val="none" w:color="auto"/>
                <w:vertAlign w:val="superscript"/>
                <w14:textFill>
                  <w14:solidFill>
                    <w14:schemeClr w14:val="tx1"/>
                  </w14:solidFill>
                </w14:textFill>
              </w:rPr>
              <w:t>2</w:t>
            </w:r>
            <w:r>
              <w:rPr>
                <w:rFonts w:hint="default" w:ascii="Times New Roman" w:hAnsi="Times New Roman" w:eastAsia="宋体" w:cs="Times New Roman"/>
                <w:color w:val="000000" w:themeColor="text1"/>
                <w:sz w:val="24"/>
                <w:szCs w:val="24"/>
                <w:u w:val="none" w:color="auto"/>
                <w14:textFill>
                  <w14:solidFill>
                    <w14:schemeClr w14:val="tx1"/>
                  </w14:solidFill>
                </w14:textFill>
              </w:rPr>
              <w:t>，位于厂区</w:t>
            </w: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北</w:t>
            </w:r>
            <w:r>
              <w:rPr>
                <w:rFonts w:hint="default" w:ascii="Times New Roman" w:hAnsi="Times New Roman" w:eastAsia="宋体" w:cs="Times New Roman"/>
                <w:color w:val="000000" w:themeColor="text1"/>
                <w:sz w:val="24"/>
                <w:szCs w:val="24"/>
                <w:u w:val="none" w:color="auto"/>
                <w14:textFill>
                  <w14:solidFill>
                    <w14:schemeClr w14:val="tx1"/>
                  </w14:solidFill>
                </w14:textFill>
              </w:rPr>
              <w:t>侧</w:t>
            </w:r>
            <w:r>
              <w:rPr>
                <w:rFonts w:hint="default" w:ascii="Times New Roman" w:hAnsi="Times New Roman" w:eastAsia="宋体" w:cs="Times New Roman"/>
                <w:color w:val="000000" w:themeColor="text1"/>
                <w:kern w:val="0"/>
                <w:sz w:val="24"/>
                <w:szCs w:val="24"/>
                <w:u w:val="none" w:color="auto"/>
                <w14:textFill>
                  <w14:solidFill>
                    <w14:schemeClr w14:val="tx1"/>
                  </w14:solidFill>
                </w14:textFill>
              </w:rPr>
              <w:t>）</w:t>
            </w:r>
            <w:r>
              <w:rPr>
                <w:rFonts w:hint="default" w:ascii="Times New Roman" w:hAnsi="Times New Roman" w:eastAsia="宋体" w:cs="Times New Roman"/>
                <w:color w:val="000000" w:themeColor="text1"/>
                <w:sz w:val="24"/>
                <w:szCs w:val="24"/>
                <w:u w:val="none" w:color="auto"/>
                <w14:textFill>
                  <w14:solidFill>
                    <w14:schemeClr w14:val="tx1"/>
                  </w14:solidFill>
                </w14:textFill>
              </w:rPr>
              <w:t>，可满足储存要求，危废暂存间内防火、防渗、硬化等污染防治措施均应满足《危险废物贮存污染控制标准》（GB18597-2023）和《危险废物收集贮存运输技术规范》（HJ2025-2012）的相关要求。危险废物贮存设施（仓库式）的设计原则如下：</w:t>
            </w:r>
          </w:p>
          <w:p w14:paraId="62BCE532">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①容器应粘贴符合标准中附录A所示标签。</w:t>
            </w:r>
          </w:p>
          <w:p w14:paraId="03B1A9AD">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②设置单独的危废存放间，危险废物分类收集，妥善保存。危险废物临时贮存场所应防风、防晒、防雨、防漏、防渗、防腐，四周按《环境保护图形标志-固体废物贮存（处置）场》（GB-15562.2-1995）</w:t>
            </w:r>
            <w:r>
              <w:rPr>
                <w:rFonts w:hint="eastAsia" w:ascii="Times New Roman" w:hAnsi="Times New Roman" w:eastAsia="宋体" w:cs="Times New Roman"/>
                <w:color w:val="000000" w:themeColor="text1"/>
                <w:sz w:val="24"/>
                <w:szCs w:val="24"/>
                <w:u w:val="none" w:color="auto"/>
                <w:lang w:eastAsia="zh-CN"/>
                <w14:textFill>
                  <w14:solidFill>
                    <w14:schemeClr w14:val="tx1"/>
                  </w14:solidFill>
                </w14:textFill>
              </w:rPr>
              <w:t>（</w:t>
            </w: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2023年修改单</w:t>
            </w:r>
            <w:r>
              <w:rPr>
                <w:rFonts w:hint="eastAsia" w:ascii="Times New Roman" w:hAnsi="Times New Roman" w:eastAsia="宋体" w:cs="Times New Roman"/>
                <w:color w:val="000000" w:themeColor="text1"/>
                <w:sz w:val="24"/>
                <w:szCs w:val="24"/>
                <w:u w:val="none" w:color="auto"/>
                <w:lang w:eastAsia="zh-CN"/>
                <w14:textFill>
                  <w14:solidFill>
                    <w14:schemeClr w14:val="tx1"/>
                  </w14:solidFill>
                </w14:textFill>
              </w:rPr>
              <w:t>）</w:t>
            </w:r>
            <w:r>
              <w:rPr>
                <w:rFonts w:hint="default" w:ascii="Times New Roman" w:hAnsi="Times New Roman" w:eastAsia="宋体" w:cs="Times New Roman"/>
                <w:color w:val="000000" w:themeColor="text1"/>
                <w:sz w:val="24"/>
                <w:szCs w:val="24"/>
                <w:u w:val="none" w:color="auto"/>
                <w14:textFill>
                  <w14:solidFill>
                    <w14:schemeClr w14:val="tx1"/>
                  </w14:solidFill>
                </w14:textFill>
              </w:rPr>
              <w:t>规定设置警示标志，地面进行防渗处理，渗透系数≤10</w:t>
            </w:r>
            <w:r>
              <w:rPr>
                <w:rFonts w:hint="default" w:ascii="Times New Roman" w:hAnsi="Times New Roman" w:eastAsia="宋体" w:cs="Times New Roman"/>
                <w:color w:val="000000" w:themeColor="text1"/>
                <w:sz w:val="24"/>
                <w:szCs w:val="24"/>
                <w:u w:val="none" w:color="auto"/>
                <w:vertAlign w:val="superscript"/>
                <w14:textFill>
                  <w14:solidFill>
                    <w14:schemeClr w14:val="tx1"/>
                  </w14:solidFill>
                </w14:textFill>
              </w:rPr>
              <w:t>-10</w:t>
            </w:r>
            <w:r>
              <w:rPr>
                <w:rFonts w:hint="default" w:ascii="Times New Roman" w:hAnsi="Times New Roman" w:eastAsia="宋体" w:cs="Times New Roman"/>
                <w:color w:val="000000" w:themeColor="text1"/>
                <w:sz w:val="24"/>
                <w:szCs w:val="24"/>
                <w:u w:val="none" w:color="auto"/>
                <w14:textFill>
                  <w14:solidFill>
                    <w14:schemeClr w14:val="tx1"/>
                  </w14:solidFill>
                </w14:textFill>
              </w:rPr>
              <w:t>cm/s，地面与裙脚、围堰采用坚固、防渗的材料建造，地面与裙脚所围建的容积不低于堵截最大容器的最大储量或总储量的五分之一。</w:t>
            </w:r>
          </w:p>
          <w:p w14:paraId="51C704A6">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③做好危险废物情况的记录，记录上须注明危险废物的名称、来源、数量、特性和包装容器的类别、入库日期、存放库位、危废出库日期及</w:t>
            </w:r>
            <w:r>
              <w:rPr>
                <w:rFonts w:hint="eastAsia" w:ascii="Times New Roman" w:hAnsi="Times New Roman" w:eastAsia="宋体" w:cs="Times New Roman"/>
                <w:color w:val="000000" w:themeColor="text1"/>
                <w:sz w:val="24"/>
                <w:szCs w:val="24"/>
                <w:u w:val="none" w:color="auto"/>
                <w:lang w:eastAsia="zh-CN"/>
                <w14:textFill>
                  <w14:solidFill>
                    <w14:schemeClr w14:val="tx1"/>
                  </w14:solidFill>
                </w14:textFill>
              </w:rPr>
              <w:t>接收单位</w:t>
            </w:r>
            <w:r>
              <w:rPr>
                <w:rFonts w:hint="default" w:ascii="Times New Roman" w:hAnsi="Times New Roman" w:eastAsia="宋体" w:cs="Times New Roman"/>
                <w:color w:val="000000" w:themeColor="text1"/>
                <w:sz w:val="24"/>
                <w:szCs w:val="24"/>
                <w:u w:val="none" w:color="auto"/>
                <w14:textFill>
                  <w14:solidFill>
                    <w14:schemeClr w14:val="tx1"/>
                  </w14:solidFill>
                </w14:textFill>
              </w:rPr>
              <w:t>名称，危险废物的记录和货单在危险废物回取后继续保留三年。</w:t>
            </w:r>
          </w:p>
          <w:p w14:paraId="5B0A33FD">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④必须定期对贮存的危险废物包装容器及贮存设施进行检查，发现破损，应及时采取措施清理更换。</w:t>
            </w:r>
          </w:p>
          <w:p w14:paraId="31794907">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本环评要求建设单位应进一步加强对危险废物存放设施实施严格的管理：</w:t>
            </w:r>
          </w:p>
          <w:p w14:paraId="14F35C66">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①配备专业技术人员和管理人员专门负责企业危险废物统计、收集、暂存、转运和管理工作，并对有关危废产生部门员工进行定期教育和培训，强化危险废物管理；</w:t>
            </w:r>
          </w:p>
          <w:p w14:paraId="572C7A23">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②企业须建立危险废物收集操作规程、危险废物转运操作规程、危险废物暂存管理规程；等相关制度，并认真落实；</w:t>
            </w:r>
          </w:p>
          <w:p w14:paraId="60567CAF">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③企业须对危险废物储运场所张贴警示标志，危险废物包装物张贴警示标签；</w:t>
            </w:r>
          </w:p>
          <w:p w14:paraId="70FA3BF5">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④规范危险废物统计、建立危险废物收集及储运有关档案，做好危险废物情况的记录，并及时存档以备查阅。</w:t>
            </w:r>
          </w:p>
          <w:p w14:paraId="4ADB25E8">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c.危废暂存间需严格按照《危险废物</w:t>
            </w:r>
            <w:r>
              <w:rPr>
                <w:rFonts w:hint="default" w:ascii="Times New Roman" w:hAnsi="Times New Roman" w:eastAsia="宋体" w:cs="Times New Roman"/>
                <w:color w:val="000000" w:themeColor="text1"/>
                <w:sz w:val="24"/>
                <w:szCs w:val="24"/>
                <w:u w:val="none" w:color="auto"/>
                <w:lang w:val="en-US" w:eastAsia="zh-CN"/>
                <w14:textFill>
                  <w14:solidFill>
                    <w14:schemeClr w14:val="tx1"/>
                  </w14:solidFill>
                </w14:textFill>
              </w:rPr>
              <w:t>贮存</w:t>
            </w:r>
            <w:r>
              <w:rPr>
                <w:rFonts w:hint="default" w:ascii="Times New Roman" w:hAnsi="Times New Roman" w:eastAsia="宋体" w:cs="Times New Roman"/>
                <w:color w:val="000000" w:themeColor="text1"/>
                <w:sz w:val="24"/>
                <w:szCs w:val="24"/>
                <w:u w:val="none" w:color="auto"/>
                <w14:textFill>
                  <w14:solidFill>
                    <w14:schemeClr w14:val="tx1"/>
                  </w14:solidFill>
                </w14:textFill>
              </w:rPr>
              <w:t>污染控制标准》（GB18597-2023）的要求设计，做好“</w:t>
            </w:r>
            <w:r>
              <w:rPr>
                <w:rFonts w:hint="default" w:ascii="Times New Roman" w:hAnsi="Times New Roman" w:eastAsia="宋体" w:cs="Times New Roman"/>
                <w:color w:val="000000" w:themeColor="text1"/>
                <w:sz w:val="24"/>
                <w:szCs w:val="24"/>
                <w:u w:val="none" w:color="auto"/>
                <w:lang w:val="en-US" w:eastAsia="zh-CN"/>
                <w14:textFill>
                  <w14:solidFill>
                    <w14:schemeClr w14:val="tx1"/>
                  </w14:solidFill>
                </w14:textFill>
              </w:rPr>
              <w:t>六</w:t>
            </w:r>
            <w:r>
              <w:rPr>
                <w:rFonts w:hint="default" w:ascii="Times New Roman" w:hAnsi="Times New Roman" w:eastAsia="宋体" w:cs="Times New Roman"/>
                <w:color w:val="000000" w:themeColor="text1"/>
                <w:sz w:val="24"/>
                <w:szCs w:val="24"/>
                <w:u w:val="none" w:color="auto"/>
                <w14:textFill>
                  <w14:solidFill>
                    <w14:schemeClr w14:val="tx1"/>
                  </w14:solidFill>
                </w14:textFill>
              </w:rPr>
              <w:t>防”（防风、防晒、防雨、防漏、防渗、防腐）措施，张贴警示标志。</w:t>
            </w:r>
          </w:p>
          <w:p w14:paraId="544A1184">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危废暂存间由专人负责管理，上锁管理，禁止无关人员出入。地面采用坚固、防渗、耐腐蚀的材料建造，并设计有堵截泄漏的裙脚、围堰等设施。</w:t>
            </w:r>
          </w:p>
          <w:p w14:paraId="388EE5CC">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d.危险废物全部暂存于危废暂存间内，应合理设置不渗透间隔分开的区域，每个部分都应有防漏裙脚或储漏盘；危险废物应与其他固体废物严格隔离，禁止一般工业固废和生活垃圾混入；同时也禁止危险废物混入一般工业固废和生活垃圾中。</w:t>
            </w:r>
          </w:p>
          <w:p w14:paraId="5D128BB7">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e.危废暂存间地面基础必须防渗，防渗层为至少1米厚粘土层（渗透系数≤10</w:t>
            </w:r>
            <w:r>
              <w:rPr>
                <w:rFonts w:hint="default" w:ascii="Times New Roman" w:hAnsi="Times New Roman" w:eastAsia="宋体" w:cs="Times New Roman"/>
                <w:color w:val="000000" w:themeColor="text1"/>
                <w:sz w:val="24"/>
                <w:szCs w:val="24"/>
                <w:u w:val="none" w:color="auto"/>
                <w:vertAlign w:val="superscript"/>
                <w14:textFill>
                  <w14:solidFill>
                    <w14:schemeClr w14:val="tx1"/>
                  </w14:solidFill>
                </w14:textFill>
              </w:rPr>
              <w:t>-7</w:t>
            </w:r>
            <w:r>
              <w:rPr>
                <w:rFonts w:hint="default" w:ascii="Times New Roman" w:hAnsi="Times New Roman" w:eastAsia="宋体" w:cs="Times New Roman"/>
                <w:color w:val="000000" w:themeColor="text1"/>
                <w:sz w:val="24"/>
                <w:szCs w:val="24"/>
                <w:u w:val="none" w:color="auto"/>
                <w14:textFill>
                  <w14:solidFill>
                    <w14:schemeClr w14:val="tx1"/>
                  </w14:solidFill>
                </w14:textFill>
              </w:rPr>
              <w:t>cm/s）或2mm厚高密度聚乙烯，或至少2mm厚的其它人工材料，渗透系数&lt;10</w:t>
            </w:r>
            <w:r>
              <w:rPr>
                <w:rFonts w:hint="default" w:ascii="Times New Roman" w:hAnsi="Times New Roman" w:eastAsia="宋体" w:cs="Times New Roman"/>
                <w:color w:val="000000" w:themeColor="text1"/>
                <w:sz w:val="24"/>
                <w:szCs w:val="24"/>
                <w:u w:val="none" w:color="auto"/>
                <w:vertAlign w:val="superscript"/>
                <w14:textFill>
                  <w14:solidFill>
                    <w14:schemeClr w14:val="tx1"/>
                  </w14:solidFill>
                </w14:textFill>
              </w:rPr>
              <w:t>-10</w:t>
            </w:r>
            <w:r>
              <w:rPr>
                <w:rFonts w:hint="default" w:ascii="Times New Roman" w:hAnsi="Times New Roman" w:eastAsia="宋体" w:cs="Times New Roman"/>
                <w:color w:val="000000" w:themeColor="text1"/>
                <w:sz w:val="24"/>
                <w:szCs w:val="24"/>
                <w:u w:val="none" w:color="auto"/>
                <w14:textFill>
                  <w14:solidFill>
                    <w14:schemeClr w14:val="tx1"/>
                  </w14:solidFill>
                </w14:textFill>
              </w:rPr>
              <w:t>cm/s。地面与裙脚要用坚固、防渗的材料建造。</w:t>
            </w:r>
          </w:p>
          <w:p w14:paraId="2B86C5B2">
            <w:pPr>
              <w:pStyle w:val="102"/>
              <w:ind w:firstLine="480"/>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运输：</w:t>
            </w:r>
          </w:p>
          <w:p w14:paraId="6C5B0BD0">
            <w:pPr>
              <w:pStyle w:val="102"/>
              <w:ind w:firstLine="480"/>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危险废物在设备工艺环节或废物治理环节产生后，即由专人用专用容器盛装，由产废地点转运至危废暂存间。严防在车间运输过程中发生散落、泄漏。项目产生的危险废物委托有专门危废运输资质的单位进行外运。</w:t>
            </w:r>
          </w:p>
          <w:p w14:paraId="7BE115B5">
            <w:pPr>
              <w:pStyle w:val="102"/>
              <w:ind w:firstLine="480"/>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利用和处置：</w:t>
            </w:r>
          </w:p>
          <w:p w14:paraId="050AB75F">
            <w:pPr>
              <w:pStyle w:val="102"/>
              <w:ind w:firstLine="480"/>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建设单位无自行处置利用危废的能力，应委托有专门危废处置资质的单位进行处置。建设单位当前尚未落实处置单位，后期应根据建设项目周边有资质的危险废物处置单位的分布情况、处置能力、资质类别等，选择合适的危废处置单位。项目产生的危险废物产生量、拟采取的处置措施及去向应按《中华人民共和国固体废物污染环境防治法》的规定向当地生态环境主管部门申报，填报危险废物转移五联单，按要求对本项目产生的固体废物特别是危险废物进行全过程严格管理和安全处置。企业还需健全产生单位内部管理制度，包括落实危险废物产生信息公开制度，建立员工培训和固体废物管理员制度，完善危险废物相关档案管理制度；建立和完善突发危险废物环境应急预案。由于本项目内部无利用或处置上述危险废物的能力和设施，当收集危废达到一定量后需要委托具有相关资质的单位转移处置，根据湖南省生态环境厅危险废物经营许可证信息，湖南省内有多家可收集、贮存或处置本项目危险废物的单位，建设单位可直接委托其清运处置。</w:t>
            </w:r>
          </w:p>
          <w:p w14:paraId="73516AC4">
            <w:pPr>
              <w:pStyle w:val="35"/>
              <w:ind w:firstLine="480"/>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总体来看，本项目各固体废物均得到了妥善处理，各项处理措施合理、可行、有效，企业必须加强储存与运输的监督管理，按各项要求逐一落实。</w:t>
            </w:r>
          </w:p>
          <w:p w14:paraId="636BCF75">
            <w:pPr>
              <w:pStyle w:val="35"/>
              <w:ind w:firstLine="480"/>
              <w:rPr>
                <w:b/>
                <w:bCs/>
                <w:color w:val="000000" w:themeColor="text1"/>
                <w:u w:val="none" w:color="auto"/>
                <w14:textFill>
                  <w14:solidFill>
                    <w14:schemeClr w14:val="tx1"/>
                  </w14:solidFill>
                </w14:textFill>
              </w:rPr>
            </w:pPr>
            <w:r>
              <w:rPr>
                <w:rFonts w:hint="eastAsia"/>
                <w:b/>
                <w:bCs/>
                <w:color w:val="000000" w:themeColor="text1"/>
                <w:u w:val="none" w:color="auto"/>
                <w14:textFill>
                  <w14:solidFill>
                    <w14:schemeClr w14:val="tx1"/>
                  </w14:solidFill>
                </w14:textFill>
              </w:rPr>
              <w:t>5、土壤、地下水污染防治措施</w:t>
            </w:r>
          </w:p>
          <w:p w14:paraId="20BE571D">
            <w:pPr>
              <w:pStyle w:val="35"/>
              <w:ind w:firstLine="480"/>
              <w:rPr>
                <w:rFonts w:hint="eastAsia" w:ascii="Times New Roman" w:hAnsi="Times New Roman" w:eastAsia="宋体" w:cs="Times New Roman"/>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根据《建设项目环境影响报告表编制技术指南</w:t>
            </w:r>
            <w:r>
              <w:rPr>
                <w:rFonts w:hint="eastAsia" w:ascii="Times New Roman" w:hAnsi="Times New Roman" w:eastAsia="宋体" w:cs="Times New Roman"/>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污染影响类</w:t>
            </w:r>
            <w:r>
              <w:rPr>
                <w:rFonts w:hint="eastAsia" w:ascii="Times New Roman" w:hAnsi="Times New Roman" w:eastAsia="宋体" w:cs="Times New Roman"/>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试行</w:t>
            </w:r>
            <w:r>
              <w:rPr>
                <w:rFonts w:hint="eastAsia" w:ascii="Times New Roman" w:hAnsi="Times New Roman" w:eastAsia="宋体" w:cs="Times New Roman"/>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》，本项目不涉及集中式饮用水水源和热水、矿泉水、温泉等特殊地下水资源保护区，因此，本项目不开展地下水、土壤专项评价。</w:t>
            </w:r>
          </w:p>
          <w:p w14:paraId="59243014">
            <w:pPr>
              <w:pStyle w:val="35"/>
              <w:ind w:firstLine="480"/>
              <w:rPr>
                <w:rFonts w:hint="eastAsia" w:ascii="Times New Roman" w:hAnsi="Times New Roman" w:eastAsia="宋体" w:cs="Times New Roman"/>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本项目建成后，厂内产生的各类固体废弃物均暂存在有防渗、防雨、防风、防淋的专门用房内，避免了遭受降雨等淋滤产生污水，基本不会影响地下水及土壤。项目锅炉废水收集管道均采取防渗措施，杜绝锅炉废水</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下</w:t>
            </w:r>
            <w:r>
              <w:rPr>
                <w:rFonts w:hint="eastAsia" w:ascii="Times New Roman" w:hAnsi="Times New Roman" w:eastAsia="宋体" w:cs="Times New Roman"/>
                <w:color w:val="000000" w:themeColor="text1"/>
                <w:u w:val="none" w:color="auto"/>
                <w14:textFill>
                  <w14:solidFill>
                    <w14:schemeClr w14:val="tx1"/>
                  </w14:solidFill>
                </w14:textFill>
              </w:rPr>
              <w:t>渗。加强维护和严格用水排水的管理，防止污水“跑、冒、滴、漏”，通过上述</w:t>
            </w:r>
            <w:r>
              <w:rPr>
                <w:rFonts w:hint="eastAsia" w:cs="Times New Roman"/>
                <w:color w:val="000000" w:themeColor="text1"/>
                <w:u w:val="none" w:color="auto"/>
                <w:lang w:eastAsia="zh-CN"/>
                <w14:textFill>
                  <w14:solidFill>
                    <w14:schemeClr w14:val="tx1"/>
                  </w14:solidFill>
                </w14:textFill>
              </w:rPr>
              <w:t>措施</w:t>
            </w:r>
            <w:r>
              <w:rPr>
                <w:rFonts w:hint="eastAsia" w:ascii="Times New Roman" w:hAnsi="Times New Roman" w:eastAsia="宋体" w:cs="Times New Roman"/>
                <w:color w:val="000000" w:themeColor="text1"/>
                <w:u w:val="none" w:color="auto"/>
                <w14:textFill>
                  <w14:solidFill>
                    <w14:schemeClr w14:val="tx1"/>
                  </w14:solidFill>
                </w14:textFill>
              </w:rPr>
              <w:t>可有效控制厂区污水下渗现象，企业应进一步完善地下水、土壤防治措施，避免污染地下水、土壤。综上，本项目对地下水、土壤影响较小。</w:t>
            </w:r>
          </w:p>
          <w:p w14:paraId="1192C502">
            <w:pPr>
              <w:pStyle w:val="35"/>
              <w:ind w:firstLine="480"/>
              <w:rPr>
                <w:rFonts w:hint="eastAsia" w:ascii="Times New Roman" w:hAnsi="Times New Roman" w:eastAsia="宋体" w:cs="Times New Roman"/>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建设项目污染区包括生产、贮运装置及污水处理设施区，包括</w:t>
            </w:r>
            <w:r>
              <w:rPr>
                <w:rFonts w:hint="eastAsia" w:cs="Times New Roman"/>
                <w:color w:val="000000" w:themeColor="text1"/>
                <w:u w:val="none" w:color="auto"/>
                <w:lang w:val="en-US" w:eastAsia="zh-CN"/>
                <w14:textFill>
                  <w14:solidFill>
                    <w14:schemeClr w14:val="tx1"/>
                  </w14:solidFill>
                </w14:textFill>
              </w:rPr>
              <w:t>事故应急池</w:t>
            </w:r>
            <w:r>
              <w:rPr>
                <w:rFonts w:hint="eastAsia" w:ascii="Times New Roman" w:hAnsi="Times New Roman" w:eastAsia="宋体" w:cs="Times New Roman"/>
                <w:color w:val="000000" w:themeColor="text1"/>
                <w:u w:val="none" w:color="auto"/>
                <w14:textFill>
                  <w14:solidFill>
                    <w14:schemeClr w14:val="tx1"/>
                  </w14:solidFill>
                </w14:textFill>
              </w:rPr>
              <w:t>、危废暂存间、生产厂房等。根据污染区通过各种途径可能进入地下水环境的各种有毒有害原辅材料、中间物料、“三废”的泄漏量</w:t>
            </w:r>
            <w:r>
              <w:rPr>
                <w:rFonts w:hint="eastAsia" w:ascii="Times New Roman" w:hAnsi="Times New Roman" w:eastAsia="宋体" w:cs="Times New Roman"/>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含跑、冒、滴、漏</w:t>
            </w:r>
            <w:r>
              <w:rPr>
                <w:rFonts w:hint="eastAsia" w:ascii="Times New Roman" w:hAnsi="Times New Roman" w:eastAsia="宋体" w:cs="Times New Roman"/>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及其他各类污染物的性质、产生和排放量，将污染区进一步分为简单防渗区、一般防渗区、重点防渗区。本项目防渗分区划分及防渗等级见下表。</w:t>
            </w:r>
          </w:p>
          <w:p w14:paraId="6C28DDF2">
            <w:pPr>
              <w:pStyle w:val="34"/>
              <w:spacing w:before="156"/>
              <w:rPr>
                <w:rFonts w:hint="eastAsia" w:ascii="Times New Roman" w:hAnsi="Times New Roman" w:eastAsia="宋体" w:cs="Times New Roman"/>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u w:val="none" w:color="auto"/>
                <w:lang w:val="en-US" w:eastAsia="zh-CN"/>
                <w14:textFill>
                  <w14:solidFill>
                    <w14:schemeClr w14:val="tx1"/>
                  </w14:solidFill>
                </w14:textFill>
              </w:rPr>
              <w:t>表4-18  项目场地防渗一览表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
              <w:gridCol w:w="1154"/>
              <w:gridCol w:w="1171"/>
              <w:gridCol w:w="935"/>
              <w:gridCol w:w="2151"/>
              <w:gridCol w:w="1758"/>
            </w:tblGrid>
            <w:tr w14:paraId="3F7CF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6" w:type="dxa"/>
                  <w:noWrap w:val="0"/>
                  <w:vAlign w:val="center"/>
                </w:tcPr>
                <w:p w14:paraId="5F683501">
                  <w:pPr>
                    <w:jc w:val="center"/>
                    <w:rPr>
                      <w:rFonts w:ascii="Times New Roman" w:hAnsi="Times New Roman" w:eastAsia="宋体" w:cs="Times New Roman"/>
                      <w:b/>
                      <w:bCs/>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序号</w:t>
                  </w:r>
                </w:p>
              </w:tc>
              <w:tc>
                <w:tcPr>
                  <w:tcW w:w="1154" w:type="dxa"/>
                  <w:noWrap w:val="0"/>
                  <w:vAlign w:val="center"/>
                </w:tcPr>
                <w:p w14:paraId="54296421">
                  <w:pPr>
                    <w:jc w:val="center"/>
                    <w:rPr>
                      <w:rFonts w:ascii="Times New Roman" w:hAnsi="Times New Roman" w:eastAsia="宋体" w:cs="Times New Roman"/>
                      <w:b/>
                      <w:bCs/>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装置、单元名称</w:t>
                  </w:r>
                </w:p>
              </w:tc>
              <w:tc>
                <w:tcPr>
                  <w:tcW w:w="1171" w:type="dxa"/>
                  <w:noWrap w:val="0"/>
                  <w:vAlign w:val="center"/>
                </w:tcPr>
                <w:p w14:paraId="14003A8C">
                  <w:pPr>
                    <w:jc w:val="center"/>
                    <w:rPr>
                      <w:rFonts w:ascii="Times New Roman" w:hAnsi="Times New Roman" w:eastAsia="宋体" w:cs="Times New Roman"/>
                      <w:b/>
                      <w:bCs/>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防渗区域及部位</w:t>
                  </w:r>
                </w:p>
              </w:tc>
              <w:tc>
                <w:tcPr>
                  <w:tcW w:w="935" w:type="dxa"/>
                  <w:noWrap w:val="0"/>
                  <w:vAlign w:val="center"/>
                </w:tcPr>
                <w:p w14:paraId="28B97F88">
                  <w:pPr>
                    <w:jc w:val="center"/>
                    <w:rPr>
                      <w:rFonts w:ascii="Times New Roman" w:hAnsi="Times New Roman" w:eastAsia="宋体" w:cs="Times New Roman"/>
                      <w:b/>
                      <w:bCs/>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类别</w:t>
                  </w:r>
                </w:p>
              </w:tc>
              <w:tc>
                <w:tcPr>
                  <w:tcW w:w="2151" w:type="dxa"/>
                  <w:noWrap w:val="0"/>
                  <w:vAlign w:val="center"/>
                </w:tcPr>
                <w:p w14:paraId="65C8A6D2">
                  <w:pPr>
                    <w:jc w:val="center"/>
                    <w:rPr>
                      <w:rFonts w:ascii="Times New Roman" w:hAnsi="Times New Roman" w:eastAsia="宋体" w:cs="Times New Roman"/>
                      <w:b/>
                      <w:bCs/>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防渗系数要求</w:t>
                  </w:r>
                </w:p>
              </w:tc>
              <w:tc>
                <w:tcPr>
                  <w:tcW w:w="1758" w:type="dxa"/>
                  <w:noWrap w:val="0"/>
                  <w:vAlign w:val="center"/>
                </w:tcPr>
                <w:p w14:paraId="10766FEF">
                  <w:pPr>
                    <w:jc w:val="center"/>
                    <w:rPr>
                      <w:rFonts w:ascii="Times New Roman" w:hAnsi="Times New Roman" w:eastAsia="宋体" w:cs="Times New Roman"/>
                      <w:b/>
                      <w:bCs/>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防渗措施</w:t>
                  </w:r>
                </w:p>
              </w:tc>
            </w:tr>
            <w:tr w14:paraId="5794A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6" w:type="dxa"/>
                  <w:noWrap w:val="0"/>
                  <w:vAlign w:val="center"/>
                </w:tcPr>
                <w:p w14:paraId="4E55C75B">
                  <w:pPr>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1</w:t>
                  </w:r>
                </w:p>
              </w:tc>
              <w:tc>
                <w:tcPr>
                  <w:tcW w:w="1154" w:type="dxa"/>
                  <w:noWrap w:val="0"/>
                  <w:vAlign w:val="center"/>
                </w:tcPr>
                <w:p w14:paraId="6C254895">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危废暂存间</w:t>
                  </w:r>
                  <w:r>
                    <w:rPr>
                      <w:rFonts w:hint="eastAsia" w:ascii="Times New Roman" w:hAnsi="Times New Roman" w:eastAsia="宋体" w:cs="Times New Roman"/>
                      <w:color w:val="000000" w:themeColor="text1"/>
                      <w:szCs w:val="21"/>
                      <w:lang w:eastAsia="zh-CN"/>
                      <w14:textFill>
                        <w14:solidFill>
                          <w14:schemeClr w14:val="tx1"/>
                        </w14:solidFill>
                      </w14:textFill>
                    </w:rPr>
                    <w:t>、</w:t>
                  </w:r>
                  <w:r>
                    <w:rPr>
                      <w:rFonts w:hint="eastAsia" w:ascii="Times New Roman" w:hAnsi="Times New Roman" w:eastAsia="宋体" w:cs="Times New Roman"/>
                      <w:color w:val="000000" w:themeColor="text1"/>
                      <w:szCs w:val="21"/>
                      <w:lang w:val="en-US" w:eastAsia="zh-CN"/>
                      <w14:textFill>
                        <w14:solidFill>
                          <w14:schemeClr w14:val="tx1"/>
                        </w14:solidFill>
                      </w14:textFill>
                    </w:rPr>
                    <w:t>事故应急池</w:t>
                  </w:r>
                </w:p>
              </w:tc>
              <w:tc>
                <w:tcPr>
                  <w:tcW w:w="1171" w:type="dxa"/>
                  <w:noWrap w:val="0"/>
                  <w:vAlign w:val="center"/>
                </w:tcPr>
                <w:p w14:paraId="3B667ED7">
                  <w:pPr>
                    <w:jc w:val="center"/>
                    <w:rPr>
                      <w:rFonts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库内地面</w:t>
                  </w:r>
                </w:p>
              </w:tc>
              <w:tc>
                <w:tcPr>
                  <w:tcW w:w="935" w:type="dxa"/>
                  <w:noWrap w:val="0"/>
                  <w:vAlign w:val="center"/>
                </w:tcPr>
                <w:p w14:paraId="2D413185">
                  <w:pPr>
                    <w:jc w:val="center"/>
                    <w:rPr>
                      <w:rFonts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重点防渗</w:t>
                  </w:r>
                </w:p>
              </w:tc>
              <w:tc>
                <w:tcPr>
                  <w:tcW w:w="2151" w:type="dxa"/>
                  <w:noWrap w:val="0"/>
                  <w:vAlign w:val="center"/>
                </w:tcPr>
                <w:p w14:paraId="611F6A71">
                  <w:pPr>
                    <w:jc w:val="center"/>
                    <w:rPr>
                      <w:rFonts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等效黏土防渗层Mb≥6.0m，满足K≤10</w:t>
                  </w:r>
                  <w:r>
                    <w:rPr>
                      <w:rFonts w:hint="default" w:ascii="Times New Roman" w:hAnsi="Times New Roman" w:eastAsia="宋体" w:cs="Times New Roman"/>
                      <w:color w:val="000000" w:themeColor="text1"/>
                      <w:szCs w:val="21"/>
                      <w:vertAlign w:val="superscript"/>
                      <w14:textFill>
                        <w14:solidFill>
                          <w14:schemeClr w14:val="tx1"/>
                        </w14:solidFill>
                      </w14:textFill>
                    </w:rPr>
                    <w:t>-7</w:t>
                  </w:r>
                  <w:r>
                    <w:rPr>
                      <w:rFonts w:hint="default" w:ascii="Times New Roman" w:hAnsi="Times New Roman" w:eastAsia="宋体" w:cs="Times New Roman"/>
                      <w:color w:val="000000" w:themeColor="text1"/>
                      <w:szCs w:val="21"/>
                      <w14:textFill>
                        <w14:solidFill>
                          <w14:schemeClr w14:val="tx1"/>
                        </w14:solidFill>
                      </w14:textFill>
                    </w:rPr>
                    <w:t>cm/s；或参照GB18598-2001执行</w:t>
                  </w:r>
                </w:p>
              </w:tc>
              <w:tc>
                <w:tcPr>
                  <w:tcW w:w="1758" w:type="dxa"/>
                  <w:noWrap w:val="0"/>
                  <w:vAlign w:val="center"/>
                </w:tcPr>
                <w:p w14:paraId="364F5FB0">
                  <w:pPr>
                    <w:jc w:val="center"/>
                    <w:rPr>
                      <w:rFonts w:hint="eastAsia"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采取粘土铺底，再在上层铺设</w:t>
                  </w:r>
                  <w:r>
                    <w:rPr>
                      <w:rFonts w:ascii="Times New Roman" w:hAnsi="Times New Roman" w:eastAsia="宋体" w:cs="Times New Roman"/>
                      <w:color w:val="000000" w:themeColor="text1"/>
                      <w:kern w:val="2"/>
                      <w:sz w:val="21"/>
                      <w:szCs w:val="21"/>
                      <w14:textFill>
                        <w14:solidFill>
                          <w14:schemeClr w14:val="tx1"/>
                        </w14:solidFill>
                      </w14:textFill>
                    </w:rPr>
                    <w:t>抗渗结晶型水泥</w:t>
                  </w:r>
                  <w:r>
                    <w:rPr>
                      <w:rFonts w:hint="default" w:ascii="Times New Roman" w:hAnsi="Times New Roman" w:eastAsia="宋体" w:cs="Times New Roman"/>
                      <w:color w:val="000000" w:themeColor="text1"/>
                      <w:szCs w:val="21"/>
                      <w14:textFill>
                        <w14:solidFill>
                          <w14:schemeClr w14:val="tx1"/>
                        </w14:solidFill>
                      </w14:textFill>
                    </w:rPr>
                    <w:t>进行硬化，并铺环氧树脂防渗</w:t>
                  </w:r>
                  <w:r>
                    <w:rPr>
                      <w:rFonts w:hint="eastAsia" w:ascii="Times New Roman" w:hAnsi="Times New Roman" w:eastAsia="宋体" w:cs="Times New Roman"/>
                      <w:color w:val="000000" w:themeColor="text1"/>
                      <w:szCs w:val="21"/>
                      <w:lang w:eastAsia="zh-CN"/>
                      <w14:textFill>
                        <w14:solidFill>
                          <w14:schemeClr w14:val="tx1"/>
                        </w14:solidFill>
                      </w14:textFill>
                    </w:rPr>
                    <w:t>。</w:t>
                  </w:r>
                </w:p>
              </w:tc>
            </w:tr>
            <w:tr w14:paraId="46CEE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6" w:type="dxa"/>
                  <w:noWrap w:val="0"/>
                  <w:vAlign w:val="center"/>
                </w:tcPr>
                <w:p w14:paraId="03D43D4A">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4</w:t>
                  </w:r>
                </w:p>
              </w:tc>
              <w:tc>
                <w:tcPr>
                  <w:tcW w:w="1154" w:type="dxa"/>
                  <w:noWrap w:val="0"/>
                  <w:vAlign w:val="center"/>
                </w:tcPr>
                <w:p w14:paraId="1B1436B8">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一般固废间、生产区、原料仓库等</w:t>
                  </w:r>
                </w:p>
              </w:tc>
              <w:tc>
                <w:tcPr>
                  <w:tcW w:w="1171" w:type="dxa"/>
                  <w:noWrap w:val="0"/>
                  <w:vAlign w:val="center"/>
                </w:tcPr>
                <w:p w14:paraId="2860A9E7">
                  <w:pPr>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地面</w:t>
                  </w:r>
                </w:p>
              </w:tc>
              <w:tc>
                <w:tcPr>
                  <w:tcW w:w="935" w:type="dxa"/>
                  <w:noWrap w:val="0"/>
                  <w:vAlign w:val="center"/>
                </w:tcPr>
                <w:p w14:paraId="567AC526">
                  <w:pPr>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一般防渗</w:t>
                  </w:r>
                </w:p>
              </w:tc>
              <w:tc>
                <w:tcPr>
                  <w:tcW w:w="2151" w:type="dxa"/>
                  <w:noWrap w:val="0"/>
                  <w:vAlign w:val="center"/>
                </w:tcPr>
                <w:p w14:paraId="0314AA1C">
                  <w:pPr>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满足《一般工业固体废物贮存和填埋场污染控制标准》（GB18599-2001），等效黏土防渗层Mb≥1.5m，K＜10</w:t>
                  </w:r>
                  <w:r>
                    <w:rPr>
                      <w:rFonts w:ascii="Times New Roman" w:hAnsi="Times New Roman" w:eastAsia="宋体" w:cs="Times New Roman"/>
                      <w:color w:val="000000" w:themeColor="text1"/>
                      <w:szCs w:val="21"/>
                      <w:vertAlign w:val="superscript"/>
                      <w14:textFill>
                        <w14:solidFill>
                          <w14:schemeClr w14:val="tx1"/>
                        </w14:solidFill>
                      </w14:textFill>
                    </w:rPr>
                    <w:t>-7</w:t>
                  </w:r>
                  <w:r>
                    <w:rPr>
                      <w:rFonts w:ascii="Times New Roman" w:hAnsi="Times New Roman" w:eastAsia="宋体" w:cs="Times New Roman"/>
                      <w:color w:val="000000" w:themeColor="text1"/>
                      <w:szCs w:val="21"/>
                      <w14:textFill>
                        <w14:solidFill>
                          <w14:schemeClr w14:val="tx1"/>
                        </w14:solidFill>
                      </w14:textFill>
                    </w:rPr>
                    <w:t>cm/s；或参照GB16889执行</w:t>
                  </w:r>
                </w:p>
              </w:tc>
              <w:tc>
                <w:tcPr>
                  <w:tcW w:w="1758" w:type="dxa"/>
                  <w:noWrap w:val="0"/>
                  <w:vAlign w:val="center"/>
                </w:tcPr>
                <w:p w14:paraId="74B60037">
                  <w:pPr>
                    <w:jc w:val="center"/>
                    <w:rPr>
                      <w:rFonts w:hint="eastAsia" w:ascii="Times New Roman" w:hAnsi="Times New Roman" w:eastAsia="宋体" w:cs="Times New Roman"/>
                      <w:color w:val="000000" w:themeColor="text1"/>
                      <w:szCs w:val="21"/>
                      <w:lang w:eastAsia="zh-CN"/>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采取粘土铺底，再在上层铺10</w:t>
                  </w:r>
                  <w:r>
                    <w:rPr>
                      <w:rFonts w:hint="eastAsia" w:ascii="Times New Roman" w:hAnsi="Times New Roman" w:eastAsia="宋体" w:cs="Times New Roman"/>
                      <w:color w:val="000000" w:themeColor="text1"/>
                      <w:szCs w:val="21"/>
                      <w:lang w:eastAsia="zh-CN"/>
                      <w14:textFill>
                        <w14:solidFill>
                          <w14:schemeClr w14:val="tx1"/>
                        </w14:solidFill>
                      </w14:textFill>
                    </w:rPr>
                    <w:t>～</w:t>
                  </w:r>
                  <w:r>
                    <w:rPr>
                      <w:rFonts w:ascii="Times New Roman" w:hAnsi="Times New Roman" w:eastAsia="宋体" w:cs="Times New Roman"/>
                      <w:color w:val="000000" w:themeColor="text1"/>
                      <w:szCs w:val="21"/>
                      <w14:textFill>
                        <w14:solidFill>
                          <w14:schemeClr w14:val="tx1"/>
                        </w14:solidFill>
                      </w14:textFill>
                    </w:rPr>
                    <w:t>15cm的水泥进行硬化</w:t>
                  </w:r>
                  <w:r>
                    <w:rPr>
                      <w:rFonts w:hint="eastAsia" w:ascii="Times New Roman" w:hAnsi="Times New Roman" w:eastAsia="宋体" w:cs="Times New Roman"/>
                      <w:color w:val="000000" w:themeColor="text1"/>
                      <w:szCs w:val="21"/>
                      <w:lang w:eastAsia="zh-CN"/>
                      <w14:textFill>
                        <w14:solidFill>
                          <w14:schemeClr w14:val="tx1"/>
                        </w14:solidFill>
                      </w14:textFill>
                    </w:rPr>
                    <w:t>。</w:t>
                  </w:r>
                </w:p>
              </w:tc>
            </w:tr>
            <w:tr w14:paraId="4D763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6" w:type="dxa"/>
                  <w:noWrap w:val="0"/>
                  <w:vAlign w:val="center"/>
                </w:tcPr>
                <w:p w14:paraId="13990BCD">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5</w:t>
                  </w:r>
                </w:p>
              </w:tc>
              <w:tc>
                <w:tcPr>
                  <w:tcW w:w="1154" w:type="dxa"/>
                  <w:noWrap w:val="0"/>
                  <w:vAlign w:val="center"/>
                </w:tcPr>
                <w:p w14:paraId="74D0F92E">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厂区道路和地面</w:t>
                  </w:r>
                </w:p>
              </w:tc>
              <w:tc>
                <w:tcPr>
                  <w:tcW w:w="1171" w:type="dxa"/>
                  <w:noWrap w:val="0"/>
                  <w:vAlign w:val="center"/>
                </w:tcPr>
                <w:p w14:paraId="4B0F5494">
                  <w:pPr>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其他区域</w:t>
                  </w:r>
                </w:p>
                <w:p w14:paraId="1F89F40C">
                  <w:pPr>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地面</w:t>
                  </w:r>
                </w:p>
              </w:tc>
              <w:tc>
                <w:tcPr>
                  <w:tcW w:w="935" w:type="dxa"/>
                  <w:noWrap w:val="0"/>
                  <w:vAlign w:val="center"/>
                </w:tcPr>
                <w:p w14:paraId="2628F582">
                  <w:pPr>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简单防渗</w:t>
                  </w:r>
                </w:p>
              </w:tc>
              <w:tc>
                <w:tcPr>
                  <w:tcW w:w="2151" w:type="dxa"/>
                  <w:noWrap w:val="0"/>
                  <w:vAlign w:val="center"/>
                </w:tcPr>
                <w:p w14:paraId="6460C503">
                  <w:pPr>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＜10</w:t>
                  </w:r>
                  <w:r>
                    <w:rPr>
                      <w:rFonts w:ascii="Times New Roman" w:hAnsi="Times New Roman" w:eastAsia="宋体" w:cs="Times New Roman"/>
                      <w:color w:val="000000" w:themeColor="text1"/>
                      <w:szCs w:val="21"/>
                      <w:vertAlign w:val="superscript"/>
                      <w14:textFill>
                        <w14:solidFill>
                          <w14:schemeClr w14:val="tx1"/>
                        </w14:solidFill>
                      </w14:textFill>
                    </w:rPr>
                    <w:t>-5</w:t>
                  </w:r>
                  <w:r>
                    <w:rPr>
                      <w:rFonts w:ascii="Times New Roman" w:hAnsi="Times New Roman" w:eastAsia="宋体" w:cs="Times New Roman"/>
                      <w:color w:val="000000" w:themeColor="text1"/>
                      <w:szCs w:val="21"/>
                      <w14:textFill>
                        <w14:solidFill>
                          <w14:schemeClr w14:val="tx1"/>
                        </w14:solidFill>
                      </w14:textFill>
                    </w:rPr>
                    <w:t>cm/s</w:t>
                  </w:r>
                </w:p>
              </w:tc>
              <w:tc>
                <w:tcPr>
                  <w:tcW w:w="1758" w:type="dxa"/>
                  <w:noWrap w:val="0"/>
                  <w:vAlign w:val="center"/>
                </w:tcPr>
                <w:p w14:paraId="4AFD54A0">
                  <w:pPr>
                    <w:jc w:val="center"/>
                    <w:rPr>
                      <w:rFonts w:hint="eastAsia" w:ascii="Times New Roman" w:hAnsi="Times New Roman" w:eastAsia="宋体" w:cs="Times New Roman"/>
                      <w:color w:val="000000" w:themeColor="text1"/>
                      <w:szCs w:val="21"/>
                      <w:lang w:eastAsia="zh-CN"/>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地面硬化，正常黏土夯实</w:t>
                  </w:r>
                  <w:r>
                    <w:rPr>
                      <w:rFonts w:hint="eastAsia" w:ascii="Times New Roman" w:hAnsi="Times New Roman" w:eastAsia="宋体" w:cs="Times New Roman"/>
                      <w:color w:val="000000" w:themeColor="text1"/>
                      <w:szCs w:val="21"/>
                      <w:lang w:eastAsia="zh-CN"/>
                      <w14:textFill>
                        <w14:solidFill>
                          <w14:schemeClr w14:val="tx1"/>
                        </w14:solidFill>
                      </w14:textFill>
                    </w:rPr>
                    <w:t>。</w:t>
                  </w:r>
                </w:p>
              </w:tc>
            </w:tr>
          </w:tbl>
          <w:p w14:paraId="229A20A4">
            <w:pPr>
              <w:pStyle w:val="35"/>
              <w:ind w:firstLine="480"/>
              <w:rPr>
                <w:b/>
                <w:bCs/>
                <w:color w:val="000000" w:themeColor="text1"/>
                <w:u w:val="none" w:color="auto"/>
                <w14:textFill>
                  <w14:solidFill>
                    <w14:schemeClr w14:val="tx1"/>
                  </w14:solidFill>
                </w14:textFill>
              </w:rPr>
            </w:pPr>
            <w:r>
              <w:rPr>
                <w:rFonts w:hint="eastAsia"/>
                <w:b/>
                <w:bCs/>
                <w:color w:val="000000" w:themeColor="text1"/>
                <w:u w:val="none" w:color="auto"/>
                <w14:textFill>
                  <w14:solidFill>
                    <w14:schemeClr w14:val="tx1"/>
                  </w14:solidFill>
                </w14:textFill>
              </w:rPr>
              <w:t>6、环境风险</w:t>
            </w:r>
          </w:p>
          <w:p w14:paraId="2F6B9819">
            <w:pPr>
              <w:pStyle w:val="20"/>
              <w:spacing w:line="360" w:lineRule="auto"/>
              <w:ind w:firstLine="480" w:firstLineChars="200"/>
              <w:rPr>
                <w:rFonts w:hint="default" w:ascii="Times New Roman" w:hAnsi="Times New Roman" w:eastAsia="宋体" w:cs="Times New Roman"/>
                <w:b w:val="0"/>
                <w:bCs w:val="0"/>
                <w:color w:val="000000" w:themeColor="text1"/>
                <w:sz w:val="24"/>
                <w:szCs w:val="24"/>
                <w:u w:val="none" w:color="auto"/>
                <w14:textFill>
                  <w14:solidFill>
                    <w14:schemeClr w14:val="tx1"/>
                  </w14:solidFill>
                </w14:textFill>
              </w:rPr>
            </w:pPr>
            <w:r>
              <w:rPr>
                <w:rFonts w:hint="eastAsia" w:ascii="Times New Roman" w:hAnsi="Times New Roman" w:eastAsia="宋体" w:cs="Times New Roman"/>
                <w:b w:val="0"/>
                <w:bCs w:val="0"/>
                <w:color w:val="000000" w:themeColor="text1"/>
                <w:sz w:val="24"/>
                <w:szCs w:val="24"/>
                <w:u w:val="none" w:color="auto"/>
                <w:lang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u w:val="none" w:color="auto"/>
                <w:lang w:val="en-US" w:eastAsia="zh-CN"/>
                <w14:textFill>
                  <w14:solidFill>
                    <w14:schemeClr w14:val="tx1"/>
                  </w14:solidFill>
                </w14:textFill>
              </w:rPr>
              <w:t>1</w:t>
            </w:r>
            <w:r>
              <w:rPr>
                <w:rFonts w:hint="eastAsia" w:ascii="Times New Roman" w:hAnsi="Times New Roman" w:eastAsia="宋体" w:cs="Times New Roman"/>
                <w:b w:val="0"/>
                <w:bCs w:val="0"/>
                <w:color w:val="000000" w:themeColor="text1"/>
                <w:sz w:val="24"/>
                <w:szCs w:val="24"/>
                <w:u w:val="none" w:color="auto"/>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u w:val="none" w:color="auto"/>
                <w14:textFill>
                  <w14:solidFill>
                    <w14:schemeClr w14:val="tx1"/>
                  </w14:solidFill>
                </w14:textFill>
              </w:rPr>
              <w:t>风险调查</w:t>
            </w:r>
          </w:p>
          <w:p w14:paraId="4DB6B4D3">
            <w:pPr>
              <w:widowControl/>
              <w:adjustRightInd w:val="0"/>
              <w:snapToGrid w:val="0"/>
              <w:spacing w:line="360" w:lineRule="auto"/>
              <w:ind w:firstLine="480" w:firstLineChars="200"/>
              <w:jc w:val="left"/>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根据《建设项目环境影响风险评价技术导则》（HJ169-2018）附录B中突发环境事件风险物质及《危险化学品</w:t>
            </w: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目录</w:t>
            </w:r>
            <w:r>
              <w:rPr>
                <w:rFonts w:hint="default" w:ascii="Times New Roman" w:hAnsi="Times New Roman" w:eastAsia="宋体" w:cs="Times New Roman"/>
                <w:color w:val="000000" w:themeColor="text1"/>
                <w:sz w:val="24"/>
                <w:szCs w:val="24"/>
                <w:u w:val="none" w:color="auto"/>
                <w14:textFill>
                  <w14:solidFill>
                    <w14:schemeClr w14:val="tx1"/>
                  </w14:solidFill>
                </w14:textFill>
              </w:rPr>
              <w:t>（20</w:t>
            </w: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15</w:t>
            </w:r>
            <w:r>
              <w:rPr>
                <w:rFonts w:hint="default" w:ascii="Times New Roman" w:hAnsi="Times New Roman" w:eastAsia="宋体" w:cs="Times New Roman"/>
                <w:color w:val="000000" w:themeColor="text1"/>
                <w:sz w:val="24"/>
                <w:szCs w:val="24"/>
                <w:u w:val="none" w:color="auto"/>
                <w14:textFill>
                  <w14:solidFill>
                    <w14:schemeClr w14:val="tx1"/>
                  </w14:solidFill>
                </w14:textFill>
              </w:rPr>
              <w:t>年版）》</w:t>
            </w:r>
            <w:r>
              <w:rPr>
                <w:rFonts w:hint="eastAsia" w:ascii="Times New Roman" w:hAnsi="Times New Roman" w:eastAsia="宋体" w:cs="Times New Roman"/>
                <w:color w:val="000000" w:themeColor="text1"/>
                <w:sz w:val="24"/>
                <w:szCs w:val="24"/>
                <w:u w:val="none" w:color="auto"/>
                <w:lang w:eastAsia="zh-CN"/>
                <w14:textFill>
                  <w14:solidFill>
                    <w14:schemeClr w14:val="tx1"/>
                  </w14:solidFill>
                </w14:textFill>
              </w:rPr>
              <w:t>（</w:t>
            </w: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2022年修改</w:t>
            </w:r>
            <w:r>
              <w:rPr>
                <w:rFonts w:hint="eastAsia" w:ascii="Times New Roman" w:hAnsi="Times New Roman" w:eastAsia="宋体" w:cs="Times New Roman"/>
                <w:color w:val="000000" w:themeColor="text1"/>
                <w:sz w:val="24"/>
                <w:szCs w:val="24"/>
                <w:u w:val="none" w:color="auto"/>
                <w:lang w:eastAsia="zh-CN"/>
                <w14:textFill>
                  <w14:solidFill>
                    <w14:schemeClr w14:val="tx1"/>
                  </w14:solidFill>
                </w14:textFill>
              </w:rPr>
              <w:t>）</w:t>
            </w:r>
            <w:r>
              <w:rPr>
                <w:rFonts w:hint="default" w:ascii="Times New Roman" w:hAnsi="Times New Roman" w:eastAsia="宋体" w:cs="Times New Roman"/>
                <w:color w:val="000000" w:themeColor="text1"/>
                <w:sz w:val="24"/>
                <w:szCs w:val="24"/>
                <w:u w:val="none" w:color="auto"/>
                <w14:textFill>
                  <w14:solidFill>
                    <w14:schemeClr w14:val="tx1"/>
                  </w14:solidFill>
                </w14:textFill>
              </w:rPr>
              <w:t>、《危险化学品重大危险源识别》（GB18218-2018），本项目环境风险物质</w:t>
            </w: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主要为机油、危险废物</w:t>
            </w:r>
            <w:r>
              <w:rPr>
                <w:rFonts w:hint="default" w:ascii="Times New Roman" w:hAnsi="Times New Roman" w:eastAsia="宋体" w:cs="Times New Roman"/>
                <w:color w:val="000000" w:themeColor="text1"/>
                <w:sz w:val="24"/>
                <w:szCs w:val="24"/>
                <w:u w:val="none" w:color="auto"/>
                <w14:textFill>
                  <w14:solidFill>
                    <w14:schemeClr w14:val="tx1"/>
                  </w14:solidFill>
                </w14:textFill>
              </w:rPr>
              <w:t>。</w:t>
            </w:r>
          </w:p>
          <w:p w14:paraId="7543CFE7">
            <w:pPr>
              <w:pStyle w:val="20"/>
              <w:spacing w:line="360" w:lineRule="auto"/>
              <w:ind w:firstLine="480" w:firstLineChars="200"/>
              <w:rPr>
                <w:rFonts w:hint="default" w:ascii="Times New Roman" w:hAnsi="Times New Roman" w:eastAsia="宋体" w:cs="Times New Roman"/>
                <w:b w:val="0"/>
                <w:bCs w:val="0"/>
                <w:color w:val="000000" w:themeColor="text1"/>
                <w:sz w:val="24"/>
                <w:szCs w:val="24"/>
                <w:u w:val="none" w:color="auto"/>
                <w14:textFill>
                  <w14:solidFill>
                    <w14:schemeClr w14:val="tx1"/>
                  </w14:solidFill>
                </w14:textFill>
              </w:rPr>
            </w:pPr>
            <w:r>
              <w:rPr>
                <w:rFonts w:hint="eastAsia" w:ascii="Times New Roman" w:hAnsi="Times New Roman" w:eastAsia="宋体" w:cs="Times New Roman"/>
                <w:b w:val="0"/>
                <w:bCs w:val="0"/>
                <w:color w:val="000000" w:themeColor="text1"/>
                <w:sz w:val="24"/>
                <w:szCs w:val="24"/>
                <w:u w:val="none" w:color="auto"/>
                <w:lang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u w:val="none" w:color="auto"/>
                <w:lang w:val="en-US" w:eastAsia="zh-CN"/>
                <w14:textFill>
                  <w14:solidFill>
                    <w14:schemeClr w14:val="tx1"/>
                  </w14:solidFill>
                </w14:textFill>
              </w:rPr>
              <w:t>2</w:t>
            </w:r>
            <w:r>
              <w:rPr>
                <w:rFonts w:hint="eastAsia" w:ascii="Times New Roman" w:hAnsi="Times New Roman" w:eastAsia="宋体" w:cs="Times New Roman"/>
                <w:b w:val="0"/>
                <w:bCs w:val="0"/>
                <w:color w:val="000000" w:themeColor="text1"/>
                <w:sz w:val="24"/>
                <w:szCs w:val="24"/>
                <w:u w:val="none" w:color="auto"/>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u w:val="none" w:color="auto"/>
                <w14:textFill>
                  <w14:solidFill>
                    <w14:schemeClr w14:val="tx1"/>
                  </w14:solidFill>
                </w14:textFill>
              </w:rPr>
              <w:t>环境风险潜势划分</w:t>
            </w:r>
          </w:p>
          <w:p w14:paraId="458BB52C">
            <w:pPr>
              <w:widowControl/>
              <w:adjustRightInd w:val="0"/>
              <w:snapToGrid w:val="0"/>
              <w:spacing w:line="360" w:lineRule="auto"/>
              <w:ind w:firstLine="480" w:firstLineChars="200"/>
              <w:jc w:val="left"/>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根据《建设项目环境风险评价技术导则》（HJ 169-2018）中风险调查、风险潜势初判确定：计算所涉及的每种危险物质在厂界内的最大存在总量与其在附录B中对应临界量的比值Q。在不同厂区的同一种物质，按其在厂界内的最大存在总量计算。当存在多种危险物质时，按下列公式进行计算。</w:t>
            </w:r>
          </w:p>
          <w:p w14:paraId="1BB23453">
            <w:pPr>
              <w:widowControl/>
              <w:adjustRightInd w:val="0"/>
              <w:snapToGrid w:val="0"/>
              <w:spacing w:line="360" w:lineRule="auto"/>
              <w:ind w:firstLine="480" w:firstLineChars="200"/>
              <w:jc w:val="left"/>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drawing>
                <wp:anchor distT="0" distB="0" distL="114300" distR="114300" simplePos="0" relativeHeight="251659264" behindDoc="0" locked="0" layoutInCell="1" allowOverlap="1">
                  <wp:simplePos x="0" y="0"/>
                  <wp:positionH relativeFrom="column">
                    <wp:posOffset>1416685</wp:posOffset>
                  </wp:positionH>
                  <wp:positionV relativeFrom="paragraph">
                    <wp:posOffset>107950</wp:posOffset>
                  </wp:positionV>
                  <wp:extent cx="1963420" cy="467360"/>
                  <wp:effectExtent l="0" t="0" r="17780" b="8890"/>
                  <wp:wrapSquare wrapText="bothSides"/>
                  <wp:docPr id="1" name="图片 120" descr="QQ截图2019030510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20" descr="QQ截图20190305103333"/>
                          <pic:cNvPicPr>
                            <a:picLocks noChangeAspect="1"/>
                          </pic:cNvPicPr>
                        </pic:nvPicPr>
                        <pic:blipFill>
                          <a:blip r:embed="rId30"/>
                          <a:stretch>
                            <a:fillRect/>
                          </a:stretch>
                        </pic:blipFill>
                        <pic:spPr>
                          <a:xfrm>
                            <a:off x="0" y="0"/>
                            <a:ext cx="1963420" cy="467360"/>
                          </a:xfrm>
                          <a:prstGeom prst="rect">
                            <a:avLst/>
                          </a:prstGeom>
                          <a:noFill/>
                          <a:ln>
                            <a:noFill/>
                          </a:ln>
                        </pic:spPr>
                      </pic:pic>
                    </a:graphicData>
                  </a:graphic>
                </wp:anchor>
              </w:drawing>
            </w:r>
          </w:p>
          <w:p w14:paraId="1E8E17BD">
            <w:pPr>
              <w:widowControl/>
              <w:adjustRightInd w:val="0"/>
              <w:snapToGrid w:val="0"/>
              <w:spacing w:line="360" w:lineRule="auto"/>
              <w:ind w:firstLine="480" w:firstLineChars="200"/>
              <w:jc w:val="left"/>
              <w:rPr>
                <w:rFonts w:hint="default" w:ascii="Times New Roman" w:hAnsi="Times New Roman" w:eastAsia="宋体" w:cs="Times New Roman"/>
                <w:color w:val="000000" w:themeColor="text1"/>
                <w:sz w:val="24"/>
                <w:szCs w:val="24"/>
                <w:u w:val="none" w:color="auto"/>
                <w14:textFill>
                  <w14:solidFill>
                    <w14:schemeClr w14:val="tx1"/>
                  </w14:solidFill>
                </w14:textFill>
              </w:rPr>
            </w:pPr>
          </w:p>
          <w:p w14:paraId="4C31815B">
            <w:pPr>
              <w:widowControl/>
              <w:adjustRightInd w:val="0"/>
              <w:snapToGrid w:val="0"/>
              <w:spacing w:line="360" w:lineRule="auto"/>
              <w:ind w:firstLine="480" w:firstLineChars="200"/>
              <w:jc w:val="left"/>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式中：</w:t>
            </w:r>
          </w:p>
          <w:p w14:paraId="223C55C7">
            <w:pPr>
              <w:widowControl/>
              <w:adjustRightInd w:val="0"/>
              <w:snapToGrid w:val="0"/>
              <w:spacing w:line="360" w:lineRule="auto"/>
              <w:ind w:firstLine="480" w:firstLineChars="200"/>
              <w:jc w:val="left"/>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q</w:t>
            </w:r>
            <w:r>
              <w:rPr>
                <w:rFonts w:hint="default" w:ascii="Times New Roman" w:hAnsi="Times New Roman" w:eastAsia="宋体" w:cs="Times New Roman"/>
                <w:color w:val="000000" w:themeColor="text1"/>
                <w:sz w:val="24"/>
                <w:szCs w:val="24"/>
                <w:u w:val="none" w:color="auto"/>
                <w:vertAlign w:val="subscript"/>
                <w14:textFill>
                  <w14:solidFill>
                    <w14:schemeClr w14:val="tx1"/>
                  </w14:solidFill>
                </w14:textFill>
              </w:rPr>
              <w:t>1</w:t>
            </w:r>
            <w:r>
              <w:rPr>
                <w:rFonts w:hint="default" w:ascii="Times New Roman" w:hAnsi="Times New Roman" w:eastAsia="宋体" w:cs="Times New Roman"/>
                <w:color w:val="000000" w:themeColor="text1"/>
                <w:sz w:val="24"/>
                <w:szCs w:val="24"/>
                <w:u w:val="none" w:color="auto"/>
                <w14:textFill>
                  <w14:solidFill>
                    <w14:schemeClr w14:val="tx1"/>
                  </w14:solidFill>
                </w14:textFill>
              </w:rPr>
              <w:t>、q</w:t>
            </w:r>
            <w:r>
              <w:rPr>
                <w:rFonts w:hint="default" w:ascii="Times New Roman" w:hAnsi="Times New Roman" w:eastAsia="宋体" w:cs="Times New Roman"/>
                <w:color w:val="000000" w:themeColor="text1"/>
                <w:sz w:val="24"/>
                <w:szCs w:val="24"/>
                <w:u w:val="none" w:color="auto"/>
                <w:vertAlign w:val="subscript"/>
                <w14:textFill>
                  <w14:solidFill>
                    <w14:schemeClr w14:val="tx1"/>
                  </w14:solidFill>
                </w14:textFill>
              </w:rPr>
              <w:t>2</w:t>
            </w:r>
            <w:r>
              <w:rPr>
                <w:rFonts w:hint="default" w:ascii="Times New Roman" w:hAnsi="Times New Roman" w:eastAsia="宋体" w:cs="Times New Roman"/>
                <w:color w:val="000000" w:themeColor="text1"/>
                <w:sz w:val="24"/>
                <w:szCs w:val="24"/>
                <w:u w:val="none" w:color="auto"/>
                <w14:textFill>
                  <w14:solidFill>
                    <w14:schemeClr w14:val="tx1"/>
                  </w14:solidFill>
                </w14:textFill>
              </w:rPr>
              <w:t>、q</w:t>
            </w:r>
            <w:r>
              <w:rPr>
                <w:rFonts w:hint="default" w:ascii="Times New Roman" w:hAnsi="Times New Roman" w:eastAsia="宋体" w:cs="Times New Roman"/>
                <w:color w:val="000000" w:themeColor="text1"/>
                <w:sz w:val="24"/>
                <w:szCs w:val="24"/>
                <w:u w:val="none" w:color="auto"/>
                <w:vertAlign w:val="subscript"/>
                <w14:textFill>
                  <w14:solidFill>
                    <w14:schemeClr w14:val="tx1"/>
                  </w14:solidFill>
                </w14:textFill>
              </w:rPr>
              <w:t>n</w:t>
            </w:r>
            <w:r>
              <w:rPr>
                <w:rFonts w:hint="default" w:ascii="Times New Roman" w:hAnsi="Times New Roman" w:eastAsia="宋体" w:cs="Times New Roman"/>
                <w:color w:val="000000" w:themeColor="text1"/>
                <w:sz w:val="24"/>
                <w:szCs w:val="24"/>
                <w:u w:val="none" w:color="auto"/>
                <w14:textFill>
                  <w14:solidFill>
                    <w14:schemeClr w14:val="tx1"/>
                  </w14:solidFill>
                </w14:textFill>
              </w:rPr>
              <w:t>—每种危险物质的最大存在总量，t；</w:t>
            </w:r>
          </w:p>
          <w:p w14:paraId="7FB38556">
            <w:pPr>
              <w:widowControl/>
              <w:adjustRightInd w:val="0"/>
              <w:snapToGrid w:val="0"/>
              <w:spacing w:line="360" w:lineRule="auto"/>
              <w:ind w:firstLine="480" w:firstLineChars="200"/>
              <w:jc w:val="left"/>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Q</w:t>
            </w:r>
            <w:r>
              <w:rPr>
                <w:rFonts w:hint="default" w:ascii="Times New Roman" w:hAnsi="Times New Roman" w:eastAsia="宋体" w:cs="Times New Roman"/>
                <w:color w:val="000000" w:themeColor="text1"/>
                <w:sz w:val="24"/>
                <w:szCs w:val="24"/>
                <w:u w:val="none" w:color="auto"/>
                <w:vertAlign w:val="subscript"/>
                <w14:textFill>
                  <w14:solidFill>
                    <w14:schemeClr w14:val="tx1"/>
                  </w14:solidFill>
                </w14:textFill>
              </w:rPr>
              <w:t>1</w:t>
            </w:r>
            <w:r>
              <w:rPr>
                <w:rFonts w:hint="default" w:ascii="Times New Roman" w:hAnsi="Times New Roman" w:eastAsia="宋体" w:cs="Times New Roman"/>
                <w:color w:val="000000" w:themeColor="text1"/>
                <w:sz w:val="24"/>
                <w:szCs w:val="24"/>
                <w:u w:val="none" w:color="auto"/>
                <w14:textFill>
                  <w14:solidFill>
                    <w14:schemeClr w14:val="tx1"/>
                  </w14:solidFill>
                </w14:textFill>
              </w:rPr>
              <w:t>、Q</w:t>
            </w:r>
            <w:r>
              <w:rPr>
                <w:rFonts w:hint="default" w:ascii="Times New Roman" w:hAnsi="Times New Roman" w:eastAsia="宋体" w:cs="Times New Roman"/>
                <w:color w:val="000000" w:themeColor="text1"/>
                <w:sz w:val="24"/>
                <w:szCs w:val="24"/>
                <w:u w:val="none" w:color="auto"/>
                <w:vertAlign w:val="subscript"/>
                <w14:textFill>
                  <w14:solidFill>
                    <w14:schemeClr w14:val="tx1"/>
                  </w14:solidFill>
                </w14:textFill>
              </w:rPr>
              <w:t>2</w:t>
            </w:r>
            <w:r>
              <w:rPr>
                <w:rFonts w:hint="default" w:ascii="Times New Roman" w:hAnsi="Times New Roman" w:eastAsia="宋体" w:cs="Times New Roman"/>
                <w:color w:val="000000" w:themeColor="text1"/>
                <w:sz w:val="24"/>
                <w:szCs w:val="24"/>
                <w:u w:val="none" w:color="auto"/>
                <w14:textFill>
                  <w14:solidFill>
                    <w14:schemeClr w14:val="tx1"/>
                  </w14:solidFill>
                </w14:textFill>
              </w:rPr>
              <w:t>、Q</w:t>
            </w:r>
            <w:r>
              <w:rPr>
                <w:rFonts w:hint="default" w:ascii="Times New Roman" w:hAnsi="Times New Roman" w:eastAsia="宋体" w:cs="Times New Roman"/>
                <w:color w:val="000000" w:themeColor="text1"/>
                <w:sz w:val="24"/>
                <w:szCs w:val="24"/>
                <w:u w:val="none" w:color="auto"/>
                <w:vertAlign w:val="subscript"/>
                <w14:textFill>
                  <w14:solidFill>
                    <w14:schemeClr w14:val="tx1"/>
                  </w14:solidFill>
                </w14:textFill>
              </w:rPr>
              <w:t>n</w:t>
            </w:r>
            <w:r>
              <w:rPr>
                <w:rFonts w:hint="default" w:ascii="Times New Roman" w:hAnsi="Times New Roman" w:eastAsia="宋体" w:cs="Times New Roman"/>
                <w:color w:val="000000" w:themeColor="text1"/>
                <w:sz w:val="24"/>
                <w:szCs w:val="24"/>
                <w:u w:val="none" w:color="auto"/>
                <w14:textFill>
                  <w14:solidFill>
                    <w14:schemeClr w14:val="tx1"/>
                  </w14:solidFill>
                </w14:textFill>
              </w:rPr>
              <w:t>—每种危险物质的临界量，t。</w:t>
            </w:r>
          </w:p>
          <w:p w14:paraId="250F307A">
            <w:pPr>
              <w:widowControl/>
              <w:adjustRightInd w:val="0"/>
              <w:snapToGrid w:val="0"/>
              <w:spacing w:line="360" w:lineRule="auto"/>
              <w:ind w:firstLine="480" w:firstLineChars="200"/>
              <w:jc w:val="left"/>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当Q＜1时，该项目环境风险潜势为Ⅰ。</w:t>
            </w:r>
          </w:p>
          <w:p w14:paraId="52C37217">
            <w:pPr>
              <w:widowControl/>
              <w:adjustRightInd w:val="0"/>
              <w:snapToGrid w:val="0"/>
              <w:spacing w:line="360" w:lineRule="auto"/>
              <w:ind w:firstLine="480" w:firstLineChars="200"/>
              <w:jc w:val="left"/>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当Q≥1时，将Q值划分为：（1）1≤Q＜10；（2）10≤Q＜100；（3）Q≥100。</w:t>
            </w:r>
          </w:p>
          <w:p w14:paraId="2EFCB7EB">
            <w:pPr>
              <w:snapToGrid w:val="0"/>
              <w:spacing w:line="360" w:lineRule="auto"/>
              <w:ind w:firstLine="480" w:firstLineChars="20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涉及的风险物质及其临界量见下表：</w:t>
            </w:r>
          </w:p>
          <w:p w14:paraId="30288A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u w:val="none" w:color="auto"/>
                <w14:textFill>
                  <w14:solidFill>
                    <w14:schemeClr w14:val="tx1"/>
                  </w14:solidFill>
                </w14:textFill>
              </w:rPr>
            </w:pPr>
            <w:r>
              <w:rPr>
                <w:rFonts w:hint="default" w:ascii="Times New Roman" w:hAnsi="Times New Roman" w:eastAsia="宋体" w:cs="Times New Roman"/>
                <w:b/>
                <w:bCs/>
                <w:color w:val="000000" w:themeColor="text1"/>
                <w:sz w:val="21"/>
                <w:szCs w:val="21"/>
                <w:u w:val="none" w:color="auto"/>
                <w14:textFill>
                  <w14:solidFill>
                    <w14:schemeClr w14:val="tx1"/>
                  </w14:solidFill>
                </w14:textFill>
              </w:rPr>
              <w:t>表4-1</w:t>
            </w:r>
            <w:r>
              <w:rPr>
                <w:rFonts w:hint="eastAsia" w:ascii="Times New Roman" w:hAnsi="Times New Roman" w:eastAsia="宋体" w:cs="Times New Roman"/>
                <w:b/>
                <w:bCs/>
                <w:color w:val="000000" w:themeColor="text1"/>
                <w:sz w:val="21"/>
                <w:szCs w:val="21"/>
                <w:u w:val="none" w:color="auto"/>
                <w:lang w:val="en-US" w:eastAsia="zh-CN"/>
                <w14:textFill>
                  <w14:solidFill>
                    <w14:schemeClr w14:val="tx1"/>
                  </w14:solidFill>
                </w14:textFill>
              </w:rPr>
              <w:t>9</w:t>
            </w:r>
            <w:r>
              <w:rPr>
                <w:rFonts w:hint="default" w:ascii="Times New Roman" w:hAnsi="Times New Roman" w:eastAsia="宋体" w:cs="Times New Roman"/>
                <w:b/>
                <w:bCs/>
                <w:color w:val="000000" w:themeColor="text1"/>
                <w:sz w:val="21"/>
                <w:szCs w:val="21"/>
                <w:u w:val="none" w:color="auto"/>
                <w14:textFill>
                  <w14:solidFill>
                    <w14:schemeClr w14:val="tx1"/>
                  </w14:solidFill>
                </w14:textFill>
              </w:rPr>
              <w:t xml:space="preserve">  本项目危险源识别</w:t>
            </w:r>
          </w:p>
          <w:tbl>
            <w:tblPr>
              <w:tblStyle w:val="27"/>
              <w:tblW w:w="7777"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24"/>
              <w:gridCol w:w="1921"/>
              <w:gridCol w:w="2113"/>
              <w:gridCol w:w="1568"/>
              <w:gridCol w:w="1351"/>
            </w:tblGrid>
            <w:tr w14:paraId="66D9EAA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02" w:hRule="atLeast"/>
                <w:jc w:val="center"/>
              </w:trPr>
              <w:tc>
                <w:tcPr>
                  <w:tcW w:w="824" w:type="dxa"/>
                  <w:tcBorders>
                    <w:tl2br w:val="nil"/>
                    <w:tr2bl w:val="nil"/>
                  </w:tcBorders>
                  <w:vAlign w:val="center"/>
                </w:tcPr>
                <w:p w14:paraId="1E64079F">
                  <w:pPr>
                    <w:pStyle w:val="57"/>
                    <w:ind w:left="0" w:leftChars="0" w:right="0" w:rightChars="0" w:firstLine="0" w:firstLineChars="0"/>
                    <w:jc w:val="center"/>
                    <w:rPr>
                      <w:rFonts w:hint="default" w:ascii="Times New Roman" w:hAnsi="Times New Roman" w:eastAsia="宋体"/>
                      <w:b w:val="0"/>
                      <w:bCs/>
                      <w:color w:val="000000" w:themeColor="text1"/>
                      <w:u w:val="none" w:color="auto"/>
                      <w14:textFill>
                        <w14:solidFill>
                          <w14:schemeClr w14:val="tx1"/>
                        </w14:solidFill>
                      </w14:textFill>
                    </w:rPr>
                  </w:pPr>
                  <w:r>
                    <w:rPr>
                      <w:rFonts w:hint="default" w:ascii="Times New Roman" w:hAnsi="Times New Roman" w:eastAsia="宋体"/>
                      <w:b w:val="0"/>
                      <w:bCs/>
                      <w:color w:val="000000" w:themeColor="text1"/>
                      <w:u w:val="none" w:color="auto"/>
                      <w14:textFill>
                        <w14:solidFill>
                          <w14:schemeClr w14:val="tx1"/>
                        </w14:solidFill>
                      </w14:textFill>
                    </w:rPr>
                    <w:t>序号</w:t>
                  </w:r>
                </w:p>
              </w:tc>
              <w:tc>
                <w:tcPr>
                  <w:tcW w:w="1921" w:type="dxa"/>
                  <w:tcBorders>
                    <w:tl2br w:val="nil"/>
                    <w:tr2bl w:val="nil"/>
                  </w:tcBorders>
                  <w:vAlign w:val="center"/>
                </w:tcPr>
                <w:p w14:paraId="7E850F3D">
                  <w:pPr>
                    <w:pStyle w:val="57"/>
                    <w:ind w:left="0" w:leftChars="0" w:right="0" w:rightChars="0" w:firstLine="0" w:firstLineChars="0"/>
                    <w:jc w:val="center"/>
                    <w:rPr>
                      <w:rFonts w:hint="default" w:ascii="Times New Roman" w:hAnsi="Times New Roman" w:eastAsia="宋体"/>
                      <w:b w:val="0"/>
                      <w:bCs/>
                      <w:color w:val="000000" w:themeColor="text1"/>
                      <w:u w:val="none" w:color="auto"/>
                      <w14:textFill>
                        <w14:solidFill>
                          <w14:schemeClr w14:val="tx1"/>
                        </w14:solidFill>
                      </w14:textFill>
                    </w:rPr>
                  </w:pPr>
                  <w:r>
                    <w:rPr>
                      <w:rFonts w:hint="default" w:ascii="Times New Roman" w:hAnsi="Times New Roman" w:eastAsia="宋体"/>
                      <w:b w:val="0"/>
                      <w:bCs/>
                      <w:color w:val="000000" w:themeColor="text1"/>
                      <w:u w:val="none" w:color="auto"/>
                      <w14:textFill>
                        <w14:solidFill>
                          <w14:schemeClr w14:val="tx1"/>
                        </w14:solidFill>
                      </w14:textFill>
                    </w:rPr>
                    <w:t>物质名称</w:t>
                  </w:r>
                </w:p>
              </w:tc>
              <w:tc>
                <w:tcPr>
                  <w:tcW w:w="2113" w:type="dxa"/>
                  <w:tcBorders>
                    <w:tl2br w:val="nil"/>
                    <w:tr2bl w:val="nil"/>
                  </w:tcBorders>
                  <w:vAlign w:val="center"/>
                </w:tcPr>
                <w:p w14:paraId="51A68501">
                  <w:pPr>
                    <w:pStyle w:val="57"/>
                    <w:ind w:left="0" w:leftChars="0" w:right="0" w:rightChars="0" w:firstLine="0" w:firstLineChars="0"/>
                    <w:jc w:val="center"/>
                    <w:rPr>
                      <w:rFonts w:hint="default" w:ascii="Times New Roman" w:hAnsi="Times New Roman" w:eastAsia="宋体"/>
                      <w:b w:val="0"/>
                      <w:bCs/>
                      <w:color w:val="000000" w:themeColor="text1"/>
                      <w:u w:val="none" w:color="auto"/>
                      <w14:textFill>
                        <w14:solidFill>
                          <w14:schemeClr w14:val="tx1"/>
                        </w14:solidFill>
                      </w14:textFill>
                    </w:rPr>
                  </w:pPr>
                  <w:r>
                    <w:rPr>
                      <w:rFonts w:hint="default" w:ascii="Times New Roman" w:hAnsi="Times New Roman" w:eastAsia="宋体"/>
                      <w:b w:val="0"/>
                      <w:bCs/>
                      <w:color w:val="000000" w:themeColor="text1"/>
                      <w:u w:val="none" w:color="auto"/>
                      <w14:textFill>
                        <w14:solidFill>
                          <w14:schemeClr w14:val="tx1"/>
                        </w14:solidFill>
                      </w14:textFill>
                    </w:rPr>
                    <w:t>最大储存量（t）</w:t>
                  </w:r>
                </w:p>
              </w:tc>
              <w:tc>
                <w:tcPr>
                  <w:tcW w:w="1568" w:type="dxa"/>
                  <w:tcBorders>
                    <w:tl2br w:val="nil"/>
                    <w:tr2bl w:val="nil"/>
                  </w:tcBorders>
                  <w:vAlign w:val="center"/>
                </w:tcPr>
                <w:p w14:paraId="7C495C4A">
                  <w:pPr>
                    <w:pStyle w:val="57"/>
                    <w:ind w:left="0" w:leftChars="0" w:right="0" w:rightChars="0" w:firstLine="0" w:firstLineChars="0"/>
                    <w:jc w:val="center"/>
                    <w:rPr>
                      <w:rFonts w:hint="default" w:ascii="Times New Roman" w:hAnsi="Times New Roman" w:eastAsia="宋体"/>
                      <w:b w:val="0"/>
                      <w:bCs/>
                      <w:color w:val="000000" w:themeColor="text1"/>
                      <w:u w:val="none" w:color="auto"/>
                      <w14:textFill>
                        <w14:solidFill>
                          <w14:schemeClr w14:val="tx1"/>
                        </w14:solidFill>
                      </w14:textFill>
                    </w:rPr>
                  </w:pPr>
                  <w:r>
                    <w:rPr>
                      <w:rFonts w:hint="default" w:ascii="Times New Roman" w:hAnsi="Times New Roman" w:eastAsia="宋体"/>
                      <w:b w:val="0"/>
                      <w:bCs/>
                      <w:color w:val="000000" w:themeColor="text1"/>
                      <w:u w:val="none" w:color="auto"/>
                      <w14:textFill>
                        <w14:solidFill>
                          <w14:schemeClr w14:val="tx1"/>
                        </w14:solidFill>
                      </w14:textFill>
                    </w:rPr>
                    <w:t>临界量（t）</w:t>
                  </w:r>
                </w:p>
              </w:tc>
              <w:tc>
                <w:tcPr>
                  <w:tcW w:w="1351" w:type="dxa"/>
                  <w:tcBorders>
                    <w:tl2br w:val="nil"/>
                    <w:tr2bl w:val="nil"/>
                  </w:tcBorders>
                  <w:vAlign w:val="center"/>
                </w:tcPr>
                <w:p w14:paraId="2566766D">
                  <w:pPr>
                    <w:pStyle w:val="57"/>
                    <w:ind w:left="0" w:leftChars="0" w:right="0" w:rightChars="0" w:firstLine="0" w:firstLineChars="0"/>
                    <w:jc w:val="center"/>
                    <w:rPr>
                      <w:rFonts w:hint="default" w:ascii="Times New Roman" w:hAnsi="Times New Roman" w:eastAsia="宋体"/>
                      <w:b w:val="0"/>
                      <w:bCs/>
                      <w:color w:val="000000" w:themeColor="text1"/>
                      <w:u w:val="none" w:color="auto"/>
                      <w14:textFill>
                        <w14:solidFill>
                          <w14:schemeClr w14:val="tx1"/>
                        </w14:solidFill>
                      </w14:textFill>
                    </w:rPr>
                  </w:pPr>
                  <w:r>
                    <w:rPr>
                      <w:rFonts w:hint="default" w:ascii="Times New Roman" w:hAnsi="Times New Roman" w:eastAsia="宋体"/>
                      <w:b w:val="0"/>
                      <w:bCs/>
                      <w:color w:val="000000" w:themeColor="text1"/>
                      <w:u w:val="none" w:color="auto"/>
                      <w14:textFill>
                        <w14:solidFill>
                          <w14:schemeClr w14:val="tx1"/>
                        </w14:solidFill>
                      </w14:textFill>
                    </w:rPr>
                    <w:t>Q</w:t>
                  </w:r>
                </w:p>
              </w:tc>
            </w:tr>
            <w:tr w14:paraId="3E125D4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02" w:hRule="atLeast"/>
                <w:jc w:val="center"/>
              </w:trPr>
              <w:tc>
                <w:tcPr>
                  <w:tcW w:w="824" w:type="dxa"/>
                  <w:tcBorders>
                    <w:tl2br w:val="nil"/>
                    <w:tr2bl w:val="nil"/>
                  </w:tcBorders>
                  <w:shd w:val="clear" w:color="auto" w:fill="auto"/>
                  <w:vAlign w:val="center"/>
                </w:tcPr>
                <w:p w14:paraId="78B6D913">
                  <w:pPr>
                    <w:pStyle w:val="57"/>
                    <w:ind w:left="0" w:leftChars="0" w:right="0" w:rightChars="0" w:firstLine="0" w:firstLineChars="0"/>
                    <w:jc w:val="center"/>
                    <w:rPr>
                      <w:rFonts w:hint="default" w:ascii="Times New Roman" w:hAnsi="Times New Roman" w:eastAsia="宋体" w:cstheme="minorBidi"/>
                      <w:b w:val="0"/>
                      <w:bCs/>
                      <w:color w:val="000000" w:themeColor="text1"/>
                      <w:kern w:val="2"/>
                      <w:sz w:val="21"/>
                      <w:szCs w:val="32"/>
                      <w:u w:val="none" w:color="auto"/>
                      <w:lang w:val="en-US" w:eastAsia="zh-CN" w:bidi="ar-SA"/>
                      <w14:textFill>
                        <w14:solidFill>
                          <w14:schemeClr w14:val="tx1"/>
                        </w14:solidFill>
                      </w14:textFill>
                    </w:rPr>
                  </w:pPr>
                  <w:r>
                    <w:rPr>
                      <w:rFonts w:hint="default" w:ascii="Times New Roman" w:hAnsi="Times New Roman" w:eastAsia="宋体"/>
                      <w:b w:val="0"/>
                      <w:bCs/>
                      <w:color w:val="000000" w:themeColor="text1"/>
                      <w:u w:val="none" w:color="auto"/>
                      <w14:textFill>
                        <w14:solidFill>
                          <w14:schemeClr w14:val="tx1"/>
                        </w14:solidFill>
                      </w14:textFill>
                    </w:rPr>
                    <w:t>1</w:t>
                  </w:r>
                </w:p>
              </w:tc>
              <w:tc>
                <w:tcPr>
                  <w:tcW w:w="1921" w:type="dxa"/>
                  <w:tcBorders>
                    <w:tl2br w:val="nil"/>
                    <w:tr2bl w:val="nil"/>
                  </w:tcBorders>
                  <w:vAlign w:val="center"/>
                </w:tcPr>
                <w:p w14:paraId="106B63F7">
                  <w:pPr>
                    <w:pStyle w:val="57"/>
                    <w:ind w:left="0" w:leftChars="0" w:right="0" w:rightChars="0" w:firstLine="0" w:firstLineChars="0"/>
                    <w:jc w:val="center"/>
                    <w:rPr>
                      <w:rFonts w:hint="default" w:ascii="Times New Roman" w:hAnsi="Times New Roman" w:eastAsia="宋体"/>
                      <w:b w:val="0"/>
                      <w:bCs/>
                      <w:color w:val="000000" w:themeColor="text1"/>
                      <w:u w:val="none" w:color="auto"/>
                      <w14:textFill>
                        <w14:solidFill>
                          <w14:schemeClr w14:val="tx1"/>
                        </w14:solidFill>
                      </w14:textFill>
                    </w:rPr>
                  </w:pPr>
                  <w:r>
                    <w:rPr>
                      <w:rFonts w:hint="eastAsia" w:ascii="Times New Roman" w:hAnsi="Times New Roman" w:eastAsia="宋体"/>
                      <w:b w:val="0"/>
                      <w:bCs/>
                      <w:color w:val="000000" w:themeColor="text1"/>
                      <w:u w:val="none" w:color="auto"/>
                      <w14:textFill>
                        <w14:solidFill>
                          <w14:schemeClr w14:val="tx1"/>
                        </w14:solidFill>
                      </w14:textFill>
                    </w:rPr>
                    <w:t>机油</w:t>
                  </w:r>
                </w:p>
              </w:tc>
              <w:tc>
                <w:tcPr>
                  <w:tcW w:w="2113" w:type="dxa"/>
                  <w:tcBorders>
                    <w:tl2br w:val="nil"/>
                    <w:tr2bl w:val="nil"/>
                  </w:tcBorders>
                  <w:vAlign w:val="center"/>
                </w:tcPr>
                <w:p w14:paraId="1796F6D0">
                  <w:pPr>
                    <w:pStyle w:val="57"/>
                    <w:ind w:left="0" w:leftChars="0" w:right="0" w:rightChars="0" w:firstLine="0" w:firstLineChars="0"/>
                    <w:jc w:val="center"/>
                    <w:rPr>
                      <w:rFonts w:hint="default" w:ascii="Times New Roman" w:hAnsi="Times New Roman" w:eastAsia="宋体"/>
                      <w:b w:val="0"/>
                      <w:bCs/>
                      <w:color w:val="000000" w:themeColor="text1"/>
                      <w:u w:val="none" w:color="auto"/>
                      <w:lang w:val="en-US" w:eastAsia="zh-CN"/>
                      <w14:textFill>
                        <w14:solidFill>
                          <w14:schemeClr w14:val="tx1"/>
                        </w14:solidFill>
                      </w14:textFill>
                    </w:rPr>
                  </w:pPr>
                  <w:r>
                    <w:rPr>
                      <w:rFonts w:hint="eastAsia"/>
                      <w:b w:val="0"/>
                      <w:bCs/>
                      <w:color w:val="000000" w:themeColor="text1"/>
                      <w:u w:val="none" w:color="auto"/>
                      <w:lang w:val="en-US" w:eastAsia="zh-CN"/>
                      <w14:textFill>
                        <w14:solidFill>
                          <w14:schemeClr w14:val="tx1"/>
                        </w14:solidFill>
                      </w14:textFill>
                    </w:rPr>
                    <w:t>0.1</w:t>
                  </w:r>
                </w:p>
              </w:tc>
              <w:tc>
                <w:tcPr>
                  <w:tcW w:w="1568" w:type="dxa"/>
                  <w:tcBorders>
                    <w:tl2br w:val="nil"/>
                    <w:tr2bl w:val="nil"/>
                  </w:tcBorders>
                  <w:vAlign w:val="center"/>
                </w:tcPr>
                <w:p w14:paraId="66C815A7">
                  <w:pPr>
                    <w:pStyle w:val="57"/>
                    <w:ind w:left="0" w:leftChars="0" w:right="0" w:rightChars="0" w:firstLine="0" w:firstLineChars="0"/>
                    <w:jc w:val="center"/>
                    <w:rPr>
                      <w:rFonts w:hint="default" w:ascii="Times New Roman" w:hAnsi="Times New Roman" w:eastAsia="宋体"/>
                      <w:b w:val="0"/>
                      <w:bCs/>
                      <w:color w:val="000000" w:themeColor="text1"/>
                      <w:u w:val="none" w:color="auto"/>
                      <w14:textFill>
                        <w14:solidFill>
                          <w14:schemeClr w14:val="tx1"/>
                        </w14:solidFill>
                      </w14:textFill>
                    </w:rPr>
                  </w:pPr>
                  <w:r>
                    <w:rPr>
                      <w:rFonts w:hint="eastAsia" w:ascii="Times New Roman" w:hAnsi="Times New Roman" w:eastAsia="宋体"/>
                      <w:b w:val="0"/>
                      <w:bCs/>
                      <w:color w:val="000000" w:themeColor="text1"/>
                      <w:u w:val="none" w:color="auto"/>
                      <w:lang w:val="en-US" w:eastAsia="zh-CN"/>
                      <w14:textFill>
                        <w14:solidFill>
                          <w14:schemeClr w14:val="tx1"/>
                        </w14:solidFill>
                      </w14:textFill>
                    </w:rPr>
                    <w:t>2500</w:t>
                  </w:r>
                </w:p>
              </w:tc>
              <w:tc>
                <w:tcPr>
                  <w:tcW w:w="1351" w:type="dxa"/>
                  <w:tcBorders>
                    <w:tl2br w:val="nil"/>
                    <w:tr2bl w:val="nil"/>
                  </w:tcBorders>
                  <w:vAlign w:val="center"/>
                </w:tcPr>
                <w:p w14:paraId="01E0160D">
                  <w:pPr>
                    <w:pStyle w:val="57"/>
                    <w:ind w:left="0" w:leftChars="0" w:right="0" w:rightChars="0" w:firstLine="0" w:firstLineChars="0"/>
                    <w:jc w:val="center"/>
                    <w:rPr>
                      <w:rFonts w:hint="default" w:ascii="Times New Roman" w:hAnsi="Times New Roman" w:eastAsia="宋体"/>
                      <w:b w:val="0"/>
                      <w:bCs/>
                      <w:color w:val="000000" w:themeColor="text1"/>
                      <w:u w:val="none" w:color="auto"/>
                      <w:lang w:val="en-US" w:eastAsia="zh-CN"/>
                      <w14:textFill>
                        <w14:solidFill>
                          <w14:schemeClr w14:val="tx1"/>
                        </w14:solidFill>
                      </w14:textFill>
                    </w:rPr>
                  </w:pPr>
                  <w:r>
                    <w:rPr>
                      <w:rFonts w:hint="eastAsia"/>
                      <w:b w:val="0"/>
                      <w:bCs/>
                      <w:color w:val="000000" w:themeColor="text1"/>
                      <w:u w:val="none" w:color="auto"/>
                      <w:lang w:val="en-US" w:eastAsia="zh-CN"/>
                      <w14:textFill>
                        <w14:solidFill>
                          <w14:schemeClr w14:val="tx1"/>
                        </w14:solidFill>
                      </w14:textFill>
                    </w:rPr>
                    <w:t>0.00004</w:t>
                  </w:r>
                </w:p>
              </w:tc>
            </w:tr>
            <w:tr w14:paraId="079D108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73" w:hRule="atLeast"/>
                <w:jc w:val="center"/>
              </w:trPr>
              <w:tc>
                <w:tcPr>
                  <w:tcW w:w="824" w:type="dxa"/>
                  <w:tcBorders>
                    <w:tl2br w:val="nil"/>
                    <w:tr2bl w:val="nil"/>
                  </w:tcBorders>
                  <w:shd w:val="clear" w:color="auto" w:fill="auto"/>
                  <w:vAlign w:val="center"/>
                </w:tcPr>
                <w:p w14:paraId="510C8F5E">
                  <w:pPr>
                    <w:pStyle w:val="57"/>
                    <w:ind w:left="0" w:leftChars="0" w:right="0" w:rightChars="0" w:firstLine="0" w:firstLineChars="0"/>
                    <w:jc w:val="center"/>
                    <w:rPr>
                      <w:rFonts w:hint="default" w:ascii="Times New Roman" w:hAnsi="Times New Roman" w:eastAsia="宋体" w:cstheme="minorBidi"/>
                      <w:b w:val="0"/>
                      <w:bCs/>
                      <w:color w:val="000000" w:themeColor="text1"/>
                      <w:kern w:val="2"/>
                      <w:sz w:val="21"/>
                      <w:szCs w:val="32"/>
                      <w:u w:val="none" w:color="auto"/>
                      <w:lang w:val="en-US" w:eastAsia="zh-CN" w:bidi="ar-SA"/>
                      <w14:textFill>
                        <w14:solidFill>
                          <w14:schemeClr w14:val="tx1"/>
                        </w14:solidFill>
                      </w14:textFill>
                    </w:rPr>
                  </w:pPr>
                  <w:r>
                    <w:rPr>
                      <w:rFonts w:hint="default" w:ascii="Times New Roman" w:hAnsi="Times New Roman" w:eastAsia="宋体"/>
                      <w:b w:val="0"/>
                      <w:bCs/>
                      <w:color w:val="000000" w:themeColor="text1"/>
                      <w:u w:val="none" w:color="auto"/>
                      <w14:textFill>
                        <w14:solidFill>
                          <w14:schemeClr w14:val="tx1"/>
                        </w14:solidFill>
                      </w14:textFill>
                    </w:rPr>
                    <w:t>2</w:t>
                  </w:r>
                </w:p>
              </w:tc>
              <w:tc>
                <w:tcPr>
                  <w:tcW w:w="1921" w:type="dxa"/>
                  <w:tcBorders>
                    <w:tl2br w:val="nil"/>
                    <w:tr2bl w:val="nil"/>
                  </w:tcBorders>
                  <w:vAlign w:val="center"/>
                </w:tcPr>
                <w:p w14:paraId="69E4DC8B">
                  <w:pPr>
                    <w:pStyle w:val="57"/>
                    <w:ind w:left="0" w:leftChars="0" w:right="0" w:rightChars="0" w:firstLine="0" w:firstLineChars="0"/>
                    <w:jc w:val="center"/>
                    <w:rPr>
                      <w:rFonts w:hint="default" w:ascii="Times New Roman" w:hAnsi="Times New Roman" w:eastAsia="宋体"/>
                      <w:b w:val="0"/>
                      <w:bCs/>
                      <w:color w:val="000000" w:themeColor="text1"/>
                      <w:u w:val="none" w:color="auto"/>
                      <w14:textFill>
                        <w14:solidFill>
                          <w14:schemeClr w14:val="tx1"/>
                        </w14:solidFill>
                      </w14:textFill>
                    </w:rPr>
                  </w:pPr>
                  <w:r>
                    <w:rPr>
                      <w:rFonts w:hint="eastAsia" w:ascii="Times New Roman" w:hAnsi="Times New Roman" w:eastAsia="宋体"/>
                      <w:b w:val="0"/>
                      <w:bCs/>
                      <w:color w:val="000000" w:themeColor="text1"/>
                      <w:u w:val="none" w:color="auto"/>
                      <w14:textFill>
                        <w14:solidFill>
                          <w14:schemeClr w14:val="tx1"/>
                        </w14:solidFill>
                      </w14:textFill>
                    </w:rPr>
                    <w:t>废机油</w:t>
                  </w:r>
                </w:p>
              </w:tc>
              <w:tc>
                <w:tcPr>
                  <w:tcW w:w="2113" w:type="dxa"/>
                  <w:tcBorders>
                    <w:tl2br w:val="nil"/>
                    <w:tr2bl w:val="nil"/>
                  </w:tcBorders>
                  <w:vAlign w:val="center"/>
                </w:tcPr>
                <w:p w14:paraId="0BEDA0B5">
                  <w:pPr>
                    <w:pStyle w:val="57"/>
                    <w:ind w:left="0" w:leftChars="0" w:right="0" w:rightChars="0" w:firstLine="0" w:firstLineChars="0"/>
                    <w:jc w:val="center"/>
                    <w:rPr>
                      <w:rFonts w:hint="default" w:ascii="Times New Roman" w:hAnsi="Times New Roman" w:eastAsia="宋体"/>
                      <w:b w:val="0"/>
                      <w:bCs/>
                      <w:color w:val="000000" w:themeColor="text1"/>
                      <w:u w:val="none" w:color="auto"/>
                      <w:lang w:val="en-US" w:eastAsia="zh-CN"/>
                      <w14:textFill>
                        <w14:solidFill>
                          <w14:schemeClr w14:val="tx1"/>
                        </w14:solidFill>
                      </w14:textFill>
                    </w:rPr>
                  </w:pPr>
                  <w:r>
                    <w:rPr>
                      <w:rFonts w:hint="eastAsia" w:ascii="Times New Roman" w:hAnsi="Times New Roman" w:eastAsia="宋体"/>
                      <w:b w:val="0"/>
                      <w:bCs/>
                      <w:color w:val="000000" w:themeColor="text1"/>
                      <w:u w:val="none" w:color="auto"/>
                      <w:lang w:val="en-US" w:eastAsia="zh-CN"/>
                      <w14:textFill>
                        <w14:solidFill>
                          <w14:schemeClr w14:val="tx1"/>
                        </w14:solidFill>
                      </w14:textFill>
                    </w:rPr>
                    <w:t>0.05</w:t>
                  </w:r>
                </w:p>
              </w:tc>
              <w:tc>
                <w:tcPr>
                  <w:tcW w:w="1568" w:type="dxa"/>
                  <w:tcBorders>
                    <w:tl2br w:val="nil"/>
                    <w:tr2bl w:val="nil"/>
                  </w:tcBorders>
                  <w:vAlign w:val="center"/>
                </w:tcPr>
                <w:p w14:paraId="363AFBEC">
                  <w:pPr>
                    <w:pStyle w:val="57"/>
                    <w:ind w:left="0" w:leftChars="0" w:right="0" w:rightChars="0" w:firstLine="0" w:firstLineChars="0"/>
                    <w:jc w:val="center"/>
                    <w:rPr>
                      <w:rFonts w:hint="default" w:ascii="Times New Roman" w:hAnsi="Times New Roman" w:eastAsia="宋体"/>
                      <w:b w:val="0"/>
                      <w:bCs/>
                      <w:color w:val="000000" w:themeColor="text1"/>
                      <w:u w:val="none" w:color="auto"/>
                      <w:lang w:val="en-US" w:eastAsia="zh-CN"/>
                      <w14:textFill>
                        <w14:solidFill>
                          <w14:schemeClr w14:val="tx1"/>
                        </w14:solidFill>
                      </w14:textFill>
                    </w:rPr>
                  </w:pPr>
                  <w:r>
                    <w:rPr>
                      <w:rFonts w:hint="eastAsia"/>
                      <w:b w:val="0"/>
                      <w:bCs/>
                      <w:color w:val="000000" w:themeColor="text1"/>
                      <w:u w:val="none" w:color="auto"/>
                      <w:lang w:val="en-US" w:eastAsia="zh-CN"/>
                      <w14:textFill>
                        <w14:solidFill>
                          <w14:schemeClr w14:val="tx1"/>
                        </w14:solidFill>
                      </w14:textFill>
                    </w:rPr>
                    <w:t>50</w:t>
                  </w:r>
                </w:p>
              </w:tc>
              <w:tc>
                <w:tcPr>
                  <w:tcW w:w="1351" w:type="dxa"/>
                  <w:tcBorders>
                    <w:tl2br w:val="nil"/>
                    <w:tr2bl w:val="nil"/>
                  </w:tcBorders>
                  <w:vAlign w:val="center"/>
                </w:tcPr>
                <w:p w14:paraId="0FDF611B">
                  <w:pPr>
                    <w:pStyle w:val="57"/>
                    <w:ind w:left="0" w:leftChars="0" w:right="0" w:rightChars="0" w:firstLine="0" w:firstLineChars="0"/>
                    <w:jc w:val="center"/>
                    <w:rPr>
                      <w:rFonts w:hint="default" w:ascii="Times New Roman" w:hAnsi="Times New Roman" w:eastAsia="宋体"/>
                      <w:b w:val="0"/>
                      <w:bCs/>
                      <w:color w:val="000000" w:themeColor="text1"/>
                      <w:u w:val="none" w:color="auto"/>
                      <w:lang w:val="en-US" w:eastAsia="zh-CN"/>
                      <w14:textFill>
                        <w14:solidFill>
                          <w14:schemeClr w14:val="tx1"/>
                        </w14:solidFill>
                      </w14:textFill>
                    </w:rPr>
                  </w:pPr>
                  <w:r>
                    <w:rPr>
                      <w:rFonts w:hint="eastAsia"/>
                      <w:b w:val="0"/>
                      <w:bCs/>
                      <w:color w:val="000000" w:themeColor="text1"/>
                      <w:u w:val="none" w:color="auto"/>
                      <w:lang w:val="en-US" w:eastAsia="zh-CN"/>
                      <w14:textFill>
                        <w14:solidFill>
                          <w14:schemeClr w14:val="tx1"/>
                        </w14:solidFill>
                      </w14:textFill>
                    </w:rPr>
                    <w:t>0.001</w:t>
                  </w:r>
                </w:p>
              </w:tc>
            </w:tr>
            <w:tr w14:paraId="04F584F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73" w:hRule="atLeast"/>
                <w:jc w:val="center"/>
              </w:trPr>
              <w:tc>
                <w:tcPr>
                  <w:tcW w:w="824" w:type="dxa"/>
                  <w:tcBorders>
                    <w:tl2br w:val="nil"/>
                    <w:tr2bl w:val="nil"/>
                  </w:tcBorders>
                  <w:shd w:val="clear" w:color="auto" w:fill="auto"/>
                  <w:vAlign w:val="center"/>
                </w:tcPr>
                <w:p w14:paraId="2F8F6B46">
                  <w:pPr>
                    <w:pStyle w:val="57"/>
                    <w:ind w:left="0" w:leftChars="0" w:right="0" w:rightChars="0" w:firstLine="0" w:firstLineChars="0"/>
                    <w:jc w:val="center"/>
                    <w:rPr>
                      <w:rFonts w:hint="default" w:ascii="Times New Roman" w:hAnsi="Times New Roman" w:eastAsia="宋体" w:cstheme="minorBidi"/>
                      <w:b w:val="0"/>
                      <w:bCs/>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eastAsia="宋体"/>
                      <w:b w:val="0"/>
                      <w:bCs/>
                      <w:color w:val="000000" w:themeColor="text1"/>
                      <w:u w:val="none" w:color="auto"/>
                      <w:lang w:val="en-US" w:eastAsia="zh-CN"/>
                      <w14:textFill>
                        <w14:solidFill>
                          <w14:schemeClr w14:val="tx1"/>
                        </w14:solidFill>
                      </w14:textFill>
                    </w:rPr>
                    <w:t>3</w:t>
                  </w:r>
                </w:p>
              </w:tc>
              <w:tc>
                <w:tcPr>
                  <w:tcW w:w="1921" w:type="dxa"/>
                  <w:tcBorders>
                    <w:tl2br w:val="nil"/>
                    <w:tr2bl w:val="nil"/>
                  </w:tcBorders>
                  <w:vAlign w:val="center"/>
                </w:tcPr>
                <w:p w14:paraId="2C1335AC">
                  <w:pPr>
                    <w:pStyle w:val="57"/>
                    <w:ind w:left="0" w:leftChars="0" w:right="0" w:rightChars="0" w:firstLine="0" w:firstLineChars="0"/>
                    <w:jc w:val="center"/>
                    <w:rPr>
                      <w:rFonts w:hint="default" w:ascii="Times New Roman" w:hAnsi="Times New Roman" w:eastAsia="宋体"/>
                      <w:b w:val="0"/>
                      <w:bCs/>
                      <w:color w:val="000000" w:themeColor="text1"/>
                      <w:u w:val="none" w:color="auto"/>
                      <w14:textFill>
                        <w14:solidFill>
                          <w14:schemeClr w14:val="tx1"/>
                        </w14:solidFill>
                      </w14:textFill>
                    </w:rPr>
                  </w:pPr>
                  <w:r>
                    <w:rPr>
                      <w:rFonts w:hint="eastAsia" w:ascii="Times New Roman" w:hAnsi="Times New Roman" w:eastAsia="宋体"/>
                      <w:b w:val="0"/>
                      <w:bCs/>
                      <w:color w:val="000000" w:themeColor="text1"/>
                      <w:u w:val="none" w:color="auto"/>
                      <w14:textFill>
                        <w14:solidFill>
                          <w14:schemeClr w14:val="tx1"/>
                        </w14:solidFill>
                      </w14:textFill>
                    </w:rPr>
                    <w:t>废机油桶</w:t>
                  </w:r>
                </w:p>
              </w:tc>
              <w:tc>
                <w:tcPr>
                  <w:tcW w:w="2113" w:type="dxa"/>
                  <w:tcBorders>
                    <w:tl2br w:val="nil"/>
                    <w:tr2bl w:val="nil"/>
                  </w:tcBorders>
                  <w:vAlign w:val="center"/>
                </w:tcPr>
                <w:p w14:paraId="77FEC7C5">
                  <w:pPr>
                    <w:pStyle w:val="57"/>
                    <w:ind w:left="0" w:leftChars="0" w:right="0" w:rightChars="0" w:firstLine="0" w:firstLineChars="0"/>
                    <w:jc w:val="center"/>
                    <w:rPr>
                      <w:rFonts w:hint="default" w:ascii="Times New Roman" w:hAnsi="Times New Roman" w:eastAsia="宋体"/>
                      <w:b w:val="0"/>
                      <w:bCs/>
                      <w:color w:val="000000" w:themeColor="text1"/>
                      <w:u w:val="none" w:color="auto"/>
                      <w:lang w:val="en-US" w:eastAsia="zh-CN"/>
                      <w14:textFill>
                        <w14:solidFill>
                          <w14:schemeClr w14:val="tx1"/>
                        </w14:solidFill>
                      </w14:textFill>
                    </w:rPr>
                  </w:pPr>
                  <w:r>
                    <w:rPr>
                      <w:rFonts w:hint="eastAsia"/>
                      <w:b w:val="0"/>
                      <w:bCs/>
                      <w:color w:val="000000" w:themeColor="text1"/>
                      <w:u w:val="none" w:color="auto"/>
                      <w:lang w:val="en-US" w:eastAsia="zh-CN"/>
                      <w14:textFill>
                        <w14:solidFill>
                          <w14:schemeClr w14:val="tx1"/>
                        </w14:solidFill>
                      </w14:textFill>
                    </w:rPr>
                    <w:t>0.006</w:t>
                  </w:r>
                </w:p>
              </w:tc>
              <w:tc>
                <w:tcPr>
                  <w:tcW w:w="1568" w:type="dxa"/>
                  <w:tcBorders>
                    <w:tl2br w:val="nil"/>
                    <w:tr2bl w:val="nil"/>
                  </w:tcBorders>
                  <w:vAlign w:val="center"/>
                </w:tcPr>
                <w:p w14:paraId="0442CAEE">
                  <w:pPr>
                    <w:pStyle w:val="57"/>
                    <w:ind w:left="0" w:leftChars="0" w:right="0" w:rightChars="0" w:firstLine="0" w:firstLineChars="0"/>
                    <w:jc w:val="center"/>
                    <w:rPr>
                      <w:rFonts w:hint="default" w:ascii="Times New Roman" w:hAnsi="Times New Roman" w:eastAsia="宋体"/>
                      <w:b w:val="0"/>
                      <w:bCs/>
                      <w:color w:val="000000" w:themeColor="text1"/>
                      <w:u w:val="none" w:color="auto"/>
                      <w14:textFill>
                        <w14:solidFill>
                          <w14:schemeClr w14:val="tx1"/>
                        </w14:solidFill>
                      </w14:textFill>
                    </w:rPr>
                  </w:pPr>
                  <w:r>
                    <w:rPr>
                      <w:rFonts w:hint="default" w:ascii="Times New Roman" w:hAnsi="Times New Roman" w:eastAsia="宋体"/>
                      <w:b w:val="0"/>
                      <w:bCs/>
                      <w:color w:val="000000" w:themeColor="text1"/>
                      <w:u w:val="none" w:color="auto"/>
                      <w14:textFill>
                        <w14:solidFill>
                          <w14:schemeClr w14:val="tx1"/>
                        </w14:solidFill>
                      </w14:textFill>
                    </w:rPr>
                    <w:t>50</w:t>
                  </w:r>
                </w:p>
              </w:tc>
              <w:tc>
                <w:tcPr>
                  <w:tcW w:w="1351" w:type="dxa"/>
                  <w:tcBorders>
                    <w:tl2br w:val="nil"/>
                    <w:tr2bl w:val="nil"/>
                  </w:tcBorders>
                  <w:vAlign w:val="center"/>
                </w:tcPr>
                <w:p w14:paraId="116FB167">
                  <w:pPr>
                    <w:pStyle w:val="57"/>
                    <w:ind w:left="0" w:leftChars="0" w:right="0" w:rightChars="0" w:firstLine="0" w:firstLineChars="0"/>
                    <w:jc w:val="center"/>
                    <w:rPr>
                      <w:rFonts w:hint="default" w:ascii="Times New Roman" w:hAnsi="Times New Roman" w:eastAsia="宋体"/>
                      <w:b w:val="0"/>
                      <w:bCs/>
                      <w:color w:val="000000" w:themeColor="text1"/>
                      <w:u w:val="none" w:color="auto"/>
                      <w:lang w:val="en-US" w:eastAsia="zh-CN"/>
                      <w14:textFill>
                        <w14:solidFill>
                          <w14:schemeClr w14:val="tx1"/>
                        </w14:solidFill>
                      </w14:textFill>
                    </w:rPr>
                  </w:pPr>
                  <w:r>
                    <w:rPr>
                      <w:rFonts w:hint="eastAsia"/>
                      <w:b w:val="0"/>
                      <w:bCs/>
                      <w:color w:val="000000" w:themeColor="text1"/>
                      <w:u w:val="none" w:color="auto"/>
                      <w:lang w:val="en-US" w:eastAsia="zh-CN"/>
                      <w14:textFill>
                        <w14:solidFill>
                          <w14:schemeClr w14:val="tx1"/>
                        </w14:solidFill>
                      </w14:textFill>
                    </w:rPr>
                    <w:t>0.00012</w:t>
                  </w:r>
                </w:p>
              </w:tc>
            </w:tr>
            <w:tr w14:paraId="1195D86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73" w:hRule="atLeast"/>
                <w:jc w:val="center"/>
              </w:trPr>
              <w:tc>
                <w:tcPr>
                  <w:tcW w:w="824" w:type="dxa"/>
                  <w:tcBorders>
                    <w:tl2br w:val="nil"/>
                    <w:tr2bl w:val="nil"/>
                  </w:tcBorders>
                  <w:vAlign w:val="center"/>
                </w:tcPr>
                <w:p w14:paraId="5A51C194">
                  <w:pPr>
                    <w:pStyle w:val="57"/>
                    <w:ind w:left="0" w:leftChars="0" w:right="0" w:rightChars="0" w:firstLine="0" w:firstLineChars="0"/>
                    <w:jc w:val="center"/>
                    <w:rPr>
                      <w:rFonts w:hint="default" w:ascii="Times New Roman" w:hAnsi="Times New Roman" w:eastAsia="宋体"/>
                      <w:b w:val="0"/>
                      <w:bCs/>
                      <w:color w:val="000000" w:themeColor="text1"/>
                      <w:u w:val="none" w:color="auto"/>
                      <w:lang w:val="en-US" w:eastAsia="zh-CN"/>
                      <w14:textFill>
                        <w14:solidFill>
                          <w14:schemeClr w14:val="tx1"/>
                        </w14:solidFill>
                      </w14:textFill>
                    </w:rPr>
                  </w:pPr>
                  <w:r>
                    <w:rPr>
                      <w:rFonts w:hint="eastAsia"/>
                      <w:b w:val="0"/>
                      <w:bCs/>
                      <w:color w:val="000000" w:themeColor="text1"/>
                      <w:u w:val="none" w:color="auto"/>
                      <w:lang w:val="en-US" w:eastAsia="zh-CN"/>
                      <w14:textFill>
                        <w14:solidFill>
                          <w14:schemeClr w14:val="tx1"/>
                        </w14:solidFill>
                      </w14:textFill>
                    </w:rPr>
                    <w:t>4</w:t>
                  </w:r>
                </w:p>
              </w:tc>
              <w:tc>
                <w:tcPr>
                  <w:tcW w:w="1921" w:type="dxa"/>
                  <w:tcBorders>
                    <w:tl2br w:val="nil"/>
                    <w:tr2bl w:val="nil"/>
                  </w:tcBorders>
                  <w:vAlign w:val="center"/>
                </w:tcPr>
                <w:p w14:paraId="68F8C651">
                  <w:pPr>
                    <w:pStyle w:val="57"/>
                    <w:ind w:left="0" w:leftChars="0" w:right="0" w:rightChars="0" w:firstLine="0" w:firstLineChars="0"/>
                    <w:jc w:val="center"/>
                    <w:rPr>
                      <w:rFonts w:hint="default" w:ascii="Times New Roman" w:hAnsi="Times New Roman" w:eastAsia="宋体"/>
                      <w:b w:val="0"/>
                      <w:bCs/>
                      <w:color w:val="000000" w:themeColor="text1"/>
                      <w:u w:val="none" w:color="auto"/>
                      <w14:textFill>
                        <w14:solidFill>
                          <w14:schemeClr w14:val="tx1"/>
                        </w14:solidFill>
                      </w14:textFill>
                    </w:rPr>
                  </w:pPr>
                  <w:r>
                    <w:rPr>
                      <w:rFonts w:hint="eastAsia" w:ascii="Times New Roman" w:hAnsi="Times New Roman" w:eastAsia="宋体"/>
                      <w:b w:val="0"/>
                      <w:bCs/>
                      <w:color w:val="000000" w:themeColor="text1"/>
                      <w:u w:val="none" w:color="auto"/>
                      <w14:textFill>
                        <w14:solidFill>
                          <w14:schemeClr w14:val="tx1"/>
                        </w14:solidFill>
                      </w14:textFill>
                    </w:rPr>
                    <w:t>含油废抹布和手套</w:t>
                  </w:r>
                </w:p>
              </w:tc>
              <w:tc>
                <w:tcPr>
                  <w:tcW w:w="2113" w:type="dxa"/>
                  <w:tcBorders>
                    <w:tl2br w:val="nil"/>
                    <w:tr2bl w:val="nil"/>
                  </w:tcBorders>
                  <w:vAlign w:val="center"/>
                </w:tcPr>
                <w:p w14:paraId="78E05F74">
                  <w:pPr>
                    <w:pStyle w:val="57"/>
                    <w:ind w:left="0" w:leftChars="0" w:right="0" w:rightChars="0" w:firstLine="0" w:firstLineChars="0"/>
                    <w:jc w:val="center"/>
                    <w:rPr>
                      <w:rFonts w:hint="default" w:ascii="Times New Roman" w:hAnsi="Times New Roman" w:eastAsia="宋体"/>
                      <w:b w:val="0"/>
                      <w:bCs/>
                      <w:color w:val="000000" w:themeColor="text1"/>
                      <w:u w:val="none" w:color="auto"/>
                      <w:lang w:val="en-US" w:eastAsia="zh-CN"/>
                      <w14:textFill>
                        <w14:solidFill>
                          <w14:schemeClr w14:val="tx1"/>
                        </w14:solidFill>
                      </w14:textFill>
                    </w:rPr>
                  </w:pPr>
                  <w:r>
                    <w:rPr>
                      <w:rFonts w:hint="eastAsia" w:ascii="Times New Roman" w:hAnsi="Times New Roman" w:eastAsia="宋体"/>
                      <w:b w:val="0"/>
                      <w:bCs/>
                      <w:color w:val="000000" w:themeColor="text1"/>
                      <w:u w:val="none" w:color="auto"/>
                      <w:lang w:val="en-US" w:eastAsia="zh-CN"/>
                      <w14:textFill>
                        <w14:solidFill>
                          <w14:schemeClr w14:val="tx1"/>
                        </w14:solidFill>
                      </w14:textFill>
                    </w:rPr>
                    <w:t>0.01</w:t>
                  </w:r>
                </w:p>
              </w:tc>
              <w:tc>
                <w:tcPr>
                  <w:tcW w:w="1568" w:type="dxa"/>
                  <w:tcBorders>
                    <w:tl2br w:val="nil"/>
                    <w:tr2bl w:val="nil"/>
                  </w:tcBorders>
                  <w:vAlign w:val="center"/>
                </w:tcPr>
                <w:p w14:paraId="22F110C4">
                  <w:pPr>
                    <w:pStyle w:val="57"/>
                    <w:ind w:left="0" w:leftChars="0" w:right="0" w:rightChars="0" w:firstLine="0" w:firstLineChars="0"/>
                    <w:jc w:val="center"/>
                    <w:rPr>
                      <w:rFonts w:hint="default" w:ascii="Times New Roman" w:hAnsi="Times New Roman" w:eastAsia="宋体"/>
                      <w:b w:val="0"/>
                      <w:bCs/>
                      <w:color w:val="000000" w:themeColor="text1"/>
                      <w:u w:val="none" w:color="auto"/>
                      <w14:textFill>
                        <w14:solidFill>
                          <w14:schemeClr w14:val="tx1"/>
                        </w14:solidFill>
                      </w14:textFill>
                    </w:rPr>
                  </w:pPr>
                  <w:r>
                    <w:rPr>
                      <w:rFonts w:hint="default" w:ascii="Times New Roman" w:hAnsi="Times New Roman" w:eastAsia="宋体"/>
                      <w:b w:val="0"/>
                      <w:bCs/>
                      <w:color w:val="000000" w:themeColor="text1"/>
                      <w:u w:val="none" w:color="auto"/>
                      <w14:textFill>
                        <w14:solidFill>
                          <w14:schemeClr w14:val="tx1"/>
                        </w14:solidFill>
                      </w14:textFill>
                    </w:rPr>
                    <w:t>50</w:t>
                  </w:r>
                </w:p>
              </w:tc>
              <w:tc>
                <w:tcPr>
                  <w:tcW w:w="1351" w:type="dxa"/>
                  <w:tcBorders>
                    <w:tl2br w:val="nil"/>
                    <w:tr2bl w:val="nil"/>
                  </w:tcBorders>
                  <w:vAlign w:val="center"/>
                </w:tcPr>
                <w:p w14:paraId="3D8407F6">
                  <w:pPr>
                    <w:pStyle w:val="57"/>
                    <w:ind w:left="0" w:leftChars="0" w:right="0" w:rightChars="0" w:firstLine="0" w:firstLineChars="0"/>
                    <w:jc w:val="center"/>
                    <w:rPr>
                      <w:rFonts w:hint="default" w:ascii="Times New Roman" w:hAnsi="Times New Roman" w:eastAsia="宋体"/>
                      <w:b w:val="0"/>
                      <w:bCs/>
                      <w:color w:val="000000" w:themeColor="text1"/>
                      <w:u w:val="none" w:color="auto"/>
                      <w:lang w:val="en-US" w:eastAsia="zh-CN"/>
                      <w14:textFill>
                        <w14:solidFill>
                          <w14:schemeClr w14:val="tx1"/>
                        </w14:solidFill>
                      </w14:textFill>
                    </w:rPr>
                  </w:pPr>
                  <w:r>
                    <w:rPr>
                      <w:rFonts w:hint="eastAsia"/>
                      <w:b w:val="0"/>
                      <w:bCs/>
                      <w:color w:val="000000" w:themeColor="text1"/>
                      <w:u w:val="none" w:color="auto"/>
                      <w:lang w:val="en-US" w:eastAsia="zh-CN"/>
                      <w14:textFill>
                        <w14:solidFill>
                          <w14:schemeClr w14:val="tx1"/>
                        </w14:solidFill>
                      </w14:textFill>
                    </w:rPr>
                    <w:t>0.0002</w:t>
                  </w:r>
                </w:p>
              </w:tc>
            </w:tr>
            <w:tr w14:paraId="42E65C0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6426" w:type="dxa"/>
                  <w:gridSpan w:val="4"/>
                  <w:tcBorders>
                    <w:tl2br w:val="nil"/>
                    <w:tr2bl w:val="nil"/>
                  </w:tcBorders>
                  <w:vAlign w:val="center"/>
                </w:tcPr>
                <w:p w14:paraId="59FA3185">
                  <w:pPr>
                    <w:pStyle w:val="57"/>
                    <w:ind w:left="0" w:leftChars="0" w:right="0" w:rightChars="0" w:firstLine="0" w:firstLineChars="0"/>
                    <w:jc w:val="center"/>
                    <w:rPr>
                      <w:rFonts w:hint="default" w:ascii="Times New Roman" w:hAnsi="Times New Roman" w:eastAsia="宋体"/>
                      <w:b w:val="0"/>
                      <w:bCs/>
                      <w:color w:val="000000" w:themeColor="text1"/>
                      <w:u w:val="none" w:color="auto"/>
                      <w14:textFill>
                        <w14:solidFill>
                          <w14:schemeClr w14:val="tx1"/>
                        </w14:solidFill>
                      </w14:textFill>
                    </w:rPr>
                  </w:pPr>
                  <w:r>
                    <w:rPr>
                      <w:rFonts w:hint="default" w:ascii="Times New Roman" w:hAnsi="Times New Roman" w:eastAsia="宋体"/>
                      <w:b w:val="0"/>
                      <w:bCs/>
                      <w:color w:val="000000" w:themeColor="text1"/>
                      <w:u w:val="none" w:color="auto"/>
                      <w14:textFill>
                        <w14:solidFill>
                          <w14:schemeClr w14:val="tx1"/>
                        </w14:solidFill>
                      </w14:textFill>
                    </w:rPr>
                    <w:t>Q值</w:t>
                  </w:r>
                </w:p>
              </w:tc>
              <w:tc>
                <w:tcPr>
                  <w:tcW w:w="1351" w:type="dxa"/>
                  <w:tcBorders>
                    <w:tl2br w:val="nil"/>
                    <w:tr2bl w:val="nil"/>
                  </w:tcBorders>
                  <w:vAlign w:val="center"/>
                </w:tcPr>
                <w:p w14:paraId="6E4AB3F3">
                  <w:pPr>
                    <w:pStyle w:val="57"/>
                    <w:ind w:left="0" w:leftChars="0" w:right="0" w:rightChars="0" w:firstLine="0" w:firstLineChars="0"/>
                    <w:jc w:val="center"/>
                    <w:rPr>
                      <w:rFonts w:hint="default" w:ascii="Times New Roman" w:hAnsi="Times New Roman" w:eastAsia="宋体"/>
                      <w:b w:val="0"/>
                      <w:bCs/>
                      <w:color w:val="000000" w:themeColor="text1"/>
                      <w:u w:val="none" w:color="auto"/>
                      <w:lang w:val="en-US" w:eastAsia="zh-CN"/>
                      <w14:textFill>
                        <w14:solidFill>
                          <w14:schemeClr w14:val="tx1"/>
                        </w14:solidFill>
                      </w14:textFill>
                    </w:rPr>
                  </w:pPr>
                  <w:r>
                    <w:rPr>
                      <w:rFonts w:hint="eastAsia"/>
                      <w:b w:val="0"/>
                      <w:bCs/>
                      <w:color w:val="000000" w:themeColor="text1"/>
                      <w:u w:val="none" w:color="auto"/>
                      <w:lang w:val="en-US" w:eastAsia="zh-CN"/>
                      <w14:textFill>
                        <w14:solidFill>
                          <w14:schemeClr w14:val="tx1"/>
                        </w14:solidFill>
                      </w14:textFill>
                    </w:rPr>
                    <w:t>0.00136</w:t>
                  </w:r>
                </w:p>
              </w:tc>
            </w:tr>
          </w:tbl>
          <w:p w14:paraId="1A66326C">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根据《建设项目环境风险评价技术导则》（HJ 169-2018），本项目Q值0.0</w:t>
            </w: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0136</w:t>
            </w:r>
            <w:r>
              <w:rPr>
                <w:rFonts w:hint="default" w:ascii="Times New Roman" w:hAnsi="Times New Roman" w:eastAsia="宋体" w:cs="Times New Roman"/>
                <w:color w:val="000000" w:themeColor="text1"/>
                <w:sz w:val="24"/>
                <w:szCs w:val="24"/>
                <w:u w:val="none" w:color="auto"/>
                <w14:textFill>
                  <w14:solidFill>
                    <w14:schemeClr w14:val="tx1"/>
                  </w14:solidFill>
                </w14:textFill>
              </w:rPr>
              <w:t>＜1，故本项目环境风险潜势为Ⅰ，可开展简单分析。</w:t>
            </w:r>
          </w:p>
          <w:p w14:paraId="5DA90896">
            <w:pPr>
              <w:spacing w:line="360" w:lineRule="auto"/>
              <w:ind w:firstLine="480" w:firstLineChars="200"/>
              <w:rPr>
                <w:rFonts w:hint="default" w:ascii="Times New Roman" w:hAnsi="Times New Roman" w:eastAsia="宋体" w:cs="Times New Roman"/>
                <w:b w:val="0"/>
                <w:bCs w:val="0"/>
                <w:color w:val="000000" w:themeColor="text1"/>
                <w:sz w:val="24"/>
                <w:szCs w:val="24"/>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u w:val="none" w:color="auto"/>
                <w:lang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u w:val="none" w:color="auto"/>
                <w:lang w:val="en-US" w:eastAsia="zh-CN"/>
                <w14:textFill>
                  <w14:solidFill>
                    <w14:schemeClr w14:val="tx1"/>
                  </w14:solidFill>
                </w14:textFill>
              </w:rPr>
              <w:t>3</w:t>
            </w:r>
            <w:r>
              <w:rPr>
                <w:rFonts w:hint="eastAsia" w:ascii="Times New Roman" w:hAnsi="Times New Roman" w:eastAsia="宋体" w:cs="Times New Roman"/>
                <w:b w:val="0"/>
                <w:bCs w:val="0"/>
                <w:color w:val="000000" w:themeColor="text1"/>
                <w:sz w:val="24"/>
                <w:szCs w:val="24"/>
                <w:u w:val="none" w:color="auto"/>
                <w:lang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u w:val="none" w:color="auto"/>
                <w:lang w:val="en-US" w:eastAsia="zh-CN"/>
                <w14:textFill>
                  <w14:solidFill>
                    <w14:schemeClr w14:val="tx1"/>
                  </w14:solidFill>
                </w14:textFill>
              </w:rPr>
              <w:t>环境风险识别</w:t>
            </w:r>
          </w:p>
          <w:p w14:paraId="41DAD69B">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u w:val="none" w:color="auto"/>
                <w:lang w:eastAsia="zh-CN"/>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主要风险源有原辅材料遇明火引发火灾，不注意用电安全引起的短路或违反操作规程使用锅炉设备导致爆炸引起火灾，产生的次生污染物对大气环境造成污染</w:t>
            </w:r>
            <w:r>
              <w:rPr>
                <w:rFonts w:hint="eastAsia" w:ascii="Times New Roman" w:hAnsi="Times New Roman" w:eastAsia="宋体" w:cs="Times New Roman"/>
                <w:color w:val="000000" w:themeColor="text1"/>
                <w:sz w:val="24"/>
                <w:szCs w:val="24"/>
                <w:u w:val="none" w:color="auto"/>
                <w:lang w:eastAsia="zh-CN"/>
                <w14:textFill>
                  <w14:solidFill>
                    <w14:schemeClr w14:val="tx1"/>
                  </w14:solidFill>
                </w14:textFill>
              </w:rPr>
              <w:t>；</w:t>
            </w:r>
            <w:r>
              <w:rPr>
                <w:rFonts w:hint="default" w:ascii="Times New Roman" w:hAnsi="Times New Roman" w:eastAsia="宋体" w:cs="Times New Roman"/>
                <w:color w:val="000000" w:themeColor="text1"/>
                <w:sz w:val="24"/>
                <w:szCs w:val="24"/>
                <w:u w:val="none" w:color="auto"/>
                <w14:textFill>
                  <w14:solidFill>
                    <w14:schemeClr w14:val="tx1"/>
                  </w14:solidFill>
                </w14:textFill>
              </w:rPr>
              <w:t>废气事故排放污染大气环境</w:t>
            </w:r>
            <w:r>
              <w:rPr>
                <w:rFonts w:hint="eastAsia" w:ascii="Times New Roman" w:hAnsi="Times New Roman" w:eastAsia="宋体" w:cs="Times New Roman"/>
                <w:color w:val="000000" w:themeColor="text1"/>
                <w:sz w:val="24"/>
                <w:szCs w:val="24"/>
                <w:u w:val="none" w:color="auto"/>
                <w:lang w:eastAsia="zh-CN"/>
                <w14:textFill>
                  <w14:solidFill>
                    <w14:schemeClr w14:val="tx1"/>
                  </w14:solidFill>
                </w14:textFill>
              </w:rPr>
              <w:t>；</w:t>
            </w:r>
            <w:r>
              <w:rPr>
                <w:rFonts w:hint="default" w:ascii="Times New Roman" w:hAnsi="Times New Roman" w:eastAsia="宋体" w:cs="Times New Roman"/>
                <w:color w:val="000000" w:themeColor="text1"/>
                <w:sz w:val="24"/>
                <w:szCs w:val="24"/>
                <w:u w:val="none" w:color="auto"/>
                <w14:textFill>
                  <w14:solidFill>
                    <w14:schemeClr w14:val="tx1"/>
                  </w14:solidFill>
                </w14:textFill>
              </w:rPr>
              <w:t>危废泄漏污染土壤环境</w:t>
            </w:r>
            <w:r>
              <w:rPr>
                <w:rFonts w:hint="eastAsia" w:ascii="Times New Roman" w:hAnsi="Times New Roman" w:eastAsia="宋体" w:cs="Times New Roman"/>
                <w:color w:val="000000" w:themeColor="text1"/>
                <w:sz w:val="24"/>
                <w:szCs w:val="24"/>
                <w:u w:val="none" w:color="auto"/>
                <w:lang w:eastAsia="zh-CN"/>
                <w14:textFill>
                  <w14:solidFill>
                    <w14:schemeClr w14:val="tx1"/>
                  </w14:solidFill>
                </w14:textFill>
              </w:rPr>
              <w:t>。</w:t>
            </w:r>
          </w:p>
          <w:p w14:paraId="3165F402">
            <w:pPr>
              <w:adjustRightInd w:val="0"/>
              <w:snapToGrid w:val="0"/>
              <w:spacing w:line="360" w:lineRule="auto"/>
              <w:ind w:firstLine="480" w:firstLineChars="200"/>
              <w:rPr>
                <w:rFonts w:hint="default" w:ascii="Times New Roman" w:hAnsi="Times New Roman" w:eastAsia="宋体" w:cs="Times New Roman"/>
                <w:b w:val="0"/>
                <w:bCs w:val="0"/>
                <w:color w:val="000000" w:themeColor="text1"/>
                <w:sz w:val="24"/>
                <w:szCs w:val="24"/>
                <w:u w:val="none" w:color="auto"/>
                <w14:textFill>
                  <w14:solidFill>
                    <w14:schemeClr w14:val="tx1"/>
                  </w14:solidFill>
                </w14:textFill>
              </w:rPr>
            </w:pPr>
            <w:r>
              <w:rPr>
                <w:rFonts w:hint="eastAsia" w:ascii="Times New Roman" w:hAnsi="Times New Roman" w:eastAsia="宋体" w:cs="Times New Roman"/>
                <w:b w:val="0"/>
                <w:bCs w:val="0"/>
                <w:color w:val="000000" w:themeColor="text1"/>
                <w:sz w:val="24"/>
                <w:szCs w:val="24"/>
                <w:u w:val="none" w:color="auto"/>
                <w:lang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u w:val="none" w:color="auto"/>
                <w:lang w:val="en-US" w:eastAsia="zh-CN"/>
                <w14:textFill>
                  <w14:solidFill>
                    <w14:schemeClr w14:val="tx1"/>
                  </w14:solidFill>
                </w14:textFill>
              </w:rPr>
              <w:t>4</w:t>
            </w:r>
            <w:r>
              <w:rPr>
                <w:rFonts w:hint="eastAsia" w:ascii="Times New Roman" w:hAnsi="Times New Roman" w:eastAsia="宋体" w:cs="Times New Roman"/>
                <w:b w:val="0"/>
                <w:bCs w:val="0"/>
                <w:color w:val="000000" w:themeColor="text1"/>
                <w:sz w:val="24"/>
                <w:szCs w:val="24"/>
                <w:u w:val="none" w:color="auto"/>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u w:val="none" w:color="auto"/>
                <w14:textFill>
                  <w14:solidFill>
                    <w14:schemeClr w14:val="tx1"/>
                  </w14:solidFill>
                </w14:textFill>
              </w:rPr>
              <w:t>环境风险防范措施</w:t>
            </w:r>
          </w:p>
          <w:p w14:paraId="451E8244">
            <w:pPr>
              <w:pStyle w:val="35"/>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①配备有灭火器材等消防设备，消防供水网和消防栓采取防冻措施，安装消防报警设备。严禁动用明火、各种电热器和能引起电火花的电气设备，室外门上应挂</w:t>
            </w:r>
            <w:r>
              <w:rPr>
                <w:rFonts w:hint="eastAsia" w:ascii="Times New Roman" w:hAnsi="Times New Roman" w:eastAsia="宋体" w:cs="Times New Roman"/>
                <w:color w:val="000000" w:themeColor="text1"/>
                <w:sz w:val="24"/>
                <w:szCs w:val="24"/>
                <w:u w:val="none" w:color="auto"/>
                <w:lang w:eastAsia="zh-CN"/>
                <w14:textFill>
                  <w14:solidFill>
                    <w14:schemeClr w14:val="tx1"/>
                  </w14:solidFill>
                </w14:textFill>
              </w:rPr>
              <w:t>“</w:t>
            </w:r>
            <w:r>
              <w:rPr>
                <w:rFonts w:hint="default" w:ascii="Times New Roman" w:hAnsi="Times New Roman" w:eastAsia="宋体" w:cs="Times New Roman"/>
                <w:color w:val="000000" w:themeColor="text1"/>
                <w:sz w:val="24"/>
                <w:szCs w:val="24"/>
                <w:u w:val="none" w:color="auto"/>
                <w14:textFill>
                  <w14:solidFill>
                    <w14:schemeClr w14:val="tx1"/>
                  </w14:solidFill>
                </w14:textFill>
              </w:rPr>
              <w:t>严禁烟火</w:t>
            </w:r>
            <w:r>
              <w:rPr>
                <w:rFonts w:hint="eastAsia" w:ascii="Times New Roman" w:hAnsi="Times New Roman" w:eastAsia="宋体" w:cs="Times New Roman"/>
                <w:color w:val="000000" w:themeColor="text1"/>
                <w:sz w:val="24"/>
                <w:szCs w:val="24"/>
                <w:u w:val="none" w:color="auto"/>
                <w:lang w:eastAsia="zh-CN"/>
                <w14:textFill>
                  <w14:solidFill>
                    <w14:schemeClr w14:val="tx1"/>
                  </w14:solidFill>
                </w14:textFill>
              </w:rPr>
              <w:t>”</w:t>
            </w:r>
            <w:r>
              <w:rPr>
                <w:rFonts w:hint="default" w:ascii="Times New Roman" w:hAnsi="Times New Roman" w:eastAsia="宋体" w:cs="Times New Roman"/>
                <w:color w:val="000000" w:themeColor="text1"/>
                <w:sz w:val="24"/>
                <w:szCs w:val="24"/>
                <w:u w:val="none" w:color="auto"/>
                <w14:textFill>
                  <w14:solidFill>
                    <w14:schemeClr w14:val="tx1"/>
                  </w14:solidFill>
                </w14:textFill>
              </w:rPr>
              <w:t>的警告牌。</w:t>
            </w:r>
          </w:p>
          <w:p w14:paraId="325CCF43">
            <w:pPr>
              <w:pStyle w:val="35"/>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②对锅炉房设置专人管理，定期巡视检查其安全情况，并建议对其作安全评价。</w:t>
            </w:r>
          </w:p>
          <w:p w14:paraId="7C8F8725">
            <w:pPr>
              <w:pStyle w:val="35"/>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③环保设备故障导致废气事故排放，会污染大气环境。企业需要立即停止相关车间生产，待环保设备故障修复后方可生产，同时需在平时加强环保设备和生产系统的维护，定期检修，避免加重厂区和周边环境空气的污染。</w:t>
            </w:r>
          </w:p>
          <w:p w14:paraId="03732F38">
            <w:pPr>
              <w:pStyle w:val="35"/>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④在危险废物暂存间设置防渗漏托盘，若发生危废泄漏，可有效将泄漏物截留在托盘区域，并应立即规范收集至专用密闭容器，防止二次污染。</w:t>
            </w:r>
          </w:p>
          <w:p w14:paraId="0AED038A">
            <w:pPr>
              <w:pStyle w:val="35"/>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⑤</w:t>
            </w:r>
            <w:r>
              <w:rPr>
                <w:rFonts w:hint="default" w:ascii="Times New Roman" w:hAnsi="Times New Roman" w:eastAsia="宋体" w:cs="Times New Roman"/>
                <w:color w:val="000000" w:themeColor="text1"/>
                <w:sz w:val="24"/>
                <w:szCs w:val="24"/>
                <w:u w:val="none" w:color="auto"/>
                <w:lang w:val="en-US" w:eastAsia="zh-CN"/>
                <w14:textFill>
                  <w14:solidFill>
                    <w14:schemeClr w14:val="tx1"/>
                  </w14:solidFill>
                </w14:textFill>
              </w:rPr>
              <w:t>本项目为竹木制品加工项目，厂区堆放大量楠竹原料、竹制半成品及成品，均属于易燃可燃物料，火灾荷载大。若厂区发生火灾事故，消防扑救过程会产生大量消防废水，废水中夹带竹屑、粉尘、燃烧残渣及少量燃烧污染物。若无专用消防事故应急池，消防废水易漫流外排，流入周边沟渠、土壤，造成水体、土壤污染，引发次生环境事故。同时依据消防及环保风险管控规范，易燃物料加工企业必须配套消防废水收集设施，封堵消防废水外排途径，确保火灾事故状态下废水全部收集、不外溢。根据厂区占地面积、易燃物料储存规模</w:t>
            </w: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等</w:t>
            </w:r>
            <w:r>
              <w:rPr>
                <w:rFonts w:hint="default" w:ascii="Times New Roman" w:hAnsi="Times New Roman" w:eastAsia="宋体" w:cs="Times New Roman"/>
                <w:color w:val="000000" w:themeColor="text1"/>
                <w:sz w:val="24"/>
                <w:szCs w:val="24"/>
                <w:u w:val="none" w:color="auto"/>
                <w:lang w:val="en-US" w:eastAsia="zh-CN"/>
                <w14:textFill>
                  <w14:solidFill>
                    <w14:schemeClr w14:val="tx1"/>
                  </w14:solidFill>
                </w14:textFill>
              </w:rPr>
              <w:t>，配套建设有效容积不低于30m</w:t>
            </w:r>
            <w:r>
              <w:rPr>
                <w:rFonts w:hint="eastAsia" w:ascii="Times New Roman" w:hAnsi="Times New Roman" w:eastAsia="宋体" w:cs="Times New Roman"/>
                <w:color w:val="000000" w:themeColor="text1"/>
                <w:sz w:val="24"/>
                <w:szCs w:val="24"/>
                <w:u w:val="none" w:color="auto"/>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u w:val="none" w:color="auto"/>
                <w:lang w:val="en-US" w:eastAsia="zh-CN"/>
                <w14:textFill>
                  <w14:solidFill>
                    <w14:schemeClr w14:val="tx1"/>
                  </w14:solidFill>
                </w14:textFill>
              </w:rPr>
              <w:t>的专用消防事故应急池。池体采用地下封闭式防渗结构，整体防渗、防腐、防冲刷，池体渗透系数≤10</w:t>
            </w:r>
            <w:r>
              <w:rPr>
                <w:rFonts w:hint="eastAsia" w:ascii="Times New Roman" w:hAnsi="Times New Roman" w:eastAsia="宋体" w:cs="Times New Roman"/>
                <w:color w:val="000000" w:themeColor="text1"/>
                <w:sz w:val="24"/>
                <w:szCs w:val="24"/>
                <w:u w:val="none" w:color="auto"/>
                <w:vertAlign w:val="superscript"/>
                <w:lang w:val="en-US" w:eastAsia="zh-CN"/>
                <w14:textFill>
                  <w14:solidFill>
                    <w14:schemeClr w14:val="tx1"/>
                  </w14:solidFill>
                </w14:textFill>
              </w:rPr>
              <w:t>-10</w:t>
            </w:r>
            <w:r>
              <w:rPr>
                <w:rFonts w:hint="default" w:ascii="Times New Roman" w:hAnsi="Times New Roman" w:eastAsia="宋体" w:cs="Times New Roman"/>
                <w:color w:val="000000" w:themeColor="text1"/>
                <w:sz w:val="24"/>
                <w:szCs w:val="24"/>
                <w:u w:val="none" w:color="auto"/>
                <w:lang w:val="en-US" w:eastAsia="zh-CN"/>
                <w14:textFill>
                  <w14:solidFill>
                    <w14:schemeClr w14:val="tx1"/>
                  </w14:solidFill>
                </w14:textFill>
              </w:rPr>
              <w:t>cm/s，耐受消防废水冲刷浸泡，无渗漏隐患。</w:t>
            </w:r>
          </w:p>
          <w:p w14:paraId="28147B7F">
            <w:pPr>
              <w:pStyle w:val="35"/>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综上，建设单位做好防范措施，建立健全突发环境事故应急组织机构，以便采取更有效的措施来监测灾情及防止污染事故的进一步扩散。在采取以上措施的情况下，本项目风险事故发生概率很低，环境风险在可接受范围内</w:t>
            </w:r>
          </w:p>
          <w:p w14:paraId="41AB0DDB">
            <w:pPr>
              <w:pStyle w:val="35"/>
              <w:ind w:firstLine="480"/>
              <w:rPr>
                <w:b/>
                <w:bCs/>
                <w:color w:val="000000" w:themeColor="text1"/>
                <w:u w:val="none" w:color="auto"/>
                <w14:textFill>
                  <w14:solidFill>
                    <w14:schemeClr w14:val="tx1"/>
                  </w14:solidFill>
                </w14:textFill>
              </w:rPr>
            </w:pPr>
            <w:r>
              <w:rPr>
                <w:rFonts w:hint="eastAsia" w:cs="Times New Roman"/>
                <w:b/>
                <w:bCs/>
                <w:color w:val="000000" w:themeColor="text1"/>
                <w:kern w:val="2"/>
                <w:sz w:val="24"/>
                <w:szCs w:val="24"/>
                <w:lang w:val="en-US" w:eastAsia="zh-CN" w:bidi="ar-SA"/>
                <w14:textFill>
                  <w14:solidFill>
                    <w14:schemeClr w14:val="tx1"/>
                  </w14:solidFill>
                </w14:textFill>
              </w:rPr>
              <w:t>7</w:t>
            </w:r>
            <w:r>
              <w:rPr>
                <w:rFonts w:hint="eastAsia"/>
                <w:b/>
                <w:bCs/>
                <w:color w:val="000000" w:themeColor="text1"/>
                <w:u w:val="none" w:color="auto"/>
                <w14:textFill>
                  <w14:solidFill>
                    <w14:schemeClr w14:val="tx1"/>
                  </w14:solidFill>
                </w14:textFill>
              </w:rPr>
              <w:t>、环保投资估算</w:t>
            </w:r>
          </w:p>
          <w:p w14:paraId="3ED989E9">
            <w:pPr>
              <w:pStyle w:val="75"/>
              <w:ind w:firstLine="480"/>
              <w:rPr>
                <w:color w:val="000000" w:themeColor="text1"/>
                <w:u w:val="none" w:color="auto"/>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本</w:t>
            </w:r>
            <w:r>
              <w:rPr>
                <w:rFonts w:hint="eastAsia"/>
                <w:color w:val="000000" w:themeColor="text1"/>
                <w:u w:val="none" w:color="auto"/>
                <w14:textFill>
                  <w14:solidFill>
                    <w14:schemeClr w14:val="tx1"/>
                  </w14:solidFill>
                </w14:textFill>
              </w:rPr>
              <w:t>项目总投资</w:t>
            </w:r>
            <w:r>
              <w:rPr>
                <w:rFonts w:hint="eastAsia"/>
                <w:color w:val="000000" w:themeColor="text1"/>
                <w:u w:val="none" w:color="auto"/>
                <w:lang w:val="en-US" w:eastAsia="zh-CN"/>
                <w14:textFill>
                  <w14:solidFill>
                    <w14:schemeClr w14:val="tx1"/>
                  </w14:solidFill>
                </w14:textFill>
              </w:rPr>
              <w:t>200</w:t>
            </w:r>
            <w:r>
              <w:rPr>
                <w:rFonts w:hint="eastAsia"/>
                <w:color w:val="000000" w:themeColor="text1"/>
                <w:u w:val="none" w:color="auto"/>
                <w14:textFill>
                  <w14:solidFill>
                    <w14:schemeClr w14:val="tx1"/>
                  </w14:solidFill>
                </w14:textFill>
              </w:rPr>
              <w:t>万元，其中环保投资</w:t>
            </w:r>
            <w:r>
              <w:rPr>
                <w:rFonts w:hint="eastAsia"/>
                <w:color w:val="000000" w:themeColor="text1"/>
                <w:u w:val="none" w:color="auto"/>
                <w:lang w:val="en-US" w:eastAsia="zh-CN"/>
                <w14:textFill>
                  <w14:solidFill>
                    <w14:schemeClr w14:val="tx1"/>
                  </w14:solidFill>
                </w14:textFill>
              </w:rPr>
              <w:t>41.5</w:t>
            </w:r>
            <w:r>
              <w:rPr>
                <w:rFonts w:hint="eastAsia"/>
                <w:color w:val="000000" w:themeColor="text1"/>
                <w:u w:val="none" w:color="auto"/>
                <w14:textFill>
                  <w14:solidFill>
                    <w14:schemeClr w14:val="tx1"/>
                  </w14:solidFill>
                </w14:textFill>
              </w:rPr>
              <w:t>万元，占工程总投资的</w:t>
            </w:r>
            <w:r>
              <w:rPr>
                <w:rFonts w:hint="eastAsia"/>
                <w:color w:val="000000" w:themeColor="text1"/>
                <w:u w:val="none" w:color="auto"/>
                <w:lang w:val="en-US" w:eastAsia="zh-CN"/>
                <w14:textFill>
                  <w14:solidFill>
                    <w14:schemeClr w14:val="tx1"/>
                  </w14:solidFill>
                </w14:textFill>
              </w:rPr>
              <w:t>20.75</w:t>
            </w:r>
            <w:r>
              <w:rPr>
                <w:rFonts w:hint="eastAsia"/>
                <w:color w:val="000000" w:themeColor="text1"/>
                <w:u w:val="none" w:color="auto"/>
                <w14:textFill>
                  <w14:solidFill>
                    <w14:schemeClr w14:val="tx1"/>
                  </w14:solidFill>
                </w14:textFill>
              </w:rPr>
              <w:t>%，具体明细如下：</w:t>
            </w:r>
          </w:p>
          <w:p w14:paraId="36A60883">
            <w:pPr>
              <w:pStyle w:val="34"/>
              <w:keepNext w:val="0"/>
              <w:keepLines w:val="0"/>
              <w:pageBreakBefore w:val="0"/>
              <w:widowControl w:val="0"/>
              <w:kinsoku/>
              <w:wordWrap/>
              <w:overflowPunct/>
              <w:topLinePunct w:val="0"/>
              <w:autoSpaceDE/>
              <w:autoSpaceDN/>
              <w:bidi w:val="0"/>
              <w:adjustRightInd/>
              <w:snapToGrid/>
              <w:spacing w:before="0" w:beforeLines="0"/>
              <w:textAlignment w:val="auto"/>
              <w:rPr>
                <w:color w:val="000000" w:themeColor="text1"/>
                <w:u w:val="none" w:color="auto"/>
                <w14:textFill>
                  <w14:solidFill>
                    <w14:schemeClr w14:val="tx1"/>
                  </w14:solidFill>
                </w14:textFill>
              </w:rPr>
            </w:pPr>
            <w:r>
              <w:rPr>
                <w:rFonts w:hint="eastAsia"/>
                <w:color w:val="000000" w:themeColor="text1"/>
                <w:sz w:val="21"/>
                <w:szCs w:val="21"/>
                <w:u w:val="none" w:color="auto"/>
                <w14:textFill>
                  <w14:solidFill>
                    <w14:schemeClr w14:val="tx1"/>
                  </w14:solidFill>
                </w14:textFill>
              </w:rPr>
              <w:t>表4-</w:t>
            </w:r>
            <w:r>
              <w:rPr>
                <w:rFonts w:hint="eastAsia"/>
                <w:color w:val="000000" w:themeColor="text1"/>
                <w:sz w:val="21"/>
                <w:szCs w:val="21"/>
                <w:u w:val="none" w:color="auto"/>
                <w:lang w:val="en-US" w:eastAsia="zh-CN"/>
                <w14:textFill>
                  <w14:solidFill>
                    <w14:schemeClr w14:val="tx1"/>
                  </w14:solidFill>
                </w14:textFill>
              </w:rPr>
              <w:t>20</w:t>
            </w:r>
            <w:r>
              <w:rPr>
                <w:rFonts w:hint="eastAsia"/>
                <w:color w:val="000000" w:themeColor="text1"/>
                <w:sz w:val="21"/>
                <w:szCs w:val="21"/>
                <w:u w:val="none" w:color="auto"/>
                <w14:textFill>
                  <w14:solidFill>
                    <w14:schemeClr w14:val="tx1"/>
                  </w14:solidFill>
                </w14:textFill>
              </w:rPr>
              <w:t xml:space="preserve">  环保投资估算表</w:t>
            </w:r>
          </w:p>
          <w:tbl>
            <w:tblPr>
              <w:tblStyle w:val="27"/>
              <w:tblW w:w="77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2"/>
              <w:gridCol w:w="863"/>
              <w:gridCol w:w="1358"/>
              <w:gridCol w:w="3838"/>
              <w:gridCol w:w="1229"/>
            </w:tblGrid>
            <w:tr w14:paraId="0C595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16" w:type="pct"/>
                  <w:tcBorders>
                    <w:tl2br w:val="nil"/>
                    <w:tr2bl w:val="nil"/>
                  </w:tcBorders>
                  <w:shd w:val="clear" w:color="auto" w:fill="auto"/>
                  <w:vAlign w:val="center"/>
                </w:tcPr>
                <w:p w14:paraId="63D4FBBF">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序号</w:t>
                  </w:r>
                </w:p>
              </w:tc>
              <w:tc>
                <w:tcPr>
                  <w:tcW w:w="554" w:type="pct"/>
                  <w:tcBorders>
                    <w:tl2br w:val="nil"/>
                    <w:tr2bl w:val="nil"/>
                  </w:tcBorders>
                  <w:shd w:val="clear" w:color="auto" w:fill="auto"/>
                  <w:vAlign w:val="center"/>
                </w:tcPr>
                <w:p w14:paraId="2066AE62">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类别</w:t>
                  </w:r>
                </w:p>
              </w:tc>
              <w:tc>
                <w:tcPr>
                  <w:tcW w:w="872" w:type="pct"/>
                  <w:tcBorders>
                    <w:tl2br w:val="nil"/>
                    <w:tr2bl w:val="nil"/>
                  </w:tcBorders>
                  <w:shd w:val="clear" w:color="auto" w:fill="auto"/>
                  <w:vAlign w:val="center"/>
                </w:tcPr>
                <w:p w14:paraId="7373F071">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治理项目</w:t>
                  </w:r>
                </w:p>
              </w:tc>
              <w:tc>
                <w:tcPr>
                  <w:tcW w:w="2466" w:type="pct"/>
                  <w:tcBorders>
                    <w:tl2br w:val="nil"/>
                    <w:tr2bl w:val="nil"/>
                  </w:tcBorders>
                  <w:shd w:val="clear" w:color="auto" w:fill="auto"/>
                  <w:vAlign w:val="center"/>
                </w:tcPr>
                <w:p w14:paraId="106713DD">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治理措施</w:t>
                  </w:r>
                </w:p>
              </w:tc>
              <w:tc>
                <w:tcPr>
                  <w:tcW w:w="789" w:type="pct"/>
                  <w:tcBorders>
                    <w:tl2br w:val="nil"/>
                    <w:tr2bl w:val="nil"/>
                  </w:tcBorders>
                  <w:shd w:val="clear" w:color="auto" w:fill="auto"/>
                  <w:vAlign w:val="center"/>
                </w:tcPr>
                <w:p w14:paraId="3A095C77">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投资</w:t>
                  </w:r>
                  <w:r>
                    <w:rPr>
                      <w:rFonts w:hint="eastAsia"/>
                      <w:color w:val="000000" w:themeColor="text1"/>
                      <w:u w:val="none" w:color="auto"/>
                      <w14:textFill>
                        <w14:solidFill>
                          <w14:schemeClr w14:val="tx1"/>
                        </w14:solidFill>
                      </w14:textFill>
                    </w:rPr>
                    <w:br w:type="textWrapping"/>
                  </w:r>
                  <w:r>
                    <w:rPr>
                      <w:rFonts w:hint="eastAsia"/>
                      <w:color w:val="000000" w:themeColor="text1"/>
                      <w:u w:val="none" w:color="auto"/>
                      <w14:textFill>
                        <w14:solidFill>
                          <w14:schemeClr w14:val="tx1"/>
                        </w14:solidFill>
                      </w14:textFill>
                    </w:rPr>
                    <w:t>（</w:t>
                  </w:r>
                  <w:r>
                    <w:rPr>
                      <w:color w:val="000000" w:themeColor="text1"/>
                      <w:u w:val="none" w:color="auto"/>
                      <w14:textFill>
                        <w14:solidFill>
                          <w14:schemeClr w14:val="tx1"/>
                        </w14:solidFill>
                      </w14:textFill>
                    </w:rPr>
                    <w:t>万元)</w:t>
                  </w:r>
                </w:p>
              </w:tc>
            </w:tr>
            <w:tr w14:paraId="31104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16" w:type="pct"/>
                  <w:vMerge w:val="restart"/>
                  <w:tcBorders>
                    <w:tl2br w:val="nil"/>
                    <w:tr2bl w:val="nil"/>
                  </w:tcBorders>
                  <w:shd w:val="clear" w:color="auto" w:fill="auto"/>
                  <w:vAlign w:val="center"/>
                </w:tcPr>
                <w:p w14:paraId="07EB7678">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1</w:t>
                  </w:r>
                </w:p>
              </w:tc>
              <w:tc>
                <w:tcPr>
                  <w:tcW w:w="554" w:type="pct"/>
                  <w:vMerge w:val="restart"/>
                  <w:tcBorders>
                    <w:tl2br w:val="nil"/>
                    <w:tr2bl w:val="nil"/>
                  </w:tcBorders>
                  <w:shd w:val="clear" w:color="auto" w:fill="auto"/>
                  <w:vAlign w:val="center"/>
                </w:tcPr>
                <w:p w14:paraId="5E02800A">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废气</w:t>
                  </w:r>
                </w:p>
              </w:tc>
              <w:tc>
                <w:tcPr>
                  <w:tcW w:w="872" w:type="pct"/>
                  <w:tcBorders>
                    <w:tl2br w:val="nil"/>
                    <w:tr2bl w:val="nil"/>
                  </w:tcBorders>
                  <w:shd w:val="clear" w:color="auto" w:fill="auto"/>
                  <w:vAlign w:val="center"/>
                </w:tcPr>
                <w:p w14:paraId="60628B4A">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锅炉烟气</w:t>
                  </w:r>
                </w:p>
              </w:tc>
              <w:tc>
                <w:tcPr>
                  <w:tcW w:w="2466" w:type="pct"/>
                  <w:tcBorders>
                    <w:tl2br w:val="nil"/>
                    <w:tr2bl w:val="nil"/>
                  </w:tcBorders>
                  <w:shd w:val="clear" w:color="auto" w:fill="auto"/>
                  <w:vAlign w:val="center"/>
                </w:tcPr>
                <w:p w14:paraId="7D3DAEC2">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14:textFill>
                        <w14:solidFill>
                          <w14:schemeClr w14:val="tx1"/>
                        </w14:solidFill>
                      </w14:textFill>
                    </w:rPr>
                    <w:t>“</w:t>
                  </w:r>
                  <w:r>
                    <w:rPr>
                      <w:rFonts w:hint="eastAsia"/>
                      <w:color w:val="000000" w:themeColor="text1"/>
                      <w:szCs w:val="21"/>
                      <w14:textFill>
                        <w14:solidFill>
                          <w14:schemeClr w14:val="tx1"/>
                        </w14:solidFill>
                      </w14:textFill>
                    </w:rPr>
                    <w:t>S</w:t>
                  </w:r>
                  <w:r>
                    <w:rPr>
                      <w:color w:val="000000" w:themeColor="text1"/>
                      <w:szCs w:val="21"/>
                      <w14:textFill>
                        <w14:solidFill>
                          <w14:schemeClr w14:val="tx1"/>
                        </w14:solidFill>
                      </w14:textFill>
                    </w:rPr>
                    <w:t>NCR</w:t>
                  </w:r>
                  <w:r>
                    <w:rPr>
                      <w:rFonts w:hint="eastAsia"/>
                      <w:color w:val="000000" w:themeColor="text1"/>
                      <w:szCs w:val="21"/>
                      <w:lang w:val="en-US" w:eastAsia="zh-CN"/>
                      <w14:textFill>
                        <w14:solidFill>
                          <w14:schemeClr w14:val="tx1"/>
                        </w14:solidFill>
                      </w14:textFill>
                    </w:rPr>
                    <w:t>+</w:t>
                  </w:r>
                  <w:r>
                    <w:rPr>
                      <w:rFonts w:hint="eastAsia"/>
                      <w:color w:val="000000" w:themeColor="text1"/>
                      <w:u w:val="none" w:color="auto"/>
                      <w14:textFill>
                        <w14:solidFill>
                          <w14:schemeClr w14:val="tx1"/>
                        </w14:solidFill>
                      </w14:textFill>
                    </w:rPr>
                    <w:t>旋风除尘+袋式除尘</w:t>
                  </w:r>
                  <w:r>
                    <w:rPr>
                      <w:rFonts w:hint="eastAsia"/>
                      <w:color w:val="000000" w:themeColor="text1"/>
                      <w:u w:val="none" w:color="auto"/>
                      <w:lang w:val="en-US" w:eastAsia="zh-CN"/>
                      <w14:textFill>
                        <w14:solidFill>
                          <w14:schemeClr w14:val="tx1"/>
                        </w14:solidFill>
                      </w14:textFill>
                    </w:rPr>
                    <w:t>+水膜除尘</w:t>
                  </w:r>
                  <w:r>
                    <w:rPr>
                      <w:rFonts w:hint="eastAsia"/>
                      <w:color w:val="000000" w:themeColor="text1"/>
                      <w:u w:val="none" w:color="auto"/>
                      <w14:textFill>
                        <w14:solidFill>
                          <w14:schemeClr w14:val="tx1"/>
                        </w14:solidFill>
                      </w14:textFill>
                    </w:rPr>
                    <w:t>”</w:t>
                  </w:r>
                  <w:r>
                    <w:rPr>
                      <w:rFonts w:hint="eastAsia"/>
                      <w:color w:val="000000" w:themeColor="text1"/>
                      <w:u w:val="none" w:color="auto"/>
                      <w:lang w:val="en-US" w:eastAsia="zh-CN"/>
                      <w14:textFill>
                        <w14:solidFill>
                          <w14:schemeClr w14:val="tx1"/>
                        </w14:solidFill>
                      </w14:textFill>
                    </w:rPr>
                    <w:t>+</w:t>
                  </w:r>
                  <w:r>
                    <w:rPr>
                      <w:rFonts w:hint="eastAsia"/>
                      <w:color w:val="000000" w:themeColor="text1"/>
                      <w:u w:val="none" w:color="auto"/>
                      <w14:textFill>
                        <w14:solidFill>
                          <w14:schemeClr w14:val="tx1"/>
                        </w14:solidFill>
                      </w14:textFill>
                    </w:rPr>
                    <w:t>3</w:t>
                  </w:r>
                  <w:r>
                    <w:rPr>
                      <w:rFonts w:hint="eastAsia"/>
                      <w:color w:val="000000" w:themeColor="text1"/>
                      <w:u w:val="none" w:color="auto"/>
                      <w:lang w:val="en-US" w:eastAsia="zh-CN"/>
                      <w14:textFill>
                        <w14:solidFill>
                          <w14:schemeClr w14:val="tx1"/>
                        </w14:solidFill>
                      </w14:textFill>
                    </w:rPr>
                    <w:t>0</w:t>
                  </w:r>
                  <w:r>
                    <w:rPr>
                      <w:rFonts w:hint="eastAsia"/>
                      <w:color w:val="000000" w:themeColor="text1"/>
                      <w:u w:val="none" w:color="auto"/>
                      <w14:textFill>
                        <w14:solidFill>
                          <w14:schemeClr w14:val="tx1"/>
                        </w14:solidFill>
                      </w14:textFill>
                    </w:rPr>
                    <w:t>m排气筒</w:t>
                  </w:r>
                </w:p>
              </w:tc>
              <w:tc>
                <w:tcPr>
                  <w:tcW w:w="789" w:type="pct"/>
                  <w:tcBorders>
                    <w:tl2br w:val="nil"/>
                    <w:tr2bl w:val="nil"/>
                  </w:tcBorders>
                  <w:shd w:val="clear" w:color="auto" w:fill="auto"/>
                  <w:vAlign w:val="center"/>
                </w:tcPr>
                <w:p w14:paraId="4E7025B8">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30</w:t>
                  </w:r>
                </w:p>
              </w:tc>
            </w:tr>
            <w:tr w14:paraId="33832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16" w:type="pct"/>
                  <w:vMerge w:val="continue"/>
                  <w:tcBorders>
                    <w:tl2br w:val="nil"/>
                    <w:tr2bl w:val="nil"/>
                  </w:tcBorders>
                  <w:shd w:val="clear" w:color="auto" w:fill="auto"/>
                  <w:vAlign w:val="center"/>
                </w:tcPr>
                <w:p w14:paraId="31999D6D">
                  <w:pPr>
                    <w:pStyle w:val="57"/>
                    <w:rPr>
                      <w:rFonts w:hint="eastAsia"/>
                      <w:color w:val="000000" w:themeColor="text1"/>
                      <w:u w:val="none" w:color="auto"/>
                      <w14:textFill>
                        <w14:solidFill>
                          <w14:schemeClr w14:val="tx1"/>
                        </w14:solidFill>
                      </w14:textFill>
                    </w:rPr>
                  </w:pPr>
                </w:p>
              </w:tc>
              <w:tc>
                <w:tcPr>
                  <w:tcW w:w="554" w:type="pct"/>
                  <w:vMerge w:val="continue"/>
                  <w:tcBorders>
                    <w:tl2br w:val="nil"/>
                    <w:tr2bl w:val="nil"/>
                  </w:tcBorders>
                  <w:shd w:val="clear" w:color="auto" w:fill="auto"/>
                  <w:vAlign w:val="center"/>
                </w:tcPr>
                <w:p w14:paraId="7E8EBACF">
                  <w:pPr>
                    <w:pStyle w:val="57"/>
                    <w:rPr>
                      <w:color w:val="000000" w:themeColor="text1"/>
                      <w:u w:val="none" w:color="auto"/>
                      <w14:textFill>
                        <w14:solidFill>
                          <w14:schemeClr w14:val="tx1"/>
                        </w14:solidFill>
                      </w14:textFill>
                    </w:rPr>
                  </w:pPr>
                </w:p>
              </w:tc>
              <w:tc>
                <w:tcPr>
                  <w:tcW w:w="872" w:type="pct"/>
                  <w:tcBorders>
                    <w:tl2br w:val="nil"/>
                    <w:tr2bl w:val="nil"/>
                  </w:tcBorders>
                  <w:shd w:val="clear" w:color="auto" w:fill="auto"/>
                  <w:vAlign w:val="center"/>
                </w:tcPr>
                <w:p w14:paraId="02534E78">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拉丝工序粉尘</w:t>
                  </w:r>
                </w:p>
              </w:tc>
              <w:tc>
                <w:tcPr>
                  <w:tcW w:w="2466" w:type="pct"/>
                  <w:tcBorders>
                    <w:tl2br w:val="nil"/>
                    <w:tr2bl w:val="nil"/>
                  </w:tcBorders>
                  <w:shd w:val="clear" w:color="auto" w:fill="auto"/>
                  <w:vAlign w:val="center"/>
                </w:tcPr>
                <w:p w14:paraId="3F9410CA">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集气罩+布袋除尘+15m排气筒</w:t>
                  </w:r>
                </w:p>
              </w:tc>
              <w:tc>
                <w:tcPr>
                  <w:tcW w:w="789" w:type="pct"/>
                  <w:tcBorders>
                    <w:tl2br w:val="nil"/>
                    <w:tr2bl w:val="nil"/>
                  </w:tcBorders>
                  <w:shd w:val="clear" w:color="auto" w:fill="auto"/>
                  <w:vAlign w:val="center"/>
                </w:tcPr>
                <w:p w14:paraId="786BB796">
                  <w:pPr>
                    <w:pStyle w:val="57"/>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6</w:t>
                  </w:r>
                </w:p>
              </w:tc>
            </w:tr>
            <w:tr w14:paraId="0A12D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16" w:type="pct"/>
                  <w:vMerge w:val="restart"/>
                  <w:tcBorders>
                    <w:tl2br w:val="nil"/>
                    <w:tr2bl w:val="nil"/>
                  </w:tcBorders>
                  <w:shd w:val="clear" w:color="auto" w:fill="auto"/>
                  <w:vAlign w:val="center"/>
                </w:tcPr>
                <w:p w14:paraId="4AD90DA2">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2</w:t>
                  </w:r>
                </w:p>
              </w:tc>
              <w:tc>
                <w:tcPr>
                  <w:tcW w:w="554" w:type="pct"/>
                  <w:vMerge w:val="restart"/>
                  <w:tcBorders>
                    <w:tl2br w:val="nil"/>
                    <w:tr2bl w:val="nil"/>
                  </w:tcBorders>
                  <w:shd w:val="clear" w:color="auto" w:fill="auto"/>
                  <w:vAlign w:val="center"/>
                </w:tcPr>
                <w:p w14:paraId="18F0C679">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废水</w:t>
                  </w:r>
                </w:p>
              </w:tc>
              <w:tc>
                <w:tcPr>
                  <w:tcW w:w="872" w:type="pct"/>
                  <w:tcBorders>
                    <w:tl2br w:val="nil"/>
                    <w:tr2bl w:val="nil"/>
                  </w:tcBorders>
                  <w:shd w:val="clear" w:color="auto" w:fill="auto"/>
                  <w:vAlign w:val="center"/>
                </w:tcPr>
                <w:p w14:paraId="4F0338F0">
                  <w:pPr>
                    <w:pStyle w:val="57"/>
                    <w:rPr>
                      <w:rFonts w:hint="eastAsia"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生活污水</w:t>
                  </w:r>
                </w:p>
              </w:tc>
              <w:tc>
                <w:tcPr>
                  <w:tcW w:w="2466" w:type="pct"/>
                  <w:tcBorders>
                    <w:tl2br w:val="nil"/>
                    <w:tr2bl w:val="nil"/>
                  </w:tcBorders>
                  <w:shd w:val="clear" w:color="auto" w:fill="auto"/>
                  <w:vAlign w:val="center"/>
                </w:tcPr>
                <w:p w14:paraId="307EFCCB">
                  <w:pPr>
                    <w:pStyle w:val="57"/>
                    <w:rPr>
                      <w:rFonts w:hint="eastAsia"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化粪池</w:t>
                  </w:r>
                </w:p>
              </w:tc>
              <w:tc>
                <w:tcPr>
                  <w:tcW w:w="789" w:type="pct"/>
                  <w:tcBorders>
                    <w:tl2br w:val="nil"/>
                    <w:tr2bl w:val="nil"/>
                  </w:tcBorders>
                  <w:shd w:val="clear" w:color="auto" w:fill="auto"/>
                  <w:vAlign w:val="center"/>
                </w:tcPr>
                <w:p w14:paraId="58F95E35">
                  <w:pPr>
                    <w:pStyle w:val="57"/>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0（依托现有民房）</w:t>
                  </w:r>
                </w:p>
              </w:tc>
            </w:tr>
            <w:tr w14:paraId="4CCC7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16" w:type="pct"/>
                  <w:vMerge w:val="continue"/>
                  <w:tcBorders>
                    <w:tl2br w:val="nil"/>
                    <w:tr2bl w:val="nil"/>
                  </w:tcBorders>
                  <w:shd w:val="clear" w:color="auto" w:fill="auto"/>
                  <w:vAlign w:val="center"/>
                </w:tcPr>
                <w:p w14:paraId="6FD5DB55">
                  <w:pPr>
                    <w:pStyle w:val="57"/>
                    <w:rPr>
                      <w:color w:val="000000" w:themeColor="text1"/>
                      <w:u w:val="none" w:color="auto"/>
                      <w14:textFill>
                        <w14:solidFill>
                          <w14:schemeClr w14:val="tx1"/>
                        </w14:solidFill>
                      </w14:textFill>
                    </w:rPr>
                  </w:pPr>
                </w:p>
              </w:tc>
              <w:tc>
                <w:tcPr>
                  <w:tcW w:w="554" w:type="pct"/>
                  <w:vMerge w:val="continue"/>
                  <w:tcBorders>
                    <w:tl2br w:val="nil"/>
                    <w:tr2bl w:val="nil"/>
                  </w:tcBorders>
                  <w:shd w:val="clear" w:color="auto" w:fill="auto"/>
                  <w:vAlign w:val="center"/>
                </w:tcPr>
                <w:p w14:paraId="5635D74F">
                  <w:pPr>
                    <w:pStyle w:val="57"/>
                    <w:rPr>
                      <w:color w:val="000000" w:themeColor="text1"/>
                      <w:u w:val="none" w:color="auto"/>
                      <w14:textFill>
                        <w14:solidFill>
                          <w14:schemeClr w14:val="tx1"/>
                        </w14:solidFill>
                      </w14:textFill>
                    </w:rPr>
                  </w:pPr>
                </w:p>
              </w:tc>
              <w:tc>
                <w:tcPr>
                  <w:tcW w:w="872" w:type="pct"/>
                  <w:tcBorders>
                    <w:tl2br w:val="nil"/>
                    <w:tr2bl w:val="nil"/>
                  </w:tcBorders>
                  <w:shd w:val="clear" w:color="auto" w:fill="auto"/>
                  <w:vAlign w:val="center"/>
                </w:tcPr>
                <w:p w14:paraId="356EDDCB">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锅炉排污水</w:t>
                  </w:r>
                </w:p>
              </w:tc>
              <w:tc>
                <w:tcPr>
                  <w:tcW w:w="2466" w:type="pct"/>
                  <w:tcBorders>
                    <w:tl2br w:val="nil"/>
                    <w:tr2bl w:val="nil"/>
                  </w:tcBorders>
                  <w:shd w:val="clear" w:color="auto" w:fill="auto"/>
                  <w:vAlign w:val="center"/>
                </w:tcPr>
                <w:p w14:paraId="157A42FF">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用于水膜除尘补充用水</w:t>
                  </w:r>
                </w:p>
              </w:tc>
              <w:tc>
                <w:tcPr>
                  <w:tcW w:w="789" w:type="pct"/>
                  <w:tcBorders>
                    <w:tl2br w:val="nil"/>
                    <w:tr2bl w:val="nil"/>
                  </w:tcBorders>
                  <w:shd w:val="clear" w:color="auto" w:fill="auto"/>
                  <w:vAlign w:val="center"/>
                </w:tcPr>
                <w:p w14:paraId="04BD9D84">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w:t>
                  </w:r>
                </w:p>
              </w:tc>
            </w:tr>
            <w:tr w14:paraId="05B81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16" w:type="pct"/>
                  <w:vMerge w:val="continue"/>
                  <w:tcBorders>
                    <w:tl2br w:val="nil"/>
                    <w:tr2bl w:val="nil"/>
                  </w:tcBorders>
                  <w:shd w:val="clear" w:color="auto" w:fill="auto"/>
                  <w:vAlign w:val="center"/>
                </w:tcPr>
                <w:p w14:paraId="08D0D550">
                  <w:pPr>
                    <w:pStyle w:val="57"/>
                    <w:rPr>
                      <w:color w:val="000000" w:themeColor="text1"/>
                      <w:u w:val="none" w:color="auto"/>
                      <w14:textFill>
                        <w14:solidFill>
                          <w14:schemeClr w14:val="tx1"/>
                        </w14:solidFill>
                      </w14:textFill>
                    </w:rPr>
                  </w:pPr>
                </w:p>
              </w:tc>
              <w:tc>
                <w:tcPr>
                  <w:tcW w:w="554" w:type="pct"/>
                  <w:vMerge w:val="continue"/>
                  <w:tcBorders>
                    <w:tl2br w:val="nil"/>
                    <w:tr2bl w:val="nil"/>
                  </w:tcBorders>
                  <w:shd w:val="clear" w:color="auto" w:fill="auto"/>
                  <w:vAlign w:val="center"/>
                </w:tcPr>
                <w:p w14:paraId="7352AFDE">
                  <w:pPr>
                    <w:pStyle w:val="57"/>
                    <w:rPr>
                      <w:color w:val="000000" w:themeColor="text1"/>
                      <w:u w:val="none" w:color="auto"/>
                      <w14:textFill>
                        <w14:solidFill>
                          <w14:schemeClr w14:val="tx1"/>
                        </w14:solidFill>
                      </w14:textFill>
                    </w:rPr>
                  </w:pPr>
                </w:p>
              </w:tc>
              <w:tc>
                <w:tcPr>
                  <w:tcW w:w="872" w:type="pct"/>
                  <w:tcBorders>
                    <w:tl2br w:val="nil"/>
                    <w:tr2bl w:val="nil"/>
                  </w:tcBorders>
                  <w:shd w:val="clear" w:color="auto" w:fill="auto"/>
                  <w:vAlign w:val="center"/>
                </w:tcPr>
                <w:p w14:paraId="2A18A296">
                  <w:pPr>
                    <w:pStyle w:val="57"/>
                    <w:rPr>
                      <w:rFonts w:hint="eastAsia"/>
                      <w:color w:val="000000" w:themeColor="text1"/>
                      <w:u w:val="none" w:color="auto"/>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蒸汽杀菌锅冷凝水</w:t>
                  </w:r>
                </w:p>
              </w:tc>
              <w:tc>
                <w:tcPr>
                  <w:tcW w:w="2466" w:type="pct"/>
                  <w:tcBorders>
                    <w:tl2br w:val="nil"/>
                    <w:tr2bl w:val="nil"/>
                  </w:tcBorders>
                  <w:shd w:val="clear" w:color="auto" w:fill="auto"/>
                  <w:vAlign w:val="center"/>
                </w:tcPr>
                <w:p w14:paraId="6BA11983">
                  <w:pPr>
                    <w:pStyle w:val="57"/>
                    <w:rPr>
                      <w:rFonts w:hint="eastAsia"/>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收集后部分用于水膜除尘补充用水，部分用于厂区洒水降尘</w:t>
                  </w:r>
                </w:p>
              </w:tc>
              <w:tc>
                <w:tcPr>
                  <w:tcW w:w="789" w:type="pct"/>
                  <w:tcBorders>
                    <w:tl2br w:val="nil"/>
                    <w:tr2bl w:val="nil"/>
                  </w:tcBorders>
                  <w:shd w:val="clear" w:color="auto" w:fill="auto"/>
                  <w:vAlign w:val="center"/>
                </w:tcPr>
                <w:p w14:paraId="7ECB6804">
                  <w:pPr>
                    <w:pStyle w:val="57"/>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w:t>
                  </w:r>
                </w:p>
              </w:tc>
            </w:tr>
            <w:tr w14:paraId="27A71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16" w:type="pct"/>
                  <w:tcBorders>
                    <w:tl2br w:val="nil"/>
                    <w:tr2bl w:val="nil"/>
                  </w:tcBorders>
                  <w:shd w:val="clear" w:color="auto" w:fill="auto"/>
                  <w:vAlign w:val="center"/>
                </w:tcPr>
                <w:p w14:paraId="4D4A33F0">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3</w:t>
                  </w:r>
                </w:p>
              </w:tc>
              <w:tc>
                <w:tcPr>
                  <w:tcW w:w="554" w:type="pct"/>
                  <w:tcBorders>
                    <w:tl2br w:val="nil"/>
                    <w:tr2bl w:val="nil"/>
                  </w:tcBorders>
                  <w:shd w:val="clear" w:color="auto" w:fill="auto"/>
                  <w:vAlign w:val="center"/>
                </w:tcPr>
                <w:p w14:paraId="0E6EDC50">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噪声</w:t>
                  </w:r>
                </w:p>
              </w:tc>
              <w:tc>
                <w:tcPr>
                  <w:tcW w:w="3339" w:type="pct"/>
                  <w:gridSpan w:val="2"/>
                  <w:tcBorders>
                    <w:tl2br w:val="nil"/>
                    <w:tr2bl w:val="nil"/>
                  </w:tcBorders>
                  <w:shd w:val="clear" w:color="auto" w:fill="auto"/>
                  <w:vAlign w:val="center"/>
                </w:tcPr>
                <w:p w14:paraId="13C9DE8C">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基础减振、厂房隔声、距离衰减</w:t>
                  </w:r>
                </w:p>
              </w:tc>
              <w:tc>
                <w:tcPr>
                  <w:tcW w:w="789" w:type="pct"/>
                  <w:tcBorders>
                    <w:tl2br w:val="nil"/>
                    <w:tr2bl w:val="nil"/>
                  </w:tcBorders>
                  <w:shd w:val="clear" w:color="auto" w:fill="auto"/>
                  <w:vAlign w:val="center"/>
                </w:tcPr>
                <w:p w14:paraId="46D72C4B">
                  <w:pPr>
                    <w:pStyle w:val="57"/>
                    <w:rPr>
                      <w:rFonts w:hint="eastAsia" w:eastAsia="宋体"/>
                      <w:color w:val="000000" w:themeColor="text1"/>
                      <w:u w:val="none" w:color="auto"/>
                      <w:lang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1</w:t>
                  </w:r>
                </w:p>
              </w:tc>
            </w:tr>
            <w:tr w14:paraId="2AD61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16" w:type="pct"/>
                  <w:tcBorders>
                    <w:tl2br w:val="nil"/>
                    <w:tr2bl w:val="nil"/>
                  </w:tcBorders>
                  <w:shd w:val="clear" w:color="auto" w:fill="auto"/>
                  <w:vAlign w:val="center"/>
                </w:tcPr>
                <w:p w14:paraId="48A0A53B">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4</w:t>
                  </w:r>
                </w:p>
              </w:tc>
              <w:tc>
                <w:tcPr>
                  <w:tcW w:w="554" w:type="pct"/>
                  <w:vMerge w:val="restart"/>
                  <w:tcBorders>
                    <w:tl2br w:val="nil"/>
                    <w:tr2bl w:val="nil"/>
                  </w:tcBorders>
                  <w:shd w:val="clear" w:color="auto" w:fill="auto"/>
                  <w:vAlign w:val="center"/>
                </w:tcPr>
                <w:p w14:paraId="72A11D90">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固体废物</w:t>
                  </w:r>
                </w:p>
              </w:tc>
              <w:tc>
                <w:tcPr>
                  <w:tcW w:w="3339" w:type="pct"/>
                  <w:gridSpan w:val="2"/>
                  <w:tcBorders>
                    <w:tl2br w:val="nil"/>
                    <w:tr2bl w:val="nil"/>
                  </w:tcBorders>
                  <w:shd w:val="clear" w:color="auto" w:fill="auto"/>
                  <w:vAlign w:val="center"/>
                </w:tcPr>
                <w:p w14:paraId="153C24BD">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设垃圾桶，环卫部门清运</w:t>
                  </w:r>
                </w:p>
              </w:tc>
              <w:tc>
                <w:tcPr>
                  <w:tcW w:w="789" w:type="pct"/>
                  <w:tcBorders>
                    <w:tl2br w:val="nil"/>
                    <w:tr2bl w:val="nil"/>
                  </w:tcBorders>
                  <w:shd w:val="clear" w:color="auto" w:fill="auto"/>
                  <w:vAlign w:val="center"/>
                </w:tcPr>
                <w:p w14:paraId="01D4A022">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0.5</w:t>
                  </w:r>
                </w:p>
              </w:tc>
            </w:tr>
            <w:tr w14:paraId="518D9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16" w:type="pct"/>
                  <w:tcBorders>
                    <w:tl2br w:val="nil"/>
                    <w:tr2bl w:val="nil"/>
                  </w:tcBorders>
                  <w:shd w:val="clear" w:color="auto" w:fill="auto"/>
                  <w:vAlign w:val="center"/>
                </w:tcPr>
                <w:p w14:paraId="1FA23CBC">
                  <w:pPr>
                    <w:pStyle w:val="57"/>
                    <w:rPr>
                      <w:rFonts w:hint="eastAsia"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5</w:t>
                  </w:r>
                </w:p>
              </w:tc>
              <w:tc>
                <w:tcPr>
                  <w:tcW w:w="554" w:type="pct"/>
                  <w:vMerge w:val="continue"/>
                  <w:tcBorders>
                    <w:tl2br w:val="nil"/>
                    <w:tr2bl w:val="nil"/>
                  </w:tcBorders>
                  <w:shd w:val="clear" w:color="auto" w:fill="auto"/>
                  <w:vAlign w:val="center"/>
                </w:tcPr>
                <w:p w14:paraId="73239E96">
                  <w:pPr>
                    <w:pStyle w:val="57"/>
                    <w:rPr>
                      <w:rFonts w:hint="eastAsia"/>
                      <w:color w:val="000000" w:themeColor="text1"/>
                      <w:u w:val="none" w:color="auto"/>
                      <w14:textFill>
                        <w14:solidFill>
                          <w14:schemeClr w14:val="tx1"/>
                        </w14:solidFill>
                      </w14:textFill>
                    </w:rPr>
                  </w:pPr>
                </w:p>
              </w:tc>
              <w:tc>
                <w:tcPr>
                  <w:tcW w:w="3339" w:type="pct"/>
                  <w:gridSpan w:val="2"/>
                  <w:tcBorders>
                    <w:tl2br w:val="nil"/>
                    <w:tr2bl w:val="nil"/>
                  </w:tcBorders>
                  <w:shd w:val="clear" w:color="auto" w:fill="auto"/>
                  <w:vAlign w:val="center"/>
                </w:tcPr>
                <w:p w14:paraId="211C30D1">
                  <w:pPr>
                    <w:pStyle w:val="57"/>
                    <w:rPr>
                      <w:rFonts w:hint="eastAsia"/>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一般固废暂存间</w:t>
                  </w:r>
                  <w:r>
                    <w:rPr>
                      <w:rFonts w:hint="eastAsia"/>
                      <w:color w:val="000000" w:themeColor="text1"/>
                      <w:u w:val="none" w:color="auto"/>
                      <w:lang w:val="en-US" w:eastAsia="zh-CN"/>
                      <w14:textFill>
                        <w14:solidFill>
                          <w14:schemeClr w14:val="tx1"/>
                        </w14:solidFill>
                      </w14:textFill>
                    </w:rPr>
                    <w:t>20</w:t>
                  </w:r>
                  <w:r>
                    <w:rPr>
                      <w:rFonts w:hint="eastAsia"/>
                      <w:color w:val="000000" w:themeColor="text1"/>
                      <w:u w:val="none" w:color="auto"/>
                      <w14:textFill>
                        <w14:solidFill>
                          <w14:schemeClr w14:val="tx1"/>
                        </w14:solidFill>
                      </w14:textFill>
                    </w:rPr>
                    <w:t>m</w:t>
                  </w:r>
                  <w:r>
                    <w:rPr>
                      <w:rFonts w:hint="eastAsia"/>
                      <w:color w:val="000000" w:themeColor="text1"/>
                      <w:u w:val="none" w:color="auto"/>
                      <w:vertAlign w:val="superscript"/>
                      <w14:textFill>
                        <w14:solidFill>
                          <w14:schemeClr w14:val="tx1"/>
                        </w14:solidFill>
                      </w14:textFill>
                    </w:rPr>
                    <w:t>2</w:t>
                  </w:r>
                </w:p>
              </w:tc>
              <w:tc>
                <w:tcPr>
                  <w:tcW w:w="789" w:type="pct"/>
                  <w:tcBorders>
                    <w:tl2br w:val="nil"/>
                    <w:tr2bl w:val="nil"/>
                  </w:tcBorders>
                  <w:shd w:val="clear" w:color="auto" w:fill="auto"/>
                  <w:vAlign w:val="center"/>
                </w:tcPr>
                <w:p w14:paraId="49EA87F2">
                  <w:pPr>
                    <w:pStyle w:val="57"/>
                    <w:rPr>
                      <w:rFonts w:hint="eastAsia"/>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0.5</w:t>
                  </w:r>
                </w:p>
              </w:tc>
            </w:tr>
            <w:tr w14:paraId="2C5F9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16" w:type="pct"/>
                  <w:tcBorders>
                    <w:tl2br w:val="nil"/>
                    <w:tr2bl w:val="nil"/>
                  </w:tcBorders>
                  <w:shd w:val="clear" w:color="auto" w:fill="auto"/>
                  <w:vAlign w:val="center"/>
                </w:tcPr>
                <w:p w14:paraId="2AAB8D1F">
                  <w:pPr>
                    <w:pStyle w:val="57"/>
                    <w:rPr>
                      <w:rFonts w:hint="eastAsia"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6</w:t>
                  </w:r>
                </w:p>
              </w:tc>
              <w:tc>
                <w:tcPr>
                  <w:tcW w:w="554" w:type="pct"/>
                  <w:vMerge w:val="continue"/>
                  <w:tcBorders>
                    <w:tl2br w:val="nil"/>
                    <w:tr2bl w:val="nil"/>
                  </w:tcBorders>
                  <w:shd w:val="clear" w:color="auto" w:fill="auto"/>
                  <w:vAlign w:val="center"/>
                </w:tcPr>
                <w:p w14:paraId="7E89C03D">
                  <w:pPr>
                    <w:pStyle w:val="57"/>
                    <w:rPr>
                      <w:rFonts w:hint="eastAsia"/>
                      <w:color w:val="000000" w:themeColor="text1"/>
                      <w:u w:val="none" w:color="auto"/>
                      <w14:textFill>
                        <w14:solidFill>
                          <w14:schemeClr w14:val="tx1"/>
                        </w14:solidFill>
                      </w14:textFill>
                    </w:rPr>
                  </w:pPr>
                </w:p>
              </w:tc>
              <w:tc>
                <w:tcPr>
                  <w:tcW w:w="3339" w:type="pct"/>
                  <w:gridSpan w:val="2"/>
                  <w:tcBorders>
                    <w:tl2br w:val="nil"/>
                    <w:tr2bl w:val="nil"/>
                  </w:tcBorders>
                  <w:shd w:val="clear" w:color="auto" w:fill="auto"/>
                  <w:vAlign w:val="center"/>
                </w:tcPr>
                <w:p w14:paraId="4878A440">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14:textFill>
                        <w14:solidFill>
                          <w14:schemeClr w14:val="tx1"/>
                        </w14:solidFill>
                      </w14:textFill>
                    </w:rPr>
                    <w:t>危险废物暂存间</w:t>
                  </w:r>
                  <w:r>
                    <w:rPr>
                      <w:rFonts w:hint="eastAsia"/>
                      <w:color w:val="000000" w:themeColor="text1"/>
                      <w:u w:val="none" w:color="auto"/>
                      <w:lang w:val="en-US" w:eastAsia="zh-CN"/>
                      <w14:textFill>
                        <w14:solidFill>
                          <w14:schemeClr w14:val="tx1"/>
                        </w14:solidFill>
                      </w14:textFill>
                    </w:rPr>
                    <w:t>5</w:t>
                  </w:r>
                  <w:r>
                    <w:rPr>
                      <w:rFonts w:hint="eastAsia"/>
                      <w:color w:val="000000" w:themeColor="text1"/>
                      <w:u w:val="none" w:color="auto"/>
                      <w14:textFill>
                        <w14:solidFill>
                          <w14:schemeClr w14:val="tx1"/>
                        </w14:solidFill>
                      </w14:textFill>
                    </w:rPr>
                    <w:t>m</w:t>
                  </w:r>
                  <w:r>
                    <w:rPr>
                      <w:rFonts w:hint="eastAsia"/>
                      <w:color w:val="000000" w:themeColor="text1"/>
                      <w:u w:val="none" w:color="auto"/>
                      <w:vertAlign w:val="superscript"/>
                      <w14:textFill>
                        <w14:solidFill>
                          <w14:schemeClr w14:val="tx1"/>
                        </w14:solidFill>
                      </w14:textFill>
                    </w:rPr>
                    <w:t>2</w:t>
                  </w:r>
                  <w:r>
                    <w:rPr>
                      <w:rFonts w:hint="eastAsia"/>
                      <w:color w:val="000000" w:themeColor="text1"/>
                      <w:u w:val="none" w:color="auto"/>
                      <w:vertAlign w:val="baseline"/>
                      <w:lang w:eastAsia="zh-CN"/>
                      <w14:textFill>
                        <w14:solidFill>
                          <w14:schemeClr w14:val="tx1"/>
                        </w14:solidFill>
                      </w14:textFill>
                    </w:rPr>
                    <w:t>，</w:t>
                  </w:r>
                  <w:r>
                    <w:rPr>
                      <w:rFonts w:hint="eastAsia"/>
                      <w:color w:val="000000" w:themeColor="text1"/>
                      <w:u w:val="none" w:color="auto"/>
                      <w:vertAlign w:val="baseline"/>
                      <w:lang w:val="en-US" w:eastAsia="zh-CN"/>
                      <w14:textFill>
                        <w14:solidFill>
                          <w14:schemeClr w14:val="tx1"/>
                        </w14:solidFill>
                      </w14:textFill>
                    </w:rPr>
                    <w:t>并签订危险废物处置协议</w:t>
                  </w:r>
                </w:p>
              </w:tc>
              <w:tc>
                <w:tcPr>
                  <w:tcW w:w="789" w:type="pct"/>
                  <w:tcBorders>
                    <w:tl2br w:val="nil"/>
                    <w:tr2bl w:val="nil"/>
                  </w:tcBorders>
                  <w:shd w:val="clear" w:color="auto" w:fill="auto"/>
                  <w:vAlign w:val="center"/>
                </w:tcPr>
                <w:p w14:paraId="3C5F448A">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2</w:t>
                  </w:r>
                </w:p>
              </w:tc>
            </w:tr>
            <w:tr w14:paraId="4CA3D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16" w:type="pct"/>
                  <w:tcBorders>
                    <w:tl2br w:val="nil"/>
                    <w:tr2bl w:val="nil"/>
                  </w:tcBorders>
                  <w:shd w:val="clear" w:color="auto" w:fill="auto"/>
                  <w:vAlign w:val="center"/>
                </w:tcPr>
                <w:p w14:paraId="3222B580">
                  <w:pPr>
                    <w:pStyle w:val="57"/>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7</w:t>
                  </w:r>
                </w:p>
              </w:tc>
              <w:tc>
                <w:tcPr>
                  <w:tcW w:w="554" w:type="pct"/>
                  <w:tcBorders>
                    <w:tl2br w:val="nil"/>
                    <w:tr2bl w:val="nil"/>
                  </w:tcBorders>
                  <w:shd w:val="clear" w:color="auto" w:fill="auto"/>
                  <w:vAlign w:val="center"/>
                </w:tcPr>
                <w:p w14:paraId="40FA6415">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环境风险</w:t>
                  </w:r>
                </w:p>
              </w:tc>
              <w:tc>
                <w:tcPr>
                  <w:tcW w:w="3339" w:type="pct"/>
                  <w:gridSpan w:val="2"/>
                  <w:tcBorders>
                    <w:tl2br w:val="nil"/>
                    <w:tr2bl w:val="nil"/>
                  </w:tcBorders>
                  <w:shd w:val="clear" w:color="auto" w:fill="auto"/>
                  <w:vAlign w:val="center"/>
                </w:tcPr>
                <w:p w14:paraId="6B997B7F">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事故应急池（30m</w:t>
                  </w:r>
                  <w:r>
                    <w:rPr>
                      <w:rFonts w:hint="eastAsia"/>
                      <w:color w:val="000000" w:themeColor="text1"/>
                      <w:u w:val="none" w:color="auto"/>
                      <w:vertAlign w:val="superscript"/>
                      <w:lang w:val="en-US" w:eastAsia="zh-CN"/>
                      <w14:textFill>
                        <w14:solidFill>
                          <w14:schemeClr w14:val="tx1"/>
                        </w14:solidFill>
                      </w14:textFill>
                    </w:rPr>
                    <w:t>3</w:t>
                  </w:r>
                  <w:r>
                    <w:rPr>
                      <w:rFonts w:hint="eastAsia"/>
                      <w:color w:val="000000" w:themeColor="text1"/>
                      <w:u w:val="none" w:color="auto"/>
                      <w:lang w:val="en-US" w:eastAsia="zh-CN"/>
                      <w14:textFill>
                        <w14:solidFill>
                          <w14:schemeClr w14:val="tx1"/>
                        </w14:solidFill>
                      </w14:textFill>
                    </w:rPr>
                    <w:t>）</w:t>
                  </w:r>
                </w:p>
              </w:tc>
              <w:tc>
                <w:tcPr>
                  <w:tcW w:w="789" w:type="pct"/>
                  <w:tcBorders>
                    <w:tl2br w:val="nil"/>
                    <w:tr2bl w:val="nil"/>
                  </w:tcBorders>
                  <w:shd w:val="clear" w:color="auto" w:fill="auto"/>
                  <w:vAlign w:val="center"/>
                </w:tcPr>
                <w:p w14:paraId="5B67EDD0">
                  <w:pPr>
                    <w:pStyle w:val="57"/>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1.5</w:t>
                  </w:r>
                </w:p>
              </w:tc>
            </w:tr>
            <w:tr w14:paraId="44C90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210" w:type="pct"/>
                  <w:gridSpan w:val="4"/>
                  <w:tcBorders>
                    <w:tl2br w:val="nil"/>
                    <w:tr2bl w:val="nil"/>
                  </w:tcBorders>
                  <w:shd w:val="clear" w:color="auto" w:fill="auto"/>
                  <w:vAlign w:val="center"/>
                </w:tcPr>
                <w:p w14:paraId="79B40D12">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合计</w:t>
                  </w:r>
                </w:p>
              </w:tc>
              <w:tc>
                <w:tcPr>
                  <w:tcW w:w="789" w:type="pct"/>
                  <w:tcBorders>
                    <w:tl2br w:val="nil"/>
                    <w:tr2bl w:val="nil"/>
                  </w:tcBorders>
                  <w:shd w:val="clear" w:color="auto" w:fill="auto"/>
                  <w:vAlign w:val="center"/>
                </w:tcPr>
                <w:p w14:paraId="517BBE73">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41.5</w:t>
                  </w:r>
                </w:p>
              </w:tc>
            </w:tr>
          </w:tbl>
          <w:p w14:paraId="6BD5B4EC">
            <w:pPr>
              <w:pStyle w:val="35"/>
              <w:ind w:firstLine="480" w:firstLineChars="200"/>
              <w:rPr>
                <w:rFonts w:hint="eastAsia" w:eastAsia="宋体"/>
                <w:color w:val="000000" w:themeColor="text1"/>
                <w:u w:val="none" w:color="auto"/>
                <w:lang w:val="en-US" w:eastAsia="zh-CN"/>
                <w14:textFill>
                  <w14:solidFill>
                    <w14:schemeClr w14:val="tx1"/>
                  </w14:solidFill>
                </w14:textFill>
              </w:rPr>
            </w:pPr>
          </w:p>
        </w:tc>
      </w:tr>
    </w:tbl>
    <w:p w14:paraId="0445E58C">
      <w:pPr>
        <w:pStyle w:val="35"/>
        <w:ind w:firstLine="0" w:firstLineChars="0"/>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D487FDD">
      <w:pPr>
        <w:pStyle w:val="39"/>
        <w:ind w:left="0" w:leftChars="0" w:right="0" w:rightChars="0" w:firstLine="0" w:firstLineChars="0"/>
        <w:jc w:val="center"/>
      </w:pPr>
      <w:bookmarkStart w:id="36" w:name="_Toc2423"/>
      <w:bookmarkStart w:id="37" w:name="_Toc18566"/>
      <w:bookmarkStart w:id="38" w:name="_Toc12090"/>
      <w:bookmarkStart w:id="39" w:name="_Toc24024"/>
      <w:bookmarkStart w:id="40" w:name="_Toc26102"/>
      <w:bookmarkStart w:id="41" w:name="_Toc8520"/>
      <w:bookmarkStart w:id="42" w:name="_Toc2779"/>
      <w:r>
        <w:rPr>
          <w:rFonts w:hint="eastAsia"/>
        </w:rPr>
        <w:t>五、环境保护措施监督检查清单</w:t>
      </w:r>
      <w:bookmarkEnd w:id="36"/>
      <w:bookmarkEnd w:id="37"/>
      <w:bookmarkEnd w:id="38"/>
      <w:bookmarkEnd w:id="39"/>
      <w:bookmarkEnd w:id="40"/>
      <w:bookmarkEnd w:id="41"/>
      <w:bookmarkEnd w:id="42"/>
    </w:p>
    <w:tbl>
      <w:tblPr>
        <w:tblStyle w:val="28"/>
        <w:tblW w:w="51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75"/>
        <w:gridCol w:w="1499"/>
        <w:gridCol w:w="1499"/>
        <w:gridCol w:w="1996"/>
        <w:gridCol w:w="2501"/>
      </w:tblGrid>
      <w:tr w14:paraId="69E3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36" w:hRule="atLeast"/>
          <w:jc w:val="center"/>
        </w:trPr>
        <w:tc>
          <w:tcPr>
            <w:tcW w:w="575" w:type="pct"/>
            <w:tcBorders>
              <w:tl2br w:val="single" w:color="auto" w:sz="4" w:space="0"/>
            </w:tcBorders>
          </w:tcPr>
          <w:p w14:paraId="573BF430">
            <w:pPr>
              <w:pStyle w:val="57"/>
            </w:pPr>
            <w:r>
              <w:rPr>
                <w:rFonts w:hint="eastAsia"/>
              </w:rPr>
              <w:t>内容</w:t>
            </w:r>
          </w:p>
          <w:p w14:paraId="4AE2BEF6">
            <w:pPr>
              <w:pStyle w:val="57"/>
              <w:rPr>
                <w:rFonts w:hint="eastAsia"/>
              </w:rPr>
            </w:pPr>
          </w:p>
          <w:p w14:paraId="3213AA42">
            <w:pPr>
              <w:pStyle w:val="57"/>
            </w:pPr>
            <w:r>
              <w:rPr>
                <w:rFonts w:hint="eastAsia"/>
              </w:rPr>
              <w:t>要素</w:t>
            </w:r>
          </w:p>
        </w:tc>
        <w:tc>
          <w:tcPr>
            <w:tcW w:w="884" w:type="pct"/>
            <w:vAlign w:val="center"/>
          </w:tcPr>
          <w:p w14:paraId="37777121">
            <w:pPr>
              <w:pStyle w:val="57"/>
              <w:rPr>
                <w:rFonts w:hint="eastAsia" w:ascii="宋体" w:hAnsi="宋体" w:cs="宋体"/>
              </w:rPr>
            </w:pPr>
            <w:r>
              <w:rPr>
                <w:rFonts w:hint="eastAsia" w:ascii="宋体" w:hAnsi="宋体" w:cs="宋体"/>
              </w:rPr>
              <w:t>排放口(编号、</w:t>
            </w:r>
          </w:p>
          <w:p w14:paraId="7C3BDFF1">
            <w:pPr>
              <w:pStyle w:val="57"/>
              <w:rPr>
                <w:rFonts w:hint="eastAsia" w:ascii="宋体" w:hAnsi="宋体" w:cs="宋体"/>
              </w:rPr>
            </w:pPr>
            <w:r>
              <w:rPr>
                <w:rFonts w:hint="eastAsia" w:ascii="宋体" w:hAnsi="宋体" w:cs="宋体"/>
              </w:rPr>
              <w:t>名称)/污染源</w:t>
            </w:r>
          </w:p>
        </w:tc>
        <w:tc>
          <w:tcPr>
            <w:tcW w:w="884" w:type="pct"/>
            <w:vAlign w:val="center"/>
          </w:tcPr>
          <w:p w14:paraId="200B2267">
            <w:pPr>
              <w:pStyle w:val="57"/>
              <w:rPr>
                <w:rFonts w:hint="eastAsia" w:ascii="宋体" w:hAnsi="宋体" w:cs="宋体"/>
              </w:rPr>
            </w:pPr>
            <w:r>
              <w:rPr>
                <w:rFonts w:hint="eastAsia" w:ascii="宋体" w:hAnsi="宋体" w:cs="宋体"/>
              </w:rPr>
              <w:t>污染物项目</w:t>
            </w:r>
          </w:p>
        </w:tc>
        <w:tc>
          <w:tcPr>
            <w:tcW w:w="1178" w:type="pct"/>
            <w:vAlign w:val="center"/>
          </w:tcPr>
          <w:p w14:paraId="66339B03">
            <w:pPr>
              <w:pStyle w:val="57"/>
              <w:rPr>
                <w:rFonts w:hint="eastAsia" w:ascii="宋体" w:hAnsi="宋体" w:cs="宋体"/>
              </w:rPr>
            </w:pPr>
            <w:r>
              <w:rPr>
                <w:rFonts w:hint="eastAsia" w:ascii="宋体" w:hAnsi="宋体" w:cs="宋体"/>
              </w:rPr>
              <w:t>环境保护措施</w:t>
            </w:r>
          </w:p>
        </w:tc>
        <w:tc>
          <w:tcPr>
            <w:tcW w:w="1476" w:type="pct"/>
            <w:vAlign w:val="center"/>
          </w:tcPr>
          <w:p w14:paraId="64CEBADF">
            <w:pPr>
              <w:pStyle w:val="57"/>
              <w:rPr>
                <w:rFonts w:hint="eastAsia" w:ascii="宋体" w:hAnsi="宋体" w:cs="宋体"/>
              </w:rPr>
            </w:pPr>
            <w:r>
              <w:rPr>
                <w:rFonts w:hint="eastAsia" w:ascii="宋体" w:hAnsi="宋体" w:cs="宋体"/>
              </w:rPr>
              <w:t>执行标准</w:t>
            </w:r>
          </w:p>
        </w:tc>
      </w:tr>
      <w:tr w14:paraId="0C7F7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Merge w:val="restart"/>
            <w:vAlign w:val="center"/>
          </w:tcPr>
          <w:p w14:paraId="7D86D267">
            <w:pPr>
              <w:pStyle w:val="57"/>
            </w:pPr>
            <w:r>
              <w:rPr>
                <w:rFonts w:hint="eastAsia" w:ascii="宋体" w:hAnsi="宋体" w:cs="宋体"/>
              </w:rPr>
              <w:t>大气环境</w:t>
            </w:r>
          </w:p>
        </w:tc>
        <w:tc>
          <w:tcPr>
            <w:tcW w:w="884" w:type="pct"/>
            <w:vAlign w:val="center"/>
          </w:tcPr>
          <w:p w14:paraId="0621DE39">
            <w:pPr>
              <w:pStyle w:val="57"/>
              <w:rPr>
                <w:rFonts w:hint="default" w:eastAsia="宋体"/>
                <w:lang w:val="en-US" w:eastAsia="zh-CN"/>
              </w:rPr>
            </w:pPr>
            <w:r>
              <w:rPr>
                <w:rFonts w:hint="eastAsia"/>
                <w:lang w:val="en-US" w:eastAsia="zh-CN"/>
              </w:rPr>
              <w:t>DA001拉丝工序废气排气筒</w:t>
            </w:r>
          </w:p>
        </w:tc>
        <w:tc>
          <w:tcPr>
            <w:tcW w:w="884" w:type="pct"/>
            <w:vAlign w:val="center"/>
          </w:tcPr>
          <w:p w14:paraId="3A3583E7">
            <w:pPr>
              <w:pStyle w:val="57"/>
              <w:rPr>
                <w:rFonts w:hint="eastAsia"/>
              </w:rPr>
            </w:pPr>
            <w:r>
              <w:rPr>
                <w:rFonts w:hint="eastAsia"/>
              </w:rPr>
              <w:t>颗粒物</w:t>
            </w:r>
          </w:p>
        </w:tc>
        <w:tc>
          <w:tcPr>
            <w:tcW w:w="1178" w:type="pct"/>
            <w:vAlign w:val="center"/>
          </w:tcPr>
          <w:p w14:paraId="55DDD9D5">
            <w:pPr>
              <w:pStyle w:val="57"/>
              <w:rPr>
                <w:rFonts w:hint="default" w:ascii="Times New Roman" w:hAnsi="Times New Roman" w:eastAsia="宋体" w:cs="Times New Roman"/>
                <w:b w:val="0"/>
                <w:bCs w:val="0"/>
                <w:lang w:val="en-US" w:eastAsia="zh-CN"/>
              </w:rPr>
            </w:pPr>
            <w:r>
              <w:rPr>
                <w:rFonts w:hint="default" w:ascii="Times New Roman" w:hAnsi="Times New Roman" w:eastAsia="宋体" w:cs="Times New Roman"/>
                <w:b w:val="0"/>
                <w:bCs w:val="0"/>
                <w:lang w:val="en-US" w:eastAsia="zh-CN"/>
              </w:rPr>
              <w:t>集气罩+布袋除尘+15</w:t>
            </w:r>
            <w:r>
              <w:rPr>
                <w:rFonts w:hint="default" w:ascii="Times New Roman" w:hAnsi="Times New Roman" w:eastAsia="宋体" w:cs="Times New Roman"/>
                <w:b w:val="0"/>
                <w:bCs w:val="0"/>
              </w:rPr>
              <w:t>m排气筒</w:t>
            </w:r>
          </w:p>
        </w:tc>
        <w:tc>
          <w:tcPr>
            <w:tcW w:w="1476" w:type="pct"/>
            <w:vAlign w:val="center"/>
          </w:tcPr>
          <w:p w14:paraId="74648437">
            <w:pPr>
              <w:pStyle w:val="57"/>
              <w:rPr>
                <w:rFonts w:hint="default" w:ascii="Times New Roman" w:hAnsi="Times New Roman" w:eastAsia="宋体" w:cs="Times New Roman"/>
                <w:b w:val="0"/>
                <w:bCs w:val="0"/>
              </w:rPr>
            </w:pPr>
            <w:r>
              <w:rPr>
                <w:rFonts w:hint="default" w:ascii="Times New Roman" w:hAnsi="Times New Roman" w:eastAsia="宋体" w:cs="Times New Roman"/>
                <w:b w:val="0"/>
                <w:bCs w:val="0"/>
              </w:rPr>
              <w:t>《大气污染物综合排放标准》（GB 16297-1996）</w:t>
            </w:r>
            <w:r>
              <w:rPr>
                <w:rFonts w:hint="default" w:ascii="Times New Roman" w:hAnsi="Times New Roman" w:eastAsia="宋体" w:cs="Times New Roman"/>
                <w:b w:val="0"/>
                <w:bCs w:val="0"/>
                <w:lang w:val="en-US" w:eastAsia="zh-CN"/>
              </w:rPr>
              <w:t>表2中最高允许排放浓度</w:t>
            </w:r>
          </w:p>
        </w:tc>
      </w:tr>
      <w:tr w14:paraId="0E4B6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Merge w:val="continue"/>
            <w:vAlign w:val="center"/>
          </w:tcPr>
          <w:p w14:paraId="69568595">
            <w:pPr>
              <w:pStyle w:val="57"/>
            </w:pPr>
          </w:p>
        </w:tc>
        <w:tc>
          <w:tcPr>
            <w:tcW w:w="884" w:type="pct"/>
            <w:vMerge w:val="restart"/>
            <w:vAlign w:val="center"/>
          </w:tcPr>
          <w:p w14:paraId="374F9AFE">
            <w:pPr>
              <w:pStyle w:val="57"/>
              <w:rPr>
                <w:rFonts w:hint="default" w:eastAsia="宋体"/>
                <w:lang w:val="en-US" w:eastAsia="zh-CN"/>
              </w:rPr>
            </w:pPr>
            <w:r>
              <w:rPr>
                <w:rFonts w:hint="eastAsia"/>
              </w:rPr>
              <w:t>DA00</w:t>
            </w:r>
            <w:r>
              <w:rPr>
                <w:rFonts w:hint="eastAsia"/>
                <w:lang w:val="en-US" w:eastAsia="zh-CN"/>
              </w:rPr>
              <w:t>2</w:t>
            </w:r>
            <w:r>
              <w:rPr>
                <w:rFonts w:hint="eastAsia"/>
              </w:rPr>
              <w:t>锅炉</w:t>
            </w:r>
            <w:r>
              <w:rPr>
                <w:rFonts w:hint="eastAsia"/>
                <w:lang w:val="en-US" w:eastAsia="zh-CN"/>
              </w:rPr>
              <w:t>废气排气筒</w:t>
            </w:r>
          </w:p>
        </w:tc>
        <w:tc>
          <w:tcPr>
            <w:tcW w:w="884" w:type="pct"/>
            <w:vAlign w:val="center"/>
          </w:tcPr>
          <w:p w14:paraId="03F9D167">
            <w:pPr>
              <w:pStyle w:val="57"/>
            </w:pPr>
            <w:r>
              <w:rPr>
                <w:rFonts w:hint="eastAsia"/>
              </w:rPr>
              <w:t>颗粒物</w:t>
            </w:r>
          </w:p>
        </w:tc>
        <w:tc>
          <w:tcPr>
            <w:tcW w:w="1178" w:type="pct"/>
            <w:vMerge w:val="restart"/>
            <w:vAlign w:val="center"/>
          </w:tcPr>
          <w:p w14:paraId="21E308B4">
            <w:pPr>
              <w:pStyle w:val="57"/>
            </w:pPr>
            <w:r>
              <w:rPr>
                <w:rFonts w:hint="eastAsia" w:ascii="Times New Roman" w:hAnsi="Times New Roman" w:eastAsia="宋体"/>
                <w:lang w:val="en-US" w:eastAsia="zh-CN"/>
              </w:rPr>
              <w:t>烟道收集+</w:t>
            </w:r>
            <w:r>
              <w:rPr>
                <w:rFonts w:hint="eastAsia" w:ascii="Times New Roman" w:hAnsi="Times New Roman" w:eastAsia="宋体"/>
              </w:rPr>
              <w:t>SNCR脱硝技术</w:t>
            </w:r>
            <w:r>
              <w:rPr>
                <w:rFonts w:hint="eastAsia" w:ascii="Times New Roman" w:hAnsi="Times New Roman" w:eastAsia="宋体"/>
                <w:lang w:val="en-US" w:eastAsia="zh-CN"/>
              </w:rPr>
              <w:t>+</w:t>
            </w:r>
            <w:r>
              <w:rPr>
                <w:rFonts w:hint="eastAsia" w:ascii="Times New Roman" w:hAnsi="Times New Roman" w:eastAsia="宋体"/>
              </w:rPr>
              <w:t>旋风除尘+袋式除尘</w:t>
            </w:r>
            <w:r>
              <w:rPr>
                <w:rFonts w:hint="eastAsia"/>
                <w:lang w:val="en-US" w:eastAsia="zh-CN"/>
              </w:rPr>
              <w:t>+水膜除尘</w:t>
            </w:r>
            <w:r>
              <w:rPr>
                <w:rFonts w:hint="eastAsia" w:ascii="Times New Roman" w:hAnsi="Times New Roman" w:eastAsia="宋体"/>
              </w:rPr>
              <w:t>+3</w:t>
            </w:r>
            <w:r>
              <w:rPr>
                <w:rFonts w:hint="eastAsia" w:ascii="Times New Roman" w:hAnsi="Times New Roman" w:eastAsia="宋体"/>
                <w:lang w:val="en-US" w:eastAsia="zh-CN"/>
              </w:rPr>
              <w:t>0</w:t>
            </w:r>
            <w:r>
              <w:rPr>
                <w:rFonts w:hint="eastAsia" w:ascii="Times New Roman" w:hAnsi="Times New Roman" w:eastAsia="宋体"/>
              </w:rPr>
              <w:t>m排气筒</w:t>
            </w:r>
          </w:p>
        </w:tc>
        <w:tc>
          <w:tcPr>
            <w:tcW w:w="1476" w:type="pct"/>
            <w:vMerge w:val="restart"/>
            <w:vAlign w:val="center"/>
          </w:tcPr>
          <w:p w14:paraId="1DD1A248">
            <w:pPr>
              <w:pStyle w:val="57"/>
            </w:pPr>
            <w:r>
              <w:rPr>
                <w:rFonts w:hint="eastAsia"/>
              </w:rPr>
              <w:t>《锅炉大气污染物排放标准》（GB 13271-2014）表</w:t>
            </w:r>
            <w:r>
              <w:rPr>
                <w:rFonts w:hint="eastAsia"/>
                <w:lang w:val="en-US" w:eastAsia="zh-CN"/>
              </w:rPr>
              <w:t>3</w:t>
            </w:r>
            <w:r>
              <w:rPr>
                <w:rFonts w:hint="eastAsia"/>
              </w:rPr>
              <w:t>燃煤锅炉</w:t>
            </w:r>
            <w:r>
              <w:rPr>
                <w:rFonts w:hint="eastAsia"/>
                <w:lang w:val="en-US" w:eastAsia="zh-CN"/>
              </w:rPr>
              <w:t>特别</w:t>
            </w:r>
            <w:r>
              <w:rPr>
                <w:rFonts w:hint="eastAsia"/>
              </w:rPr>
              <w:t>排放限值</w:t>
            </w:r>
          </w:p>
        </w:tc>
      </w:tr>
      <w:tr w14:paraId="75541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Merge w:val="continue"/>
            <w:vAlign w:val="center"/>
          </w:tcPr>
          <w:p w14:paraId="7D285F9B">
            <w:pPr>
              <w:pStyle w:val="57"/>
            </w:pPr>
          </w:p>
        </w:tc>
        <w:tc>
          <w:tcPr>
            <w:tcW w:w="884" w:type="pct"/>
            <w:vMerge w:val="continue"/>
            <w:vAlign w:val="center"/>
          </w:tcPr>
          <w:p w14:paraId="10E8A83C">
            <w:pPr>
              <w:pStyle w:val="57"/>
            </w:pPr>
          </w:p>
        </w:tc>
        <w:tc>
          <w:tcPr>
            <w:tcW w:w="884" w:type="pct"/>
            <w:vAlign w:val="center"/>
          </w:tcPr>
          <w:p w14:paraId="488AC111">
            <w:pPr>
              <w:pStyle w:val="57"/>
            </w:pPr>
            <w:r>
              <w:t>SO</w:t>
            </w:r>
            <w:r>
              <w:rPr>
                <w:vertAlign w:val="subscript"/>
              </w:rPr>
              <w:t>2</w:t>
            </w:r>
          </w:p>
        </w:tc>
        <w:tc>
          <w:tcPr>
            <w:tcW w:w="1178" w:type="pct"/>
            <w:vMerge w:val="continue"/>
            <w:vAlign w:val="center"/>
          </w:tcPr>
          <w:p w14:paraId="0E1D76A8">
            <w:pPr>
              <w:pStyle w:val="57"/>
            </w:pPr>
          </w:p>
        </w:tc>
        <w:tc>
          <w:tcPr>
            <w:tcW w:w="1476" w:type="pct"/>
            <w:vMerge w:val="continue"/>
            <w:vAlign w:val="center"/>
          </w:tcPr>
          <w:p w14:paraId="1B5DB777">
            <w:pPr>
              <w:pStyle w:val="57"/>
            </w:pPr>
          </w:p>
        </w:tc>
      </w:tr>
      <w:tr w14:paraId="13BC8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575" w:type="pct"/>
            <w:vMerge w:val="continue"/>
            <w:vAlign w:val="center"/>
          </w:tcPr>
          <w:p w14:paraId="37383939">
            <w:pPr>
              <w:pStyle w:val="57"/>
            </w:pPr>
          </w:p>
        </w:tc>
        <w:tc>
          <w:tcPr>
            <w:tcW w:w="884" w:type="pct"/>
            <w:vMerge w:val="continue"/>
            <w:vAlign w:val="center"/>
          </w:tcPr>
          <w:p w14:paraId="02F81128">
            <w:pPr>
              <w:pStyle w:val="57"/>
            </w:pPr>
          </w:p>
        </w:tc>
        <w:tc>
          <w:tcPr>
            <w:tcW w:w="884" w:type="pct"/>
            <w:vAlign w:val="center"/>
          </w:tcPr>
          <w:p w14:paraId="01B6F005">
            <w:pPr>
              <w:pStyle w:val="57"/>
            </w:pPr>
            <w:r>
              <w:t>NOx</w:t>
            </w:r>
          </w:p>
        </w:tc>
        <w:tc>
          <w:tcPr>
            <w:tcW w:w="1178" w:type="pct"/>
            <w:vMerge w:val="continue"/>
            <w:vAlign w:val="center"/>
          </w:tcPr>
          <w:p w14:paraId="6222A40B">
            <w:pPr>
              <w:pStyle w:val="57"/>
            </w:pPr>
          </w:p>
        </w:tc>
        <w:tc>
          <w:tcPr>
            <w:tcW w:w="1476" w:type="pct"/>
            <w:vMerge w:val="continue"/>
            <w:vAlign w:val="center"/>
          </w:tcPr>
          <w:p w14:paraId="65FC1B9F">
            <w:pPr>
              <w:pStyle w:val="57"/>
            </w:pPr>
          </w:p>
        </w:tc>
      </w:tr>
      <w:tr w14:paraId="63F1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Merge w:val="continue"/>
            <w:vAlign w:val="center"/>
          </w:tcPr>
          <w:p w14:paraId="32A912FE">
            <w:pPr>
              <w:pStyle w:val="57"/>
            </w:pPr>
          </w:p>
        </w:tc>
        <w:tc>
          <w:tcPr>
            <w:tcW w:w="884" w:type="pct"/>
            <w:vMerge w:val="continue"/>
            <w:vAlign w:val="center"/>
          </w:tcPr>
          <w:p w14:paraId="77EA7570">
            <w:pPr>
              <w:pStyle w:val="57"/>
            </w:pPr>
          </w:p>
        </w:tc>
        <w:tc>
          <w:tcPr>
            <w:tcW w:w="884" w:type="pct"/>
            <w:vAlign w:val="center"/>
          </w:tcPr>
          <w:p w14:paraId="6DC367C4">
            <w:pPr>
              <w:pStyle w:val="57"/>
            </w:pPr>
            <w:r>
              <w:rPr>
                <w:rFonts w:hint="eastAsia" w:ascii="Times New Roman" w:hAnsi="Times New Roman" w:eastAsia="宋体"/>
              </w:rPr>
              <w:t>林格曼黑度</w:t>
            </w:r>
          </w:p>
        </w:tc>
        <w:tc>
          <w:tcPr>
            <w:tcW w:w="1178" w:type="pct"/>
            <w:vMerge w:val="continue"/>
            <w:vAlign w:val="center"/>
          </w:tcPr>
          <w:p w14:paraId="55B16792">
            <w:pPr>
              <w:pStyle w:val="57"/>
            </w:pPr>
          </w:p>
        </w:tc>
        <w:tc>
          <w:tcPr>
            <w:tcW w:w="1476" w:type="pct"/>
            <w:vMerge w:val="continue"/>
            <w:vAlign w:val="center"/>
          </w:tcPr>
          <w:p w14:paraId="0C1A8DD4">
            <w:pPr>
              <w:pStyle w:val="57"/>
            </w:pPr>
          </w:p>
        </w:tc>
      </w:tr>
      <w:tr w14:paraId="78BBE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575" w:type="pct"/>
            <w:vMerge w:val="continue"/>
            <w:vAlign w:val="center"/>
          </w:tcPr>
          <w:p w14:paraId="13996BD5">
            <w:pPr>
              <w:pStyle w:val="57"/>
            </w:pPr>
          </w:p>
        </w:tc>
        <w:tc>
          <w:tcPr>
            <w:tcW w:w="884" w:type="pct"/>
            <w:vAlign w:val="center"/>
          </w:tcPr>
          <w:p w14:paraId="7C101404">
            <w:pPr>
              <w:pStyle w:val="57"/>
              <w:rPr>
                <w:rFonts w:hint="default" w:eastAsia="宋体"/>
                <w:lang w:val="en-US" w:eastAsia="zh-CN"/>
              </w:rPr>
            </w:pPr>
            <w:r>
              <w:rPr>
                <w:rFonts w:hint="eastAsia"/>
                <w:lang w:val="en-US" w:eastAsia="zh-CN"/>
              </w:rPr>
              <w:t>加工粉尘</w:t>
            </w:r>
          </w:p>
        </w:tc>
        <w:tc>
          <w:tcPr>
            <w:tcW w:w="884" w:type="pct"/>
            <w:vAlign w:val="center"/>
          </w:tcPr>
          <w:p w14:paraId="5A6C79B8">
            <w:pPr>
              <w:pStyle w:val="57"/>
              <w:rPr>
                <w:rFonts w:hint="eastAsia" w:ascii="Times New Roman" w:hAnsi="Times New Roman" w:eastAsia="宋体"/>
                <w:lang w:val="en-US" w:eastAsia="zh-CN"/>
              </w:rPr>
            </w:pPr>
            <w:r>
              <w:rPr>
                <w:rFonts w:hint="eastAsia" w:ascii="Times New Roman" w:hAnsi="Times New Roman" w:eastAsia="宋体"/>
                <w:lang w:val="en-US" w:eastAsia="zh-CN"/>
              </w:rPr>
              <w:t>颗粒物</w:t>
            </w:r>
          </w:p>
        </w:tc>
        <w:tc>
          <w:tcPr>
            <w:tcW w:w="1178" w:type="pct"/>
            <w:vAlign w:val="center"/>
          </w:tcPr>
          <w:p w14:paraId="37286D67">
            <w:pPr>
              <w:pStyle w:val="57"/>
              <w:rPr>
                <w:rFonts w:hint="eastAsia" w:ascii="Times New Roman" w:hAnsi="Times New Roman" w:eastAsia="宋体"/>
              </w:rPr>
            </w:pPr>
            <w:r>
              <w:rPr>
                <w:rFonts w:hint="eastAsia"/>
                <w:u w:val="none" w:color="auto"/>
                <w:lang w:val="en-US" w:eastAsia="zh-CN"/>
              </w:rPr>
              <w:t>车间沉降，洒水降尘，及时清扫</w:t>
            </w:r>
          </w:p>
        </w:tc>
        <w:tc>
          <w:tcPr>
            <w:tcW w:w="1476" w:type="pct"/>
            <w:vAlign w:val="center"/>
          </w:tcPr>
          <w:p w14:paraId="4F091C3F">
            <w:pPr>
              <w:pStyle w:val="57"/>
              <w:rPr>
                <w:rFonts w:hint="eastAsia" w:ascii="Times New Roman" w:hAnsi="Times New Roman" w:eastAsia="宋体"/>
              </w:rPr>
            </w:pPr>
            <w:r>
              <w:rPr>
                <w:rFonts w:hint="eastAsia" w:ascii="Times New Roman" w:hAnsi="Times New Roman" w:eastAsia="宋体"/>
              </w:rPr>
              <w:t>《大气污染物综合排放标准》（GB 16297-1996）表2无组织排放限值</w:t>
            </w:r>
          </w:p>
        </w:tc>
      </w:tr>
      <w:tr w14:paraId="1D23B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Merge w:val="continue"/>
            <w:vAlign w:val="center"/>
          </w:tcPr>
          <w:p w14:paraId="12D963FF">
            <w:pPr>
              <w:pStyle w:val="57"/>
            </w:pPr>
          </w:p>
        </w:tc>
        <w:tc>
          <w:tcPr>
            <w:tcW w:w="884" w:type="pct"/>
            <w:vAlign w:val="center"/>
          </w:tcPr>
          <w:p w14:paraId="0DED657F">
            <w:pPr>
              <w:pStyle w:val="57"/>
              <w:rPr>
                <w:rFonts w:hint="eastAsia" w:ascii="Times New Roman" w:hAnsi="Times New Roman" w:eastAsia="宋体"/>
                <w:lang w:val="en-US" w:eastAsia="zh-CN"/>
              </w:rPr>
            </w:pPr>
            <w:r>
              <w:rPr>
                <w:rFonts w:hint="eastAsia" w:ascii="Times New Roman" w:hAnsi="Times New Roman" w:eastAsia="宋体"/>
                <w:lang w:val="en-US" w:eastAsia="zh-CN"/>
              </w:rPr>
              <w:t>逃逸氨</w:t>
            </w:r>
          </w:p>
        </w:tc>
        <w:tc>
          <w:tcPr>
            <w:tcW w:w="884" w:type="pct"/>
            <w:shd w:val="clear" w:color="auto" w:fill="auto"/>
            <w:vAlign w:val="center"/>
          </w:tcPr>
          <w:p w14:paraId="762211ED">
            <w:pPr>
              <w:pStyle w:val="57"/>
              <w:rPr>
                <w:rFonts w:hint="eastAsia" w:ascii="Times New Roman" w:hAnsi="Times New Roman" w:eastAsia="宋体"/>
                <w:lang w:val="en-US" w:eastAsia="zh-CN"/>
              </w:rPr>
            </w:pPr>
            <w:r>
              <w:rPr>
                <w:rFonts w:hint="eastAsia" w:ascii="Times New Roman" w:hAnsi="Times New Roman" w:eastAsia="宋体"/>
                <w:lang w:val="en-US" w:eastAsia="zh-CN"/>
              </w:rPr>
              <w:t>氨</w:t>
            </w:r>
          </w:p>
        </w:tc>
        <w:tc>
          <w:tcPr>
            <w:tcW w:w="1178" w:type="pct"/>
            <w:shd w:val="clear" w:color="auto" w:fill="auto"/>
            <w:vAlign w:val="center"/>
          </w:tcPr>
          <w:p w14:paraId="13D77794">
            <w:pPr>
              <w:pStyle w:val="57"/>
              <w:rPr>
                <w:rFonts w:hint="eastAsia" w:ascii="Times New Roman" w:hAnsi="Times New Roman" w:eastAsia="宋体"/>
                <w:lang w:val="en-US" w:eastAsia="zh-CN"/>
              </w:rPr>
            </w:pPr>
            <w:r>
              <w:rPr>
                <w:rFonts w:hint="eastAsia" w:ascii="Times New Roman" w:hAnsi="Times New Roman" w:eastAsia="宋体"/>
                <w:lang w:val="en-US" w:eastAsia="zh-CN"/>
              </w:rPr>
              <w:t>及时调节喷入的还原剂量</w:t>
            </w:r>
          </w:p>
        </w:tc>
        <w:tc>
          <w:tcPr>
            <w:tcW w:w="1476" w:type="pct"/>
            <w:shd w:val="clear" w:color="auto" w:fill="auto"/>
            <w:vAlign w:val="center"/>
          </w:tcPr>
          <w:p w14:paraId="424F0C32">
            <w:pPr>
              <w:pStyle w:val="57"/>
              <w:rPr>
                <w:rFonts w:hint="eastAsia" w:ascii="Times New Roman" w:hAnsi="Times New Roman" w:eastAsia="宋体"/>
                <w:lang w:val="en-US" w:eastAsia="zh-CN"/>
              </w:rPr>
            </w:pPr>
            <w:r>
              <w:rPr>
                <w:rFonts w:hint="eastAsia" w:ascii="Times New Roman" w:hAnsi="Times New Roman" w:eastAsia="宋体"/>
                <w:lang w:val="en-US" w:eastAsia="zh-CN"/>
              </w:rPr>
              <w:t>《火电厂烟气脱硝工程技术规范选择性非催化还原法（HJ563-2010）》氨逃逸的规定</w:t>
            </w:r>
          </w:p>
        </w:tc>
      </w:tr>
      <w:tr w14:paraId="477C4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Merge w:val="restart"/>
            <w:vAlign w:val="center"/>
          </w:tcPr>
          <w:p w14:paraId="76AB2D09">
            <w:pPr>
              <w:pStyle w:val="57"/>
            </w:pPr>
            <w:r>
              <w:rPr>
                <w:rFonts w:hint="eastAsia" w:ascii="宋体" w:hAnsi="宋体" w:cs="宋体"/>
              </w:rPr>
              <w:t>地表水环境</w:t>
            </w:r>
          </w:p>
        </w:tc>
        <w:tc>
          <w:tcPr>
            <w:tcW w:w="884" w:type="pct"/>
            <w:vAlign w:val="center"/>
          </w:tcPr>
          <w:p w14:paraId="1FEBB672">
            <w:pPr>
              <w:pStyle w:val="57"/>
              <w:rPr>
                <w:rFonts w:hint="default" w:eastAsia="宋体"/>
                <w:lang w:val="en-US" w:eastAsia="zh-CN"/>
              </w:rPr>
            </w:pPr>
            <w:r>
              <w:rPr>
                <w:rFonts w:hint="eastAsia"/>
                <w:lang w:val="en-US" w:eastAsia="zh-CN"/>
              </w:rPr>
              <w:t>生活污水</w:t>
            </w:r>
          </w:p>
        </w:tc>
        <w:tc>
          <w:tcPr>
            <w:tcW w:w="884" w:type="pct"/>
            <w:vAlign w:val="center"/>
          </w:tcPr>
          <w:p w14:paraId="30C2F6C7">
            <w:pPr>
              <w:pStyle w:val="57"/>
              <w:rPr>
                <w:rFonts w:hint="default" w:eastAsia="宋体"/>
                <w:lang w:val="en-US" w:eastAsia="zh-CN"/>
              </w:rPr>
            </w:pPr>
            <w:r>
              <w:rPr>
                <w:rFonts w:hint="eastAsia"/>
                <w:u w:val="none"/>
              </w:rPr>
              <w:t>COD</w:t>
            </w:r>
            <w:r>
              <w:rPr>
                <w:rFonts w:hint="eastAsia"/>
                <w:u w:val="none"/>
                <w:lang w:eastAsia="zh-CN"/>
              </w:rPr>
              <w:t>、</w:t>
            </w:r>
            <w:r>
              <w:rPr>
                <w:rFonts w:hint="eastAsia"/>
                <w:u w:val="none"/>
                <w:lang w:val="en-US" w:eastAsia="zh-CN"/>
              </w:rPr>
              <w:t>BOD</w:t>
            </w:r>
            <w:r>
              <w:rPr>
                <w:rFonts w:hint="eastAsia"/>
                <w:u w:val="none"/>
                <w:vertAlign w:val="subscript"/>
                <w:lang w:val="en-US" w:eastAsia="zh-CN"/>
              </w:rPr>
              <w:t>5</w:t>
            </w:r>
            <w:r>
              <w:rPr>
                <w:rFonts w:hint="eastAsia"/>
                <w:u w:val="none"/>
                <w:lang w:val="en-US" w:eastAsia="zh-CN"/>
              </w:rPr>
              <w:t>、氨氮、SS</w:t>
            </w:r>
          </w:p>
        </w:tc>
        <w:tc>
          <w:tcPr>
            <w:tcW w:w="1178" w:type="pct"/>
            <w:vAlign w:val="center"/>
          </w:tcPr>
          <w:p w14:paraId="4281EF15">
            <w:pPr>
              <w:pStyle w:val="57"/>
              <w:rPr>
                <w:rFonts w:hint="default" w:eastAsia="宋体"/>
                <w:lang w:val="en-US" w:eastAsia="zh-CN"/>
              </w:rPr>
            </w:pPr>
            <w:r>
              <w:rPr>
                <w:rFonts w:hint="eastAsia"/>
                <w:lang w:val="en-US" w:eastAsia="zh-CN"/>
              </w:rPr>
              <w:t>经化粪池处理后用于周边菜地施肥</w:t>
            </w:r>
          </w:p>
        </w:tc>
        <w:tc>
          <w:tcPr>
            <w:tcW w:w="1476" w:type="pct"/>
            <w:vAlign w:val="center"/>
          </w:tcPr>
          <w:p w14:paraId="0DBDDAB7">
            <w:pPr>
              <w:pStyle w:val="57"/>
              <w:rPr>
                <w:rFonts w:hint="default" w:eastAsia="宋体"/>
                <w:lang w:val="en-US" w:eastAsia="zh-CN"/>
              </w:rPr>
            </w:pPr>
            <w:r>
              <w:rPr>
                <w:rFonts w:hint="eastAsia"/>
                <w:lang w:val="en-US" w:eastAsia="zh-CN"/>
              </w:rPr>
              <w:t>/</w:t>
            </w:r>
          </w:p>
        </w:tc>
      </w:tr>
      <w:tr w14:paraId="0939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Merge w:val="continue"/>
            <w:vAlign w:val="center"/>
          </w:tcPr>
          <w:p w14:paraId="4BB908AC">
            <w:pPr>
              <w:pStyle w:val="57"/>
              <w:rPr>
                <w:rFonts w:hint="eastAsia" w:ascii="宋体" w:hAnsi="宋体" w:cs="宋体"/>
                <w:u w:val="none"/>
              </w:rPr>
            </w:pPr>
          </w:p>
        </w:tc>
        <w:tc>
          <w:tcPr>
            <w:tcW w:w="884" w:type="pct"/>
            <w:shd w:val="clear" w:color="auto" w:fill="auto"/>
            <w:vAlign w:val="center"/>
          </w:tcPr>
          <w:p w14:paraId="0AEB17F1">
            <w:pPr>
              <w:pStyle w:val="57"/>
              <w:rPr>
                <w:rFonts w:hint="eastAsia" w:ascii="Times New Roman" w:hAnsi="Times New Roman" w:eastAsia="宋体" w:cstheme="minorBidi"/>
                <w:kern w:val="2"/>
                <w:sz w:val="21"/>
                <w:szCs w:val="32"/>
                <w:u w:val="none"/>
                <w:lang w:val="en-US" w:eastAsia="zh-CN" w:bidi="ar-SA"/>
              </w:rPr>
            </w:pPr>
            <w:r>
              <w:rPr>
                <w:rFonts w:hint="eastAsia" w:cs="Times New Roman"/>
                <w:color w:val="000000"/>
                <w:szCs w:val="21"/>
                <w:u w:val="none"/>
                <w:lang w:val="en-US" w:eastAsia="zh-CN"/>
              </w:rPr>
              <w:t>锅炉内排污水及软水制备废水</w:t>
            </w:r>
          </w:p>
        </w:tc>
        <w:tc>
          <w:tcPr>
            <w:tcW w:w="884" w:type="pct"/>
            <w:shd w:val="clear" w:color="auto" w:fill="auto"/>
            <w:vAlign w:val="center"/>
          </w:tcPr>
          <w:p w14:paraId="0B7B5E54">
            <w:pPr>
              <w:pStyle w:val="57"/>
              <w:rPr>
                <w:rFonts w:hint="default" w:ascii="Times New Roman" w:hAnsi="Times New Roman" w:eastAsia="宋体"/>
                <w:lang w:val="en-US" w:eastAsia="zh-CN"/>
              </w:rPr>
            </w:pPr>
            <w:r>
              <w:rPr>
                <w:rFonts w:hint="eastAsia" w:ascii="Times New Roman" w:hAnsi="Times New Roman" w:eastAsia="宋体"/>
                <w:lang w:val="en-US" w:eastAsia="zh-CN"/>
              </w:rPr>
              <w:t>COD、SS</w:t>
            </w:r>
          </w:p>
        </w:tc>
        <w:tc>
          <w:tcPr>
            <w:tcW w:w="1996" w:type="dxa"/>
            <w:shd w:val="clear" w:color="auto" w:fill="auto"/>
            <w:vAlign w:val="center"/>
          </w:tcPr>
          <w:p w14:paraId="5F19C33B">
            <w:pPr>
              <w:pStyle w:val="57"/>
              <w:rPr>
                <w:rFonts w:hint="eastAsia" w:ascii="Times New Roman" w:hAnsi="Times New Roman" w:eastAsia="宋体"/>
                <w:lang w:val="en-US" w:eastAsia="zh-CN"/>
              </w:rPr>
            </w:pPr>
            <w:r>
              <w:rPr>
                <w:rFonts w:hint="eastAsia"/>
                <w:color w:val="000000" w:themeColor="text1"/>
                <w:u w:val="none" w:color="auto"/>
                <w:lang w:val="en-US" w:eastAsia="zh-CN"/>
                <w14:textFill>
                  <w14:solidFill>
                    <w14:schemeClr w14:val="tx1"/>
                  </w14:solidFill>
                </w14:textFill>
              </w:rPr>
              <w:t>收集后用于水膜除尘补充用水</w:t>
            </w:r>
          </w:p>
        </w:tc>
        <w:tc>
          <w:tcPr>
            <w:tcW w:w="1476" w:type="pct"/>
            <w:shd w:val="clear" w:color="auto" w:fill="auto"/>
            <w:vAlign w:val="center"/>
          </w:tcPr>
          <w:p w14:paraId="5F74CAEE">
            <w:pPr>
              <w:pStyle w:val="57"/>
              <w:rPr>
                <w:rFonts w:hint="eastAsia" w:ascii="Times New Roman" w:hAnsi="Times New Roman" w:eastAsia="宋体" w:cstheme="minorBidi"/>
                <w:kern w:val="2"/>
                <w:sz w:val="21"/>
                <w:szCs w:val="32"/>
                <w:u w:val="none"/>
                <w:lang w:val="en-US" w:eastAsia="zh-CN" w:bidi="ar-SA"/>
              </w:rPr>
            </w:pPr>
            <w:r>
              <w:rPr>
                <w:rFonts w:hint="eastAsia"/>
                <w:u w:val="none"/>
                <w:lang w:val="en-US" w:eastAsia="zh-CN"/>
              </w:rPr>
              <w:t>/</w:t>
            </w:r>
          </w:p>
        </w:tc>
      </w:tr>
      <w:tr w14:paraId="4F749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Merge w:val="continue"/>
            <w:vAlign w:val="center"/>
          </w:tcPr>
          <w:p w14:paraId="63029E11">
            <w:pPr>
              <w:pStyle w:val="57"/>
              <w:rPr>
                <w:rFonts w:hint="eastAsia" w:ascii="宋体" w:hAnsi="宋体" w:cs="宋体"/>
                <w:u w:val="none"/>
              </w:rPr>
            </w:pPr>
          </w:p>
        </w:tc>
        <w:tc>
          <w:tcPr>
            <w:tcW w:w="884" w:type="pct"/>
            <w:shd w:val="clear" w:color="auto" w:fill="auto"/>
            <w:vAlign w:val="center"/>
          </w:tcPr>
          <w:p w14:paraId="70AFB0AC">
            <w:pPr>
              <w:pStyle w:val="57"/>
              <w:rPr>
                <w:rFonts w:hint="eastAsia" w:cs="Times New Roman"/>
                <w:color w:val="000000"/>
                <w:szCs w:val="21"/>
                <w:u w:val="none"/>
                <w:lang w:val="en-US" w:eastAsia="zh-CN"/>
              </w:rPr>
            </w:pPr>
            <w:r>
              <w:rPr>
                <w:rFonts w:hint="eastAsia"/>
                <w:color w:val="000000" w:themeColor="text1"/>
                <w:u w:val="none" w:color="auto"/>
                <w:lang w:val="en-US" w:eastAsia="zh-CN"/>
                <w14:textFill>
                  <w14:solidFill>
                    <w14:schemeClr w14:val="tx1"/>
                  </w14:solidFill>
                </w14:textFill>
              </w:rPr>
              <w:t>蒸汽杀菌锅冷凝水</w:t>
            </w:r>
          </w:p>
        </w:tc>
        <w:tc>
          <w:tcPr>
            <w:tcW w:w="884" w:type="pct"/>
            <w:shd w:val="clear" w:color="auto" w:fill="auto"/>
            <w:vAlign w:val="center"/>
          </w:tcPr>
          <w:p w14:paraId="2CDF4E6B">
            <w:pPr>
              <w:pStyle w:val="57"/>
              <w:rPr>
                <w:rFonts w:hint="default" w:ascii="Times New Roman" w:hAnsi="Times New Roman" w:eastAsia="宋体"/>
                <w:lang w:val="en-US" w:eastAsia="zh-CN"/>
              </w:rPr>
            </w:pPr>
            <w:r>
              <w:rPr>
                <w:rFonts w:hint="eastAsia"/>
                <w:lang w:val="en-US" w:eastAsia="zh-CN"/>
              </w:rPr>
              <w:t>SS</w:t>
            </w:r>
          </w:p>
        </w:tc>
        <w:tc>
          <w:tcPr>
            <w:tcW w:w="1996" w:type="dxa"/>
            <w:shd w:val="clear" w:color="auto" w:fill="auto"/>
            <w:vAlign w:val="center"/>
          </w:tcPr>
          <w:p w14:paraId="2C3B5B7C">
            <w:pPr>
              <w:pStyle w:val="57"/>
              <w:rPr>
                <w:rFonts w:hint="eastAsia" w:ascii="Times New Roman" w:hAnsi="Times New Roman" w:eastAsia="宋体"/>
                <w:lang w:val="en-US" w:eastAsia="zh-CN"/>
              </w:rPr>
            </w:pPr>
            <w:r>
              <w:rPr>
                <w:rFonts w:hint="eastAsia"/>
                <w:color w:val="000000" w:themeColor="text1"/>
                <w:u w:val="none" w:color="auto"/>
                <w:lang w:val="en-US" w:eastAsia="zh-CN"/>
                <w14:textFill>
                  <w14:solidFill>
                    <w14:schemeClr w14:val="tx1"/>
                  </w14:solidFill>
                </w14:textFill>
              </w:rPr>
              <w:t>收集后部分用于水膜除尘补充用水，部分用于厂区洒水降尘</w:t>
            </w:r>
          </w:p>
        </w:tc>
        <w:tc>
          <w:tcPr>
            <w:tcW w:w="1476" w:type="pct"/>
            <w:shd w:val="clear" w:color="auto" w:fill="auto"/>
            <w:vAlign w:val="center"/>
          </w:tcPr>
          <w:p w14:paraId="7D57C8EC">
            <w:pPr>
              <w:pStyle w:val="57"/>
              <w:rPr>
                <w:rFonts w:hint="eastAsia"/>
                <w:u w:val="none"/>
                <w:lang w:val="en-US" w:eastAsia="zh-CN"/>
              </w:rPr>
            </w:pPr>
            <w:r>
              <w:rPr>
                <w:rFonts w:hint="eastAsia"/>
                <w:u w:val="none"/>
                <w:lang w:val="en-US" w:eastAsia="zh-CN"/>
              </w:rPr>
              <w:t>/</w:t>
            </w:r>
          </w:p>
        </w:tc>
      </w:tr>
      <w:tr w14:paraId="31783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Align w:val="center"/>
          </w:tcPr>
          <w:p w14:paraId="060AE512">
            <w:pPr>
              <w:pStyle w:val="57"/>
            </w:pPr>
            <w:r>
              <w:rPr>
                <w:rFonts w:hint="eastAsia"/>
              </w:rPr>
              <w:t>声环境</w:t>
            </w:r>
          </w:p>
        </w:tc>
        <w:tc>
          <w:tcPr>
            <w:tcW w:w="884" w:type="pct"/>
            <w:vAlign w:val="center"/>
          </w:tcPr>
          <w:p w14:paraId="6B028E3F">
            <w:pPr>
              <w:pStyle w:val="57"/>
              <w:rPr>
                <w:rFonts w:hint="eastAsia" w:eastAsia="宋体"/>
                <w:lang w:eastAsia="zh-CN"/>
              </w:rPr>
            </w:pPr>
            <w:r>
              <w:rPr>
                <w:rFonts w:hint="eastAsia"/>
              </w:rPr>
              <w:t>厂界四周外1</w:t>
            </w:r>
            <w:r>
              <w:rPr>
                <w:rFonts w:hint="eastAsia"/>
                <w:lang w:val="en-US" w:eastAsia="zh-CN"/>
              </w:rPr>
              <w:t>m</w:t>
            </w:r>
          </w:p>
        </w:tc>
        <w:tc>
          <w:tcPr>
            <w:tcW w:w="884" w:type="pct"/>
            <w:vAlign w:val="center"/>
          </w:tcPr>
          <w:p w14:paraId="5C17F541">
            <w:pPr>
              <w:pStyle w:val="57"/>
            </w:pPr>
            <w:r>
              <w:rPr>
                <w:rFonts w:hint="eastAsia"/>
              </w:rPr>
              <w:t>Leq</w:t>
            </w:r>
          </w:p>
        </w:tc>
        <w:tc>
          <w:tcPr>
            <w:tcW w:w="1178" w:type="pct"/>
            <w:vAlign w:val="center"/>
          </w:tcPr>
          <w:p w14:paraId="1E28ADE2">
            <w:pPr>
              <w:pStyle w:val="57"/>
              <w:rPr>
                <w:rFonts w:hint="default" w:eastAsia="宋体"/>
                <w:lang w:val="en-US" w:eastAsia="zh-CN"/>
              </w:rPr>
            </w:pPr>
            <w:r>
              <w:rPr>
                <w:rFonts w:hint="eastAsia"/>
                <w:lang w:val="en-US" w:eastAsia="zh-CN"/>
              </w:rPr>
              <w:t>基础减震、隔声等降噪措施</w:t>
            </w:r>
          </w:p>
        </w:tc>
        <w:tc>
          <w:tcPr>
            <w:tcW w:w="1476" w:type="pct"/>
            <w:vAlign w:val="center"/>
          </w:tcPr>
          <w:p w14:paraId="19A386D4">
            <w:pPr>
              <w:pStyle w:val="57"/>
            </w:pPr>
            <w:r>
              <w:rPr>
                <w:rFonts w:hint="eastAsia"/>
              </w:rPr>
              <w:t>《工业企业厂界环境噪声排放标准》（GB12348-2008）2类</w:t>
            </w:r>
          </w:p>
        </w:tc>
      </w:tr>
      <w:tr w14:paraId="1FED0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Merge w:val="restart"/>
            <w:vAlign w:val="center"/>
          </w:tcPr>
          <w:p w14:paraId="6A05E0A2">
            <w:pPr>
              <w:pStyle w:val="57"/>
            </w:pPr>
            <w:r>
              <w:rPr>
                <w:rFonts w:hint="eastAsia"/>
              </w:rPr>
              <w:t>固体废物</w:t>
            </w:r>
          </w:p>
        </w:tc>
        <w:tc>
          <w:tcPr>
            <w:tcW w:w="884" w:type="pct"/>
            <w:vAlign w:val="center"/>
          </w:tcPr>
          <w:p w14:paraId="2978F0B1">
            <w:pPr>
              <w:pStyle w:val="57"/>
              <w:rPr>
                <w:rFonts w:hint="default" w:eastAsia="宋体"/>
                <w:lang w:val="en-US" w:eastAsia="zh-CN"/>
              </w:rPr>
            </w:pPr>
            <w:r>
              <w:rPr>
                <w:rFonts w:hint="eastAsia"/>
                <w:lang w:val="en-US" w:eastAsia="zh-CN"/>
              </w:rPr>
              <w:t>办公生活</w:t>
            </w:r>
          </w:p>
        </w:tc>
        <w:tc>
          <w:tcPr>
            <w:tcW w:w="884" w:type="pct"/>
            <w:vAlign w:val="center"/>
          </w:tcPr>
          <w:p w14:paraId="7D50C5B5">
            <w:pPr>
              <w:pStyle w:val="57"/>
              <w:rPr>
                <w:rFonts w:hint="eastAsia"/>
              </w:rPr>
            </w:pPr>
            <w:r>
              <w:rPr>
                <w:rFonts w:hint="eastAsia"/>
                <w:lang w:val="en-US" w:eastAsia="zh-CN"/>
              </w:rPr>
              <w:t>生活垃圾</w:t>
            </w:r>
          </w:p>
        </w:tc>
        <w:tc>
          <w:tcPr>
            <w:tcW w:w="1178" w:type="pct"/>
            <w:vAlign w:val="center"/>
          </w:tcPr>
          <w:p w14:paraId="757FC8F2">
            <w:pPr>
              <w:pStyle w:val="57"/>
              <w:rPr>
                <w:rFonts w:hint="default"/>
                <w:lang w:val="en-US" w:eastAsia="zh-CN"/>
              </w:rPr>
            </w:pPr>
            <w:r>
              <w:rPr>
                <w:rFonts w:hint="eastAsia"/>
                <w:lang w:val="en-US" w:eastAsia="zh-CN"/>
              </w:rPr>
              <w:t>交由环卫部门清运</w:t>
            </w:r>
          </w:p>
        </w:tc>
        <w:tc>
          <w:tcPr>
            <w:tcW w:w="1476" w:type="pct"/>
            <w:vMerge w:val="restart"/>
            <w:vAlign w:val="center"/>
          </w:tcPr>
          <w:p w14:paraId="720E80F0">
            <w:pPr>
              <w:pStyle w:val="57"/>
            </w:pPr>
            <w:r>
              <w:rPr>
                <w:rFonts w:hint="eastAsia"/>
              </w:rPr>
              <w:t>妥善处置，禁止随意丢弃</w:t>
            </w:r>
          </w:p>
        </w:tc>
      </w:tr>
      <w:tr w14:paraId="6D9D8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Merge w:val="continue"/>
            <w:vAlign w:val="center"/>
          </w:tcPr>
          <w:p w14:paraId="6AF06FDB">
            <w:pPr>
              <w:pStyle w:val="57"/>
            </w:pPr>
          </w:p>
        </w:tc>
        <w:tc>
          <w:tcPr>
            <w:tcW w:w="884" w:type="pct"/>
            <w:vMerge w:val="restart"/>
            <w:vAlign w:val="center"/>
          </w:tcPr>
          <w:p w14:paraId="25000CF0">
            <w:pPr>
              <w:pStyle w:val="57"/>
            </w:pPr>
            <w:r>
              <w:rPr>
                <w:rFonts w:hint="eastAsia"/>
              </w:rPr>
              <w:t>一般工业固体废物</w:t>
            </w:r>
          </w:p>
        </w:tc>
        <w:tc>
          <w:tcPr>
            <w:tcW w:w="884" w:type="pct"/>
            <w:vAlign w:val="center"/>
          </w:tcPr>
          <w:p w14:paraId="0DFD07B7">
            <w:pPr>
              <w:pStyle w:val="57"/>
              <w:rPr>
                <w:rFonts w:hint="default" w:eastAsia="宋体"/>
                <w:lang w:val="en-US" w:eastAsia="zh-CN"/>
              </w:rPr>
            </w:pPr>
            <w:r>
              <w:rPr>
                <w:rFonts w:hint="eastAsia" w:ascii="Times New Roman" w:hAnsi="Times New Roman" w:eastAsia="宋体" w:cs="Times New Roman"/>
                <w:u w:val="none" w:color="auto"/>
              </w:rPr>
              <w:t>废包装材料</w:t>
            </w:r>
            <w:r>
              <w:rPr>
                <w:rFonts w:hint="eastAsia" w:ascii="Times New Roman" w:hAnsi="Times New Roman" w:eastAsia="宋体" w:cs="Times New Roman"/>
                <w:u w:val="none" w:color="auto"/>
                <w:lang w:eastAsia="zh-CN"/>
              </w:rPr>
              <w:t>、</w:t>
            </w:r>
            <w:r>
              <w:rPr>
                <w:rFonts w:hint="eastAsia" w:ascii="Times New Roman" w:hAnsi="Times New Roman" w:eastAsia="宋体" w:cs="Times New Roman"/>
                <w:u w:val="none" w:color="auto"/>
              </w:rPr>
              <w:t>废边角料和不合格品</w:t>
            </w:r>
            <w:r>
              <w:rPr>
                <w:rFonts w:hint="eastAsia" w:ascii="Times New Roman" w:hAnsi="Times New Roman" w:eastAsia="宋体" w:cs="Times New Roman"/>
                <w:u w:val="none" w:color="auto"/>
                <w:lang w:eastAsia="zh-CN"/>
              </w:rPr>
              <w:t>、</w:t>
            </w:r>
            <w:r>
              <w:rPr>
                <w:rFonts w:hint="eastAsia"/>
                <w:u w:val="none" w:color="auto"/>
              </w:rPr>
              <w:t>地面收集尘</w:t>
            </w:r>
            <w:r>
              <w:rPr>
                <w:rFonts w:hint="eastAsia"/>
                <w:u w:val="none" w:color="auto"/>
                <w:lang w:eastAsia="zh-CN"/>
              </w:rPr>
              <w:t>、</w:t>
            </w:r>
            <w:r>
              <w:rPr>
                <w:rFonts w:hint="eastAsia"/>
                <w:u w:val="none" w:color="auto"/>
                <w:lang w:val="en-US" w:eastAsia="zh-CN"/>
              </w:rPr>
              <w:t>布袋除尘器收集尘</w:t>
            </w:r>
          </w:p>
        </w:tc>
        <w:tc>
          <w:tcPr>
            <w:tcW w:w="1178" w:type="pct"/>
            <w:vAlign w:val="center"/>
          </w:tcPr>
          <w:p w14:paraId="3F1DB79F">
            <w:pPr>
              <w:pStyle w:val="57"/>
            </w:pPr>
            <w:r>
              <w:rPr>
                <w:rFonts w:hint="eastAsia" w:ascii="Times New Roman" w:hAnsi="Times New Roman" w:eastAsia="宋体" w:cs="Times New Roman"/>
                <w:u w:val="none" w:color="auto"/>
                <w:lang w:val="en-US" w:eastAsia="zh-CN"/>
              </w:rPr>
              <w:t>外售综合利用</w:t>
            </w:r>
          </w:p>
        </w:tc>
        <w:tc>
          <w:tcPr>
            <w:tcW w:w="1476" w:type="pct"/>
            <w:vMerge w:val="continue"/>
            <w:vAlign w:val="center"/>
          </w:tcPr>
          <w:p w14:paraId="721A14D1">
            <w:pPr>
              <w:pStyle w:val="57"/>
            </w:pPr>
          </w:p>
        </w:tc>
      </w:tr>
      <w:tr w14:paraId="791CD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Merge w:val="continue"/>
            <w:vAlign w:val="center"/>
          </w:tcPr>
          <w:p w14:paraId="7C33136B">
            <w:pPr>
              <w:pStyle w:val="57"/>
              <w:rPr>
                <w:rFonts w:hint="eastAsia"/>
              </w:rPr>
            </w:pPr>
          </w:p>
        </w:tc>
        <w:tc>
          <w:tcPr>
            <w:tcW w:w="884" w:type="pct"/>
            <w:vMerge w:val="continue"/>
            <w:vAlign w:val="center"/>
          </w:tcPr>
          <w:p w14:paraId="06412768">
            <w:pPr>
              <w:pStyle w:val="57"/>
              <w:rPr>
                <w:rFonts w:hint="eastAsia"/>
              </w:rPr>
            </w:pPr>
          </w:p>
        </w:tc>
        <w:tc>
          <w:tcPr>
            <w:tcW w:w="884" w:type="pct"/>
            <w:shd w:val="clear" w:color="auto" w:fill="auto"/>
            <w:vAlign w:val="center"/>
          </w:tcPr>
          <w:p w14:paraId="2CFD78F8">
            <w:pPr>
              <w:pStyle w:val="57"/>
              <w:rPr>
                <w:rFonts w:hint="eastAsia" w:ascii="Times New Roman" w:hAnsi="Times New Roman" w:eastAsia="宋体" w:cstheme="minorBidi"/>
                <w:kern w:val="2"/>
                <w:sz w:val="21"/>
                <w:szCs w:val="32"/>
                <w:lang w:val="en-US" w:eastAsia="zh-CN" w:bidi="ar-SA"/>
              </w:rPr>
            </w:pPr>
            <w:r>
              <w:rPr>
                <w:rFonts w:hint="eastAsia"/>
              </w:rPr>
              <w:t>生物质锅炉灰渣、锅炉烟气除尘灰渣</w:t>
            </w:r>
          </w:p>
        </w:tc>
        <w:tc>
          <w:tcPr>
            <w:tcW w:w="1178" w:type="pct"/>
            <w:shd w:val="clear" w:color="auto" w:fill="auto"/>
            <w:vAlign w:val="center"/>
          </w:tcPr>
          <w:p w14:paraId="106E1E22">
            <w:pPr>
              <w:pStyle w:val="57"/>
              <w:rPr>
                <w:rFonts w:hint="eastAsia" w:ascii="Times New Roman" w:hAnsi="Times New Roman" w:eastAsia="宋体" w:cstheme="minorBidi"/>
                <w:kern w:val="2"/>
                <w:sz w:val="21"/>
                <w:szCs w:val="32"/>
                <w:lang w:val="en-US" w:eastAsia="zh-CN" w:bidi="ar-SA"/>
              </w:rPr>
            </w:pPr>
            <w:r>
              <w:rPr>
                <w:rFonts w:hint="eastAsia"/>
              </w:rPr>
              <w:t>作为农肥</w:t>
            </w:r>
            <w:r>
              <w:rPr>
                <w:rFonts w:hint="default" w:ascii="Times New Roman" w:hAnsi="Times New Roman" w:cs="Times New Roman"/>
                <w:color w:val="000000" w:themeColor="text1"/>
                <w:u w:val="none"/>
                <w:lang w:val="en-US" w:eastAsia="zh-CN"/>
                <w14:textFill>
                  <w14:solidFill>
                    <w14:schemeClr w14:val="tx1"/>
                  </w14:solidFill>
                </w14:textFill>
              </w:rPr>
              <w:t>外售综合利用</w:t>
            </w:r>
          </w:p>
        </w:tc>
        <w:tc>
          <w:tcPr>
            <w:tcW w:w="1476" w:type="pct"/>
            <w:vMerge w:val="continue"/>
            <w:vAlign w:val="center"/>
          </w:tcPr>
          <w:p w14:paraId="685B8EF8">
            <w:pPr>
              <w:pStyle w:val="57"/>
              <w:rPr>
                <w:rFonts w:hint="eastAsia"/>
              </w:rPr>
            </w:pPr>
          </w:p>
        </w:tc>
      </w:tr>
      <w:tr w14:paraId="72771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Merge w:val="continue"/>
            <w:vAlign w:val="center"/>
          </w:tcPr>
          <w:p w14:paraId="19DCE966">
            <w:pPr>
              <w:pStyle w:val="57"/>
            </w:pPr>
          </w:p>
        </w:tc>
        <w:tc>
          <w:tcPr>
            <w:tcW w:w="884" w:type="pct"/>
            <w:vMerge w:val="continue"/>
            <w:vAlign w:val="center"/>
          </w:tcPr>
          <w:p w14:paraId="7FA6D482">
            <w:pPr>
              <w:pStyle w:val="57"/>
            </w:pPr>
          </w:p>
        </w:tc>
        <w:tc>
          <w:tcPr>
            <w:tcW w:w="884" w:type="pct"/>
            <w:vAlign w:val="center"/>
          </w:tcPr>
          <w:p w14:paraId="3E338EA4">
            <w:pPr>
              <w:pStyle w:val="57"/>
              <w:rPr>
                <w:rFonts w:hint="eastAsia" w:eastAsia="宋体"/>
                <w:lang w:val="en-US" w:eastAsia="zh-CN"/>
              </w:rPr>
            </w:pPr>
            <w:r>
              <w:rPr>
                <w:rFonts w:hint="eastAsia"/>
              </w:rPr>
              <w:t>废树脂</w:t>
            </w:r>
            <w:r>
              <w:rPr>
                <w:rFonts w:hint="eastAsia"/>
                <w:lang w:eastAsia="zh-CN"/>
              </w:rPr>
              <w:t>、</w:t>
            </w:r>
            <w:r>
              <w:rPr>
                <w:rFonts w:hint="eastAsia" w:ascii="Times New Roman" w:hAnsi="Times New Roman" w:eastAsia="宋体" w:cs="Times New Roman"/>
                <w:szCs w:val="22"/>
                <w:u w:val="none"/>
                <w:lang w:val="en-US" w:eastAsia="zh-CN"/>
              </w:rPr>
              <w:t>废活性炭、废石英砂、</w:t>
            </w:r>
            <w:r>
              <w:rPr>
                <w:rFonts w:hint="eastAsia"/>
                <w:lang w:val="en-US" w:eastAsia="zh-CN"/>
              </w:rPr>
              <w:t>废滤膜</w:t>
            </w:r>
          </w:p>
        </w:tc>
        <w:tc>
          <w:tcPr>
            <w:tcW w:w="1178" w:type="pct"/>
            <w:vAlign w:val="center"/>
          </w:tcPr>
          <w:p w14:paraId="5AF3F687">
            <w:pPr>
              <w:pStyle w:val="57"/>
              <w:rPr>
                <w:rFonts w:hint="eastAsia" w:eastAsia="宋体"/>
                <w:lang w:eastAsia="zh-CN"/>
              </w:rPr>
            </w:pPr>
            <w:r>
              <w:rPr>
                <w:rFonts w:hint="eastAsia"/>
                <w:color w:val="000000" w:themeColor="text1"/>
                <w:u w:val="none" w:color="auto"/>
                <w:lang w:val="en-US" w:eastAsia="zh-CN"/>
                <w14:textFill>
                  <w14:solidFill>
                    <w14:schemeClr w14:val="tx1"/>
                  </w14:solidFill>
                </w14:textFill>
              </w:rPr>
              <w:t>交</w:t>
            </w:r>
            <w:r>
              <w:rPr>
                <w:rFonts w:hint="eastAsia"/>
                <w:color w:val="000000" w:themeColor="text1"/>
                <w:u w:val="none" w:color="auto"/>
                <w14:textFill>
                  <w14:solidFill>
                    <w14:schemeClr w14:val="tx1"/>
                  </w14:solidFill>
                </w14:textFill>
              </w:rPr>
              <w:t>由</w:t>
            </w:r>
            <w:r>
              <w:rPr>
                <w:rFonts w:hint="eastAsia"/>
                <w:color w:val="000000" w:themeColor="text1"/>
                <w:u w:val="none" w:color="auto"/>
                <w:lang w:val="en-US" w:eastAsia="zh-CN"/>
                <w14:textFill>
                  <w14:solidFill>
                    <w14:schemeClr w14:val="tx1"/>
                  </w14:solidFill>
                </w14:textFill>
              </w:rPr>
              <w:t>厂家回收处置</w:t>
            </w:r>
          </w:p>
        </w:tc>
        <w:tc>
          <w:tcPr>
            <w:tcW w:w="1476" w:type="pct"/>
            <w:vMerge w:val="continue"/>
            <w:vAlign w:val="center"/>
          </w:tcPr>
          <w:p w14:paraId="5C4587C9">
            <w:pPr>
              <w:pStyle w:val="57"/>
            </w:pPr>
          </w:p>
        </w:tc>
      </w:tr>
      <w:tr w14:paraId="4B2BC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575" w:type="pct"/>
            <w:vMerge w:val="continue"/>
            <w:vAlign w:val="center"/>
          </w:tcPr>
          <w:p w14:paraId="5D8801D0">
            <w:pPr>
              <w:pStyle w:val="57"/>
            </w:pPr>
          </w:p>
        </w:tc>
        <w:tc>
          <w:tcPr>
            <w:tcW w:w="884" w:type="pct"/>
            <w:vAlign w:val="center"/>
          </w:tcPr>
          <w:p w14:paraId="45BA7296">
            <w:pPr>
              <w:pStyle w:val="57"/>
            </w:pPr>
            <w:r>
              <w:rPr>
                <w:rFonts w:hint="eastAsia"/>
              </w:rPr>
              <w:t>危险废物</w:t>
            </w:r>
          </w:p>
        </w:tc>
        <w:tc>
          <w:tcPr>
            <w:tcW w:w="884" w:type="pct"/>
            <w:vAlign w:val="center"/>
          </w:tcPr>
          <w:p w14:paraId="1CCABF28">
            <w:pPr>
              <w:pStyle w:val="57"/>
            </w:pPr>
            <w:r>
              <w:rPr>
                <w:rFonts w:hint="eastAsia"/>
              </w:rPr>
              <w:t>废机油、废机油桶、含油废抹布和手套</w:t>
            </w:r>
          </w:p>
        </w:tc>
        <w:tc>
          <w:tcPr>
            <w:tcW w:w="1178" w:type="pct"/>
            <w:vAlign w:val="center"/>
          </w:tcPr>
          <w:p w14:paraId="29143321">
            <w:pPr>
              <w:pStyle w:val="57"/>
            </w:pPr>
            <w:r>
              <w:rPr>
                <w:rFonts w:hint="eastAsia"/>
              </w:rPr>
              <w:t>暂存于危废暂存间，委托有资质单位处置</w:t>
            </w:r>
          </w:p>
        </w:tc>
        <w:tc>
          <w:tcPr>
            <w:tcW w:w="1476" w:type="pct"/>
            <w:vMerge w:val="continue"/>
            <w:vAlign w:val="center"/>
          </w:tcPr>
          <w:p w14:paraId="06FA4B6A">
            <w:pPr>
              <w:pStyle w:val="57"/>
            </w:pPr>
          </w:p>
        </w:tc>
      </w:tr>
      <w:tr w14:paraId="66F32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575" w:type="pct"/>
            <w:vAlign w:val="center"/>
          </w:tcPr>
          <w:p w14:paraId="1322DDC5">
            <w:pPr>
              <w:pStyle w:val="57"/>
            </w:pPr>
            <w:r>
              <w:rPr>
                <w:rFonts w:hint="eastAsia" w:ascii="宋体" w:hAnsi="宋体" w:cs="宋体"/>
              </w:rPr>
              <w:t>土壤及地下水污染防治措施</w:t>
            </w:r>
          </w:p>
        </w:tc>
        <w:tc>
          <w:tcPr>
            <w:tcW w:w="4424" w:type="pct"/>
            <w:gridSpan w:val="4"/>
            <w:vAlign w:val="center"/>
          </w:tcPr>
          <w:p w14:paraId="3BA29321">
            <w:pPr>
              <w:pStyle w:val="57"/>
              <w:ind w:left="0" w:leftChars="0" w:right="0" w:rightChars="0" w:firstLine="0" w:firstLineChars="0"/>
              <w:jc w:val="center"/>
            </w:pPr>
            <w:r>
              <w:rPr>
                <w:rFonts w:hint="eastAsia"/>
              </w:rPr>
              <w:t>不涉及地下水、土壤污染途径</w:t>
            </w:r>
          </w:p>
        </w:tc>
      </w:tr>
      <w:tr w14:paraId="4E53D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Align w:val="center"/>
          </w:tcPr>
          <w:p w14:paraId="19CC8DE2">
            <w:pPr>
              <w:pStyle w:val="57"/>
            </w:pPr>
            <w:r>
              <w:rPr>
                <w:rFonts w:hint="eastAsia"/>
              </w:rPr>
              <w:t>环境风险防范措施</w:t>
            </w:r>
          </w:p>
        </w:tc>
        <w:tc>
          <w:tcPr>
            <w:tcW w:w="4424" w:type="pct"/>
            <w:gridSpan w:val="4"/>
            <w:vAlign w:val="center"/>
          </w:tcPr>
          <w:p w14:paraId="5CF6E50F">
            <w:pPr>
              <w:pStyle w:val="57"/>
              <w:jc w:val="left"/>
            </w:pPr>
            <w:r>
              <w:rPr>
                <w:rFonts w:hint="eastAsia"/>
              </w:rPr>
              <w:t>1）危险废物暂存间地面需进行防腐、防渗处理，防止泄漏物料下渗污染；危险废物暂存间需设置围堰（不低于0.2m）、导流沟及收集池（不小于1m</w:t>
            </w:r>
            <w:r>
              <w:rPr>
                <w:rFonts w:hint="eastAsia"/>
                <w:vertAlign w:val="superscript"/>
              </w:rPr>
              <w:t>3</w:t>
            </w:r>
            <w:r>
              <w:rPr>
                <w:rFonts w:hint="eastAsia"/>
              </w:rPr>
              <w:t>），如发生废矿物油泄漏，可有效收集；</w:t>
            </w:r>
          </w:p>
          <w:p w14:paraId="06BE4A24">
            <w:pPr>
              <w:pStyle w:val="57"/>
              <w:jc w:val="left"/>
            </w:pPr>
            <w:r>
              <w:rPr>
                <w:rFonts w:hint="eastAsia"/>
              </w:rPr>
              <w:t>2）项目建筑需按照要求进行防火设计；</w:t>
            </w:r>
          </w:p>
          <w:p w14:paraId="20BEAF32">
            <w:pPr>
              <w:pStyle w:val="57"/>
              <w:jc w:val="left"/>
            </w:pPr>
            <w:r>
              <w:rPr>
                <w:rFonts w:hint="eastAsia"/>
              </w:rPr>
              <w:t>3）项目需配备消防栓、灭火器等消防设施，防止火灾风险。</w:t>
            </w:r>
          </w:p>
        </w:tc>
      </w:tr>
      <w:tr w14:paraId="4E8BE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Align w:val="center"/>
          </w:tcPr>
          <w:p w14:paraId="02910C61">
            <w:pPr>
              <w:pStyle w:val="57"/>
            </w:pPr>
            <w:r>
              <w:rPr>
                <w:rFonts w:hint="eastAsia"/>
              </w:rPr>
              <w:t>其他环境管理要求</w:t>
            </w:r>
          </w:p>
        </w:tc>
        <w:tc>
          <w:tcPr>
            <w:tcW w:w="4424" w:type="pct"/>
            <w:gridSpan w:val="4"/>
            <w:vAlign w:val="center"/>
          </w:tcPr>
          <w:p w14:paraId="3D57587F">
            <w:pPr>
              <w:pStyle w:val="57"/>
              <w:jc w:val="left"/>
              <w:rPr>
                <w:rFonts w:hint="eastAsia"/>
              </w:rPr>
            </w:pPr>
            <w:r>
              <w:rPr>
                <w:rFonts w:hint="eastAsia"/>
              </w:rPr>
              <w:t>1、竣工环境保护验收</w:t>
            </w:r>
          </w:p>
          <w:p w14:paraId="51777452">
            <w:pPr>
              <w:pStyle w:val="57"/>
              <w:ind w:firstLine="420" w:firstLineChars="200"/>
              <w:jc w:val="left"/>
              <w:rPr>
                <w:rFonts w:hint="eastAsia"/>
              </w:rPr>
            </w:pPr>
            <w:r>
              <w:rPr>
                <w:rFonts w:hint="eastAsia"/>
              </w:rPr>
              <w:t>根据《中华人民共和国环境影响评价法》、《建设项目环境保护管理条例》</w:t>
            </w:r>
            <w:r>
              <w:rPr>
                <w:rFonts w:hint="eastAsia"/>
                <w:lang w:eastAsia="zh-CN"/>
              </w:rPr>
              <w:t>（</w:t>
            </w:r>
            <w:r>
              <w:rPr>
                <w:rFonts w:hint="eastAsia"/>
              </w:rPr>
              <w:t>2017年10月1日起施行</w:t>
            </w:r>
            <w:r>
              <w:rPr>
                <w:rFonts w:hint="eastAsia"/>
                <w:lang w:eastAsia="zh-CN"/>
              </w:rPr>
              <w:t>）</w:t>
            </w:r>
            <w:r>
              <w:rPr>
                <w:rFonts w:hint="eastAsia"/>
              </w:rPr>
              <w:t>和环保部2017年11月20日发布《建设项目竣工环境保护验收暂行办法》的公告“国环规环评</w:t>
            </w:r>
            <w:r>
              <w:rPr>
                <w:rFonts w:hint="eastAsia"/>
                <w:lang w:eastAsia="zh-CN"/>
              </w:rPr>
              <w:t>〔2017〕4号</w:t>
            </w:r>
            <w:r>
              <w:rPr>
                <w:rFonts w:hint="eastAsia"/>
              </w:rPr>
              <w:t>”，建设单位作为项目竣工环保验收的责任主体，应当按照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项目配套建设的环保设施经验收合格，方可投入生产或使用。</w:t>
            </w:r>
          </w:p>
          <w:p w14:paraId="619C1E17">
            <w:pPr>
              <w:pStyle w:val="57"/>
              <w:numPr>
                <w:ilvl w:val="0"/>
                <w:numId w:val="0"/>
              </w:numPr>
              <w:jc w:val="left"/>
              <w:rPr>
                <w:rFonts w:hint="eastAsia"/>
                <w:lang w:val="en-US" w:eastAsia="zh-CN"/>
              </w:rPr>
            </w:pPr>
            <w:r>
              <w:rPr>
                <w:rFonts w:hint="eastAsia"/>
                <w:lang w:val="en-US" w:eastAsia="zh-CN"/>
              </w:rPr>
              <w:t>2、排污许可</w:t>
            </w:r>
          </w:p>
          <w:p w14:paraId="11948DB4">
            <w:pPr>
              <w:pStyle w:val="57"/>
              <w:ind w:firstLine="420" w:firstLineChars="200"/>
              <w:jc w:val="left"/>
              <w:rPr>
                <w:rFonts w:hint="eastAsia" w:ascii="Times New Roman" w:hAnsi="Times New Roman" w:eastAsia="宋体"/>
              </w:rPr>
            </w:pPr>
            <w:r>
              <w:rPr>
                <w:rFonts w:hint="eastAsia"/>
              </w:rPr>
              <w:t>根据《固定污染源排污许可分类管理名录（2019年版）》，本项目无对应具体行业名录，按照通用工序进行管理，通用工序属于“五十一、通用工序-109、锅炉-除纳入重点排污单位名录的，单台且合计出力20t/h（14兆瓦）以下的锅炉（</w:t>
            </w:r>
            <w:r>
              <w:rPr>
                <w:rFonts w:hint="eastAsia" w:ascii="Times New Roman" w:hAnsi="Times New Roman" w:eastAsia="宋体"/>
              </w:rPr>
              <w:t>不含电热锅炉）”，属于登记管理类别，建设单位需在项目正式排污前进行排污许可登记。</w:t>
            </w:r>
          </w:p>
          <w:p w14:paraId="719699F0">
            <w:pPr>
              <w:pStyle w:val="57"/>
              <w:jc w:val="left"/>
              <w:rPr>
                <w:rFonts w:hint="default" w:ascii="Times New Roman" w:hAnsi="Times New Roman" w:eastAsia="宋体"/>
                <w:lang w:val="en-US" w:eastAsia="zh-CN"/>
              </w:rPr>
            </w:pPr>
            <w:r>
              <w:rPr>
                <w:rFonts w:hint="eastAsia" w:ascii="Times New Roman" w:hAnsi="Times New Roman" w:eastAsia="宋体"/>
                <w:lang w:val="en-US" w:eastAsia="zh-CN"/>
              </w:rPr>
              <w:t>3、排污口规范化建设</w:t>
            </w:r>
          </w:p>
          <w:p w14:paraId="0FE23EFC">
            <w:pPr>
              <w:pStyle w:val="57"/>
              <w:ind w:firstLine="420" w:firstLineChars="200"/>
              <w:jc w:val="left"/>
              <w:rPr>
                <w:rFonts w:hint="eastAsia" w:ascii="Times New Roman" w:hAnsi="Times New Roman" w:eastAsia="宋体"/>
                <w:lang w:val="en-US" w:eastAsia="zh-CN"/>
              </w:rPr>
            </w:pPr>
            <w:r>
              <w:rPr>
                <w:rFonts w:hint="eastAsia" w:ascii="Times New Roman" w:hAnsi="Times New Roman" w:eastAsia="宋体"/>
                <w:lang w:val="en-US" w:eastAsia="zh-CN"/>
              </w:rPr>
              <w:t>企业污染物排放口（源）及固体废物贮存、堆放场必须按照国家标准《环境保护图形标志》（GB15562.1-1995）（GB15562.2-1995）</w:t>
            </w:r>
            <w:r>
              <w:rPr>
                <w:rFonts w:hint="eastAsia"/>
                <w:lang w:val="en-US" w:eastAsia="zh-CN"/>
              </w:rPr>
              <w:t>修改单</w:t>
            </w:r>
            <w:r>
              <w:rPr>
                <w:rFonts w:hint="eastAsia" w:ascii="Times New Roman" w:hAnsi="Times New Roman" w:eastAsia="宋体"/>
                <w:lang w:val="en-US" w:eastAsia="zh-CN"/>
              </w:rPr>
              <w:t>的规定设置与之相适应的环境保护图形标志牌，环境保护图形标志牌设置位置应距污染物排放口（源）、固体废物贮存（堆放）场或采样点较近且醒目处，并能长久保留。建设单位必须对排污口进行规范化建设，设立排放口标志，标志牌应注明污染物名称以警示周围群众。</w:t>
            </w:r>
          </w:p>
          <w:p w14:paraId="7374E4FC">
            <w:pPr>
              <w:pStyle w:val="57"/>
              <w:ind w:firstLine="420" w:firstLineChars="200"/>
              <w:jc w:val="left"/>
              <w:rPr>
                <w:rFonts w:hint="eastAsia" w:ascii="Times New Roman" w:hAnsi="Times New Roman" w:eastAsia="宋体"/>
                <w:lang w:val="en-US" w:eastAsia="zh-CN"/>
              </w:rPr>
            </w:pPr>
            <w:r>
              <w:rPr>
                <w:rFonts w:hint="eastAsia" w:ascii="Times New Roman" w:hAnsi="Times New Roman" w:eastAsia="宋体"/>
                <w:lang w:val="en-US" w:eastAsia="zh-CN"/>
              </w:rPr>
              <w:t>废气排放口必须设置便于采样、监测的采样口和采样监测平台，采样口和平台必须符合《污染源监测技术规范》的要求。</w:t>
            </w:r>
          </w:p>
          <w:p w14:paraId="2FC8537B">
            <w:pPr>
              <w:pStyle w:val="57"/>
              <w:ind w:firstLine="420" w:firstLineChars="200"/>
              <w:jc w:val="left"/>
              <w:rPr>
                <w:rFonts w:hint="eastAsia" w:ascii="Times New Roman" w:hAnsi="Times New Roman" w:eastAsia="宋体"/>
                <w:lang w:val="en-US" w:eastAsia="zh-CN"/>
              </w:rPr>
            </w:pPr>
            <w:r>
              <w:rPr>
                <w:rFonts w:hint="eastAsia" w:ascii="Times New Roman" w:hAnsi="Times New Roman" w:eastAsia="宋体"/>
                <w:lang w:val="en-US" w:eastAsia="zh-CN"/>
              </w:rPr>
              <w:t>建设单位应将相关排污情况，如：排污口的性质、编号、排污口的位置以及主要排放的污染物种类、数量、浓度、排放规律及污染治理设施的运行情况等进行建档管理，并报送环保主管部门备案。如实填写《中华人民共和国规范化排污口标记登记证》，由环保部门签发。</w:t>
            </w:r>
          </w:p>
          <w:p w14:paraId="2F38BC8C">
            <w:pPr>
              <w:pStyle w:val="57"/>
              <w:ind w:firstLine="420" w:firstLineChars="200"/>
              <w:jc w:val="left"/>
              <w:rPr>
                <w:rFonts w:hint="eastAsia" w:ascii="Times New Roman" w:hAnsi="Times New Roman" w:eastAsia="宋体"/>
                <w:lang w:val="en-US" w:eastAsia="zh-CN"/>
              </w:rPr>
            </w:pPr>
            <w:r>
              <w:rPr>
                <w:rFonts w:hint="eastAsia" w:ascii="Times New Roman" w:hAnsi="Times New Roman" w:eastAsia="宋体"/>
                <w:lang w:val="en-US" w:eastAsia="zh-CN"/>
              </w:rPr>
              <w:t>按照国家标准《环境保护图形标志》（GB15562.1-1995）（GB15562.2-1995）</w:t>
            </w:r>
            <w:r>
              <w:rPr>
                <w:rFonts w:hint="eastAsia"/>
                <w:lang w:val="en-US" w:eastAsia="zh-CN"/>
              </w:rPr>
              <w:t>修改单</w:t>
            </w:r>
            <w:r>
              <w:rPr>
                <w:rFonts w:hint="eastAsia" w:ascii="Times New Roman" w:hAnsi="Times New Roman" w:eastAsia="宋体"/>
                <w:lang w:val="en-US" w:eastAsia="zh-CN"/>
              </w:rPr>
              <w:t>的规定，设置与之相适应的环境保护图形标志牌。环境保护图形标志牌设置位置应距污染物排放口（源）或采样点较近且醒目处，并能长久保留，设置高度一般为：环境保护图形标志牌上缘距离地面2米。</w:t>
            </w:r>
          </w:p>
          <w:p w14:paraId="2DD7A1BE">
            <w:pPr>
              <w:spacing w:line="240" w:lineRule="auto"/>
              <w:ind w:firstLine="422"/>
              <w:jc w:val="center"/>
              <w:rPr>
                <w:rFonts w:hint="eastAsia" w:ascii="Times New Roman" w:hAnsi="Times New Roman" w:eastAsia="宋体" w:cs="Times New Roman"/>
                <w:b/>
                <w:bCs/>
                <w:kern w:val="2"/>
                <w:sz w:val="21"/>
                <w:szCs w:val="32"/>
                <w:lang w:val="en-US" w:eastAsia="zh-CN" w:bidi="ar-SA"/>
              </w:rPr>
            </w:pPr>
            <w:r>
              <w:rPr>
                <w:rFonts w:hint="eastAsia" w:ascii="Times New Roman" w:hAnsi="Times New Roman" w:eastAsia="宋体" w:cs="Times New Roman"/>
                <w:b/>
                <w:bCs/>
                <w:kern w:val="2"/>
                <w:sz w:val="21"/>
                <w:szCs w:val="32"/>
                <w:lang w:val="en-US" w:eastAsia="zh-CN" w:bidi="ar-SA"/>
              </w:rPr>
              <w:t>表5-1 提示性标志牌和警告性标志牌说明表</w:t>
            </w:r>
          </w:p>
          <w:tbl>
            <w:tblPr>
              <w:tblStyle w:val="27"/>
              <w:tblW w:w="71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345"/>
              <w:gridCol w:w="1472"/>
              <w:gridCol w:w="1289"/>
              <w:gridCol w:w="2348"/>
            </w:tblGrid>
            <w:tr w14:paraId="2A59C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23" w:type="dxa"/>
                  <w:noWrap w:val="0"/>
                  <w:vAlign w:val="center"/>
                </w:tcPr>
                <w:p w14:paraId="581B0FDE">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排放口</w:t>
                  </w:r>
                </w:p>
              </w:tc>
              <w:tc>
                <w:tcPr>
                  <w:tcW w:w="1345" w:type="dxa"/>
                  <w:noWrap w:val="0"/>
                  <w:vAlign w:val="center"/>
                </w:tcPr>
                <w:p w14:paraId="40C56F81">
                  <w:pPr>
                    <w:spacing w:line="240" w:lineRule="auto"/>
                    <w:ind w:firstLine="0" w:firstLineChars="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废气排放口</w:t>
                  </w:r>
                </w:p>
              </w:tc>
              <w:tc>
                <w:tcPr>
                  <w:tcW w:w="1472" w:type="dxa"/>
                  <w:noWrap w:val="0"/>
                  <w:vAlign w:val="center"/>
                </w:tcPr>
                <w:p w14:paraId="5CE0F42E">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噪声源</w:t>
                  </w:r>
                </w:p>
              </w:tc>
              <w:tc>
                <w:tcPr>
                  <w:tcW w:w="1289" w:type="dxa"/>
                  <w:noWrap w:val="0"/>
                  <w:vAlign w:val="center"/>
                </w:tcPr>
                <w:p w14:paraId="280F563E">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固体废物堆场</w:t>
                  </w:r>
                </w:p>
              </w:tc>
              <w:tc>
                <w:tcPr>
                  <w:tcW w:w="2348" w:type="dxa"/>
                  <w:noWrap w:val="0"/>
                  <w:vAlign w:val="center"/>
                </w:tcPr>
                <w:p w14:paraId="6838F698">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危险废物暂存间</w:t>
                  </w:r>
                </w:p>
              </w:tc>
            </w:tr>
            <w:tr w14:paraId="1385E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atLeast"/>
                <w:jc w:val="center"/>
              </w:trPr>
              <w:tc>
                <w:tcPr>
                  <w:tcW w:w="723" w:type="dxa"/>
                  <w:noWrap w:val="0"/>
                  <w:vAlign w:val="center"/>
                </w:tcPr>
                <w:p w14:paraId="3C1892FA">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提示图形符号</w:t>
                  </w:r>
                </w:p>
              </w:tc>
              <w:tc>
                <w:tcPr>
                  <w:tcW w:w="1345" w:type="dxa"/>
                  <w:noWrap w:val="0"/>
                  <w:vAlign w:val="center"/>
                </w:tcPr>
                <w:p w14:paraId="4E1C19D3">
                  <w:pPr>
                    <w:spacing w:line="240" w:lineRule="auto"/>
                    <w:ind w:firstLine="0" w:firstLineChars="0"/>
                    <w:jc w:val="center"/>
                    <w:rPr>
                      <w:rFonts w:hint="eastAsia" w:ascii="宋体" w:hAnsi="宋体" w:eastAsia="宋体" w:cs="宋体"/>
                      <w:color w:val="000000"/>
                      <w:sz w:val="21"/>
                      <w:szCs w:val="21"/>
                    </w:rPr>
                  </w:pPr>
                  <w:r>
                    <w:drawing>
                      <wp:inline distT="0" distB="0" distL="114300" distR="114300">
                        <wp:extent cx="796925" cy="768350"/>
                        <wp:effectExtent l="0" t="0" r="3175" b="12700"/>
                        <wp:docPr id="7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4"/>
                                <pic:cNvPicPr>
                                  <a:picLocks noChangeAspect="1"/>
                                </pic:cNvPicPr>
                              </pic:nvPicPr>
                              <pic:blipFill>
                                <a:blip r:embed="rId31"/>
                                <a:stretch>
                                  <a:fillRect/>
                                </a:stretch>
                              </pic:blipFill>
                              <pic:spPr>
                                <a:xfrm>
                                  <a:off x="0" y="0"/>
                                  <a:ext cx="796925" cy="768350"/>
                                </a:xfrm>
                                <a:prstGeom prst="rect">
                                  <a:avLst/>
                                </a:prstGeom>
                                <a:noFill/>
                                <a:ln>
                                  <a:noFill/>
                                </a:ln>
                              </pic:spPr>
                            </pic:pic>
                          </a:graphicData>
                        </a:graphic>
                      </wp:inline>
                    </w:drawing>
                  </w:r>
                </w:p>
              </w:tc>
              <w:tc>
                <w:tcPr>
                  <w:tcW w:w="1472" w:type="dxa"/>
                  <w:noWrap w:val="0"/>
                  <w:vAlign w:val="center"/>
                </w:tcPr>
                <w:p w14:paraId="0DFA193A">
                  <w:pPr>
                    <w:spacing w:line="240" w:lineRule="auto"/>
                    <w:ind w:firstLine="0" w:firstLineChars="0"/>
                    <w:jc w:val="center"/>
                    <w:rPr>
                      <w:rFonts w:hint="eastAsia" w:ascii="宋体" w:hAnsi="宋体" w:eastAsia="宋体" w:cs="宋体"/>
                      <w:color w:val="000000"/>
                      <w:sz w:val="21"/>
                      <w:szCs w:val="21"/>
                    </w:rPr>
                  </w:pPr>
                  <w:r>
                    <w:drawing>
                      <wp:inline distT="0" distB="0" distL="114300" distR="114300">
                        <wp:extent cx="886460" cy="828040"/>
                        <wp:effectExtent l="0" t="0" r="8890" b="10160"/>
                        <wp:docPr id="8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5"/>
                                <pic:cNvPicPr>
                                  <a:picLocks noChangeAspect="1"/>
                                </pic:cNvPicPr>
                              </pic:nvPicPr>
                              <pic:blipFill>
                                <a:blip r:embed="rId32"/>
                                <a:stretch>
                                  <a:fillRect/>
                                </a:stretch>
                              </pic:blipFill>
                              <pic:spPr>
                                <a:xfrm>
                                  <a:off x="0" y="0"/>
                                  <a:ext cx="886460" cy="828040"/>
                                </a:xfrm>
                                <a:prstGeom prst="rect">
                                  <a:avLst/>
                                </a:prstGeom>
                                <a:noFill/>
                                <a:ln>
                                  <a:noFill/>
                                </a:ln>
                              </pic:spPr>
                            </pic:pic>
                          </a:graphicData>
                        </a:graphic>
                      </wp:inline>
                    </w:drawing>
                  </w:r>
                </w:p>
              </w:tc>
              <w:tc>
                <w:tcPr>
                  <w:tcW w:w="1289" w:type="dxa"/>
                  <w:noWrap w:val="0"/>
                  <w:vAlign w:val="center"/>
                </w:tcPr>
                <w:p w14:paraId="79D151CD">
                  <w:pPr>
                    <w:spacing w:line="240" w:lineRule="auto"/>
                    <w:ind w:firstLine="0" w:firstLineChars="0"/>
                    <w:jc w:val="center"/>
                    <w:rPr>
                      <w:rFonts w:hint="eastAsia" w:ascii="宋体" w:hAnsi="宋体" w:eastAsia="宋体" w:cs="宋体"/>
                      <w:color w:val="000000"/>
                      <w:sz w:val="21"/>
                      <w:szCs w:val="21"/>
                    </w:rPr>
                  </w:pPr>
                  <w:r>
                    <w:drawing>
                      <wp:inline distT="0" distB="0" distL="114300" distR="114300">
                        <wp:extent cx="758825" cy="683895"/>
                        <wp:effectExtent l="0" t="0" r="3175" b="1905"/>
                        <wp:docPr id="7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6"/>
                                <pic:cNvPicPr>
                                  <a:picLocks noChangeAspect="1"/>
                                </pic:cNvPicPr>
                              </pic:nvPicPr>
                              <pic:blipFill>
                                <a:blip r:embed="rId33"/>
                                <a:stretch>
                                  <a:fillRect/>
                                </a:stretch>
                              </pic:blipFill>
                              <pic:spPr>
                                <a:xfrm>
                                  <a:off x="0" y="0"/>
                                  <a:ext cx="758825" cy="683895"/>
                                </a:xfrm>
                                <a:prstGeom prst="rect">
                                  <a:avLst/>
                                </a:prstGeom>
                                <a:noFill/>
                                <a:ln>
                                  <a:noFill/>
                                </a:ln>
                              </pic:spPr>
                            </pic:pic>
                          </a:graphicData>
                        </a:graphic>
                      </wp:inline>
                    </w:drawing>
                  </w:r>
                </w:p>
              </w:tc>
              <w:tc>
                <w:tcPr>
                  <w:tcW w:w="2348" w:type="dxa"/>
                  <w:noWrap w:val="0"/>
                  <w:vAlign w:val="center"/>
                </w:tcPr>
                <w:p w14:paraId="18A49F88">
                  <w:pPr>
                    <w:spacing w:line="240" w:lineRule="auto"/>
                    <w:ind w:firstLine="0" w:firstLineChars="0"/>
                    <w:jc w:val="center"/>
                    <w:rPr>
                      <w:rFonts w:hint="eastAsia" w:ascii="宋体" w:hAnsi="宋体" w:eastAsia="宋体" w:cs="宋体"/>
                      <w:color w:val="000000"/>
                      <w:sz w:val="21"/>
                      <w:szCs w:val="21"/>
                      <w:lang w:val="en-US" w:eastAsia="zh-CN"/>
                    </w:rPr>
                  </w:pPr>
                  <w:r>
                    <w:rPr>
                      <w:u w:val="none" w:color="auto"/>
                    </w:rPr>
                    <w:drawing>
                      <wp:inline distT="0" distB="0" distL="114300" distR="114300">
                        <wp:extent cx="1075690" cy="621665"/>
                        <wp:effectExtent l="0" t="0" r="10160" b="6985"/>
                        <wp:docPr id="8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
                                <pic:cNvPicPr>
                                  <a:picLocks noChangeAspect="1"/>
                                </pic:cNvPicPr>
                              </pic:nvPicPr>
                              <pic:blipFill>
                                <a:blip r:embed="rId34"/>
                                <a:stretch>
                                  <a:fillRect/>
                                </a:stretch>
                              </pic:blipFill>
                              <pic:spPr>
                                <a:xfrm>
                                  <a:off x="0" y="0"/>
                                  <a:ext cx="1075690" cy="621665"/>
                                </a:xfrm>
                                <a:prstGeom prst="rect">
                                  <a:avLst/>
                                </a:prstGeom>
                                <a:noFill/>
                                <a:ln>
                                  <a:noFill/>
                                </a:ln>
                              </pic:spPr>
                            </pic:pic>
                          </a:graphicData>
                        </a:graphic>
                      </wp:inline>
                    </w:drawing>
                  </w:r>
                </w:p>
              </w:tc>
            </w:tr>
            <w:tr w14:paraId="44DF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723" w:type="dxa"/>
                  <w:noWrap w:val="0"/>
                  <w:vAlign w:val="center"/>
                </w:tcPr>
                <w:p w14:paraId="13539073">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警告图形标志</w:t>
                  </w:r>
                </w:p>
              </w:tc>
              <w:tc>
                <w:tcPr>
                  <w:tcW w:w="1345" w:type="dxa"/>
                  <w:noWrap w:val="0"/>
                  <w:vAlign w:val="center"/>
                </w:tcPr>
                <w:p w14:paraId="61B370EA">
                  <w:pPr>
                    <w:spacing w:line="240" w:lineRule="auto"/>
                    <w:ind w:firstLine="0" w:firstLineChars="0"/>
                    <w:jc w:val="center"/>
                    <w:rPr>
                      <w:rFonts w:hint="eastAsia" w:ascii="宋体" w:hAnsi="宋体" w:eastAsia="宋体" w:cs="宋体"/>
                      <w:color w:val="000000"/>
                      <w:sz w:val="21"/>
                      <w:szCs w:val="21"/>
                    </w:rPr>
                  </w:pPr>
                  <w:r>
                    <w:drawing>
                      <wp:inline distT="0" distB="0" distL="114300" distR="114300">
                        <wp:extent cx="735965" cy="664845"/>
                        <wp:effectExtent l="0" t="0" r="6985" b="1905"/>
                        <wp:docPr id="8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
                                <pic:cNvPicPr>
                                  <a:picLocks noChangeAspect="1"/>
                                </pic:cNvPicPr>
                              </pic:nvPicPr>
                              <pic:blipFill>
                                <a:blip r:embed="rId35"/>
                                <a:stretch>
                                  <a:fillRect/>
                                </a:stretch>
                              </pic:blipFill>
                              <pic:spPr>
                                <a:xfrm>
                                  <a:off x="0" y="0"/>
                                  <a:ext cx="735965" cy="664845"/>
                                </a:xfrm>
                                <a:prstGeom prst="rect">
                                  <a:avLst/>
                                </a:prstGeom>
                                <a:noFill/>
                                <a:ln>
                                  <a:noFill/>
                                </a:ln>
                              </pic:spPr>
                            </pic:pic>
                          </a:graphicData>
                        </a:graphic>
                      </wp:inline>
                    </w:drawing>
                  </w:r>
                </w:p>
              </w:tc>
              <w:tc>
                <w:tcPr>
                  <w:tcW w:w="1472" w:type="dxa"/>
                  <w:noWrap w:val="0"/>
                  <w:vAlign w:val="center"/>
                </w:tcPr>
                <w:p w14:paraId="1F40F75F">
                  <w:pPr>
                    <w:spacing w:line="240" w:lineRule="auto"/>
                    <w:ind w:firstLine="0" w:firstLineChars="0"/>
                    <w:jc w:val="center"/>
                    <w:rPr>
                      <w:rFonts w:hint="eastAsia" w:ascii="宋体" w:hAnsi="宋体" w:eastAsia="宋体" w:cs="宋体"/>
                      <w:color w:val="000000"/>
                    </w:rPr>
                  </w:pPr>
                  <w:r>
                    <w:rPr>
                      <w:rFonts w:hint="eastAsia" w:ascii="宋体" w:hAnsi="宋体" w:eastAsia="宋体" w:cs="宋体"/>
                      <w:color w:val="000000"/>
                    </w:rPr>
                    <w:drawing>
                      <wp:inline distT="0" distB="0" distL="114300" distR="114300">
                        <wp:extent cx="707390" cy="629920"/>
                        <wp:effectExtent l="0" t="0" r="16510" b="17780"/>
                        <wp:docPr id="8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9"/>
                                <pic:cNvPicPr>
                                  <a:picLocks noChangeAspect="1"/>
                                </pic:cNvPicPr>
                              </pic:nvPicPr>
                              <pic:blipFill>
                                <a:blip r:embed="rId36"/>
                                <a:stretch>
                                  <a:fillRect/>
                                </a:stretch>
                              </pic:blipFill>
                              <pic:spPr>
                                <a:xfrm>
                                  <a:off x="0" y="0"/>
                                  <a:ext cx="707390" cy="629920"/>
                                </a:xfrm>
                                <a:prstGeom prst="rect">
                                  <a:avLst/>
                                </a:prstGeom>
                                <a:noFill/>
                                <a:ln>
                                  <a:noFill/>
                                </a:ln>
                              </pic:spPr>
                            </pic:pic>
                          </a:graphicData>
                        </a:graphic>
                      </wp:inline>
                    </w:drawing>
                  </w:r>
                </w:p>
              </w:tc>
              <w:tc>
                <w:tcPr>
                  <w:tcW w:w="1289" w:type="dxa"/>
                  <w:noWrap w:val="0"/>
                  <w:vAlign w:val="center"/>
                </w:tcPr>
                <w:p w14:paraId="315F636D">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rPr>
                    <w:drawing>
                      <wp:inline distT="0" distB="0" distL="114300" distR="114300">
                        <wp:extent cx="753745" cy="715010"/>
                        <wp:effectExtent l="0" t="0" r="8255" b="8890"/>
                        <wp:docPr id="8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0"/>
                                <pic:cNvPicPr>
                                  <a:picLocks noChangeAspect="1"/>
                                </pic:cNvPicPr>
                              </pic:nvPicPr>
                              <pic:blipFill>
                                <a:blip r:embed="rId37"/>
                                <a:stretch>
                                  <a:fillRect/>
                                </a:stretch>
                              </pic:blipFill>
                              <pic:spPr>
                                <a:xfrm>
                                  <a:off x="0" y="0"/>
                                  <a:ext cx="753745" cy="715010"/>
                                </a:xfrm>
                                <a:prstGeom prst="rect">
                                  <a:avLst/>
                                </a:prstGeom>
                                <a:noFill/>
                                <a:ln>
                                  <a:noFill/>
                                </a:ln>
                              </pic:spPr>
                            </pic:pic>
                          </a:graphicData>
                        </a:graphic>
                      </wp:inline>
                    </w:drawing>
                  </w:r>
                </w:p>
              </w:tc>
              <w:tc>
                <w:tcPr>
                  <w:tcW w:w="2348" w:type="dxa"/>
                  <w:noWrap w:val="0"/>
                  <w:vAlign w:val="center"/>
                </w:tcPr>
                <w:p w14:paraId="557AA23A">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rPr>
                    <w:drawing>
                      <wp:inline distT="0" distB="0" distL="114300" distR="114300">
                        <wp:extent cx="811530" cy="721995"/>
                        <wp:effectExtent l="0" t="0" r="7620" b="1905"/>
                        <wp:docPr id="7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1"/>
                                <pic:cNvPicPr>
                                  <a:picLocks noChangeAspect="1"/>
                                </pic:cNvPicPr>
                              </pic:nvPicPr>
                              <pic:blipFill>
                                <a:blip r:embed="rId38"/>
                                <a:stretch>
                                  <a:fillRect/>
                                </a:stretch>
                              </pic:blipFill>
                              <pic:spPr>
                                <a:xfrm>
                                  <a:off x="0" y="0"/>
                                  <a:ext cx="811530" cy="721995"/>
                                </a:xfrm>
                                <a:prstGeom prst="rect">
                                  <a:avLst/>
                                </a:prstGeom>
                                <a:noFill/>
                                <a:ln>
                                  <a:noFill/>
                                </a:ln>
                              </pic:spPr>
                            </pic:pic>
                          </a:graphicData>
                        </a:graphic>
                      </wp:inline>
                    </w:drawing>
                  </w:r>
                </w:p>
              </w:tc>
            </w:tr>
          </w:tbl>
          <w:p w14:paraId="7979D6F9">
            <w:pPr>
              <w:pStyle w:val="105"/>
              <w:rPr>
                <w:rFonts w:hint="eastAsia" w:ascii="Times New Roman" w:hAnsi="Times New Roman" w:eastAsia="宋体" w:cs="Times New Roman"/>
                <w:b/>
                <w:bCs/>
                <w:kern w:val="2"/>
                <w:sz w:val="21"/>
                <w:szCs w:val="32"/>
                <w:lang w:val="en-US" w:eastAsia="zh-CN" w:bidi="ar-SA"/>
              </w:rPr>
            </w:pPr>
            <w:r>
              <w:rPr>
                <w:rFonts w:hint="eastAsia" w:ascii="Times New Roman" w:hAnsi="Times New Roman" w:eastAsia="宋体" w:cs="Times New Roman"/>
                <w:b/>
                <w:bCs/>
                <w:kern w:val="2"/>
                <w:sz w:val="21"/>
                <w:szCs w:val="32"/>
                <w:lang w:val="en-US" w:eastAsia="zh-CN" w:bidi="ar-SA"/>
              </w:rPr>
              <w:t>表5-2  标志形状及颜色</w:t>
            </w:r>
          </w:p>
          <w:tbl>
            <w:tblPr>
              <w:tblStyle w:val="27"/>
              <w:tblW w:w="71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88"/>
              <w:gridCol w:w="1589"/>
              <w:gridCol w:w="1589"/>
              <w:gridCol w:w="2372"/>
            </w:tblGrid>
            <w:tr w14:paraId="4E407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jc w:val="center"/>
              </w:trPr>
              <w:tc>
                <w:tcPr>
                  <w:tcW w:w="1588" w:type="dxa"/>
                  <w:noWrap w:val="0"/>
                  <w:vAlign w:val="center"/>
                </w:tcPr>
                <w:p w14:paraId="60686C85">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标志类型</w:t>
                  </w:r>
                </w:p>
              </w:tc>
              <w:tc>
                <w:tcPr>
                  <w:tcW w:w="1589" w:type="dxa"/>
                  <w:noWrap w:val="0"/>
                  <w:vAlign w:val="center"/>
                </w:tcPr>
                <w:p w14:paraId="67256D43">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形状</w:t>
                  </w:r>
                </w:p>
              </w:tc>
              <w:tc>
                <w:tcPr>
                  <w:tcW w:w="1589" w:type="dxa"/>
                  <w:noWrap w:val="0"/>
                  <w:vAlign w:val="center"/>
                </w:tcPr>
                <w:p w14:paraId="0AA10B16">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背景颜色</w:t>
                  </w:r>
                </w:p>
              </w:tc>
              <w:tc>
                <w:tcPr>
                  <w:tcW w:w="2372" w:type="dxa"/>
                  <w:noWrap w:val="0"/>
                  <w:vAlign w:val="center"/>
                </w:tcPr>
                <w:p w14:paraId="027E4175">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图形颜色</w:t>
                  </w:r>
                </w:p>
              </w:tc>
            </w:tr>
            <w:tr w14:paraId="0A915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jc w:val="center"/>
              </w:trPr>
              <w:tc>
                <w:tcPr>
                  <w:tcW w:w="1588" w:type="dxa"/>
                  <w:noWrap w:val="0"/>
                  <w:vAlign w:val="center"/>
                </w:tcPr>
                <w:p w14:paraId="173B5501">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警告</w:t>
                  </w:r>
                </w:p>
              </w:tc>
              <w:tc>
                <w:tcPr>
                  <w:tcW w:w="1589" w:type="dxa"/>
                  <w:noWrap w:val="0"/>
                  <w:vAlign w:val="center"/>
                </w:tcPr>
                <w:p w14:paraId="7CFC3EDE">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三角形边框</w:t>
                  </w:r>
                </w:p>
              </w:tc>
              <w:tc>
                <w:tcPr>
                  <w:tcW w:w="1589" w:type="dxa"/>
                  <w:noWrap w:val="0"/>
                  <w:vAlign w:val="center"/>
                </w:tcPr>
                <w:p w14:paraId="1CA01E3A">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黄色</w:t>
                  </w:r>
                </w:p>
              </w:tc>
              <w:tc>
                <w:tcPr>
                  <w:tcW w:w="2372" w:type="dxa"/>
                  <w:noWrap w:val="0"/>
                  <w:vAlign w:val="center"/>
                </w:tcPr>
                <w:p w14:paraId="17B5F6D6">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黑色</w:t>
                  </w:r>
                </w:p>
              </w:tc>
            </w:tr>
            <w:tr w14:paraId="7B4E6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1588" w:type="dxa"/>
                  <w:noWrap w:val="0"/>
                  <w:vAlign w:val="center"/>
                </w:tcPr>
                <w:p w14:paraId="0BC95EC3">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提示标志</w:t>
                  </w:r>
                </w:p>
              </w:tc>
              <w:tc>
                <w:tcPr>
                  <w:tcW w:w="1589" w:type="dxa"/>
                  <w:noWrap w:val="0"/>
                  <w:vAlign w:val="center"/>
                </w:tcPr>
                <w:p w14:paraId="2D36CBD2">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正方形边框</w:t>
                  </w:r>
                </w:p>
              </w:tc>
              <w:tc>
                <w:tcPr>
                  <w:tcW w:w="1589" w:type="dxa"/>
                  <w:noWrap w:val="0"/>
                  <w:vAlign w:val="center"/>
                </w:tcPr>
                <w:p w14:paraId="0AA73486">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绿化</w:t>
                  </w:r>
                </w:p>
              </w:tc>
              <w:tc>
                <w:tcPr>
                  <w:tcW w:w="2372" w:type="dxa"/>
                  <w:noWrap w:val="0"/>
                  <w:vAlign w:val="center"/>
                </w:tcPr>
                <w:p w14:paraId="17C255EC">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白色</w:t>
                  </w:r>
                </w:p>
              </w:tc>
            </w:tr>
          </w:tbl>
          <w:p w14:paraId="7860B365">
            <w:pPr>
              <w:pStyle w:val="57"/>
              <w:jc w:val="left"/>
              <w:rPr>
                <w:rFonts w:hint="eastAsia" w:eastAsia="宋体"/>
                <w:lang w:val="en-US" w:eastAsia="zh-CN"/>
              </w:rPr>
            </w:pPr>
          </w:p>
        </w:tc>
      </w:tr>
    </w:tbl>
    <w:p w14:paraId="71694456">
      <w:pPr>
        <w:pStyle w:val="35"/>
        <w:ind w:firstLine="0" w:firstLineChars="0"/>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8998A37">
      <w:pPr>
        <w:pStyle w:val="39"/>
        <w:ind w:left="0" w:leftChars="0" w:right="0" w:rightChars="0" w:firstLine="0" w:firstLineChars="0"/>
        <w:jc w:val="center"/>
      </w:pPr>
      <w:bookmarkStart w:id="43" w:name="_Toc471"/>
      <w:bookmarkStart w:id="44" w:name="_Toc16825"/>
      <w:bookmarkStart w:id="45" w:name="_Toc1388"/>
      <w:bookmarkStart w:id="46" w:name="_Toc21516"/>
      <w:bookmarkStart w:id="47" w:name="_Toc28391"/>
      <w:bookmarkStart w:id="48" w:name="_Toc27578"/>
      <w:bookmarkStart w:id="49" w:name="_Toc6436"/>
      <w:r>
        <w:rPr>
          <w:rFonts w:hint="eastAsia"/>
        </w:rPr>
        <w:t>六、结论</w:t>
      </w:r>
      <w:bookmarkEnd w:id="43"/>
      <w:bookmarkEnd w:id="44"/>
      <w:bookmarkEnd w:id="45"/>
      <w:bookmarkEnd w:id="46"/>
      <w:bookmarkEnd w:id="47"/>
      <w:bookmarkEnd w:id="48"/>
      <w:bookmarkEnd w:id="49"/>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74028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8" w:hRule="atLeast"/>
        </w:trPr>
        <w:tc>
          <w:tcPr>
            <w:tcW w:w="8522" w:type="dxa"/>
            <w:vAlign w:val="center"/>
          </w:tcPr>
          <w:p w14:paraId="6999849E">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综上所述，项目符合国家相关产业政策，选址合理，总平面布置合理可行，运营后对周围的环境影响可控制在允许的范围内，周围环境质量能满足功能区划要求。在全面落实各项污染防范措施、严格执行各种污染物排放标准，搞好“三同时”制度、保证安全生产的前提下，项目的建设整体上符合环境保护和社会可持续发展的要求，从环境保护角度分析，该项目可行。</w:t>
            </w:r>
          </w:p>
          <w:p w14:paraId="5CEF0758">
            <w:pPr>
              <w:pStyle w:val="35"/>
              <w:ind w:firstLine="480"/>
            </w:pPr>
          </w:p>
        </w:tc>
      </w:tr>
    </w:tbl>
    <w:p w14:paraId="7BC96F2F">
      <w:pPr>
        <w:pStyle w:val="35"/>
        <w:ind w:firstLine="0" w:firstLineChars="0"/>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845A09C">
      <w:pPr>
        <w:pStyle w:val="39"/>
      </w:pPr>
      <w:bookmarkStart w:id="50" w:name="_Toc14757"/>
      <w:bookmarkStart w:id="51" w:name="_Toc22615"/>
      <w:bookmarkStart w:id="52" w:name="_Toc23968"/>
      <w:bookmarkStart w:id="53" w:name="_Toc25821"/>
      <w:bookmarkStart w:id="54" w:name="_Toc25305"/>
      <w:bookmarkStart w:id="55" w:name="_Toc22008"/>
      <w:bookmarkStart w:id="56" w:name="_Toc22574"/>
      <w:r>
        <w:rPr>
          <w:rFonts w:hint="eastAsia"/>
        </w:rPr>
        <w:t>附表：建设项目污染物排放量汇总表</w:t>
      </w:r>
      <w:bookmarkEnd w:id="50"/>
      <w:bookmarkEnd w:id="51"/>
      <w:bookmarkEnd w:id="52"/>
      <w:bookmarkEnd w:id="53"/>
      <w:bookmarkEnd w:id="54"/>
      <w:bookmarkEnd w:id="55"/>
      <w:bookmarkEnd w:id="56"/>
    </w:p>
    <w:p w14:paraId="522F66E0">
      <w:pPr>
        <w:pStyle w:val="34"/>
        <w:spacing w:before="156"/>
        <w:jc w:val="right"/>
        <w:rPr>
          <w:sz w:val="21"/>
          <w:szCs w:val="21"/>
        </w:rPr>
      </w:pPr>
      <w:r>
        <w:rPr>
          <w:rFonts w:hint="eastAsia"/>
        </w:rPr>
        <w:t xml:space="preserve">建设项目污染物排放量汇总表 </w:t>
      </w:r>
      <w:r>
        <w:t xml:space="preserve">                                                                                 </w:t>
      </w:r>
      <w:r>
        <w:rPr>
          <w:sz w:val="21"/>
          <w:szCs w:val="21"/>
        </w:rPr>
        <w:t xml:space="preserve"> </w:t>
      </w:r>
      <w:r>
        <w:rPr>
          <w:rFonts w:hint="eastAsia"/>
          <w:sz w:val="21"/>
          <w:szCs w:val="21"/>
        </w:rPr>
        <w:t>单位：t</w:t>
      </w:r>
      <w:r>
        <w:rPr>
          <w:sz w:val="21"/>
          <w:szCs w:val="21"/>
        </w:rPr>
        <w:t>/a</w:t>
      </w:r>
    </w:p>
    <w:tbl>
      <w:tblPr>
        <w:tblStyle w:val="28"/>
        <w:tblW w:w="472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6"/>
        <w:gridCol w:w="2099"/>
        <w:gridCol w:w="1498"/>
        <w:gridCol w:w="1201"/>
        <w:gridCol w:w="1620"/>
        <w:gridCol w:w="1772"/>
        <w:gridCol w:w="1503"/>
        <w:gridCol w:w="1764"/>
        <w:gridCol w:w="1292"/>
      </w:tblGrid>
      <w:tr w14:paraId="68DEE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tcBorders>
              <w:tl2br w:val="single" w:color="auto" w:sz="4" w:space="0"/>
            </w:tcBorders>
            <w:vAlign w:val="center"/>
          </w:tcPr>
          <w:p w14:paraId="3EFFCC45">
            <w:pPr>
              <w:pStyle w:val="57"/>
              <w:rPr>
                <w:rFonts w:hint="default" w:ascii="Times New Roman" w:hAnsi="Times New Roman" w:cs="Times New Roman"/>
              </w:rPr>
            </w:pPr>
            <w:r>
              <w:rPr>
                <w:rFonts w:hint="default" w:ascii="Times New Roman" w:hAnsi="Times New Roman" w:cs="Times New Roman"/>
              </w:rPr>
              <w:t>项目</w:t>
            </w:r>
          </w:p>
          <w:p w14:paraId="4DA0D2E3">
            <w:pPr>
              <w:pStyle w:val="57"/>
              <w:rPr>
                <w:rFonts w:hint="default" w:ascii="Times New Roman" w:hAnsi="Times New Roman" w:cs="Times New Roman"/>
              </w:rPr>
            </w:pPr>
            <w:r>
              <w:rPr>
                <w:rFonts w:hint="default" w:ascii="Times New Roman" w:hAnsi="Times New Roman" w:cs="Times New Roman"/>
              </w:rPr>
              <w:t>分类</w:t>
            </w:r>
          </w:p>
        </w:tc>
        <w:tc>
          <w:tcPr>
            <w:tcW w:w="757" w:type="pct"/>
            <w:vAlign w:val="center"/>
          </w:tcPr>
          <w:p w14:paraId="7B33FB30">
            <w:pPr>
              <w:pStyle w:val="57"/>
              <w:rPr>
                <w:rFonts w:hint="default" w:ascii="Times New Roman" w:hAnsi="Times New Roman" w:cs="Times New Roman"/>
              </w:rPr>
            </w:pPr>
            <w:r>
              <w:rPr>
                <w:rFonts w:hint="default" w:ascii="Times New Roman" w:hAnsi="Times New Roman" w:cs="Times New Roman"/>
              </w:rPr>
              <w:t>污染物名称</w:t>
            </w:r>
          </w:p>
        </w:tc>
        <w:tc>
          <w:tcPr>
            <w:tcW w:w="540" w:type="pct"/>
            <w:vAlign w:val="center"/>
          </w:tcPr>
          <w:p w14:paraId="08C7788C">
            <w:pPr>
              <w:pStyle w:val="57"/>
              <w:rPr>
                <w:rFonts w:hint="default" w:ascii="Times New Roman" w:hAnsi="Times New Roman" w:cs="Times New Roman"/>
              </w:rPr>
            </w:pPr>
            <w:r>
              <w:rPr>
                <w:rFonts w:hint="default" w:ascii="Times New Roman" w:hAnsi="Times New Roman" w:cs="Times New Roman"/>
              </w:rPr>
              <w:t>现有工程排放量（固体废物产生量）</w:t>
            </w:r>
            <w:r>
              <w:rPr>
                <w:rFonts w:hint="default" w:ascii="Times New Roman" w:hAnsi="Times New Roman" w:cs="Times New Roman"/>
              </w:rPr>
              <w:fldChar w:fldCharType="begin"/>
            </w:r>
            <w:r>
              <w:rPr>
                <w:rFonts w:hint="default" w:ascii="Times New Roman" w:hAnsi="Times New Roman" w:cs="Times New Roman"/>
              </w:rPr>
              <w:instrText xml:space="preserve"> = 1 \* GB3 \* MERGEFORMAT </w:instrText>
            </w:r>
            <w:r>
              <w:rPr>
                <w:rFonts w:hint="default" w:ascii="Times New Roman" w:hAnsi="Times New Roman" w:cs="Times New Roman"/>
              </w:rPr>
              <w:fldChar w:fldCharType="separate"/>
            </w:r>
            <w:r>
              <w:rPr>
                <w:rFonts w:hint="default" w:ascii="Times New Roman" w:hAnsi="Times New Roman" w:cs="Times New Roman"/>
              </w:rPr>
              <w:t>①</w:t>
            </w:r>
            <w:r>
              <w:rPr>
                <w:rFonts w:hint="default" w:ascii="Times New Roman" w:hAnsi="Times New Roman" w:cs="Times New Roman"/>
              </w:rPr>
              <w:fldChar w:fldCharType="end"/>
            </w:r>
          </w:p>
        </w:tc>
        <w:tc>
          <w:tcPr>
            <w:tcW w:w="433" w:type="pct"/>
            <w:vAlign w:val="center"/>
          </w:tcPr>
          <w:p w14:paraId="334586A2">
            <w:pPr>
              <w:pStyle w:val="57"/>
              <w:rPr>
                <w:rFonts w:hint="default" w:ascii="Times New Roman" w:hAnsi="Times New Roman" w:cs="Times New Roman"/>
              </w:rPr>
            </w:pPr>
            <w:r>
              <w:rPr>
                <w:rFonts w:hint="default" w:ascii="Times New Roman" w:hAnsi="Times New Roman" w:cs="Times New Roman"/>
              </w:rPr>
              <w:t>现有工程许可排放量</w:t>
            </w:r>
            <w:r>
              <w:rPr>
                <w:rFonts w:hint="default" w:ascii="Times New Roman" w:hAnsi="Times New Roman" w:cs="Times New Roman"/>
              </w:rPr>
              <w:fldChar w:fldCharType="begin"/>
            </w:r>
            <w:r>
              <w:rPr>
                <w:rFonts w:hint="default" w:ascii="Times New Roman" w:hAnsi="Times New Roman" w:cs="Times New Roman"/>
              </w:rPr>
              <w:instrText xml:space="preserve"> = 2 \* GB3 \* MERGEFORMAT </w:instrText>
            </w:r>
            <w:r>
              <w:rPr>
                <w:rFonts w:hint="default" w:ascii="Times New Roman" w:hAnsi="Times New Roman" w:cs="Times New Roman"/>
              </w:rPr>
              <w:fldChar w:fldCharType="separate"/>
            </w:r>
            <w:r>
              <w:rPr>
                <w:rFonts w:hint="default" w:ascii="Times New Roman" w:hAnsi="Times New Roman" w:cs="Times New Roman"/>
              </w:rPr>
              <w:t>②</w:t>
            </w:r>
            <w:r>
              <w:rPr>
                <w:rFonts w:hint="default" w:ascii="Times New Roman" w:hAnsi="Times New Roman" w:cs="Times New Roman"/>
              </w:rPr>
              <w:fldChar w:fldCharType="end"/>
            </w:r>
          </w:p>
        </w:tc>
        <w:tc>
          <w:tcPr>
            <w:tcW w:w="584" w:type="pct"/>
            <w:vAlign w:val="center"/>
          </w:tcPr>
          <w:p w14:paraId="4C9FA99C">
            <w:pPr>
              <w:pStyle w:val="57"/>
              <w:rPr>
                <w:rFonts w:hint="default" w:ascii="Times New Roman" w:hAnsi="Times New Roman" w:cs="Times New Roman"/>
              </w:rPr>
            </w:pPr>
            <w:r>
              <w:rPr>
                <w:rFonts w:hint="default" w:ascii="Times New Roman" w:hAnsi="Times New Roman" w:cs="Times New Roman"/>
              </w:rPr>
              <w:t>在建工程排放量（固体废物产生量）</w:t>
            </w:r>
            <w:r>
              <w:rPr>
                <w:rFonts w:hint="default" w:ascii="Times New Roman" w:hAnsi="Times New Roman" w:cs="Times New Roman"/>
              </w:rPr>
              <w:fldChar w:fldCharType="begin"/>
            </w:r>
            <w:r>
              <w:rPr>
                <w:rFonts w:hint="default" w:ascii="Times New Roman" w:hAnsi="Times New Roman" w:cs="Times New Roman"/>
              </w:rPr>
              <w:instrText xml:space="preserve"> = 3 \* GB3 \* MERGEFORMAT </w:instrText>
            </w:r>
            <w:r>
              <w:rPr>
                <w:rFonts w:hint="default" w:ascii="Times New Roman" w:hAnsi="Times New Roman" w:cs="Times New Roman"/>
              </w:rPr>
              <w:fldChar w:fldCharType="separate"/>
            </w:r>
            <w:r>
              <w:rPr>
                <w:rFonts w:hint="default" w:ascii="Times New Roman" w:hAnsi="Times New Roman" w:cs="Times New Roman"/>
              </w:rPr>
              <w:t>③</w:t>
            </w:r>
            <w:r>
              <w:rPr>
                <w:rFonts w:hint="default" w:ascii="Times New Roman" w:hAnsi="Times New Roman" w:cs="Times New Roman"/>
              </w:rPr>
              <w:fldChar w:fldCharType="end"/>
            </w:r>
          </w:p>
        </w:tc>
        <w:tc>
          <w:tcPr>
            <w:tcW w:w="639" w:type="pct"/>
            <w:vAlign w:val="center"/>
          </w:tcPr>
          <w:p w14:paraId="5985A30A">
            <w:pPr>
              <w:pStyle w:val="57"/>
              <w:rPr>
                <w:rFonts w:hint="default" w:ascii="Times New Roman" w:hAnsi="Times New Roman" w:cs="Times New Roman"/>
              </w:rPr>
            </w:pPr>
            <w:r>
              <w:rPr>
                <w:rFonts w:hint="default" w:ascii="Times New Roman" w:hAnsi="Times New Roman" w:cs="Times New Roman"/>
              </w:rPr>
              <w:t>本项目排放量（固体废物产生量）</w:t>
            </w:r>
            <w:r>
              <w:rPr>
                <w:rFonts w:hint="default" w:ascii="Times New Roman" w:hAnsi="Times New Roman" w:cs="Times New Roman"/>
              </w:rPr>
              <w:fldChar w:fldCharType="begin"/>
            </w:r>
            <w:r>
              <w:rPr>
                <w:rFonts w:hint="default" w:ascii="Times New Roman" w:hAnsi="Times New Roman" w:cs="Times New Roman"/>
              </w:rPr>
              <w:instrText xml:space="preserve"> = 4 \* GB3 \* MERGEFORMAT </w:instrText>
            </w:r>
            <w:r>
              <w:rPr>
                <w:rFonts w:hint="default" w:ascii="Times New Roman" w:hAnsi="Times New Roman" w:cs="Times New Roman"/>
              </w:rPr>
              <w:fldChar w:fldCharType="separate"/>
            </w:r>
            <w:r>
              <w:rPr>
                <w:rFonts w:hint="default" w:ascii="Times New Roman" w:hAnsi="Times New Roman" w:cs="Times New Roman"/>
              </w:rPr>
              <w:t>④</w:t>
            </w:r>
            <w:r>
              <w:rPr>
                <w:rFonts w:hint="default" w:ascii="Times New Roman" w:hAnsi="Times New Roman" w:cs="Times New Roman"/>
              </w:rPr>
              <w:fldChar w:fldCharType="end"/>
            </w:r>
          </w:p>
        </w:tc>
        <w:tc>
          <w:tcPr>
            <w:tcW w:w="542" w:type="pct"/>
            <w:vAlign w:val="center"/>
          </w:tcPr>
          <w:p w14:paraId="3B6671CF">
            <w:pPr>
              <w:pStyle w:val="57"/>
              <w:rPr>
                <w:rFonts w:hint="default" w:ascii="Times New Roman" w:hAnsi="Times New Roman" w:cs="Times New Roman"/>
              </w:rPr>
            </w:pPr>
            <w:r>
              <w:rPr>
                <w:rFonts w:hint="default" w:ascii="Times New Roman" w:hAnsi="Times New Roman" w:cs="Times New Roman"/>
              </w:rPr>
              <w:t>以新带老削减量（新建项目不填）</w:t>
            </w:r>
            <w:r>
              <w:rPr>
                <w:rFonts w:hint="default" w:ascii="Times New Roman" w:hAnsi="Times New Roman" w:cs="Times New Roman"/>
              </w:rPr>
              <w:fldChar w:fldCharType="begin"/>
            </w:r>
            <w:r>
              <w:rPr>
                <w:rFonts w:hint="default" w:ascii="Times New Roman" w:hAnsi="Times New Roman" w:cs="Times New Roman"/>
              </w:rPr>
              <w:instrText xml:space="preserve"> = 5 \* GB3 \* MERGEFORMAT </w:instrText>
            </w:r>
            <w:r>
              <w:rPr>
                <w:rFonts w:hint="default" w:ascii="Times New Roman" w:hAnsi="Times New Roman" w:cs="Times New Roman"/>
              </w:rPr>
              <w:fldChar w:fldCharType="separate"/>
            </w:r>
            <w:r>
              <w:rPr>
                <w:rFonts w:hint="default" w:ascii="Times New Roman" w:hAnsi="Times New Roman" w:cs="Times New Roman"/>
              </w:rPr>
              <w:t>⑤</w:t>
            </w:r>
            <w:r>
              <w:rPr>
                <w:rFonts w:hint="default" w:ascii="Times New Roman" w:hAnsi="Times New Roman" w:cs="Times New Roman"/>
              </w:rPr>
              <w:fldChar w:fldCharType="end"/>
            </w:r>
          </w:p>
        </w:tc>
        <w:tc>
          <w:tcPr>
            <w:tcW w:w="636" w:type="pct"/>
            <w:vAlign w:val="center"/>
          </w:tcPr>
          <w:p w14:paraId="15BDFC60">
            <w:pPr>
              <w:pStyle w:val="57"/>
              <w:rPr>
                <w:rFonts w:hint="default" w:ascii="Times New Roman" w:hAnsi="Times New Roman" w:cs="Times New Roman"/>
              </w:rPr>
            </w:pPr>
            <w:r>
              <w:rPr>
                <w:rFonts w:hint="default" w:ascii="Times New Roman" w:hAnsi="Times New Roman" w:cs="Times New Roman"/>
              </w:rPr>
              <w:t>本项目建成后全厂排放量（固体废物产生量）</w:t>
            </w:r>
            <w:r>
              <w:rPr>
                <w:rFonts w:hint="default" w:ascii="Times New Roman" w:hAnsi="Times New Roman" w:cs="Times New Roman"/>
              </w:rPr>
              <w:fldChar w:fldCharType="begin"/>
            </w:r>
            <w:r>
              <w:rPr>
                <w:rFonts w:hint="default" w:ascii="Times New Roman" w:hAnsi="Times New Roman" w:cs="Times New Roman"/>
              </w:rPr>
              <w:instrText xml:space="preserve"> = 6 \* GB3 \* MERGEFORMAT </w:instrText>
            </w:r>
            <w:r>
              <w:rPr>
                <w:rFonts w:hint="default" w:ascii="Times New Roman" w:hAnsi="Times New Roman" w:cs="Times New Roman"/>
              </w:rPr>
              <w:fldChar w:fldCharType="separate"/>
            </w:r>
            <w:r>
              <w:rPr>
                <w:rFonts w:hint="default" w:ascii="Times New Roman" w:hAnsi="Times New Roman" w:cs="Times New Roman"/>
              </w:rPr>
              <w:t>⑥</w:t>
            </w:r>
            <w:r>
              <w:rPr>
                <w:rFonts w:hint="default" w:ascii="Times New Roman" w:hAnsi="Times New Roman" w:cs="Times New Roman"/>
              </w:rPr>
              <w:fldChar w:fldCharType="end"/>
            </w:r>
          </w:p>
        </w:tc>
        <w:tc>
          <w:tcPr>
            <w:tcW w:w="466" w:type="pct"/>
            <w:vAlign w:val="center"/>
          </w:tcPr>
          <w:p w14:paraId="6CFCA1B8">
            <w:pPr>
              <w:pStyle w:val="57"/>
              <w:rPr>
                <w:rFonts w:hint="default" w:ascii="Times New Roman" w:hAnsi="Times New Roman" w:cs="Times New Roman"/>
              </w:rPr>
            </w:pPr>
            <w:r>
              <w:rPr>
                <w:rFonts w:hint="default" w:ascii="Times New Roman" w:hAnsi="Times New Roman" w:cs="Times New Roman"/>
              </w:rPr>
              <w:t>变化量</w:t>
            </w:r>
          </w:p>
          <w:p w14:paraId="5EB5EF7F">
            <w:pPr>
              <w:pStyle w:val="57"/>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 7 \* GB3 \* MERGEFORMAT </w:instrText>
            </w:r>
            <w:r>
              <w:rPr>
                <w:rFonts w:hint="default" w:ascii="Times New Roman" w:hAnsi="Times New Roman" w:cs="Times New Roman"/>
              </w:rPr>
              <w:fldChar w:fldCharType="separate"/>
            </w:r>
            <w:r>
              <w:rPr>
                <w:rFonts w:hint="default" w:ascii="Times New Roman" w:hAnsi="Times New Roman" w:cs="Times New Roman"/>
              </w:rPr>
              <w:t>⑦</w:t>
            </w:r>
            <w:r>
              <w:rPr>
                <w:rFonts w:hint="default" w:ascii="Times New Roman" w:hAnsi="Times New Roman" w:cs="Times New Roman"/>
              </w:rPr>
              <w:fldChar w:fldCharType="end"/>
            </w:r>
          </w:p>
        </w:tc>
      </w:tr>
      <w:tr w14:paraId="28322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Merge w:val="restart"/>
            <w:vAlign w:val="center"/>
          </w:tcPr>
          <w:p w14:paraId="767AD187">
            <w:pPr>
              <w:pStyle w:val="57"/>
              <w:rPr>
                <w:rFonts w:hint="default" w:ascii="Times New Roman" w:hAnsi="Times New Roman" w:cs="Times New Roman"/>
              </w:rPr>
            </w:pPr>
            <w:r>
              <w:rPr>
                <w:rFonts w:hint="default" w:ascii="Times New Roman" w:hAnsi="Times New Roman" w:cs="Times New Roman"/>
              </w:rPr>
              <w:t>废气</w:t>
            </w:r>
          </w:p>
        </w:tc>
        <w:tc>
          <w:tcPr>
            <w:tcW w:w="757" w:type="pct"/>
            <w:vAlign w:val="center"/>
          </w:tcPr>
          <w:p w14:paraId="0E8F70ED">
            <w:pPr>
              <w:pStyle w:val="57"/>
              <w:rPr>
                <w:rFonts w:hint="default" w:ascii="Times New Roman" w:hAnsi="Times New Roman" w:cs="Times New Roman"/>
              </w:rPr>
            </w:pPr>
            <w:r>
              <w:rPr>
                <w:rFonts w:hint="default" w:ascii="Times New Roman" w:hAnsi="Times New Roman" w:cs="Times New Roman"/>
              </w:rPr>
              <w:t>SO</w:t>
            </w:r>
            <w:r>
              <w:rPr>
                <w:rFonts w:hint="default" w:ascii="Times New Roman" w:hAnsi="Times New Roman" w:cs="Times New Roman"/>
                <w:vertAlign w:val="subscript"/>
              </w:rPr>
              <w:t>2</w:t>
            </w:r>
          </w:p>
        </w:tc>
        <w:tc>
          <w:tcPr>
            <w:tcW w:w="540" w:type="pct"/>
            <w:shd w:val="clear" w:color="auto" w:fill="auto"/>
            <w:vAlign w:val="center"/>
          </w:tcPr>
          <w:p w14:paraId="1FA1EDA0">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433" w:type="pct"/>
            <w:vAlign w:val="center"/>
          </w:tcPr>
          <w:p w14:paraId="3E74DB61">
            <w:pPr>
              <w:pStyle w:val="57"/>
              <w:ind w:left="0" w:leftChars="0" w:right="0" w:rightChars="0" w:firstLine="0" w:firstLineChars="0"/>
              <w:jc w:val="center"/>
              <w:rPr>
                <w:rFonts w:hint="default" w:ascii="Times New Roman" w:hAnsi="Times New Roman" w:eastAsia="宋体" w:cs="Times New Roman"/>
                <w:lang w:eastAsia="zh-CN"/>
              </w:rPr>
            </w:pPr>
            <w:r>
              <w:rPr>
                <w:rFonts w:hint="default" w:ascii="Times New Roman" w:hAnsi="Times New Roman" w:cs="Times New Roman"/>
                <w:lang w:val="en-US" w:eastAsia="zh-CN"/>
              </w:rPr>
              <w:t>/</w:t>
            </w:r>
          </w:p>
        </w:tc>
        <w:tc>
          <w:tcPr>
            <w:tcW w:w="584" w:type="pct"/>
            <w:vAlign w:val="center"/>
          </w:tcPr>
          <w:p w14:paraId="4D6CAC5E">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639" w:type="pct"/>
            <w:shd w:val="clear" w:color="auto" w:fill="auto"/>
            <w:vAlign w:val="center"/>
          </w:tcPr>
          <w:p w14:paraId="1F1E0B74">
            <w:pPr>
              <w:widowControl/>
              <w:jc w:val="center"/>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cs="Times New Roman"/>
                <w:u w:val="none" w:color="auto"/>
                <w:lang w:val="en-US" w:eastAsia="zh-CN"/>
              </w:rPr>
              <w:t>0.298</w:t>
            </w:r>
          </w:p>
        </w:tc>
        <w:tc>
          <w:tcPr>
            <w:tcW w:w="542" w:type="pct"/>
            <w:shd w:val="clear" w:color="auto" w:fill="auto"/>
            <w:vAlign w:val="center"/>
          </w:tcPr>
          <w:p w14:paraId="10CECC4B">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636" w:type="pct"/>
            <w:shd w:val="clear" w:color="auto" w:fill="auto"/>
            <w:vAlign w:val="center"/>
          </w:tcPr>
          <w:p w14:paraId="21F9E7F9">
            <w:pPr>
              <w:widowControl/>
              <w:jc w:val="center"/>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cs="Times New Roman"/>
                <w:u w:val="none" w:color="auto"/>
                <w:lang w:val="en-US" w:eastAsia="zh-CN"/>
              </w:rPr>
              <w:t>0.298</w:t>
            </w:r>
          </w:p>
        </w:tc>
        <w:tc>
          <w:tcPr>
            <w:tcW w:w="466" w:type="pct"/>
            <w:shd w:val="clear" w:color="auto" w:fill="auto"/>
            <w:vAlign w:val="center"/>
          </w:tcPr>
          <w:p w14:paraId="36B6E2CC">
            <w:pPr>
              <w:widowControl/>
              <w:jc w:val="center"/>
              <w:rPr>
                <w:rFonts w:hint="default" w:ascii="Times New Roman" w:hAnsi="Times New Roman" w:eastAsia="宋体" w:cs="Times New Roman"/>
                <w:b w:val="0"/>
                <w:bCs w:val="0"/>
                <w:color w:val="000000" w:themeColor="text1"/>
                <w:kern w:val="2"/>
                <w:sz w:val="21"/>
                <w:szCs w:val="21"/>
                <w:highlight w:val="none"/>
                <w:u w:val="none" w:color="auto"/>
                <w:lang w:val="en-US" w:eastAsia="zh-CN" w:bidi="ar-SA"/>
                <w14:textFill>
                  <w14:solidFill>
                    <w14:schemeClr w14:val="tx1"/>
                  </w14:solidFill>
                </w14:textFill>
              </w:rPr>
            </w:pPr>
            <w:r>
              <w:rPr>
                <w:rFonts w:hint="default" w:ascii="Times New Roman" w:hAnsi="Times New Roman" w:cs="Times New Roman"/>
                <w:u w:val="none" w:color="auto"/>
                <w:lang w:val="en-US" w:eastAsia="zh-CN"/>
              </w:rPr>
              <w:t>0.298</w:t>
            </w:r>
          </w:p>
        </w:tc>
      </w:tr>
      <w:tr w14:paraId="502BA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Merge w:val="continue"/>
            <w:vAlign w:val="center"/>
          </w:tcPr>
          <w:p w14:paraId="7DBF33E8">
            <w:pPr>
              <w:pStyle w:val="57"/>
              <w:rPr>
                <w:rFonts w:hint="default" w:ascii="Times New Roman" w:hAnsi="Times New Roman" w:cs="Times New Roman"/>
              </w:rPr>
            </w:pPr>
          </w:p>
        </w:tc>
        <w:tc>
          <w:tcPr>
            <w:tcW w:w="757" w:type="pct"/>
            <w:vAlign w:val="center"/>
          </w:tcPr>
          <w:p w14:paraId="77B65022">
            <w:pPr>
              <w:pStyle w:val="57"/>
              <w:rPr>
                <w:rFonts w:hint="default" w:ascii="Times New Roman" w:hAnsi="Times New Roman" w:cs="Times New Roman"/>
              </w:rPr>
            </w:pPr>
            <w:r>
              <w:rPr>
                <w:rFonts w:hint="default" w:ascii="Times New Roman" w:hAnsi="Times New Roman" w:cs="Times New Roman"/>
              </w:rPr>
              <w:t>NO</w:t>
            </w:r>
            <w:r>
              <w:rPr>
                <w:rFonts w:hint="default" w:ascii="Times New Roman" w:hAnsi="Times New Roman" w:cs="Times New Roman"/>
                <w:vertAlign w:val="subscript"/>
              </w:rPr>
              <w:t>x</w:t>
            </w:r>
          </w:p>
        </w:tc>
        <w:tc>
          <w:tcPr>
            <w:tcW w:w="540" w:type="pct"/>
            <w:shd w:val="clear" w:color="auto" w:fill="auto"/>
            <w:vAlign w:val="center"/>
          </w:tcPr>
          <w:p w14:paraId="300CB68A">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433" w:type="pct"/>
            <w:vAlign w:val="center"/>
          </w:tcPr>
          <w:p w14:paraId="5CCB6E30">
            <w:pPr>
              <w:pStyle w:val="57"/>
              <w:ind w:left="0" w:leftChars="0" w:right="0" w:rightChars="0" w:firstLine="0" w:firstLineChars="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w:t>
            </w:r>
          </w:p>
        </w:tc>
        <w:tc>
          <w:tcPr>
            <w:tcW w:w="584" w:type="pct"/>
            <w:vAlign w:val="center"/>
          </w:tcPr>
          <w:p w14:paraId="2CDE70C4">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639" w:type="pct"/>
            <w:shd w:val="clear" w:color="auto" w:fill="auto"/>
            <w:vAlign w:val="center"/>
          </w:tcPr>
          <w:p w14:paraId="2F28916A">
            <w:pPr>
              <w:widowControl/>
              <w:jc w:val="center"/>
              <w:rPr>
                <w:rFonts w:hint="default" w:ascii="Times New Roman" w:hAnsi="Times New Roman" w:cs="Times New Roman"/>
                <w:color w:val="000000" w:themeColor="text1"/>
                <w:u w:val="none" w:color="auto"/>
                <w:lang w:val="en-US" w:eastAsia="zh-CN"/>
                <w14:textFill>
                  <w14:solidFill>
                    <w14:schemeClr w14:val="tx1"/>
                  </w14:solidFill>
                </w14:textFill>
              </w:rPr>
            </w:pPr>
            <w:r>
              <w:rPr>
                <w:rFonts w:hint="eastAsia" w:ascii="Times New Roman" w:hAnsi="Times New Roman" w:cs="Times New Roman"/>
                <w:color w:val="000000" w:themeColor="text1"/>
                <w:u w:val="none" w:color="auto"/>
                <w:lang w:val="en-US" w:eastAsia="zh-CN"/>
                <w14:textFill>
                  <w14:solidFill>
                    <w14:schemeClr w14:val="tx1"/>
                  </w14:solidFill>
                </w14:textFill>
              </w:rPr>
              <w:t>0.278</w:t>
            </w:r>
          </w:p>
        </w:tc>
        <w:tc>
          <w:tcPr>
            <w:tcW w:w="542" w:type="pct"/>
            <w:shd w:val="clear" w:color="auto" w:fill="auto"/>
            <w:vAlign w:val="center"/>
          </w:tcPr>
          <w:p w14:paraId="58FCE996">
            <w:pPr>
              <w:widowControl/>
              <w:jc w:val="center"/>
              <w:rPr>
                <w:rFonts w:hint="default" w:ascii="Times New Roman" w:hAnsi="Times New Roman" w:cs="Times New Roman"/>
                <w:color w:val="000000" w:themeColor="text1"/>
                <w:u w:val="none" w:color="auto"/>
                <w:lang w:val="en-US" w:eastAsia="zh-CN"/>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w:t>
            </w:r>
          </w:p>
        </w:tc>
        <w:tc>
          <w:tcPr>
            <w:tcW w:w="636" w:type="pct"/>
            <w:shd w:val="clear" w:color="auto" w:fill="auto"/>
            <w:vAlign w:val="center"/>
          </w:tcPr>
          <w:p w14:paraId="17342260">
            <w:pPr>
              <w:widowControl/>
              <w:jc w:val="center"/>
              <w:rPr>
                <w:rFonts w:hint="default" w:ascii="Times New Roman" w:hAnsi="Times New Roman" w:cs="Times New Roman"/>
                <w:color w:val="000000" w:themeColor="text1"/>
                <w:u w:val="none" w:color="auto"/>
                <w:lang w:val="en-US" w:eastAsia="zh-CN"/>
                <w14:textFill>
                  <w14:solidFill>
                    <w14:schemeClr w14:val="tx1"/>
                  </w14:solidFill>
                </w14:textFill>
              </w:rPr>
            </w:pPr>
            <w:r>
              <w:rPr>
                <w:rFonts w:hint="eastAsia" w:ascii="Times New Roman" w:hAnsi="Times New Roman" w:cs="Times New Roman"/>
                <w:color w:val="000000" w:themeColor="text1"/>
                <w:u w:val="none" w:color="auto"/>
                <w:lang w:val="en-US" w:eastAsia="zh-CN"/>
                <w14:textFill>
                  <w14:solidFill>
                    <w14:schemeClr w14:val="tx1"/>
                  </w14:solidFill>
                </w14:textFill>
              </w:rPr>
              <w:t>0.278</w:t>
            </w:r>
          </w:p>
        </w:tc>
        <w:tc>
          <w:tcPr>
            <w:tcW w:w="466" w:type="pct"/>
            <w:shd w:val="clear" w:color="auto" w:fill="auto"/>
            <w:vAlign w:val="center"/>
          </w:tcPr>
          <w:p w14:paraId="65BF23BF">
            <w:pPr>
              <w:widowControl/>
              <w:jc w:val="center"/>
              <w:rPr>
                <w:rFonts w:hint="default" w:ascii="Times New Roman" w:hAnsi="Times New Roman" w:cs="Times New Roman"/>
                <w:color w:val="000000" w:themeColor="text1"/>
                <w:u w:val="none" w:color="auto"/>
                <w:lang w:val="en-US" w:eastAsia="zh-CN"/>
                <w14:textFill>
                  <w14:solidFill>
                    <w14:schemeClr w14:val="tx1"/>
                  </w14:solidFill>
                </w14:textFill>
              </w:rPr>
            </w:pPr>
            <w:r>
              <w:rPr>
                <w:rFonts w:hint="eastAsia" w:ascii="Times New Roman" w:hAnsi="Times New Roman" w:cs="Times New Roman"/>
                <w:color w:val="000000" w:themeColor="text1"/>
                <w:u w:val="none" w:color="auto"/>
                <w:lang w:val="en-US" w:eastAsia="zh-CN"/>
                <w14:textFill>
                  <w14:solidFill>
                    <w14:schemeClr w14:val="tx1"/>
                  </w14:solidFill>
                </w14:textFill>
              </w:rPr>
              <w:t>0.278</w:t>
            </w:r>
          </w:p>
        </w:tc>
      </w:tr>
      <w:tr w14:paraId="10532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Merge w:val="continue"/>
            <w:vAlign w:val="center"/>
          </w:tcPr>
          <w:p w14:paraId="5C36E1CC">
            <w:pPr>
              <w:pStyle w:val="57"/>
              <w:rPr>
                <w:rFonts w:hint="default" w:ascii="Times New Roman" w:hAnsi="Times New Roman" w:cs="Times New Roman"/>
              </w:rPr>
            </w:pPr>
          </w:p>
        </w:tc>
        <w:tc>
          <w:tcPr>
            <w:tcW w:w="757" w:type="pct"/>
            <w:vAlign w:val="center"/>
          </w:tcPr>
          <w:p w14:paraId="04189416">
            <w:pPr>
              <w:pStyle w:val="57"/>
              <w:rPr>
                <w:rFonts w:hint="default" w:ascii="Times New Roman" w:hAnsi="Times New Roman" w:cs="Times New Roman"/>
              </w:rPr>
            </w:pPr>
            <w:r>
              <w:rPr>
                <w:rFonts w:hint="default" w:ascii="Times New Roman" w:hAnsi="Times New Roman" w:cs="Times New Roman"/>
              </w:rPr>
              <w:t>颗粒物</w:t>
            </w:r>
          </w:p>
        </w:tc>
        <w:tc>
          <w:tcPr>
            <w:tcW w:w="540" w:type="pct"/>
            <w:shd w:val="clear" w:color="auto" w:fill="auto"/>
            <w:vAlign w:val="center"/>
          </w:tcPr>
          <w:p w14:paraId="2C83B8C2">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433" w:type="pct"/>
            <w:vAlign w:val="center"/>
          </w:tcPr>
          <w:p w14:paraId="783DB2F3">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584" w:type="pct"/>
            <w:vAlign w:val="center"/>
          </w:tcPr>
          <w:p w14:paraId="5B96D50E">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639" w:type="pct"/>
            <w:vAlign w:val="center"/>
          </w:tcPr>
          <w:p w14:paraId="6868C2DC">
            <w:pPr>
              <w:pStyle w:val="57"/>
              <w:rPr>
                <w:rFonts w:hint="default" w:ascii="Times New Roman" w:hAnsi="Times New Roman" w:cs="Times New Roman"/>
                <w:lang w:val="en-US"/>
              </w:rPr>
            </w:pPr>
            <w:r>
              <w:rPr>
                <w:rFonts w:hint="eastAsia" w:hAnsi="宋体"/>
                <w:u w:val="none" w:color="auto"/>
                <w:lang w:val="en-US" w:eastAsia="zh-CN"/>
              </w:rPr>
              <w:t>0.354</w:t>
            </w:r>
          </w:p>
        </w:tc>
        <w:tc>
          <w:tcPr>
            <w:tcW w:w="542" w:type="pct"/>
            <w:shd w:val="clear" w:color="auto" w:fill="auto"/>
            <w:vAlign w:val="center"/>
          </w:tcPr>
          <w:p w14:paraId="2C86C586">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636" w:type="pct"/>
            <w:shd w:val="clear" w:color="auto" w:fill="auto"/>
            <w:vAlign w:val="center"/>
          </w:tcPr>
          <w:p w14:paraId="33E8CBB3">
            <w:pPr>
              <w:pStyle w:val="57"/>
              <w:rPr>
                <w:rFonts w:hint="default" w:ascii="Times New Roman" w:hAnsi="Times New Roman" w:eastAsia="宋体" w:cs="Times New Roman"/>
                <w:kern w:val="2"/>
                <w:sz w:val="21"/>
                <w:szCs w:val="32"/>
                <w:lang w:val="en-US" w:eastAsia="zh-CN" w:bidi="ar-SA"/>
              </w:rPr>
            </w:pPr>
            <w:r>
              <w:rPr>
                <w:rFonts w:hint="eastAsia" w:hAnsi="宋体"/>
                <w:u w:val="none" w:color="auto"/>
                <w:lang w:val="en-US" w:eastAsia="zh-CN"/>
              </w:rPr>
              <w:t>0.354</w:t>
            </w:r>
          </w:p>
        </w:tc>
        <w:tc>
          <w:tcPr>
            <w:tcW w:w="466" w:type="pct"/>
            <w:vAlign w:val="center"/>
          </w:tcPr>
          <w:p w14:paraId="0E172FE6">
            <w:pPr>
              <w:pStyle w:val="57"/>
              <w:rPr>
                <w:rFonts w:hint="default" w:ascii="Times New Roman" w:hAnsi="Times New Roman" w:cs="Times New Roman"/>
                <w:lang w:val="en-US"/>
              </w:rPr>
            </w:pPr>
            <w:r>
              <w:rPr>
                <w:rFonts w:hint="eastAsia" w:hAnsi="宋体"/>
                <w:u w:val="none" w:color="auto"/>
                <w:lang w:val="en-US" w:eastAsia="zh-CN"/>
              </w:rPr>
              <w:t>0.354</w:t>
            </w:r>
          </w:p>
        </w:tc>
      </w:tr>
      <w:tr w14:paraId="26F45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Merge w:val="continue"/>
            <w:vAlign w:val="center"/>
          </w:tcPr>
          <w:p w14:paraId="7CCC82F0">
            <w:pPr>
              <w:pStyle w:val="57"/>
              <w:rPr>
                <w:rFonts w:hint="default" w:ascii="Times New Roman" w:hAnsi="Times New Roman" w:cs="Times New Roman"/>
              </w:rPr>
            </w:pPr>
          </w:p>
        </w:tc>
        <w:tc>
          <w:tcPr>
            <w:tcW w:w="757" w:type="pct"/>
            <w:vAlign w:val="center"/>
          </w:tcPr>
          <w:p w14:paraId="6A16A4F1">
            <w:pPr>
              <w:pStyle w:val="57"/>
              <w:rPr>
                <w:rFonts w:hint="default" w:ascii="Times New Roman" w:hAnsi="Times New Roman" w:eastAsia="宋体" w:cs="Times New Roman"/>
                <w:lang w:val="en-US" w:eastAsia="zh-CN"/>
              </w:rPr>
            </w:pPr>
            <w:r>
              <w:rPr>
                <w:rFonts w:hint="default" w:ascii="Times New Roman" w:hAnsi="Times New Roman" w:cs="Times New Roman"/>
                <w:lang w:val="en-US" w:eastAsia="zh-CN"/>
              </w:rPr>
              <w:t>氨</w:t>
            </w:r>
          </w:p>
        </w:tc>
        <w:tc>
          <w:tcPr>
            <w:tcW w:w="540" w:type="pct"/>
            <w:shd w:val="clear" w:color="auto" w:fill="auto"/>
            <w:vAlign w:val="center"/>
          </w:tcPr>
          <w:p w14:paraId="46E985E5">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p>
        </w:tc>
        <w:tc>
          <w:tcPr>
            <w:tcW w:w="433" w:type="pct"/>
            <w:vAlign w:val="center"/>
          </w:tcPr>
          <w:p w14:paraId="19FD53CE">
            <w:pPr>
              <w:pStyle w:val="57"/>
              <w:ind w:left="0" w:leftChars="0" w:right="0" w:rightChars="0" w:firstLine="0" w:firstLineChars="0"/>
              <w:jc w:val="center"/>
              <w:rPr>
                <w:rFonts w:hint="default" w:ascii="Times New Roman" w:hAnsi="Times New Roman" w:cs="Times New Roman"/>
              </w:rPr>
            </w:pPr>
          </w:p>
        </w:tc>
        <w:tc>
          <w:tcPr>
            <w:tcW w:w="584" w:type="pct"/>
            <w:vAlign w:val="center"/>
          </w:tcPr>
          <w:p w14:paraId="1330BD89">
            <w:pPr>
              <w:pStyle w:val="57"/>
              <w:ind w:left="0" w:leftChars="0" w:right="0" w:rightChars="0" w:firstLine="0" w:firstLineChars="0"/>
              <w:jc w:val="center"/>
              <w:rPr>
                <w:rFonts w:hint="default" w:ascii="Times New Roman" w:hAnsi="Times New Roman" w:cs="Times New Roman"/>
              </w:rPr>
            </w:pPr>
          </w:p>
        </w:tc>
        <w:tc>
          <w:tcPr>
            <w:tcW w:w="639" w:type="pct"/>
            <w:vAlign w:val="center"/>
          </w:tcPr>
          <w:p w14:paraId="2522481A">
            <w:pPr>
              <w:pStyle w:val="57"/>
              <w:rPr>
                <w:rFonts w:hint="default" w:ascii="Times New Roman" w:hAnsi="Times New Roman" w:cs="Times New Roman"/>
                <w:u w:val="none" w:color="auto"/>
                <w:lang w:val="en-US" w:eastAsia="zh-CN"/>
              </w:rPr>
            </w:pPr>
            <w:r>
              <w:rPr>
                <w:rFonts w:hint="eastAsia" w:ascii="Times New Roman" w:hAnsi="Times New Roman" w:eastAsia="宋体" w:cs="Times New Roman"/>
                <w:b w:val="0"/>
                <w:bCs w:val="0"/>
                <w:sz w:val="21"/>
                <w:szCs w:val="21"/>
                <w:lang w:val="en-US" w:eastAsia="zh-CN"/>
              </w:rPr>
              <w:t>0.01</w:t>
            </w:r>
            <w:r>
              <w:rPr>
                <w:rFonts w:hint="eastAsia" w:cs="Times New Roman"/>
                <w:b w:val="0"/>
                <w:bCs w:val="0"/>
                <w:sz w:val="21"/>
                <w:szCs w:val="21"/>
                <w:lang w:val="en-US" w:eastAsia="zh-CN"/>
              </w:rPr>
              <w:t>4</w:t>
            </w:r>
          </w:p>
        </w:tc>
        <w:tc>
          <w:tcPr>
            <w:tcW w:w="542" w:type="pct"/>
            <w:shd w:val="clear" w:color="auto" w:fill="auto"/>
            <w:vAlign w:val="center"/>
          </w:tcPr>
          <w:p w14:paraId="7DB97DAF">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p>
        </w:tc>
        <w:tc>
          <w:tcPr>
            <w:tcW w:w="636" w:type="pct"/>
            <w:shd w:val="clear" w:color="auto" w:fill="auto"/>
            <w:vAlign w:val="center"/>
          </w:tcPr>
          <w:p w14:paraId="3D1F3591">
            <w:pPr>
              <w:pStyle w:val="57"/>
              <w:rPr>
                <w:rFonts w:hint="default" w:ascii="Times New Roman" w:hAnsi="Times New Roman" w:cs="Times New Roman"/>
                <w:u w:val="none" w:color="auto"/>
                <w:lang w:val="en-US" w:eastAsia="zh-CN"/>
              </w:rPr>
            </w:pPr>
            <w:r>
              <w:rPr>
                <w:rFonts w:hint="eastAsia" w:ascii="Times New Roman" w:hAnsi="Times New Roman" w:eastAsia="宋体" w:cs="Times New Roman"/>
                <w:b w:val="0"/>
                <w:bCs w:val="0"/>
                <w:sz w:val="21"/>
                <w:szCs w:val="21"/>
                <w:lang w:val="en-US" w:eastAsia="zh-CN"/>
              </w:rPr>
              <w:t>0.01</w:t>
            </w:r>
            <w:r>
              <w:rPr>
                <w:rFonts w:hint="eastAsia" w:cs="Times New Roman"/>
                <w:b w:val="0"/>
                <w:bCs w:val="0"/>
                <w:sz w:val="21"/>
                <w:szCs w:val="21"/>
                <w:lang w:val="en-US" w:eastAsia="zh-CN"/>
              </w:rPr>
              <w:t>4</w:t>
            </w:r>
          </w:p>
        </w:tc>
        <w:tc>
          <w:tcPr>
            <w:tcW w:w="466" w:type="pct"/>
            <w:vAlign w:val="center"/>
          </w:tcPr>
          <w:p w14:paraId="5B3EBABE">
            <w:pPr>
              <w:pStyle w:val="57"/>
              <w:rPr>
                <w:rFonts w:hint="default" w:ascii="Times New Roman" w:hAnsi="Times New Roman" w:eastAsia="宋体" w:cs="Times New Roman"/>
                <w:b w:val="0"/>
                <w:bCs w:val="0"/>
                <w:color w:val="000000" w:themeColor="text1"/>
                <w:sz w:val="21"/>
                <w:szCs w:val="32"/>
                <w:u w:val="none" w:color="auto"/>
                <w:lang w:val="en-US" w:eastAsia="zh-CN"/>
                <w14:textFill>
                  <w14:solidFill>
                    <w14:schemeClr w14:val="tx1"/>
                  </w14:solidFill>
                </w14:textFill>
              </w:rPr>
            </w:pPr>
            <w:r>
              <w:rPr>
                <w:rFonts w:hint="eastAsia" w:ascii="Times New Roman" w:hAnsi="Times New Roman" w:eastAsia="宋体" w:cs="Times New Roman"/>
                <w:b w:val="0"/>
                <w:bCs w:val="0"/>
                <w:sz w:val="21"/>
                <w:szCs w:val="21"/>
                <w:lang w:val="en-US" w:eastAsia="zh-CN"/>
              </w:rPr>
              <w:t>0.01</w:t>
            </w:r>
            <w:r>
              <w:rPr>
                <w:rFonts w:hint="eastAsia" w:cs="Times New Roman"/>
                <w:b w:val="0"/>
                <w:bCs w:val="0"/>
                <w:sz w:val="21"/>
                <w:szCs w:val="21"/>
                <w:lang w:val="en-US" w:eastAsia="zh-CN"/>
              </w:rPr>
              <w:t>4</w:t>
            </w:r>
          </w:p>
        </w:tc>
      </w:tr>
      <w:tr w14:paraId="5B1F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Align w:val="center"/>
          </w:tcPr>
          <w:p w14:paraId="229C8071">
            <w:pPr>
              <w:pStyle w:val="57"/>
              <w:rPr>
                <w:rFonts w:hint="default" w:ascii="Times New Roman" w:hAnsi="Times New Roman" w:cs="Times New Roman"/>
              </w:rPr>
            </w:pPr>
            <w:r>
              <w:rPr>
                <w:rFonts w:hint="default" w:ascii="Times New Roman" w:hAnsi="Times New Roman" w:cs="Times New Roman"/>
              </w:rPr>
              <w:t>废水</w:t>
            </w:r>
          </w:p>
        </w:tc>
        <w:tc>
          <w:tcPr>
            <w:tcW w:w="757" w:type="pct"/>
            <w:vAlign w:val="center"/>
          </w:tcPr>
          <w:p w14:paraId="2C18F7CA">
            <w:pPr>
              <w:pStyle w:val="57"/>
              <w:rPr>
                <w:rFonts w:hint="default" w:ascii="Times New Roman" w:hAnsi="Times New Roman" w:cs="Times New Roman"/>
              </w:rPr>
            </w:pPr>
            <w:r>
              <w:rPr>
                <w:rFonts w:hint="default" w:ascii="Times New Roman" w:hAnsi="Times New Roman" w:cs="Times New Roman"/>
              </w:rPr>
              <w:t>/</w:t>
            </w:r>
          </w:p>
        </w:tc>
        <w:tc>
          <w:tcPr>
            <w:tcW w:w="540" w:type="pct"/>
            <w:shd w:val="clear" w:color="auto" w:fill="auto"/>
            <w:vAlign w:val="center"/>
          </w:tcPr>
          <w:p w14:paraId="5108F525">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433" w:type="pct"/>
            <w:vAlign w:val="center"/>
          </w:tcPr>
          <w:p w14:paraId="355DFC43">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584" w:type="pct"/>
            <w:vAlign w:val="center"/>
          </w:tcPr>
          <w:p w14:paraId="5DD45C7B">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639" w:type="pct"/>
            <w:vAlign w:val="center"/>
          </w:tcPr>
          <w:p w14:paraId="71ECBD81">
            <w:pPr>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542" w:type="pct"/>
            <w:shd w:val="clear" w:color="auto" w:fill="auto"/>
            <w:vAlign w:val="center"/>
          </w:tcPr>
          <w:p w14:paraId="4E2D2B86">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636" w:type="pct"/>
            <w:vAlign w:val="center"/>
          </w:tcPr>
          <w:p w14:paraId="472B8F30">
            <w:pPr>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466" w:type="pct"/>
            <w:vAlign w:val="center"/>
          </w:tcPr>
          <w:p w14:paraId="23B310B6">
            <w:pPr>
              <w:ind w:left="0" w:leftChars="0" w:right="0" w:rightChars="0" w:firstLine="0" w:firstLineChars="0"/>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w:t>
            </w:r>
          </w:p>
        </w:tc>
      </w:tr>
      <w:tr w14:paraId="2FC0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Merge w:val="restart"/>
            <w:vAlign w:val="center"/>
          </w:tcPr>
          <w:p w14:paraId="1E76DBFB">
            <w:pPr>
              <w:pStyle w:val="57"/>
              <w:rPr>
                <w:rFonts w:hint="default" w:ascii="Times New Roman" w:hAnsi="Times New Roman" w:cs="Times New Roman"/>
                <w:snapToGrid w:val="0"/>
                <w:kern w:val="21"/>
              </w:rPr>
            </w:pPr>
            <w:r>
              <w:rPr>
                <w:rFonts w:hint="default" w:ascii="Times New Roman" w:hAnsi="Times New Roman" w:cs="Times New Roman"/>
                <w:snapToGrid w:val="0"/>
                <w:kern w:val="21"/>
              </w:rPr>
              <w:t>一般工业</w:t>
            </w:r>
          </w:p>
          <w:p w14:paraId="02DC9C11">
            <w:pPr>
              <w:pStyle w:val="57"/>
              <w:rPr>
                <w:rFonts w:hint="default" w:ascii="Times New Roman" w:hAnsi="Times New Roman" w:cs="Times New Roman"/>
              </w:rPr>
            </w:pPr>
            <w:r>
              <w:rPr>
                <w:rFonts w:hint="default" w:ascii="Times New Roman" w:hAnsi="Times New Roman" w:cs="Times New Roman"/>
                <w:snapToGrid w:val="0"/>
                <w:kern w:val="21"/>
              </w:rPr>
              <w:t>固体废物</w:t>
            </w:r>
          </w:p>
        </w:tc>
        <w:tc>
          <w:tcPr>
            <w:tcW w:w="757" w:type="pct"/>
            <w:shd w:val="clear" w:color="auto" w:fill="auto"/>
            <w:vAlign w:val="center"/>
          </w:tcPr>
          <w:p w14:paraId="0C812AE5">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eastAsia="宋体" w:cs="Times New Roman"/>
                <w:u w:val="none" w:color="auto"/>
              </w:rPr>
              <w:t>废包装材料</w:t>
            </w:r>
          </w:p>
        </w:tc>
        <w:tc>
          <w:tcPr>
            <w:tcW w:w="540" w:type="pct"/>
            <w:shd w:val="clear" w:color="auto" w:fill="auto"/>
            <w:vAlign w:val="center"/>
          </w:tcPr>
          <w:p w14:paraId="096ECABE">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433" w:type="pct"/>
            <w:vAlign w:val="center"/>
          </w:tcPr>
          <w:p w14:paraId="7347D98E">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584" w:type="pct"/>
            <w:vAlign w:val="center"/>
          </w:tcPr>
          <w:p w14:paraId="1C14D092">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639" w:type="pct"/>
            <w:shd w:val="clear" w:color="auto" w:fill="auto"/>
            <w:vAlign w:val="center"/>
          </w:tcPr>
          <w:p w14:paraId="15E83AFD">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eastAsia="宋体" w:cs="Times New Roman"/>
                <w:u w:val="none" w:color="auto"/>
              </w:rPr>
              <w:t>0.1</w:t>
            </w:r>
          </w:p>
        </w:tc>
        <w:tc>
          <w:tcPr>
            <w:tcW w:w="542" w:type="pct"/>
            <w:shd w:val="clear" w:color="auto" w:fill="auto"/>
            <w:vAlign w:val="center"/>
          </w:tcPr>
          <w:p w14:paraId="45642BFF">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636" w:type="pct"/>
            <w:shd w:val="clear" w:color="auto" w:fill="auto"/>
            <w:vAlign w:val="center"/>
          </w:tcPr>
          <w:p w14:paraId="5AF5DC1F">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eastAsia="宋体" w:cs="Times New Roman"/>
                <w:u w:val="none" w:color="auto"/>
              </w:rPr>
              <w:t>0.1</w:t>
            </w:r>
          </w:p>
        </w:tc>
        <w:tc>
          <w:tcPr>
            <w:tcW w:w="466" w:type="pct"/>
            <w:shd w:val="clear" w:color="auto" w:fill="auto"/>
            <w:vAlign w:val="center"/>
          </w:tcPr>
          <w:p w14:paraId="433F650A">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eastAsia="宋体" w:cs="Times New Roman"/>
                <w:u w:val="none" w:color="auto"/>
              </w:rPr>
              <w:t>0.1</w:t>
            </w:r>
          </w:p>
        </w:tc>
      </w:tr>
      <w:tr w14:paraId="14043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Merge w:val="continue"/>
            <w:vAlign w:val="center"/>
          </w:tcPr>
          <w:p w14:paraId="3B5DA7C6">
            <w:pPr>
              <w:pStyle w:val="57"/>
              <w:rPr>
                <w:rFonts w:hint="default" w:ascii="Times New Roman" w:hAnsi="Times New Roman" w:cs="Times New Roman"/>
              </w:rPr>
            </w:pPr>
          </w:p>
        </w:tc>
        <w:tc>
          <w:tcPr>
            <w:tcW w:w="757" w:type="pct"/>
            <w:shd w:val="clear" w:color="auto" w:fill="auto"/>
            <w:vAlign w:val="center"/>
          </w:tcPr>
          <w:p w14:paraId="6E360073">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eastAsia="宋体" w:cs="Times New Roman"/>
                <w:u w:val="none" w:color="auto"/>
              </w:rPr>
              <w:t>废边角料和不合格品</w:t>
            </w:r>
          </w:p>
        </w:tc>
        <w:tc>
          <w:tcPr>
            <w:tcW w:w="540" w:type="pct"/>
            <w:shd w:val="clear" w:color="auto" w:fill="auto"/>
            <w:vAlign w:val="center"/>
          </w:tcPr>
          <w:p w14:paraId="54165E79">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433" w:type="pct"/>
            <w:vAlign w:val="center"/>
          </w:tcPr>
          <w:p w14:paraId="4F53DC9A">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584" w:type="pct"/>
            <w:vAlign w:val="center"/>
          </w:tcPr>
          <w:p w14:paraId="6BA697F9">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639" w:type="pct"/>
            <w:shd w:val="clear" w:color="auto" w:fill="auto"/>
            <w:vAlign w:val="center"/>
          </w:tcPr>
          <w:p w14:paraId="4E3FFCCF">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eastAsia="宋体" w:cs="Times New Roman"/>
                <w:u w:val="none" w:color="auto"/>
                <w:lang w:val="en-US" w:eastAsia="zh-CN"/>
              </w:rPr>
              <w:t>755.05</w:t>
            </w:r>
          </w:p>
        </w:tc>
        <w:tc>
          <w:tcPr>
            <w:tcW w:w="542" w:type="pct"/>
            <w:shd w:val="clear" w:color="auto" w:fill="auto"/>
            <w:vAlign w:val="center"/>
          </w:tcPr>
          <w:p w14:paraId="3A0BCC64">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636" w:type="pct"/>
            <w:shd w:val="clear" w:color="auto" w:fill="auto"/>
            <w:vAlign w:val="center"/>
          </w:tcPr>
          <w:p w14:paraId="1335A50E">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eastAsia="宋体" w:cs="Times New Roman"/>
                <w:u w:val="none" w:color="auto"/>
                <w:lang w:val="en-US" w:eastAsia="zh-CN"/>
              </w:rPr>
              <w:t>755.05</w:t>
            </w:r>
          </w:p>
        </w:tc>
        <w:tc>
          <w:tcPr>
            <w:tcW w:w="466" w:type="pct"/>
            <w:shd w:val="clear" w:color="auto" w:fill="auto"/>
            <w:vAlign w:val="center"/>
          </w:tcPr>
          <w:p w14:paraId="30D9F19B">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eastAsia="宋体" w:cs="Times New Roman"/>
                <w:u w:val="none" w:color="auto"/>
                <w:lang w:val="en-US" w:eastAsia="zh-CN"/>
              </w:rPr>
              <w:t>755.05</w:t>
            </w:r>
          </w:p>
        </w:tc>
      </w:tr>
      <w:tr w14:paraId="79662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Merge w:val="continue"/>
            <w:vAlign w:val="center"/>
          </w:tcPr>
          <w:p w14:paraId="716EB6D0">
            <w:pPr>
              <w:pStyle w:val="57"/>
              <w:rPr>
                <w:rFonts w:hint="default" w:ascii="Times New Roman" w:hAnsi="Times New Roman" w:cs="Times New Roman"/>
              </w:rPr>
            </w:pPr>
          </w:p>
        </w:tc>
        <w:tc>
          <w:tcPr>
            <w:tcW w:w="757" w:type="pct"/>
            <w:shd w:val="clear" w:color="auto" w:fill="auto"/>
            <w:vAlign w:val="center"/>
          </w:tcPr>
          <w:p w14:paraId="482456B1">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cs="Times New Roman"/>
                <w:u w:val="none" w:color="auto"/>
              </w:rPr>
              <w:t>地面收集尘</w:t>
            </w:r>
          </w:p>
        </w:tc>
        <w:tc>
          <w:tcPr>
            <w:tcW w:w="540" w:type="pct"/>
            <w:shd w:val="clear" w:color="auto" w:fill="auto"/>
            <w:vAlign w:val="center"/>
          </w:tcPr>
          <w:p w14:paraId="037D8F8D">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433" w:type="pct"/>
            <w:vAlign w:val="center"/>
          </w:tcPr>
          <w:p w14:paraId="26F5ABE6">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584" w:type="pct"/>
            <w:vAlign w:val="center"/>
          </w:tcPr>
          <w:p w14:paraId="17C6A91C">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639" w:type="pct"/>
            <w:shd w:val="clear" w:color="auto" w:fill="auto"/>
            <w:vAlign w:val="center"/>
          </w:tcPr>
          <w:p w14:paraId="1C5BBD0F">
            <w:pPr>
              <w:pStyle w:val="57"/>
              <w:rPr>
                <w:rFonts w:hint="default" w:ascii="Times New Roman" w:hAnsi="Times New Roman" w:eastAsia="宋体" w:cstheme="minorBidi"/>
                <w:kern w:val="2"/>
                <w:sz w:val="21"/>
                <w:szCs w:val="32"/>
                <w:u w:val="none" w:color="auto"/>
                <w:lang w:val="en-US" w:eastAsia="zh-CN" w:bidi="ar-SA"/>
              </w:rPr>
            </w:pPr>
            <w:r>
              <w:rPr>
                <w:rFonts w:hint="eastAsia"/>
                <w:u w:val="none" w:color="auto"/>
                <w:lang w:val="en-US" w:eastAsia="zh-CN"/>
              </w:rPr>
              <w:t>0.3696</w:t>
            </w:r>
          </w:p>
        </w:tc>
        <w:tc>
          <w:tcPr>
            <w:tcW w:w="542" w:type="pct"/>
            <w:shd w:val="clear" w:color="auto" w:fill="auto"/>
            <w:vAlign w:val="center"/>
          </w:tcPr>
          <w:p w14:paraId="6B01F894">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636" w:type="pct"/>
            <w:shd w:val="clear" w:color="auto" w:fill="auto"/>
            <w:vAlign w:val="center"/>
          </w:tcPr>
          <w:p w14:paraId="0BC9946C">
            <w:pPr>
              <w:pStyle w:val="57"/>
              <w:rPr>
                <w:rFonts w:hint="default" w:ascii="Times New Roman" w:hAnsi="Times New Roman" w:eastAsia="宋体" w:cstheme="minorBidi"/>
                <w:kern w:val="2"/>
                <w:sz w:val="21"/>
                <w:szCs w:val="32"/>
                <w:u w:val="none" w:color="auto"/>
                <w:lang w:val="en-US" w:eastAsia="zh-CN" w:bidi="ar-SA"/>
              </w:rPr>
            </w:pPr>
            <w:r>
              <w:rPr>
                <w:rFonts w:hint="eastAsia"/>
                <w:u w:val="none" w:color="auto"/>
                <w:lang w:val="en-US" w:eastAsia="zh-CN"/>
              </w:rPr>
              <w:t>0.3696</w:t>
            </w:r>
          </w:p>
        </w:tc>
        <w:tc>
          <w:tcPr>
            <w:tcW w:w="466" w:type="pct"/>
            <w:shd w:val="clear" w:color="auto" w:fill="auto"/>
            <w:vAlign w:val="center"/>
          </w:tcPr>
          <w:p w14:paraId="29BE52F2">
            <w:pPr>
              <w:pStyle w:val="57"/>
              <w:rPr>
                <w:rFonts w:hint="default" w:ascii="Times New Roman" w:hAnsi="Times New Roman" w:eastAsia="宋体" w:cstheme="minorBidi"/>
                <w:kern w:val="2"/>
                <w:sz w:val="21"/>
                <w:szCs w:val="32"/>
                <w:u w:val="none" w:color="auto"/>
                <w:lang w:val="en-US" w:eastAsia="zh-CN" w:bidi="ar-SA"/>
              </w:rPr>
            </w:pPr>
            <w:r>
              <w:rPr>
                <w:rFonts w:hint="eastAsia"/>
                <w:u w:val="none" w:color="auto"/>
                <w:lang w:val="en-US" w:eastAsia="zh-CN"/>
              </w:rPr>
              <w:t>0.3696</w:t>
            </w:r>
          </w:p>
        </w:tc>
      </w:tr>
      <w:tr w14:paraId="56B8E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Merge w:val="continue"/>
            <w:vAlign w:val="center"/>
          </w:tcPr>
          <w:p w14:paraId="1646B8DF">
            <w:pPr>
              <w:pStyle w:val="57"/>
              <w:rPr>
                <w:rFonts w:hint="default" w:ascii="Times New Roman" w:hAnsi="Times New Roman" w:cs="Times New Roman"/>
              </w:rPr>
            </w:pPr>
          </w:p>
        </w:tc>
        <w:tc>
          <w:tcPr>
            <w:tcW w:w="757" w:type="pct"/>
            <w:shd w:val="clear" w:color="auto" w:fill="auto"/>
            <w:vAlign w:val="center"/>
          </w:tcPr>
          <w:p w14:paraId="1398B6DC">
            <w:pPr>
              <w:pStyle w:val="57"/>
              <w:rPr>
                <w:rFonts w:hint="default" w:ascii="Times New Roman" w:hAnsi="Times New Roman" w:eastAsia="宋体" w:cs="Times New Roman"/>
                <w:u w:val="none" w:color="auto"/>
                <w:lang w:val="en-US" w:eastAsia="zh-CN"/>
              </w:rPr>
            </w:pPr>
            <w:r>
              <w:rPr>
                <w:rFonts w:hint="eastAsia" w:cs="Times New Roman"/>
                <w:u w:val="none" w:color="auto"/>
                <w:lang w:val="en-US" w:eastAsia="zh-CN"/>
              </w:rPr>
              <w:t>布袋除尘器收集尘</w:t>
            </w:r>
          </w:p>
        </w:tc>
        <w:tc>
          <w:tcPr>
            <w:tcW w:w="540" w:type="pct"/>
            <w:shd w:val="clear" w:color="auto" w:fill="auto"/>
            <w:vAlign w:val="center"/>
          </w:tcPr>
          <w:p w14:paraId="7DAD3A28">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433" w:type="pct"/>
            <w:shd w:val="clear" w:color="auto" w:fill="auto"/>
            <w:vAlign w:val="center"/>
          </w:tcPr>
          <w:p w14:paraId="4E78CE54">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584" w:type="pct"/>
            <w:shd w:val="clear" w:color="auto" w:fill="auto"/>
            <w:vAlign w:val="center"/>
          </w:tcPr>
          <w:p w14:paraId="2A1C4D05">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639" w:type="pct"/>
            <w:shd w:val="clear" w:color="auto" w:fill="auto"/>
            <w:vAlign w:val="center"/>
          </w:tcPr>
          <w:p w14:paraId="45912CD5">
            <w:pPr>
              <w:pStyle w:val="57"/>
              <w:rPr>
                <w:rFonts w:hint="default" w:ascii="Times New Roman" w:hAnsi="Times New Roman" w:eastAsia="宋体" w:cstheme="minorBidi"/>
                <w:kern w:val="2"/>
                <w:sz w:val="21"/>
                <w:szCs w:val="32"/>
                <w:u w:val="none" w:color="auto"/>
                <w:lang w:val="en-US" w:eastAsia="zh-CN" w:bidi="ar-SA"/>
              </w:rPr>
            </w:pPr>
            <w:r>
              <w:rPr>
                <w:rFonts w:hint="eastAsia"/>
                <w:u w:val="none" w:color="auto"/>
                <w:lang w:val="en-US" w:eastAsia="zh-CN"/>
              </w:rPr>
              <w:t>0.1584</w:t>
            </w:r>
          </w:p>
        </w:tc>
        <w:tc>
          <w:tcPr>
            <w:tcW w:w="542" w:type="pct"/>
            <w:shd w:val="clear" w:color="auto" w:fill="auto"/>
            <w:vAlign w:val="center"/>
          </w:tcPr>
          <w:p w14:paraId="1DC70D74">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636" w:type="pct"/>
            <w:shd w:val="clear" w:color="auto" w:fill="auto"/>
            <w:vAlign w:val="center"/>
          </w:tcPr>
          <w:p w14:paraId="74C8F30E">
            <w:pPr>
              <w:pStyle w:val="57"/>
              <w:rPr>
                <w:rFonts w:hint="default" w:ascii="Times New Roman" w:hAnsi="Times New Roman" w:eastAsia="宋体" w:cstheme="minorBidi"/>
                <w:kern w:val="2"/>
                <w:sz w:val="21"/>
                <w:szCs w:val="32"/>
                <w:u w:val="none" w:color="auto"/>
                <w:lang w:val="en-US" w:eastAsia="zh-CN" w:bidi="ar-SA"/>
              </w:rPr>
            </w:pPr>
            <w:r>
              <w:rPr>
                <w:rFonts w:hint="eastAsia"/>
                <w:u w:val="none" w:color="auto"/>
                <w:lang w:val="en-US" w:eastAsia="zh-CN"/>
              </w:rPr>
              <w:t>0.1584</w:t>
            </w:r>
          </w:p>
        </w:tc>
        <w:tc>
          <w:tcPr>
            <w:tcW w:w="466" w:type="pct"/>
            <w:shd w:val="clear" w:color="auto" w:fill="auto"/>
            <w:vAlign w:val="center"/>
          </w:tcPr>
          <w:p w14:paraId="75404FE9">
            <w:pPr>
              <w:pStyle w:val="57"/>
              <w:rPr>
                <w:rFonts w:hint="default" w:ascii="Times New Roman" w:hAnsi="Times New Roman" w:eastAsia="宋体" w:cstheme="minorBidi"/>
                <w:kern w:val="2"/>
                <w:sz w:val="21"/>
                <w:szCs w:val="32"/>
                <w:u w:val="none" w:color="auto"/>
                <w:lang w:val="en-US" w:eastAsia="zh-CN" w:bidi="ar-SA"/>
              </w:rPr>
            </w:pPr>
            <w:r>
              <w:rPr>
                <w:rFonts w:hint="eastAsia"/>
                <w:u w:val="none" w:color="auto"/>
                <w:lang w:val="en-US" w:eastAsia="zh-CN"/>
              </w:rPr>
              <w:t>0.1584</w:t>
            </w:r>
          </w:p>
        </w:tc>
      </w:tr>
      <w:tr w14:paraId="2380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Merge w:val="continue"/>
            <w:vAlign w:val="center"/>
          </w:tcPr>
          <w:p w14:paraId="10ED6BC3">
            <w:pPr>
              <w:pStyle w:val="57"/>
              <w:rPr>
                <w:rFonts w:hint="default" w:ascii="Times New Roman" w:hAnsi="Times New Roman" w:cs="Times New Roman"/>
              </w:rPr>
            </w:pPr>
          </w:p>
        </w:tc>
        <w:tc>
          <w:tcPr>
            <w:tcW w:w="757" w:type="pct"/>
            <w:shd w:val="clear" w:color="auto" w:fill="auto"/>
            <w:vAlign w:val="center"/>
          </w:tcPr>
          <w:p w14:paraId="62AE4C06">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cs="Times New Roman"/>
                <w:u w:val="none" w:color="auto"/>
              </w:rPr>
              <w:t>生物质锅炉灰渣</w:t>
            </w:r>
          </w:p>
        </w:tc>
        <w:tc>
          <w:tcPr>
            <w:tcW w:w="540" w:type="pct"/>
            <w:shd w:val="clear" w:color="auto" w:fill="auto"/>
            <w:vAlign w:val="center"/>
          </w:tcPr>
          <w:p w14:paraId="391B48F2">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433" w:type="pct"/>
            <w:vAlign w:val="center"/>
          </w:tcPr>
          <w:p w14:paraId="4E54E2EC">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584" w:type="pct"/>
            <w:vAlign w:val="center"/>
          </w:tcPr>
          <w:p w14:paraId="46DAE587">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639" w:type="pct"/>
            <w:shd w:val="clear" w:color="auto" w:fill="auto"/>
            <w:vAlign w:val="center"/>
          </w:tcPr>
          <w:p w14:paraId="4C09B61A">
            <w:pPr>
              <w:pStyle w:val="57"/>
              <w:rPr>
                <w:rFonts w:hint="default" w:ascii="Times New Roman" w:hAnsi="Times New Roman" w:eastAsia="宋体" w:cs="Times New Roman"/>
                <w:color w:val="000000" w:themeColor="text1"/>
                <w:kern w:val="2"/>
                <w:sz w:val="21"/>
                <w:szCs w:val="32"/>
                <w:u w:val="none" w:color="auto"/>
                <w:lang w:val="en-US" w:eastAsia="zh-CN" w:bidi="ar-SA"/>
                <w14:textFill>
                  <w14:solidFill>
                    <w14:schemeClr w14:val="tx1"/>
                  </w14:solidFill>
                </w14:textFill>
              </w:rPr>
            </w:pPr>
            <w:r>
              <w:rPr>
                <w:rFonts w:hint="default" w:ascii="Times New Roman" w:hAnsi="Times New Roman" w:cs="Times New Roman"/>
                <w:color w:val="000000"/>
                <w:u w:val="none"/>
                <w:lang w:val="en-US" w:eastAsia="zh-CN"/>
              </w:rPr>
              <w:t>1.</w:t>
            </w:r>
            <w:r>
              <w:rPr>
                <w:rFonts w:hint="eastAsia" w:cs="Times New Roman"/>
                <w:color w:val="000000"/>
                <w:u w:val="none"/>
                <w:lang w:val="en-US" w:eastAsia="zh-CN"/>
              </w:rPr>
              <w:t>12</w:t>
            </w:r>
          </w:p>
        </w:tc>
        <w:tc>
          <w:tcPr>
            <w:tcW w:w="542" w:type="pct"/>
            <w:shd w:val="clear" w:color="auto" w:fill="auto"/>
            <w:vAlign w:val="center"/>
          </w:tcPr>
          <w:p w14:paraId="12A12908">
            <w:pPr>
              <w:pStyle w:val="57"/>
              <w:ind w:left="0" w:leftChars="0" w:right="0" w:rightChars="0" w:firstLine="0" w:firstLineChars="0"/>
              <w:jc w:val="center"/>
              <w:rPr>
                <w:rFonts w:hint="default" w:ascii="Times New Roman" w:hAnsi="Times New Roman" w:cs="Times New Roman"/>
              </w:rPr>
            </w:pPr>
          </w:p>
        </w:tc>
        <w:tc>
          <w:tcPr>
            <w:tcW w:w="636" w:type="pct"/>
            <w:shd w:val="clear" w:color="auto" w:fill="auto"/>
            <w:vAlign w:val="center"/>
          </w:tcPr>
          <w:p w14:paraId="42965368">
            <w:pPr>
              <w:pStyle w:val="57"/>
              <w:rPr>
                <w:rFonts w:hint="default" w:ascii="Times New Roman" w:hAnsi="Times New Roman" w:eastAsia="宋体" w:cs="Times New Roman"/>
                <w:color w:val="000000" w:themeColor="text1"/>
                <w:kern w:val="2"/>
                <w:sz w:val="21"/>
                <w:szCs w:val="32"/>
                <w:u w:val="none" w:color="auto"/>
                <w:lang w:val="en-US" w:eastAsia="zh-CN" w:bidi="ar-SA"/>
                <w14:textFill>
                  <w14:solidFill>
                    <w14:schemeClr w14:val="tx1"/>
                  </w14:solidFill>
                </w14:textFill>
              </w:rPr>
            </w:pPr>
            <w:r>
              <w:rPr>
                <w:rFonts w:hint="default" w:ascii="Times New Roman" w:hAnsi="Times New Roman" w:cs="Times New Roman"/>
                <w:color w:val="000000"/>
                <w:u w:val="none"/>
                <w:lang w:val="en-US" w:eastAsia="zh-CN"/>
              </w:rPr>
              <w:t>1.</w:t>
            </w:r>
            <w:r>
              <w:rPr>
                <w:rFonts w:hint="eastAsia" w:cs="Times New Roman"/>
                <w:color w:val="000000"/>
                <w:u w:val="none"/>
                <w:lang w:val="en-US" w:eastAsia="zh-CN"/>
              </w:rPr>
              <w:t>12</w:t>
            </w:r>
          </w:p>
        </w:tc>
        <w:tc>
          <w:tcPr>
            <w:tcW w:w="466" w:type="pct"/>
            <w:shd w:val="clear" w:color="auto" w:fill="auto"/>
            <w:vAlign w:val="center"/>
          </w:tcPr>
          <w:p w14:paraId="11C47226">
            <w:pPr>
              <w:pStyle w:val="57"/>
              <w:rPr>
                <w:rFonts w:hint="default" w:ascii="Times New Roman" w:hAnsi="Times New Roman" w:eastAsia="宋体" w:cs="Times New Roman"/>
                <w:color w:val="000000" w:themeColor="text1"/>
                <w:kern w:val="2"/>
                <w:sz w:val="21"/>
                <w:szCs w:val="32"/>
                <w:u w:val="none" w:color="auto"/>
                <w:lang w:val="en-US" w:eastAsia="zh-CN" w:bidi="ar-SA"/>
                <w14:textFill>
                  <w14:solidFill>
                    <w14:schemeClr w14:val="tx1"/>
                  </w14:solidFill>
                </w14:textFill>
              </w:rPr>
            </w:pPr>
            <w:r>
              <w:rPr>
                <w:rFonts w:hint="default" w:ascii="Times New Roman" w:hAnsi="Times New Roman" w:cs="Times New Roman"/>
                <w:color w:val="000000"/>
                <w:u w:val="none"/>
                <w:lang w:val="en-US" w:eastAsia="zh-CN"/>
              </w:rPr>
              <w:t>1.</w:t>
            </w:r>
            <w:r>
              <w:rPr>
                <w:rFonts w:hint="eastAsia" w:cs="Times New Roman"/>
                <w:color w:val="000000"/>
                <w:u w:val="none"/>
                <w:lang w:val="en-US" w:eastAsia="zh-CN"/>
              </w:rPr>
              <w:t>12</w:t>
            </w:r>
          </w:p>
        </w:tc>
      </w:tr>
      <w:tr w14:paraId="31296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Merge w:val="continue"/>
            <w:vAlign w:val="center"/>
          </w:tcPr>
          <w:p w14:paraId="2A641BA2">
            <w:pPr>
              <w:pStyle w:val="57"/>
              <w:rPr>
                <w:rFonts w:hint="default" w:ascii="Times New Roman" w:hAnsi="Times New Roman" w:cs="Times New Roman"/>
              </w:rPr>
            </w:pPr>
          </w:p>
        </w:tc>
        <w:tc>
          <w:tcPr>
            <w:tcW w:w="757" w:type="pct"/>
            <w:shd w:val="clear" w:color="auto" w:fill="auto"/>
            <w:vAlign w:val="center"/>
          </w:tcPr>
          <w:p w14:paraId="63AB6472">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cs="Times New Roman"/>
                <w:u w:val="none" w:color="auto"/>
              </w:rPr>
              <w:t>锅炉烟气除尘灰渣</w:t>
            </w:r>
          </w:p>
        </w:tc>
        <w:tc>
          <w:tcPr>
            <w:tcW w:w="540" w:type="pct"/>
            <w:shd w:val="clear" w:color="auto" w:fill="auto"/>
            <w:vAlign w:val="center"/>
          </w:tcPr>
          <w:p w14:paraId="24C80E54">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433" w:type="pct"/>
            <w:vAlign w:val="center"/>
          </w:tcPr>
          <w:p w14:paraId="17C1762F">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584" w:type="pct"/>
            <w:vAlign w:val="center"/>
          </w:tcPr>
          <w:p w14:paraId="1AC19F5E">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639" w:type="pct"/>
            <w:shd w:val="clear" w:color="auto" w:fill="auto"/>
            <w:vAlign w:val="center"/>
          </w:tcPr>
          <w:p w14:paraId="4DEACC61">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cs="Times New Roman"/>
                <w:u w:val="none" w:color="auto"/>
                <w:lang w:val="en-US" w:eastAsia="zh-CN"/>
              </w:rPr>
              <w:t>0.1</w:t>
            </w:r>
            <w:r>
              <w:rPr>
                <w:rFonts w:hint="eastAsia" w:cs="Times New Roman"/>
                <w:u w:val="none" w:color="auto"/>
                <w:lang w:val="en-US" w:eastAsia="zh-CN"/>
              </w:rPr>
              <w:t>73</w:t>
            </w:r>
          </w:p>
        </w:tc>
        <w:tc>
          <w:tcPr>
            <w:tcW w:w="542" w:type="pct"/>
            <w:shd w:val="clear" w:color="auto" w:fill="auto"/>
            <w:vAlign w:val="center"/>
          </w:tcPr>
          <w:p w14:paraId="7EE762BE">
            <w:pPr>
              <w:pStyle w:val="57"/>
              <w:ind w:left="0" w:leftChars="0" w:right="0" w:rightChars="0" w:firstLine="0" w:firstLineChars="0"/>
              <w:jc w:val="center"/>
              <w:rPr>
                <w:rFonts w:hint="default" w:ascii="Times New Roman" w:hAnsi="Times New Roman" w:cs="Times New Roman"/>
              </w:rPr>
            </w:pPr>
          </w:p>
        </w:tc>
        <w:tc>
          <w:tcPr>
            <w:tcW w:w="636" w:type="pct"/>
            <w:shd w:val="clear" w:color="auto" w:fill="auto"/>
            <w:vAlign w:val="center"/>
          </w:tcPr>
          <w:p w14:paraId="650524D3">
            <w:pPr>
              <w:pStyle w:val="57"/>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lang w:val="en-US" w:eastAsia="zh-CN"/>
              </w:rPr>
              <w:t>0.1</w:t>
            </w:r>
            <w:r>
              <w:rPr>
                <w:rFonts w:hint="eastAsia" w:ascii="Times New Roman" w:hAnsi="Times New Roman" w:eastAsia="宋体" w:cs="Times New Roman"/>
                <w:u w:val="none" w:color="auto"/>
                <w:lang w:val="en-US" w:eastAsia="zh-CN"/>
              </w:rPr>
              <w:t>73</w:t>
            </w:r>
          </w:p>
        </w:tc>
        <w:tc>
          <w:tcPr>
            <w:tcW w:w="466" w:type="pct"/>
            <w:shd w:val="clear" w:color="auto" w:fill="auto"/>
            <w:vAlign w:val="center"/>
          </w:tcPr>
          <w:p w14:paraId="295A2810">
            <w:pPr>
              <w:pStyle w:val="57"/>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lang w:val="en-US" w:eastAsia="zh-CN"/>
              </w:rPr>
              <w:t>0.1</w:t>
            </w:r>
            <w:r>
              <w:rPr>
                <w:rFonts w:hint="eastAsia" w:ascii="Times New Roman" w:hAnsi="Times New Roman" w:eastAsia="宋体" w:cs="Times New Roman"/>
                <w:u w:val="none" w:color="auto"/>
                <w:lang w:val="en-US" w:eastAsia="zh-CN"/>
              </w:rPr>
              <w:t>73</w:t>
            </w:r>
          </w:p>
        </w:tc>
      </w:tr>
      <w:tr w14:paraId="72C37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Merge w:val="continue"/>
            <w:vAlign w:val="center"/>
          </w:tcPr>
          <w:p w14:paraId="49EEE7A7">
            <w:pPr>
              <w:pStyle w:val="57"/>
              <w:rPr>
                <w:rFonts w:hint="default" w:ascii="Times New Roman" w:hAnsi="Times New Roman" w:cs="Times New Roman"/>
              </w:rPr>
            </w:pPr>
          </w:p>
        </w:tc>
        <w:tc>
          <w:tcPr>
            <w:tcW w:w="757" w:type="pct"/>
            <w:shd w:val="clear" w:color="auto" w:fill="auto"/>
            <w:vAlign w:val="center"/>
          </w:tcPr>
          <w:p w14:paraId="7FC2CEF5">
            <w:pPr>
              <w:pStyle w:val="57"/>
              <w:rPr>
                <w:rFonts w:hint="default" w:ascii="Times New Roman" w:hAnsi="Times New Roman" w:eastAsia="宋体" w:cs="Times New Roman"/>
                <w:kern w:val="2"/>
                <w:sz w:val="21"/>
                <w:szCs w:val="32"/>
                <w:u w:val="none" w:color="auto"/>
                <w:lang w:val="en-US" w:eastAsia="zh-CN" w:bidi="ar-SA"/>
              </w:rPr>
            </w:pPr>
            <w:r>
              <w:rPr>
                <w:rFonts w:hint="eastAsia"/>
              </w:rPr>
              <w:t>废树脂</w:t>
            </w:r>
            <w:r>
              <w:rPr>
                <w:rFonts w:hint="eastAsia"/>
                <w:lang w:eastAsia="zh-CN"/>
              </w:rPr>
              <w:t>、</w:t>
            </w:r>
            <w:r>
              <w:rPr>
                <w:rFonts w:hint="eastAsia" w:ascii="Times New Roman" w:hAnsi="Times New Roman" w:eastAsia="宋体" w:cs="Times New Roman"/>
                <w:szCs w:val="22"/>
                <w:u w:val="none"/>
                <w:lang w:val="en-US" w:eastAsia="zh-CN"/>
              </w:rPr>
              <w:t>废活性炭、废石英砂、</w:t>
            </w:r>
            <w:r>
              <w:rPr>
                <w:rFonts w:hint="eastAsia"/>
                <w:lang w:val="en-US" w:eastAsia="zh-CN"/>
              </w:rPr>
              <w:t>废滤膜</w:t>
            </w:r>
          </w:p>
        </w:tc>
        <w:tc>
          <w:tcPr>
            <w:tcW w:w="540" w:type="pct"/>
            <w:shd w:val="clear" w:color="auto" w:fill="auto"/>
            <w:vAlign w:val="center"/>
          </w:tcPr>
          <w:p w14:paraId="14C54089">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433" w:type="pct"/>
            <w:vAlign w:val="center"/>
          </w:tcPr>
          <w:p w14:paraId="03D5092F">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584" w:type="pct"/>
            <w:vAlign w:val="center"/>
          </w:tcPr>
          <w:p w14:paraId="6F7FC6E2">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639" w:type="pct"/>
            <w:shd w:val="clear" w:color="auto" w:fill="auto"/>
            <w:vAlign w:val="center"/>
          </w:tcPr>
          <w:p w14:paraId="0C97C5AE">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eastAsia="宋体" w:cs="Times New Roman"/>
                <w:u w:val="none" w:color="auto"/>
              </w:rPr>
              <w:t>0.</w:t>
            </w:r>
            <w:r>
              <w:rPr>
                <w:rFonts w:hint="default" w:ascii="Times New Roman" w:hAnsi="Times New Roman" w:eastAsia="宋体" w:cs="Times New Roman"/>
                <w:u w:val="none" w:color="auto"/>
                <w:lang w:val="en-US" w:eastAsia="zh-CN"/>
              </w:rPr>
              <w:t>2</w:t>
            </w:r>
          </w:p>
        </w:tc>
        <w:tc>
          <w:tcPr>
            <w:tcW w:w="542" w:type="pct"/>
            <w:shd w:val="clear" w:color="auto" w:fill="auto"/>
            <w:vAlign w:val="center"/>
          </w:tcPr>
          <w:p w14:paraId="58A1050E">
            <w:pPr>
              <w:pStyle w:val="57"/>
              <w:ind w:left="0" w:leftChars="0" w:right="0" w:rightChars="0" w:firstLine="0" w:firstLineChars="0"/>
              <w:jc w:val="center"/>
              <w:rPr>
                <w:rFonts w:hint="default" w:ascii="Times New Roman" w:hAnsi="Times New Roman" w:cs="Times New Roman"/>
              </w:rPr>
            </w:pPr>
          </w:p>
        </w:tc>
        <w:tc>
          <w:tcPr>
            <w:tcW w:w="636" w:type="pct"/>
            <w:shd w:val="clear" w:color="auto" w:fill="auto"/>
            <w:vAlign w:val="center"/>
          </w:tcPr>
          <w:p w14:paraId="4CB35542">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eastAsia="宋体" w:cs="Times New Roman"/>
                <w:u w:val="none" w:color="auto"/>
              </w:rPr>
              <w:t>0.</w:t>
            </w:r>
            <w:r>
              <w:rPr>
                <w:rFonts w:hint="default" w:ascii="Times New Roman" w:hAnsi="Times New Roman" w:eastAsia="宋体" w:cs="Times New Roman"/>
                <w:u w:val="none" w:color="auto"/>
                <w:lang w:val="en-US" w:eastAsia="zh-CN"/>
              </w:rPr>
              <w:t>2</w:t>
            </w:r>
          </w:p>
        </w:tc>
        <w:tc>
          <w:tcPr>
            <w:tcW w:w="466" w:type="pct"/>
            <w:shd w:val="clear" w:color="auto" w:fill="auto"/>
            <w:vAlign w:val="center"/>
          </w:tcPr>
          <w:p w14:paraId="75C0589A">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eastAsia="宋体" w:cs="Times New Roman"/>
                <w:u w:val="none" w:color="auto"/>
              </w:rPr>
              <w:t>0.</w:t>
            </w:r>
            <w:r>
              <w:rPr>
                <w:rFonts w:hint="default" w:ascii="Times New Roman" w:hAnsi="Times New Roman" w:eastAsia="宋体" w:cs="Times New Roman"/>
                <w:u w:val="none" w:color="auto"/>
                <w:lang w:val="en-US" w:eastAsia="zh-CN"/>
              </w:rPr>
              <w:t>2</w:t>
            </w:r>
          </w:p>
        </w:tc>
      </w:tr>
      <w:tr w14:paraId="1096D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Merge w:val="restart"/>
            <w:vAlign w:val="center"/>
          </w:tcPr>
          <w:p w14:paraId="594110D4">
            <w:pPr>
              <w:pStyle w:val="57"/>
              <w:rPr>
                <w:rFonts w:hint="default" w:ascii="Times New Roman" w:hAnsi="Times New Roman" w:cs="Times New Roman"/>
              </w:rPr>
            </w:pPr>
            <w:r>
              <w:rPr>
                <w:rFonts w:hint="default" w:ascii="Times New Roman" w:hAnsi="Times New Roman" w:cs="Times New Roman"/>
              </w:rPr>
              <w:t>危险废物</w:t>
            </w:r>
          </w:p>
        </w:tc>
        <w:tc>
          <w:tcPr>
            <w:tcW w:w="757" w:type="pct"/>
            <w:shd w:val="clear" w:color="auto" w:fill="auto"/>
            <w:vAlign w:val="center"/>
          </w:tcPr>
          <w:p w14:paraId="11FC4D5C">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cs="Times New Roman"/>
                <w:u w:val="none" w:color="auto"/>
              </w:rPr>
              <w:t>废机油</w:t>
            </w:r>
          </w:p>
        </w:tc>
        <w:tc>
          <w:tcPr>
            <w:tcW w:w="540" w:type="pct"/>
            <w:shd w:val="clear" w:color="auto" w:fill="auto"/>
            <w:vAlign w:val="center"/>
          </w:tcPr>
          <w:p w14:paraId="74DA6948">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433" w:type="pct"/>
            <w:vAlign w:val="center"/>
          </w:tcPr>
          <w:p w14:paraId="004FEEB8">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584" w:type="pct"/>
            <w:vAlign w:val="center"/>
          </w:tcPr>
          <w:p w14:paraId="2AB5C397">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639" w:type="pct"/>
            <w:shd w:val="clear" w:color="auto" w:fill="auto"/>
            <w:vAlign w:val="center"/>
          </w:tcPr>
          <w:p w14:paraId="4EF7B12C">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eastAsia="宋体" w:cs="Times New Roman"/>
                <w:u w:val="none" w:color="auto"/>
                <w:lang w:val="en-US" w:eastAsia="zh-CN"/>
              </w:rPr>
              <w:t>0.05</w:t>
            </w:r>
          </w:p>
        </w:tc>
        <w:tc>
          <w:tcPr>
            <w:tcW w:w="542" w:type="pct"/>
            <w:shd w:val="clear" w:color="auto" w:fill="auto"/>
            <w:vAlign w:val="center"/>
          </w:tcPr>
          <w:p w14:paraId="46B87E3D">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636" w:type="pct"/>
            <w:shd w:val="clear" w:color="auto" w:fill="auto"/>
            <w:vAlign w:val="center"/>
          </w:tcPr>
          <w:p w14:paraId="171B872C">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eastAsia="宋体" w:cs="Times New Roman"/>
                <w:u w:val="none" w:color="auto"/>
                <w:lang w:val="en-US" w:eastAsia="zh-CN"/>
              </w:rPr>
              <w:t>0.05</w:t>
            </w:r>
          </w:p>
        </w:tc>
        <w:tc>
          <w:tcPr>
            <w:tcW w:w="466" w:type="pct"/>
            <w:shd w:val="clear" w:color="auto" w:fill="auto"/>
            <w:vAlign w:val="center"/>
          </w:tcPr>
          <w:p w14:paraId="7E969B7C">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eastAsia="宋体" w:cs="Times New Roman"/>
                <w:u w:val="none" w:color="auto"/>
                <w:lang w:val="en-US" w:eastAsia="zh-CN"/>
              </w:rPr>
              <w:t>0.05</w:t>
            </w:r>
          </w:p>
        </w:tc>
      </w:tr>
      <w:tr w14:paraId="6598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Merge w:val="continue"/>
            <w:vAlign w:val="center"/>
          </w:tcPr>
          <w:p w14:paraId="160A1787">
            <w:pPr>
              <w:pStyle w:val="57"/>
              <w:rPr>
                <w:rFonts w:hint="default" w:ascii="Times New Roman" w:hAnsi="Times New Roman" w:cs="Times New Roman"/>
              </w:rPr>
            </w:pPr>
          </w:p>
        </w:tc>
        <w:tc>
          <w:tcPr>
            <w:tcW w:w="757" w:type="pct"/>
            <w:shd w:val="clear" w:color="auto" w:fill="auto"/>
            <w:vAlign w:val="center"/>
          </w:tcPr>
          <w:p w14:paraId="24C56FEF">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cs="Times New Roman"/>
                <w:u w:val="none" w:color="auto"/>
              </w:rPr>
              <w:t>废机油桶</w:t>
            </w:r>
          </w:p>
        </w:tc>
        <w:tc>
          <w:tcPr>
            <w:tcW w:w="540" w:type="pct"/>
            <w:shd w:val="clear" w:color="auto" w:fill="auto"/>
            <w:vAlign w:val="center"/>
          </w:tcPr>
          <w:p w14:paraId="79757C96">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433" w:type="pct"/>
            <w:vAlign w:val="center"/>
          </w:tcPr>
          <w:p w14:paraId="17C77F90">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584" w:type="pct"/>
            <w:vAlign w:val="center"/>
          </w:tcPr>
          <w:p w14:paraId="4A5C0D04">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639" w:type="pct"/>
            <w:shd w:val="clear" w:color="auto" w:fill="auto"/>
            <w:vAlign w:val="center"/>
          </w:tcPr>
          <w:p w14:paraId="4CE4BD25">
            <w:pPr>
              <w:pStyle w:val="57"/>
              <w:rPr>
                <w:rFonts w:hint="default" w:ascii="Times New Roman" w:hAnsi="Times New Roman" w:eastAsia="宋体" w:cs="Times New Roman"/>
                <w:kern w:val="2"/>
                <w:sz w:val="21"/>
                <w:szCs w:val="32"/>
                <w:u w:val="none" w:color="auto"/>
                <w:lang w:val="en-US" w:eastAsia="zh-CN" w:bidi="ar-SA"/>
              </w:rPr>
            </w:pPr>
            <w:r>
              <w:rPr>
                <w:rFonts w:hint="eastAsia" w:cs="Times New Roman"/>
                <w:u w:val="none" w:color="auto"/>
                <w:lang w:val="en-US" w:eastAsia="zh-CN"/>
              </w:rPr>
              <w:t>0.006</w:t>
            </w:r>
          </w:p>
        </w:tc>
        <w:tc>
          <w:tcPr>
            <w:tcW w:w="542" w:type="pct"/>
            <w:shd w:val="clear" w:color="auto" w:fill="auto"/>
            <w:vAlign w:val="center"/>
          </w:tcPr>
          <w:p w14:paraId="0BF93929">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636" w:type="pct"/>
            <w:shd w:val="clear" w:color="auto" w:fill="auto"/>
            <w:vAlign w:val="center"/>
          </w:tcPr>
          <w:p w14:paraId="6593DEDB">
            <w:pPr>
              <w:pStyle w:val="57"/>
              <w:rPr>
                <w:rFonts w:hint="default" w:ascii="Times New Roman" w:hAnsi="Times New Roman" w:eastAsia="宋体" w:cs="Times New Roman"/>
                <w:kern w:val="2"/>
                <w:sz w:val="21"/>
                <w:szCs w:val="32"/>
                <w:u w:val="none" w:color="auto"/>
                <w:lang w:val="en-US" w:eastAsia="zh-CN" w:bidi="ar-SA"/>
              </w:rPr>
            </w:pPr>
            <w:r>
              <w:rPr>
                <w:rFonts w:hint="eastAsia" w:cs="Times New Roman"/>
                <w:u w:val="none" w:color="auto"/>
                <w:lang w:val="en-US" w:eastAsia="zh-CN"/>
              </w:rPr>
              <w:t>0.006</w:t>
            </w:r>
          </w:p>
        </w:tc>
        <w:tc>
          <w:tcPr>
            <w:tcW w:w="466" w:type="pct"/>
            <w:shd w:val="clear" w:color="auto" w:fill="auto"/>
            <w:vAlign w:val="center"/>
          </w:tcPr>
          <w:p w14:paraId="7BCF2AA2">
            <w:pPr>
              <w:pStyle w:val="57"/>
              <w:rPr>
                <w:rFonts w:hint="default" w:ascii="Times New Roman" w:hAnsi="Times New Roman" w:eastAsia="宋体" w:cs="Times New Roman"/>
                <w:kern w:val="2"/>
                <w:sz w:val="21"/>
                <w:szCs w:val="32"/>
                <w:u w:val="none" w:color="auto"/>
                <w:lang w:val="en-US" w:eastAsia="zh-CN" w:bidi="ar-SA"/>
              </w:rPr>
            </w:pPr>
            <w:r>
              <w:rPr>
                <w:rFonts w:hint="eastAsia" w:cs="Times New Roman"/>
                <w:u w:val="none" w:color="auto"/>
                <w:lang w:val="en-US" w:eastAsia="zh-CN"/>
              </w:rPr>
              <w:t>0.006</w:t>
            </w:r>
          </w:p>
        </w:tc>
      </w:tr>
      <w:tr w14:paraId="6A8FE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Merge w:val="continue"/>
            <w:vAlign w:val="center"/>
          </w:tcPr>
          <w:p w14:paraId="6E5BBAFD">
            <w:pPr>
              <w:pStyle w:val="57"/>
              <w:rPr>
                <w:rFonts w:hint="default" w:ascii="Times New Roman" w:hAnsi="Times New Roman" w:cs="Times New Roman"/>
              </w:rPr>
            </w:pPr>
          </w:p>
        </w:tc>
        <w:tc>
          <w:tcPr>
            <w:tcW w:w="757" w:type="pct"/>
            <w:shd w:val="clear" w:color="auto" w:fill="auto"/>
            <w:vAlign w:val="center"/>
          </w:tcPr>
          <w:p w14:paraId="53B655B3">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cs="Times New Roman"/>
                <w:bCs/>
                <w:u w:val="none" w:color="auto"/>
              </w:rPr>
              <w:t>含油废抹布和手套</w:t>
            </w:r>
          </w:p>
        </w:tc>
        <w:tc>
          <w:tcPr>
            <w:tcW w:w="540" w:type="pct"/>
            <w:shd w:val="clear" w:color="auto" w:fill="auto"/>
            <w:vAlign w:val="center"/>
          </w:tcPr>
          <w:p w14:paraId="4331BC59">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433" w:type="pct"/>
            <w:vAlign w:val="center"/>
          </w:tcPr>
          <w:p w14:paraId="49B9E92F">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584" w:type="pct"/>
            <w:vAlign w:val="center"/>
          </w:tcPr>
          <w:p w14:paraId="3CFA71CF">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639" w:type="pct"/>
            <w:shd w:val="clear" w:color="auto" w:fill="auto"/>
            <w:vAlign w:val="center"/>
          </w:tcPr>
          <w:p w14:paraId="4850EAF3">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cs="Times New Roman"/>
                <w:u w:val="none" w:color="auto"/>
              </w:rPr>
              <w:t>0.01</w:t>
            </w:r>
          </w:p>
        </w:tc>
        <w:tc>
          <w:tcPr>
            <w:tcW w:w="542" w:type="pct"/>
            <w:shd w:val="clear" w:color="auto" w:fill="auto"/>
            <w:vAlign w:val="center"/>
          </w:tcPr>
          <w:p w14:paraId="75A0AE93">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636" w:type="pct"/>
            <w:shd w:val="clear" w:color="auto" w:fill="auto"/>
            <w:vAlign w:val="center"/>
          </w:tcPr>
          <w:p w14:paraId="23CA81EA">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cs="Times New Roman"/>
                <w:u w:val="none" w:color="auto"/>
              </w:rPr>
              <w:t>0.01</w:t>
            </w:r>
          </w:p>
        </w:tc>
        <w:tc>
          <w:tcPr>
            <w:tcW w:w="466" w:type="pct"/>
            <w:shd w:val="clear" w:color="auto" w:fill="auto"/>
            <w:vAlign w:val="center"/>
          </w:tcPr>
          <w:p w14:paraId="77A9FAF9">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cs="Times New Roman"/>
                <w:u w:val="none" w:color="auto"/>
              </w:rPr>
              <w:t>0.01</w:t>
            </w:r>
          </w:p>
        </w:tc>
      </w:tr>
    </w:tbl>
    <w:p w14:paraId="04F46685">
      <w:pPr>
        <w:pStyle w:val="35"/>
        <w:ind w:firstLine="0" w:firstLineChars="0"/>
        <w:sectPr>
          <w:pgSz w:w="16838" w:h="11906" w:orient="landscape"/>
          <w:pgMar w:top="1440" w:right="1080" w:bottom="1440" w:left="108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sz w:val="21"/>
          <w:szCs w:val="21"/>
          <w:lang w:val="en-US" w:eastAsia="zh-CN"/>
        </w:rPr>
        <w:t>注：⑥=①+③+④-⑤；⑦=⑥-①</w:t>
      </w:r>
      <w:bookmarkStart w:id="57" w:name="_GoBack"/>
      <w:bookmarkEnd w:id="57"/>
    </w:p>
    <w:p w14:paraId="11ECABF1"/>
    <w:sectPr>
      <w:pgSz w:w="11906" w:h="16838"/>
      <w:pgMar w:top="1080" w:right="1440" w:bottom="108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新宋体-18030">
    <w:altName w:val="微软雅黑"/>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auto"/>
    <w:pitch w:val="default"/>
    <w:sig w:usb0="00000000" w:usb1="00000000" w:usb2="0000007F" w:usb3="00000000" w:csb0="203F01FF" w:csb1="D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Wingdings 2">
    <w:altName w:val="Wingdings"/>
    <w:panose1 w:val="05020102010507070707"/>
    <w:charset w:val="00"/>
    <w:family w:val="auto"/>
    <w:pitch w:val="default"/>
    <w:sig w:usb0="00000000" w:usb1="00000000" w:usb2="00000000" w:usb3="00000000" w:csb0="80000000"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52B2B">
    <w:pPr>
      <w:pStyle w:val="22"/>
      <w:jc w:val="center"/>
      <w:rPr>
        <w:rFonts w:hint="eastAsia"/>
      </w:rPr>
    </w:pPr>
  </w:p>
  <w:p w14:paraId="0A3612C6">
    <w:pPr>
      <w:pStyle w:val="22"/>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5810014"/>
      <w:docPartObj>
        <w:docPartGallery w:val="autotext"/>
      </w:docPartObj>
    </w:sdtPr>
    <w:sdtContent>
      <w:p w14:paraId="244A2A92">
        <w:pPr>
          <w:pStyle w:val="22"/>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4C4FF6E2">
    <w:pPr>
      <w:pStyle w:val="22"/>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E18B8F"/>
    <w:multiLevelType w:val="singleLevel"/>
    <w:tmpl w:val="E4E18B8F"/>
    <w:lvl w:ilvl="0" w:tentative="0">
      <w:start w:val="1"/>
      <w:numFmt w:val="bullet"/>
      <w:pStyle w:val="16"/>
      <w:lvlText w:val=""/>
      <w:lvlJc w:val="left"/>
      <w:pPr>
        <w:tabs>
          <w:tab w:val="left" w:pos="780"/>
        </w:tabs>
        <w:ind w:left="780" w:hanging="360"/>
      </w:pPr>
      <w:rPr>
        <w:rFonts w:hint="default" w:ascii="Wingdings" w:hAnsi="Wingdings"/>
      </w:rPr>
    </w:lvl>
  </w:abstractNum>
  <w:abstractNum w:abstractNumId="1">
    <w:nsid w:val="54672537"/>
    <w:multiLevelType w:val="singleLevel"/>
    <w:tmpl w:val="54672537"/>
    <w:lvl w:ilvl="0" w:tentative="0">
      <w:start w:val="6"/>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A1YzBiNTkxNmFhOTMzMGQxNDI1NTQ0N2Q1ODRlODUifQ=="/>
  </w:docVars>
  <w:rsids>
    <w:rsidRoot w:val="00D91D15"/>
    <w:rsid w:val="0001755D"/>
    <w:rsid w:val="000309D2"/>
    <w:rsid w:val="0003498D"/>
    <w:rsid w:val="00047D94"/>
    <w:rsid w:val="00056053"/>
    <w:rsid w:val="000763DA"/>
    <w:rsid w:val="000767FE"/>
    <w:rsid w:val="000862FE"/>
    <w:rsid w:val="00092179"/>
    <w:rsid w:val="00095F1F"/>
    <w:rsid w:val="000D3C4C"/>
    <w:rsid w:val="000E0A5C"/>
    <w:rsid w:val="000E2621"/>
    <w:rsid w:val="000F30CC"/>
    <w:rsid w:val="000F4E3A"/>
    <w:rsid w:val="001026FE"/>
    <w:rsid w:val="00106985"/>
    <w:rsid w:val="0012022E"/>
    <w:rsid w:val="0012397E"/>
    <w:rsid w:val="00140535"/>
    <w:rsid w:val="00147262"/>
    <w:rsid w:val="00153C63"/>
    <w:rsid w:val="00155B1D"/>
    <w:rsid w:val="00161307"/>
    <w:rsid w:val="0019609D"/>
    <w:rsid w:val="001A319F"/>
    <w:rsid w:val="001D2DAF"/>
    <w:rsid w:val="001D58EA"/>
    <w:rsid w:val="001E647D"/>
    <w:rsid w:val="001F00CA"/>
    <w:rsid w:val="00203A21"/>
    <w:rsid w:val="00207FD6"/>
    <w:rsid w:val="00212301"/>
    <w:rsid w:val="00214332"/>
    <w:rsid w:val="002312A8"/>
    <w:rsid w:val="00243589"/>
    <w:rsid w:val="00262A1E"/>
    <w:rsid w:val="00264377"/>
    <w:rsid w:val="00273EC9"/>
    <w:rsid w:val="00281864"/>
    <w:rsid w:val="00287217"/>
    <w:rsid w:val="002964EA"/>
    <w:rsid w:val="002A1B89"/>
    <w:rsid w:val="002A2471"/>
    <w:rsid w:val="002B0777"/>
    <w:rsid w:val="002B5205"/>
    <w:rsid w:val="002B60A6"/>
    <w:rsid w:val="002C6184"/>
    <w:rsid w:val="002D2590"/>
    <w:rsid w:val="002D26A0"/>
    <w:rsid w:val="002D2BE4"/>
    <w:rsid w:val="002F6BB9"/>
    <w:rsid w:val="00321868"/>
    <w:rsid w:val="00325D01"/>
    <w:rsid w:val="003303C0"/>
    <w:rsid w:val="00382155"/>
    <w:rsid w:val="00390BD9"/>
    <w:rsid w:val="00395B0F"/>
    <w:rsid w:val="00396469"/>
    <w:rsid w:val="00396DDF"/>
    <w:rsid w:val="003A08EB"/>
    <w:rsid w:val="003B05DE"/>
    <w:rsid w:val="003B5F9C"/>
    <w:rsid w:val="003B62D6"/>
    <w:rsid w:val="003D0820"/>
    <w:rsid w:val="003D5F53"/>
    <w:rsid w:val="003F4B5A"/>
    <w:rsid w:val="00406568"/>
    <w:rsid w:val="00413C3A"/>
    <w:rsid w:val="004203E1"/>
    <w:rsid w:val="004272E5"/>
    <w:rsid w:val="0042740E"/>
    <w:rsid w:val="00436677"/>
    <w:rsid w:val="00451CC2"/>
    <w:rsid w:val="00455C2E"/>
    <w:rsid w:val="00456F24"/>
    <w:rsid w:val="00466656"/>
    <w:rsid w:val="00476878"/>
    <w:rsid w:val="0049057A"/>
    <w:rsid w:val="004C1BFB"/>
    <w:rsid w:val="004C30AE"/>
    <w:rsid w:val="004E1971"/>
    <w:rsid w:val="00502DD9"/>
    <w:rsid w:val="0051664E"/>
    <w:rsid w:val="005313BC"/>
    <w:rsid w:val="00535138"/>
    <w:rsid w:val="00535FFE"/>
    <w:rsid w:val="00541423"/>
    <w:rsid w:val="00545881"/>
    <w:rsid w:val="00555D01"/>
    <w:rsid w:val="00594434"/>
    <w:rsid w:val="005C0906"/>
    <w:rsid w:val="005C4093"/>
    <w:rsid w:val="005E0C88"/>
    <w:rsid w:val="005E28AE"/>
    <w:rsid w:val="005F3590"/>
    <w:rsid w:val="006014A2"/>
    <w:rsid w:val="00604837"/>
    <w:rsid w:val="00616CEF"/>
    <w:rsid w:val="006173D8"/>
    <w:rsid w:val="00626E71"/>
    <w:rsid w:val="00636646"/>
    <w:rsid w:val="0065106A"/>
    <w:rsid w:val="00652333"/>
    <w:rsid w:val="0066138D"/>
    <w:rsid w:val="00662B7C"/>
    <w:rsid w:val="006647CB"/>
    <w:rsid w:val="0066631A"/>
    <w:rsid w:val="00670048"/>
    <w:rsid w:val="00675352"/>
    <w:rsid w:val="0068214E"/>
    <w:rsid w:val="006D18A0"/>
    <w:rsid w:val="006D45AD"/>
    <w:rsid w:val="006D4DE4"/>
    <w:rsid w:val="006D574A"/>
    <w:rsid w:val="006D5A5C"/>
    <w:rsid w:val="006E77C3"/>
    <w:rsid w:val="006F12BB"/>
    <w:rsid w:val="006F1EE5"/>
    <w:rsid w:val="0070626F"/>
    <w:rsid w:val="00725678"/>
    <w:rsid w:val="00730FCA"/>
    <w:rsid w:val="0073174D"/>
    <w:rsid w:val="00736069"/>
    <w:rsid w:val="00740FA3"/>
    <w:rsid w:val="00753D24"/>
    <w:rsid w:val="007676C9"/>
    <w:rsid w:val="0079772F"/>
    <w:rsid w:val="007A606F"/>
    <w:rsid w:val="007B6B70"/>
    <w:rsid w:val="007C2BD9"/>
    <w:rsid w:val="007C5E4C"/>
    <w:rsid w:val="007E2175"/>
    <w:rsid w:val="007E2A58"/>
    <w:rsid w:val="007E64EC"/>
    <w:rsid w:val="007F032B"/>
    <w:rsid w:val="00804BCD"/>
    <w:rsid w:val="008146FA"/>
    <w:rsid w:val="0081672A"/>
    <w:rsid w:val="00832BA3"/>
    <w:rsid w:val="00840086"/>
    <w:rsid w:val="008425F6"/>
    <w:rsid w:val="00847804"/>
    <w:rsid w:val="00895533"/>
    <w:rsid w:val="008A4E10"/>
    <w:rsid w:val="008A6645"/>
    <w:rsid w:val="008C4DD0"/>
    <w:rsid w:val="008D2FA0"/>
    <w:rsid w:val="008F07AD"/>
    <w:rsid w:val="00900477"/>
    <w:rsid w:val="009014F2"/>
    <w:rsid w:val="009356C3"/>
    <w:rsid w:val="00957C00"/>
    <w:rsid w:val="00976C1D"/>
    <w:rsid w:val="009B6E2E"/>
    <w:rsid w:val="009C1FA4"/>
    <w:rsid w:val="009E1584"/>
    <w:rsid w:val="009E2B0D"/>
    <w:rsid w:val="009E6301"/>
    <w:rsid w:val="009F4352"/>
    <w:rsid w:val="00A02EBF"/>
    <w:rsid w:val="00A34475"/>
    <w:rsid w:val="00A50E83"/>
    <w:rsid w:val="00A50EDF"/>
    <w:rsid w:val="00A60A6F"/>
    <w:rsid w:val="00A619C7"/>
    <w:rsid w:val="00A649AD"/>
    <w:rsid w:val="00A674D4"/>
    <w:rsid w:val="00A70C20"/>
    <w:rsid w:val="00AB5BEB"/>
    <w:rsid w:val="00AC612E"/>
    <w:rsid w:val="00AE2C22"/>
    <w:rsid w:val="00AE68AF"/>
    <w:rsid w:val="00AF0809"/>
    <w:rsid w:val="00AF7389"/>
    <w:rsid w:val="00AF7459"/>
    <w:rsid w:val="00AF784C"/>
    <w:rsid w:val="00B11915"/>
    <w:rsid w:val="00B15318"/>
    <w:rsid w:val="00B27FB7"/>
    <w:rsid w:val="00B32224"/>
    <w:rsid w:val="00B41A20"/>
    <w:rsid w:val="00B5334F"/>
    <w:rsid w:val="00B54048"/>
    <w:rsid w:val="00B96C66"/>
    <w:rsid w:val="00B97068"/>
    <w:rsid w:val="00BA0423"/>
    <w:rsid w:val="00BC1E00"/>
    <w:rsid w:val="00BC4737"/>
    <w:rsid w:val="00BE0C9A"/>
    <w:rsid w:val="00BE5DB6"/>
    <w:rsid w:val="00BF45A1"/>
    <w:rsid w:val="00C12B4F"/>
    <w:rsid w:val="00C26545"/>
    <w:rsid w:val="00C327A0"/>
    <w:rsid w:val="00C55921"/>
    <w:rsid w:val="00CA18F3"/>
    <w:rsid w:val="00CA5327"/>
    <w:rsid w:val="00CA5914"/>
    <w:rsid w:val="00CC0D7A"/>
    <w:rsid w:val="00CD79FE"/>
    <w:rsid w:val="00CE6573"/>
    <w:rsid w:val="00CE6D47"/>
    <w:rsid w:val="00CF1F5C"/>
    <w:rsid w:val="00CF2A58"/>
    <w:rsid w:val="00D0115A"/>
    <w:rsid w:val="00D16A2A"/>
    <w:rsid w:val="00D35B07"/>
    <w:rsid w:val="00D40E2C"/>
    <w:rsid w:val="00D55AE5"/>
    <w:rsid w:val="00D657D6"/>
    <w:rsid w:val="00D6687F"/>
    <w:rsid w:val="00D91D15"/>
    <w:rsid w:val="00D94951"/>
    <w:rsid w:val="00DA4569"/>
    <w:rsid w:val="00DB7CB1"/>
    <w:rsid w:val="00DC336C"/>
    <w:rsid w:val="00DC45E6"/>
    <w:rsid w:val="00DE0122"/>
    <w:rsid w:val="00E16D93"/>
    <w:rsid w:val="00E45810"/>
    <w:rsid w:val="00E46F5A"/>
    <w:rsid w:val="00E6383A"/>
    <w:rsid w:val="00E735AD"/>
    <w:rsid w:val="00EB6417"/>
    <w:rsid w:val="00EC30AE"/>
    <w:rsid w:val="00EC3853"/>
    <w:rsid w:val="00EC3C5F"/>
    <w:rsid w:val="00ED1B4A"/>
    <w:rsid w:val="00ED2BCD"/>
    <w:rsid w:val="00EE11E9"/>
    <w:rsid w:val="00EF34E3"/>
    <w:rsid w:val="00EF4173"/>
    <w:rsid w:val="00EF5541"/>
    <w:rsid w:val="00F37B3C"/>
    <w:rsid w:val="00F51DE8"/>
    <w:rsid w:val="00F80082"/>
    <w:rsid w:val="00F82730"/>
    <w:rsid w:val="00F82CA2"/>
    <w:rsid w:val="00F85F77"/>
    <w:rsid w:val="00F95084"/>
    <w:rsid w:val="00FB2BE7"/>
    <w:rsid w:val="00FB3ADA"/>
    <w:rsid w:val="00FB5512"/>
    <w:rsid w:val="00FC0469"/>
    <w:rsid w:val="00FC7799"/>
    <w:rsid w:val="00FE49A6"/>
    <w:rsid w:val="00FF2666"/>
    <w:rsid w:val="00FF75BA"/>
    <w:rsid w:val="01311819"/>
    <w:rsid w:val="013C107F"/>
    <w:rsid w:val="01464A94"/>
    <w:rsid w:val="0156352C"/>
    <w:rsid w:val="017E6F26"/>
    <w:rsid w:val="018406E4"/>
    <w:rsid w:val="01930A5F"/>
    <w:rsid w:val="01987FE8"/>
    <w:rsid w:val="01A30334"/>
    <w:rsid w:val="01FF205B"/>
    <w:rsid w:val="022E26FA"/>
    <w:rsid w:val="028426CF"/>
    <w:rsid w:val="0286090C"/>
    <w:rsid w:val="02CA5106"/>
    <w:rsid w:val="02D74B40"/>
    <w:rsid w:val="02E0497A"/>
    <w:rsid w:val="030376E3"/>
    <w:rsid w:val="03261624"/>
    <w:rsid w:val="03422487"/>
    <w:rsid w:val="036B4BDF"/>
    <w:rsid w:val="03B50F2A"/>
    <w:rsid w:val="03E80359"/>
    <w:rsid w:val="0402355C"/>
    <w:rsid w:val="0416202C"/>
    <w:rsid w:val="044C146F"/>
    <w:rsid w:val="04560157"/>
    <w:rsid w:val="048D67A8"/>
    <w:rsid w:val="04AE6573"/>
    <w:rsid w:val="04DC557E"/>
    <w:rsid w:val="050140D4"/>
    <w:rsid w:val="05092FAB"/>
    <w:rsid w:val="05353DA0"/>
    <w:rsid w:val="05AC22B4"/>
    <w:rsid w:val="05DF796B"/>
    <w:rsid w:val="064A73D7"/>
    <w:rsid w:val="06EA0973"/>
    <w:rsid w:val="072C0B23"/>
    <w:rsid w:val="07560C9C"/>
    <w:rsid w:val="075E096D"/>
    <w:rsid w:val="076D5A73"/>
    <w:rsid w:val="079A613C"/>
    <w:rsid w:val="07A963CF"/>
    <w:rsid w:val="0887776E"/>
    <w:rsid w:val="08942EB9"/>
    <w:rsid w:val="08CA539E"/>
    <w:rsid w:val="093700E7"/>
    <w:rsid w:val="098B641D"/>
    <w:rsid w:val="09CA6B57"/>
    <w:rsid w:val="0A407D85"/>
    <w:rsid w:val="0A52271F"/>
    <w:rsid w:val="0A59408D"/>
    <w:rsid w:val="0A762E91"/>
    <w:rsid w:val="0A9220D1"/>
    <w:rsid w:val="0ABF6F5F"/>
    <w:rsid w:val="0B495EAF"/>
    <w:rsid w:val="0B5A4560"/>
    <w:rsid w:val="0B701986"/>
    <w:rsid w:val="0BC97842"/>
    <w:rsid w:val="0C152235"/>
    <w:rsid w:val="0C807FF6"/>
    <w:rsid w:val="0CAA0BCF"/>
    <w:rsid w:val="0CBB26E6"/>
    <w:rsid w:val="0CD02BA2"/>
    <w:rsid w:val="0D0A799D"/>
    <w:rsid w:val="0D0B5B12"/>
    <w:rsid w:val="0D352B8F"/>
    <w:rsid w:val="0D5A0848"/>
    <w:rsid w:val="0D7124F2"/>
    <w:rsid w:val="0D9C49BC"/>
    <w:rsid w:val="0DE26FC7"/>
    <w:rsid w:val="0E584269"/>
    <w:rsid w:val="0EC74C14"/>
    <w:rsid w:val="0EFA4090"/>
    <w:rsid w:val="0F18060B"/>
    <w:rsid w:val="0F3A448D"/>
    <w:rsid w:val="0F7E3C92"/>
    <w:rsid w:val="0FC226D4"/>
    <w:rsid w:val="102313C5"/>
    <w:rsid w:val="1039380C"/>
    <w:rsid w:val="1049111C"/>
    <w:rsid w:val="106D3D38"/>
    <w:rsid w:val="10750A53"/>
    <w:rsid w:val="10AC3087"/>
    <w:rsid w:val="10BF1885"/>
    <w:rsid w:val="10D51430"/>
    <w:rsid w:val="10F86002"/>
    <w:rsid w:val="11026EBC"/>
    <w:rsid w:val="11063FEA"/>
    <w:rsid w:val="11252F1A"/>
    <w:rsid w:val="11442B5C"/>
    <w:rsid w:val="115066CF"/>
    <w:rsid w:val="11787726"/>
    <w:rsid w:val="11A55E09"/>
    <w:rsid w:val="11B25259"/>
    <w:rsid w:val="11BE2DE9"/>
    <w:rsid w:val="11D54941"/>
    <w:rsid w:val="11D56E4F"/>
    <w:rsid w:val="120A7228"/>
    <w:rsid w:val="12807961"/>
    <w:rsid w:val="12851EC3"/>
    <w:rsid w:val="12A4637E"/>
    <w:rsid w:val="12AB56A1"/>
    <w:rsid w:val="13162F67"/>
    <w:rsid w:val="13201EED"/>
    <w:rsid w:val="132554DD"/>
    <w:rsid w:val="133676AF"/>
    <w:rsid w:val="13535F1E"/>
    <w:rsid w:val="136D7B65"/>
    <w:rsid w:val="13C93A45"/>
    <w:rsid w:val="14B21454"/>
    <w:rsid w:val="153046A0"/>
    <w:rsid w:val="15980F97"/>
    <w:rsid w:val="15BE222E"/>
    <w:rsid w:val="15F1381F"/>
    <w:rsid w:val="165B3C33"/>
    <w:rsid w:val="165E5832"/>
    <w:rsid w:val="166545DD"/>
    <w:rsid w:val="1680329A"/>
    <w:rsid w:val="16AA4FEB"/>
    <w:rsid w:val="16BE26F7"/>
    <w:rsid w:val="171B2DF6"/>
    <w:rsid w:val="17461261"/>
    <w:rsid w:val="177978C7"/>
    <w:rsid w:val="17A304DA"/>
    <w:rsid w:val="17BE42E0"/>
    <w:rsid w:val="17E94CA2"/>
    <w:rsid w:val="19282CA6"/>
    <w:rsid w:val="19327E18"/>
    <w:rsid w:val="194D289F"/>
    <w:rsid w:val="195C14A3"/>
    <w:rsid w:val="19636651"/>
    <w:rsid w:val="198418C7"/>
    <w:rsid w:val="19AC16D0"/>
    <w:rsid w:val="19C14BF7"/>
    <w:rsid w:val="1A206975"/>
    <w:rsid w:val="1A4C6D98"/>
    <w:rsid w:val="1A5F2FF9"/>
    <w:rsid w:val="1A76636B"/>
    <w:rsid w:val="1AFE153D"/>
    <w:rsid w:val="1B89287B"/>
    <w:rsid w:val="1C361B94"/>
    <w:rsid w:val="1C384560"/>
    <w:rsid w:val="1C7134B8"/>
    <w:rsid w:val="1C81781E"/>
    <w:rsid w:val="1CBA09BB"/>
    <w:rsid w:val="1CBB5EA0"/>
    <w:rsid w:val="1CD5442F"/>
    <w:rsid w:val="1CFD4D4B"/>
    <w:rsid w:val="1D413C15"/>
    <w:rsid w:val="1D5015F2"/>
    <w:rsid w:val="1DB21CE2"/>
    <w:rsid w:val="1DBF17EA"/>
    <w:rsid w:val="1DEF6D8A"/>
    <w:rsid w:val="1E2C316B"/>
    <w:rsid w:val="1E464BBA"/>
    <w:rsid w:val="1EC2388A"/>
    <w:rsid w:val="1EDC1633"/>
    <w:rsid w:val="1EF63B7C"/>
    <w:rsid w:val="1F253903"/>
    <w:rsid w:val="1FA827AF"/>
    <w:rsid w:val="1FB07AC3"/>
    <w:rsid w:val="1FDC148E"/>
    <w:rsid w:val="1FE00028"/>
    <w:rsid w:val="200D3012"/>
    <w:rsid w:val="20304A05"/>
    <w:rsid w:val="203211B0"/>
    <w:rsid w:val="207B2B57"/>
    <w:rsid w:val="20D648D3"/>
    <w:rsid w:val="20E424AA"/>
    <w:rsid w:val="21032FF5"/>
    <w:rsid w:val="21103D68"/>
    <w:rsid w:val="211B14C8"/>
    <w:rsid w:val="212154AC"/>
    <w:rsid w:val="21297149"/>
    <w:rsid w:val="215C6521"/>
    <w:rsid w:val="215D04AF"/>
    <w:rsid w:val="217509A5"/>
    <w:rsid w:val="2176418D"/>
    <w:rsid w:val="218D6541"/>
    <w:rsid w:val="219D26B3"/>
    <w:rsid w:val="21D601BB"/>
    <w:rsid w:val="21FC1A76"/>
    <w:rsid w:val="223C49D7"/>
    <w:rsid w:val="22700342"/>
    <w:rsid w:val="228E16EC"/>
    <w:rsid w:val="22D54677"/>
    <w:rsid w:val="23781C82"/>
    <w:rsid w:val="23EE3640"/>
    <w:rsid w:val="24014F34"/>
    <w:rsid w:val="2405087A"/>
    <w:rsid w:val="240B08AD"/>
    <w:rsid w:val="24134E54"/>
    <w:rsid w:val="24545B99"/>
    <w:rsid w:val="251568D1"/>
    <w:rsid w:val="25284930"/>
    <w:rsid w:val="255A6303"/>
    <w:rsid w:val="25846076"/>
    <w:rsid w:val="2639274B"/>
    <w:rsid w:val="267546BB"/>
    <w:rsid w:val="267E6EFD"/>
    <w:rsid w:val="268564DD"/>
    <w:rsid w:val="26B4291F"/>
    <w:rsid w:val="26EB080F"/>
    <w:rsid w:val="26F23447"/>
    <w:rsid w:val="270E3F30"/>
    <w:rsid w:val="271F3503"/>
    <w:rsid w:val="272F6449"/>
    <w:rsid w:val="27725094"/>
    <w:rsid w:val="27F82CDF"/>
    <w:rsid w:val="28335AC5"/>
    <w:rsid w:val="28FF14EC"/>
    <w:rsid w:val="29194CBB"/>
    <w:rsid w:val="293144BA"/>
    <w:rsid w:val="293F518B"/>
    <w:rsid w:val="2A092F82"/>
    <w:rsid w:val="2A1D68E4"/>
    <w:rsid w:val="2A32186A"/>
    <w:rsid w:val="2A360B4E"/>
    <w:rsid w:val="2A3F4BF5"/>
    <w:rsid w:val="2ABD53BC"/>
    <w:rsid w:val="2ADE7BA6"/>
    <w:rsid w:val="2AE33E50"/>
    <w:rsid w:val="2AF01487"/>
    <w:rsid w:val="2AFA4302"/>
    <w:rsid w:val="2AFC0DD1"/>
    <w:rsid w:val="2B0C0F7B"/>
    <w:rsid w:val="2B817EC6"/>
    <w:rsid w:val="2BBC3E9E"/>
    <w:rsid w:val="2BD1110F"/>
    <w:rsid w:val="2BD34138"/>
    <w:rsid w:val="2BE46FB4"/>
    <w:rsid w:val="2CB27900"/>
    <w:rsid w:val="2D5E374C"/>
    <w:rsid w:val="2D932B8D"/>
    <w:rsid w:val="2E692241"/>
    <w:rsid w:val="2E89643F"/>
    <w:rsid w:val="2E951288"/>
    <w:rsid w:val="2EB15996"/>
    <w:rsid w:val="2EE84438"/>
    <w:rsid w:val="2F172C53"/>
    <w:rsid w:val="2F2F5F3E"/>
    <w:rsid w:val="2F415785"/>
    <w:rsid w:val="2F6D3FB3"/>
    <w:rsid w:val="2F8310E0"/>
    <w:rsid w:val="2F9F71D7"/>
    <w:rsid w:val="30452D4B"/>
    <w:rsid w:val="30512FDD"/>
    <w:rsid w:val="306C47A5"/>
    <w:rsid w:val="3078334E"/>
    <w:rsid w:val="30891DB2"/>
    <w:rsid w:val="30EB518F"/>
    <w:rsid w:val="315076E8"/>
    <w:rsid w:val="316E2EC1"/>
    <w:rsid w:val="31A17F44"/>
    <w:rsid w:val="31D64091"/>
    <w:rsid w:val="320A05E6"/>
    <w:rsid w:val="324F79A0"/>
    <w:rsid w:val="330864CC"/>
    <w:rsid w:val="332A1B0B"/>
    <w:rsid w:val="33847A12"/>
    <w:rsid w:val="33A67096"/>
    <w:rsid w:val="33B85A29"/>
    <w:rsid w:val="33F22CD8"/>
    <w:rsid w:val="34513939"/>
    <w:rsid w:val="34A646AE"/>
    <w:rsid w:val="34BD3A7E"/>
    <w:rsid w:val="34D0393E"/>
    <w:rsid w:val="34F860CC"/>
    <w:rsid w:val="34FE3183"/>
    <w:rsid w:val="35496928"/>
    <w:rsid w:val="355E6877"/>
    <w:rsid w:val="358114E7"/>
    <w:rsid w:val="359F29EC"/>
    <w:rsid w:val="35B9536A"/>
    <w:rsid w:val="35D6236E"/>
    <w:rsid w:val="35DF67B4"/>
    <w:rsid w:val="363611DD"/>
    <w:rsid w:val="36552F74"/>
    <w:rsid w:val="36A872BC"/>
    <w:rsid w:val="36FC292C"/>
    <w:rsid w:val="376B527C"/>
    <w:rsid w:val="37824373"/>
    <w:rsid w:val="378A5B0A"/>
    <w:rsid w:val="37B4717B"/>
    <w:rsid w:val="37BB4623"/>
    <w:rsid w:val="37F86861"/>
    <w:rsid w:val="38305B7D"/>
    <w:rsid w:val="38B14F10"/>
    <w:rsid w:val="38C66691"/>
    <w:rsid w:val="38D34E86"/>
    <w:rsid w:val="39860798"/>
    <w:rsid w:val="39897C3B"/>
    <w:rsid w:val="39B95C04"/>
    <w:rsid w:val="39C25737"/>
    <w:rsid w:val="39F71049"/>
    <w:rsid w:val="3A04533E"/>
    <w:rsid w:val="3A8A3C6B"/>
    <w:rsid w:val="3AB44C23"/>
    <w:rsid w:val="3B1F5D8D"/>
    <w:rsid w:val="3B424545"/>
    <w:rsid w:val="3BAD50A9"/>
    <w:rsid w:val="3C1557B6"/>
    <w:rsid w:val="3C4E20F2"/>
    <w:rsid w:val="3C4E4285"/>
    <w:rsid w:val="3CA8487C"/>
    <w:rsid w:val="3CB15603"/>
    <w:rsid w:val="3CD74BBA"/>
    <w:rsid w:val="3D045A39"/>
    <w:rsid w:val="3D2757A1"/>
    <w:rsid w:val="3D334223"/>
    <w:rsid w:val="3D5B035B"/>
    <w:rsid w:val="3D721B60"/>
    <w:rsid w:val="3DCA2924"/>
    <w:rsid w:val="3DE96EFA"/>
    <w:rsid w:val="3E105BDA"/>
    <w:rsid w:val="3E430D21"/>
    <w:rsid w:val="3E4A66E2"/>
    <w:rsid w:val="3EEA117C"/>
    <w:rsid w:val="3EF568C5"/>
    <w:rsid w:val="3EF9308D"/>
    <w:rsid w:val="3F7D312A"/>
    <w:rsid w:val="3F9701D0"/>
    <w:rsid w:val="3F991855"/>
    <w:rsid w:val="40132A12"/>
    <w:rsid w:val="40880C4C"/>
    <w:rsid w:val="413A779F"/>
    <w:rsid w:val="41A25D3E"/>
    <w:rsid w:val="41D1217F"/>
    <w:rsid w:val="42270A2C"/>
    <w:rsid w:val="424A1E69"/>
    <w:rsid w:val="425733E1"/>
    <w:rsid w:val="42B21FB1"/>
    <w:rsid w:val="431F208A"/>
    <w:rsid w:val="4339305C"/>
    <w:rsid w:val="438F5E4E"/>
    <w:rsid w:val="44073544"/>
    <w:rsid w:val="440A6D4B"/>
    <w:rsid w:val="440C344A"/>
    <w:rsid w:val="44111130"/>
    <w:rsid w:val="44224F14"/>
    <w:rsid w:val="446F7A2D"/>
    <w:rsid w:val="44A678F3"/>
    <w:rsid w:val="44A9106C"/>
    <w:rsid w:val="44E74103"/>
    <w:rsid w:val="455B692F"/>
    <w:rsid w:val="45B7782C"/>
    <w:rsid w:val="45D759DA"/>
    <w:rsid w:val="45D76EDA"/>
    <w:rsid w:val="45DC219C"/>
    <w:rsid w:val="46040D75"/>
    <w:rsid w:val="467E32B4"/>
    <w:rsid w:val="46A55988"/>
    <w:rsid w:val="46A61E2C"/>
    <w:rsid w:val="46C511B4"/>
    <w:rsid w:val="46E84253"/>
    <w:rsid w:val="46F5246C"/>
    <w:rsid w:val="477B7934"/>
    <w:rsid w:val="47A75D1C"/>
    <w:rsid w:val="47B02033"/>
    <w:rsid w:val="47E349BA"/>
    <w:rsid w:val="47F832D5"/>
    <w:rsid w:val="47FA7432"/>
    <w:rsid w:val="48455675"/>
    <w:rsid w:val="487F2F7D"/>
    <w:rsid w:val="48AC6612"/>
    <w:rsid w:val="48DF64A3"/>
    <w:rsid w:val="491A0A6A"/>
    <w:rsid w:val="493116D1"/>
    <w:rsid w:val="49580237"/>
    <w:rsid w:val="497004D0"/>
    <w:rsid w:val="49C94C79"/>
    <w:rsid w:val="4A4831FA"/>
    <w:rsid w:val="4AB56AE2"/>
    <w:rsid w:val="4ACB363B"/>
    <w:rsid w:val="4B221C9D"/>
    <w:rsid w:val="4BA6467C"/>
    <w:rsid w:val="4BCC52C8"/>
    <w:rsid w:val="4C0833E5"/>
    <w:rsid w:val="4C7622A1"/>
    <w:rsid w:val="4CCC1EC1"/>
    <w:rsid w:val="4D3857A8"/>
    <w:rsid w:val="4D5A74CD"/>
    <w:rsid w:val="4D985FBB"/>
    <w:rsid w:val="4E2676B1"/>
    <w:rsid w:val="4E321144"/>
    <w:rsid w:val="4E745A87"/>
    <w:rsid w:val="4EE206B5"/>
    <w:rsid w:val="4F1639D2"/>
    <w:rsid w:val="4F1B0C3C"/>
    <w:rsid w:val="4F282005"/>
    <w:rsid w:val="4F4D74C0"/>
    <w:rsid w:val="4F527E6E"/>
    <w:rsid w:val="4F7240E8"/>
    <w:rsid w:val="502766C7"/>
    <w:rsid w:val="506D7517"/>
    <w:rsid w:val="50852AB2"/>
    <w:rsid w:val="50983B34"/>
    <w:rsid w:val="50BF6E65"/>
    <w:rsid w:val="51BA62F1"/>
    <w:rsid w:val="51E82E41"/>
    <w:rsid w:val="523A1E0B"/>
    <w:rsid w:val="528079D5"/>
    <w:rsid w:val="52A16773"/>
    <w:rsid w:val="539C2C19"/>
    <w:rsid w:val="53A36B34"/>
    <w:rsid w:val="53A47A17"/>
    <w:rsid w:val="53CB5C3E"/>
    <w:rsid w:val="53E22AA9"/>
    <w:rsid w:val="54270399"/>
    <w:rsid w:val="542B6A7C"/>
    <w:rsid w:val="549D66F3"/>
    <w:rsid w:val="55496F81"/>
    <w:rsid w:val="5550560A"/>
    <w:rsid w:val="55F879B8"/>
    <w:rsid w:val="55F97F88"/>
    <w:rsid w:val="5621461E"/>
    <w:rsid w:val="562D73F5"/>
    <w:rsid w:val="56783B41"/>
    <w:rsid w:val="56C92B14"/>
    <w:rsid w:val="56CE4A87"/>
    <w:rsid w:val="57082D36"/>
    <w:rsid w:val="571803A5"/>
    <w:rsid w:val="57A440F7"/>
    <w:rsid w:val="57A8683E"/>
    <w:rsid w:val="584E6607"/>
    <w:rsid w:val="586C4558"/>
    <w:rsid w:val="58783FC2"/>
    <w:rsid w:val="587D49B7"/>
    <w:rsid w:val="58A0592F"/>
    <w:rsid w:val="58D41A42"/>
    <w:rsid w:val="58F509F1"/>
    <w:rsid w:val="58F93C0A"/>
    <w:rsid w:val="59164B6D"/>
    <w:rsid w:val="591A5DA5"/>
    <w:rsid w:val="59444C41"/>
    <w:rsid w:val="59A054D9"/>
    <w:rsid w:val="5A2A448C"/>
    <w:rsid w:val="5A5436D8"/>
    <w:rsid w:val="5A753F56"/>
    <w:rsid w:val="5A783688"/>
    <w:rsid w:val="5B783B3B"/>
    <w:rsid w:val="5B833462"/>
    <w:rsid w:val="5B875FA2"/>
    <w:rsid w:val="5BDE677F"/>
    <w:rsid w:val="5C070870"/>
    <w:rsid w:val="5C7C7D16"/>
    <w:rsid w:val="5CA557F8"/>
    <w:rsid w:val="5CC1300B"/>
    <w:rsid w:val="5D09356E"/>
    <w:rsid w:val="5D0E5BDE"/>
    <w:rsid w:val="5D1968B2"/>
    <w:rsid w:val="5D1A03B8"/>
    <w:rsid w:val="5D4F5578"/>
    <w:rsid w:val="5D7F45F2"/>
    <w:rsid w:val="5DAF116F"/>
    <w:rsid w:val="5DB26EB1"/>
    <w:rsid w:val="5DF00199"/>
    <w:rsid w:val="5E1600E3"/>
    <w:rsid w:val="5E4129DB"/>
    <w:rsid w:val="5E504BDC"/>
    <w:rsid w:val="5E7561A4"/>
    <w:rsid w:val="5E895E64"/>
    <w:rsid w:val="5EB47229"/>
    <w:rsid w:val="5EB57E9D"/>
    <w:rsid w:val="5EC836C0"/>
    <w:rsid w:val="5EE17A4E"/>
    <w:rsid w:val="5EFD415C"/>
    <w:rsid w:val="5F5656B3"/>
    <w:rsid w:val="601B6F8F"/>
    <w:rsid w:val="6024715E"/>
    <w:rsid w:val="603405EA"/>
    <w:rsid w:val="60485D7E"/>
    <w:rsid w:val="606C1599"/>
    <w:rsid w:val="60A03056"/>
    <w:rsid w:val="60D61108"/>
    <w:rsid w:val="612761D3"/>
    <w:rsid w:val="614B5652"/>
    <w:rsid w:val="61504C4C"/>
    <w:rsid w:val="61AE2FC6"/>
    <w:rsid w:val="61D513C0"/>
    <w:rsid w:val="62162961"/>
    <w:rsid w:val="623C4449"/>
    <w:rsid w:val="629F2DB1"/>
    <w:rsid w:val="62A07084"/>
    <w:rsid w:val="62B80AC5"/>
    <w:rsid w:val="62B85BE0"/>
    <w:rsid w:val="62D21407"/>
    <w:rsid w:val="62D4283F"/>
    <w:rsid w:val="63002644"/>
    <w:rsid w:val="63DD4EAF"/>
    <w:rsid w:val="64387DEC"/>
    <w:rsid w:val="647B6F79"/>
    <w:rsid w:val="64A05CB5"/>
    <w:rsid w:val="64BD6867"/>
    <w:rsid w:val="64F466E9"/>
    <w:rsid w:val="651A5A67"/>
    <w:rsid w:val="65206A3B"/>
    <w:rsid w:val="65750374"/>
    <w:rsid w:val="657605B4"/>
    <w:rsid w:val="65885C42"/>
    <w:rsid w:val="66107459"/>
    <w:rsid w:val="668141DE"/>
    <w:rsid w:val="66BC48FC"/>
    <w:rsid w:val="66FC183A"/>
    <w:rsid w:val="67053791"/>
    <w:rsid w:val="671676C8"/>
    <w:rsid w:val="67243374"/>
    <w:rsid w:val="67CC6DC1"/>
    <w:rsid w:val="67DC5256"/>
    <w:rsid w:val="68D34A52"/>
    <w:rsid w:val="68D712F7"/>
    <w:rsid w:val="691A786D"/>
    <w:rsid w:val="69211241"/>
    <w:rsid w:val="69A531E1"/>
    <w:rsid w:val="69CF0807"/>
    <w:rsid w:val="69F543AD"/>
    <w:rsid w:val="6A1F58CE"/>
    <w:rsid w:val="6A6C26E4"/>
    <w:rsid w:val="6AAA163C"/>
    <w:rsid w:val="6AD445F7"/>
    <w:rsid w:val="6AF64881"/>
    <w:rsid w:val="6AFD0583"/>
    <w:rsid w:val="6B860946"/>
    <w:rsid w:val="6BDA7CFF"/>
    <w:rsid w:val="6BF624F5"/>
    <w:rsid w:val="6C3328D9"/>
    <w:rsid w:val="6C3C4515"/>
    <w:rsid w:val="6C504D96"/>
    <w:rsid w:val="6C5A499B"/>
    <w:rsid w:val="6D1C6921"/>
    <w:rsid w:val="6D7015D6"/>
    <w:rsid w:val="6D7F3F7F"/>
    <w:rsid w:val="6D875C64"/>
    <w:rsid w:val="6DA15D94"/>
    <w:rsid w:val="6DC900FF"/>
    <w:rsid w:val="6DD367C6"/>
    <w:rsid w:val="6DDE407C"/>
    <w:rsid w:val="6DDE74C9"/>
    <w:rsid w:val="6E403D10"/>
    <w:rsid w:val="6E4E59E5"/>
    <w:rsid w:val="6EA12D56"/>
    <w:rsid w:val="6EC6456A"/>
    <w:rsid w:val="6ED430C3"/>
    <w:rsid w:val="6EE42878"/>
    <w:rsid w:val="6EFF0D82"/>
    <w:rsid w:val="6F2A4AF9"/>
    <w:rsid w:val="6FC06D93"/>
    <w:rsid w:val="6FDA26CE"/>
    <w:rsid w:val="704C4DEB"/>
    <w:rsid w:val="70706E59"/>
    <w:rsid w:val="70E37655"/>
    <w:rsid w:val="711517D9"/>
    <w:rsid w:val="714835A4"/>
    <w:rsid w:val="71641E18"/>
    <w:rsid w:val="71B33205"/>
    <w:rsid w:val="71B74C94"/>
    <w:rsid w:val="71DA0B5A"/>
    <w:rsid w:val="72190E55"/>
    <w:rsid w:val="722D475A"/>
    <w:rsid w:val="72600832"/>
    <w:rsid w:val="728E7106"/>
    <w:rsid w:val="72FB5EC2"/>
    <w:rsid w:val="72FC43FA"/>
    <w:rsid w:val="731C568E"/>
    <w:rsid w:val="738661FA"/>
    <w:rsid w:val="738A7FA8"/>
    <w:rsid w:val="743A34F3"/>
    <w:rsid w:val="746C62D2"/>
    <w:rsid w:val="74CE5238"/>
    <w:rsid w:val="75023545"/>
    <w:rsid w:val="751002ED"/>
    <w:rsid w:val="75584E11"/>
    <w:rsid w:val="75FB29B3"/>
    <w:rsid w:val="761E3DF9"/>
    <w:rsid w:val="761E5F4F"/>
    <w:rsid w:val="76465F91"/>
    <w:rsid w:val="765311F6"/>
    <w:rsid w:val="76A3117C"/>
    <w:rsid w:val="77046A98"/>
    <w:rsid w:val="77165D4E"/>
    <w:rsid w:val="772616E6"/>
    <w:rsid w:val="77274014"/>
    <w:rsid w:val="775C6817"/>
    <w:rsid w:val="77AB38A0"/>
    <w:rsid w:val="77AD4C0D"/>
    <w:rsid w:val="77C10136"/>
    <w:rsid w:val="77D81C3E"/>
    <w:rsid w:val="77DC6BAC"/>
    <w:rsid w:val="77E91D55"/>
    <w:rsid w:val="77F43EF6"/>
    <w:rsid w:val="77FA1564"/>
    <w:rsid w:val="781001DA"/>
    <w:rsid w:val="784529A4"/>
    <w:rsid w:val="78AF725D"/>
    <w:rsid w:val="79202AC9"/>
    <w:rsid w:val="792B3728"/>
    <w:rsid w:val="797B6EE2"/>
    <w:rsid w:val="79A366F7"/>
    <w:rsid w:val="7A0D5743"/>
    <w:rsid w:val="7A2A295A"/>
    <w:rsid w:val="7A97500D"/>
    <w:rsid w:val="7AE5221C"/>
    <w:rsid w:val="7B394237"/>
    <w:rsid w:val="7B7326DA"/>
    <w:rsid w:val="7BC36D99"/>
    <w:rsid w:val="7C3057D2"/>
    <w:rsid w:val="7C611D76"/>
    <w:rsid w:val="7C6D4186"/>
    <w:rsid w:val="7CDF75D4"/>
    <w:rsid w:val="7CFC55FB"/>
    <w:rsid w:val="7D3733AB"/>
    <w:rsid w:val="7D730CDE"/>
    <w:rsid w:val="7D8A3B10"/>
    <w:rsid w:val="7DA40FC7"/>
    <w:rsid w:val="7DD54B2F"/>
    <w:rsid w:val="7DDD36B1"/>
    <w:rsid w:val="7DEB5D9B"/>
    <w:rsid w:val="7DFF0684"/>
    <w:rsid w:val="7E2712AA"/>
    <w:rsid w:val="7E5F5742"/>
    <w:rsid w:val="7E7557DA"/>
    <w:rsid w:val="7E9D7975"/>
    <w:rsid w:val="7EBC3F8C"/>
    <w:rsid w:val="7ECB12B8"/>
    <w:rsid w:val="7ED608EE"/>
    <w:rsid w:val="7F025764"/>
    <w:rsid w:val="7F2A732A"/>
    <w:rsid w:val="7F3128C8"/>
    <w:rsid w:val="7F741398"/>
    <w:rsid w:val="7FAD5072"/>
    <w:rsid w:val="7FCF6FF7"/>
    <w:rsid w:val="7FE639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qFormat="1" w:uiPriority="39" w:semiHidden="0"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qFormat="1" w:unhideWhenUsed="0" w:uiPriority="0" w:name="table of authorities"/>
    <w:lsdException w:uiPriority="99" w:name="macro"/>
    <w:lsdException w:uiPriority="99" w:name="toa heading"/>
    <w:lsdException w:qFormat="1"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41"/>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4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45"/>
    <w:semiHidden/>
    <w:unhideWhenUsed/>
    <w:qFormat/>
    <w:uiPriority w:val="9"/>
    <w:pPr>
      <w:keepNext/>
      <w:keepLines/>
      <w:spacing w:before="260" w:after="260" w:line="416" w:lineRule="auto"/>
      <w:outlineLvl w:val="2"/>
    </w:pPr>
    <w:rPr>
      <w:b/>
      <w:bCs/>
      <w:sz w:val="32"/>
      <w:szCs w:val="32"/>
    </w:rPr>
  </w:style>
  <w:style w:type="paragraph" w:styleId="7">
    <w:name w:val="heading 4"/>
    <w:basedOn w:val="1"/>
    <w:next w:val="1"/>
    <w:link w:val="51"/>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pPr>
    <w:rPr>
      <w:szCs w:val="21"/>
    </w:rPr>
  </w:style>
  <w:style w:type="paragraph" w:styleId="3">
    <w:name w:val="Body Text Indent"/>
    <w:basedOn w:val="1"/>
    <w:link w:val="119"/>
    <w:unhideWhenUsed/>
    <w:qFormat/>
    <w:uiPriority w:val="99"/>
    <w:pPr>
      <w:spacing w:after="120"/>
      <w:ind w:left="420" w:leftChars="200"/>
    </w:pPr>
  </w:style>
  <w:style w:type="paragraph" w:styleId="8">
    <w:name w:val="toc 7"/>
    <w:basedOn w:val="1"/>
    <w:next w:val="1"/>
    <w:unhideWhenUsed/>
    <w:qFormat/>
    <w:uiPriority w:val="39"/>
    <w:pPr>
      <w:ind w:left="2520" w:leftChars="1200"/>
    </w:pPr>
  </w:style>
  <w:style w:type="paragraph" w:styleId="9">
    <w:name w:val="table of authorities"/>
    <w:basedOn w:val="1"/>
    <w:next w:val="1"/>
    <w:semiHidden/>
    <w:qFormat/>
    <w:uiPriority w:val="0"/>
    <w:rPr>
      <w:rFonts w:ascii="Times New Roman" w:hAnsi="Times New Roman" w:eastAsia="宋体" w:cs="Times New Roman"/>
      <w:szCs w:val="24"/>
    </w:rPr>
  </w:style>
  <w:style w:type="paragraph" w:styleId="10">
    <w:name w:val="Normal Indent"/>
    <w:basedOn w:val="1"/>
    <w:next w:val="2"/>
    <w:qFormat/>
    <w:uiPriority w:val="0"/>
    <w:pPr>
      <w:ind w:firstLine="420" w:firstLineChars="200"/>
    </w:pPr>
    <w:rPr>
      <w:rFonts w:ascii="Times New Roman" w:hAnsi="Times New Roman" w:eastAsia="宋体" w:cs="Times New Roman"/>
      <w:szCs w:val="24"/>
    </w:rPr>
  </w:style>
  <w:style w:type="paragraph" w:styleId="11">
    <w:name w:val="caption"/>
    <w:basedOn w:val="1"/>
    <w:next w:val="12"/>
    <w:qFormat/>
    <w:uiPriority w:val="99"/>
    <w:pPr>
      <w:adjustRightInd w:val="0"/>
      <w:snapToGrid w:val="0"/>
      <w:jc w:val="center"/>
    </w:pPr>
    <w:rPr>
      <w:rFonts w:ascii="Calibri" w:hAnsi="Calibri"/>
      <w:b/>
      <w:color w:val="000000"/>
      <w:sz w:val="24"/>
      <w:szCs w:val="21"/>
    </w:rPr>
  </w:style>
  <w:style w:type="paragraph" w:styleId="12">
    <w:name w:val="Body Text First Indent"/>
    <w:basedOn w:val="13"/>
    <w:next w:val="1"/>
    <w:link w:val="68"/>
    <w:qFormat/>
    <w:uiPriority w:val="0"/>
    <w:pPr>
      <w:spacing w:line="240" w:lineRule="auto"/>
      <w:ind w:firstLine="420" w:firstLineChars="100"/>
    </w:pPr>
    <w:rPr>
      <w:rFonts w:asciiTheme="minorHAnsi" w:hAnsiTheme="minorHAnsi" w:eastAsiaTheme="minorEastAsia" w:cstheme="minorBidi"/>
      <w:sz w:val="21"/>
    </w:rPr>
  </w:style>
  <w:style w:type="paragraph" w:styleId="13">
    <w:name w:val="Body Text"/>
    <w:basedOn w:val="1"/>
    <w:next w:val="14"/>
    <w:link w:val="56"/>
    <w:unhideWhenUsed/>
    <w:qFormat/>
    <w:uiPriority w:val="0"/>
    <w:pPr>
      <w:spacing w:after="120" w:line="360" w:lineRule="auto"/>
      <w:ind w:firstLine="200" w:firstLineChars="200"/>
    </w:pPr>
    <w:rPr>
      <w:rFonts w:ascii="Times New Roman" w:hAnsi="Times New Roman" w:eastAsia="宋体" w:cs="Times New Roman"/>
      <w:sz w:val="24"/>
      <w:szCs w:val="24"/>
    </w:rPr>
  </w:style>
  <w:style w:type="paragraph" w:customStyle="1" w:styleId="14">
    <w:name w:val="xl27"/>
    <w:basedOn w:val="9"/>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15">
    <w:name w:val="annotation text"/>
    <w:basedOn w:val="1"/>
    <w:semiHidden/>
    <w:unhideWhenUsed/>
    <w:qFormat/>
    <w:uiPriority w:val="99"/>
    <w:pPr>
      <w:jc w:val="left"/>
    </w:pPr>
  </w:style>
  <w:style w:type="paragraph" w:styleId="16">
    <w:name w:val="List Bullet 2"/>
    <w:basedOn w:val="1"/>
    <w:next w:val="17"/>
    <w:semiHidden/>
    <w:unhideWhenUsed/>
    <w:qFormat/>
    <w:uiPriority w:val="99"/>
    <w:pPr>
      <w:numPr>
        <w:ilvl w:val="0"/>
        <w:numId w:val="1"/>
      </w:numPr>
    </w:pPr>
  </w:style>
  <w:style w:type="paragraph" w:customStyle="1" w:styleId="17">
    <w:name w:val="xl70"/>
    <w:basedOn w:val="1"/>
    <w:next w:val="18"/>
    <w:qFormat/>
    <w:uiPriority w:val="0"/>
    <w:pPr>
      <w:widowControl/>
      <w:spacing w:before="280" w:beforeLines="0" w:after="280" w:afterLines="0" w:line="240" w:lineRule="auto"/>
    </w:pPr>
    <w:rPr>
      <w:rFonts w:ascii="宋体"/>
    </w:rPr>
  </w:style>
  <w:style w:type="paragraph" w:customStyle="1" w:styleId="18">
    <w:name w:val="正文缩进1"/>
    <w:basedOn w:val="10"/>
    <w:next w:val="19"/>
    <w:qFormat/>
    <w:uiPriority w:val="0"/>
    <w:pPr>
      <w:spacing w:line="240" w:lineRule="auto"/>
      <w:ind w:firstLine="420" w:firstLineChars="0"/>
    </w:pPr>
    <w:rPr>
      <w:sz w:val="21"/>
      <w:szCs w:val="20"/>
    </w:rPr>
  </w:style>
  <w:style w:type="paragraph" w:customStyle="1" w:styleId="19">
    <w:name w:val="td1"/>
    <w:basedOn w:val="1"/>
    <w:next w:val="1"/>
    <w:qFormat/>
    <w:uiPriority w:val="0"/>
    <w:pPr>
      <w:widowControl/>
      <w:spacing w:before="280" w:beforeLines="0" w:after="280" w:afterLines="0" w:line="300" w:lineRule="atLeast"/>
      <w:ind w:firstLine="200"/>
    </w:pPr>
    <w:rPr>
      <w:color w:val="000000"/>
      <w:sz w:val="18"/>
    </w:rPr>
  </w:style>
  <w:style w:type="paragraph" w:styleId="20">
    <w:name w:val="Plain Text"/>
    <w:basedOn w:val="1"/>
    <w:link w:val="62"/>
    <w:qFormat/>
    <w:uiPriority w:val="0"/>
    <w:pPr>
      <w:spacing w:line="360" w:lineRule="auto"/>
      <w:ind w:firstLine="200" w:firstLineChars="200"/>
    </w:pPr>
    <w:rPr>
      <w:rFonts w:ascii="宋体" w:hAnsi="Courier New" w:eastAsia="宋体" w:cs="Times New Roman"/>
      <w:sz w:val="20"/>
      <w:szCs w:val="20"/>
    </w:rPr>
  </w:style>
  <w:style w:type="paragraph" w:styleId="21">
    <w:name w:val="Body Text Indent 2"/>
    <w:basedOn w:val="1"/>
    <w:next w:val="1"/>
    <w:link w:val="61"/>
    <w:semiHidden/>
    <w:unhideWhenUsed/>
    <w:qFormat/>
    <w:uiPriority w:val="99"/>
    <w:pPr>
      <w:spacing w:after="120" w:line="480" w:lineRule="auto"/>
      <w:ind w:left="420" w:leftChars="200" w:firstLine="200" w:firstLineChars="200"/>
    </w:pPr>
    <w:rPr>
      <w:rFonts w:ascii="Times New Roman" w:hAnsi="Times New Roman" w:eastAsia="宋体" w:cs="Times New Roman"/>
      <w:sz w:val="24"/>
      <w:szCs w:val="24"/>
    </w:rPr>
  </w:style>
  <w:style w:type="paragraph" w:styleId="22">
    <w:name w:val="footer"/>
    <w:basedOn w:val="1"/>
    <w:link w:val="53"/>
    <w:unhideWhenUsed/>
    <w:qFormat/>
    <w:uiPriority w:val="99"/>
    <w:pPr>
      <w:tabs>
        <w:tab w:val="center" w:pos="4153"/>
        <w:tab w:val="right" w:pos="8306"/>
      </w:tabs>
      <w:snapToGrid w:val="0"/>
      <w:jc w:val="left"/>
    </w:pPr>
    <w:rPr>
      <w:sz w:val="18"/>
      <w:szCs w:val="18"/>
    </w:rPr>
  </w:style>
  <w:style w:type="paragraph" w:styleId="23">
    <w:name w:val="header"/>
    <w:basedOn w:val="1"/>
    <w:link w:val="52"/>
    <w:unhideWhenUsed/>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unhideWhenUsed/>
    <w:qFormat/>
    <w:uiPriority w:val="39"/>
  </w:style>
  <w:style w:type="paragraph" w:styleId="25">
    <w:name w:val="List"/>
    <w:basedOn w:val="1"/>
    <w:next w:val="16"/>
    <w:semiHidden/>
    <w:unhideWhenUsed/>
    <w:qFormat/>
    <w:uiPriority w:val="99"/>
    <w:pPr>
      <w:ind w:left="200" w:hanging="200" w:hangingChars="200"/>
      <w:contextualSpacing/>
    </w:pPr>
  </w:style>
  <w:style w:type="paragraph" w:styleId="26">
    <w:name w:val="Normal (Web)"/>
    <w:basedOn w:val="1"/>
    <w:link w:val="67"/>
    <w:qFormat/>
    <w:uiPriority w:val="0"/>
    <w:pPr>
      <w:widowControl/>
      <w:spacing w:before="100" w:beforeAutospacing="1" w:after="100" w:afterAutospacing="1" w:line="360" w:lineRule="auto"/>
      <w:ind w:firstLine="200" w:firstLineChars="200"/>
      <w:jc w:val="left"/>
    </w:pPr>
    <w:rPr>
      <w:rFonts w:ascii="宋体" w:hAnsi="宋体" w:eastAsia="宋体"/>
      <w:sz w:val="24"/>
    </w:rPr>
  </w:style>
  <w:style w:type="table" w:styleId="28">
    <w:name w:val="Table Grid"/>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uiPriority w:val="22"/>
    <w:rPr>
      <w:b/>
    </w:rPr>
  </w:style>
  <w:style w:type="character" w:styleId="31">
    <w:name w:val="FollowedHyperlink"/>
    <w:basedOn w:val="29"/>
    <w:semiHidden/>
    <w:unhideWhenUsed/>
    <w:qFormat/>
    <w:uiPriority w:val="99"/>
    <w:rPr>
      <w:color w:val="954F72"/>
      <w:u w:val="single"/>
    </w:rPr>
  </w:style>
  <w:style w:type="character" w:styleId="32">
    <w:name w:val="Hyperlink"/>
    <w:basedOn w:val="29"/>
    <w:unhideWhenUsed/>
    <w:qFormat/>
    <w:uiPriority w:val="99"/>
    <w:rPr>
      <w:color w:val="0563C1" w:themeColor="hyperlink"/>
      <w:u w:val="single"/>
      <w14:textFill>
        <w14:solidFill>
          <w14:schemeClr w14:val="hlink"/>
        </w14:solidFill>
      </w14:textFill>
    </w:rPr>
  </w:style>
  <w:style w:type="character" w:styleId="33">
    <w:name w:val="annotation reference"/>
    <w:basedOn w:val="29"/>
    <w:qFormat/>
    <w:uiPriority w:val="0"/>
    <w:rPr>
      <w:sz w:val="21"/>
      <w:szCs w:val="21"/>
    </w:rPr>
  </w:style>
  <w:style w:type="paragraph" w:customStyle="1" w:styleId="34">
    <w:name w:val="表头-易恒"/>
    <w:basedOn w:val="35"/>
    <w:next w:val="35"/>
    <w:link w:val="42"/>
    <w:qFormat/>
    <w:uiPriority w:val="0"/>
    <w:pPr>
      <w:spacing w:before="50" w:beforeLines="50" w:line="240" w:lineRule="auto"/>
      <w:ind w:firstLine="0" w:firstLineChars="0"/>
      <w:jc w:val="center"/>
    </w:pPr>
    <w:rPr>
      <w:b/>
    </w:rPr>
  </w:style>
  <w:style w:type="paragraph" w:customStyle="1" w:styleId="35">
    <w:name w:val="正文-易恒"/>
    <w:basedOn w:val="1"/>
    <w:link w:val="38"/>
    <w:qFormat/>
    <w:uiPriority w:val="0"/>
    <w:pPr>
      <w:spacing w:line="360" w:lineRule="auto"/>
      <w:ind w:firstLine="200" w:firstLineChars="200"/>
    </w:pPr>
    <w:rPr>
      <w:rFonts w:ascii="Times New Roman" w:hAnsi="Times New Roman" w:eastAsia="宋体" w:cs="Times New Roman"/>
      <w:sz w:val="24"/>
      <w:szCs w:val="24"/>
    </w:rPr>
  </w:style>
  <w:style w:type="paragraph" w:customStyle="1" w:styleId="36">
    <w:name w:val="表格-易恒"/>
    <w:basedOn w:val="35"/>
    <w:link w:val="37"/>
    <w:qFormat/>
    <w:uiPriority w:val="1"/>
    <w:pPr>
      <w:spacing w:line="240" w:lineRule="auto"/>
      <w:ind w:firstLine="0" w:firstLineChars="0"/>
      <w:jc w:val="center"/>
    </w:pPr>
    <w:rPr>
      <w:sz w:val="21"/>
    </w:rPr>
  </w:style>
  <w:style w:type="character" w:customStyle="1" w:styleId="37">
    <w:name w:val="表格-易恒 字符"/>
    <w:basedOn w:val="38"/>
    <w:link w:val="36"/>
    <w:qFormat/>
    <w:uiPriority w:val="1"/>
    <w:rPr>
      <w:rFonts w:ascii="Times New Roman" w:hAnsi="Times New Roman" w:eastAsia="宋体" w:cs="Times New Roman"/>
      <w:sz w:val="24"/>
      <w:szCs w:val="24"/>
    </w:rPr>
  </w:style>
  <w:style w:type="character" w:customStyle="1" w:styleId="38">
    <w:name w:val="正文-易恒 字符"/>
    <w:basedOn w:val="29"/>
    <w:link w:val="35"/>
    <w:qFormat/>
    <w:uiPriority w:val="0"/>
    <w:rPr>
      <w:rFonts w:ascii="Times New Roman" w:hAnsi="Times New Roman" w:eastAsia="宋体" w:cs="Times New Roman"/>
      <w:sz w:val="24"/>
      <w:szCs w:val="24"/>
    </w:rPr>
  </w:style>
  <w:style w:type="paragraph" w:customStyle="1" w:styleId="39">
    <w:name w:val="标题1-易恒"/>
    <w:basedOn w:val="4"/>
    <w:next w:val="35"/>
    <w:link w:val="40"/>
    <w:qFormat/>
    <w:uiPriority w:val="0"/>
    <w:pPr>
      <w:spacing w:before="0" w:after="0" w:line="360" w:lineRule="auto"/>
    </w:pPr>
    <w:rPr>
      <w:rFonts w:ascii="Times New Roman" w:hAnsi="Times New Roman" w:eastAsia="宋体"/>
      <w:sz w:val="28"/>
    </w:rPr>
  </w:style>
  <w:style w:type="character" w:customStyle="1" w:styleId="40">
    <w:name w:val="标题1-易恒 字符"/>
    <w:basedOn w:val="41"/>
    <w:link w:val="39"/>
    <w:qFormat/>
    <w:uiPriority w:val="0"/>
    <w:rPr>
      <w:rFonts w:ascii="Times New Roman" w:hAnsi="Times New Roman" w:eastAsia="宋体"/>
      <w:kern w:val="44"/>
      <w:sz w:val="28"/>
      <w:szCs w:val="44"/>
    </w:rPr>
  </w:style>
  <w:style w:type="character" w:customStyle="1" w:styleId="41">
    <w:name w:val="标题 1 字符"/>
    <w:basedOn w:val="29"/>
    <w:link w:val="4"/>
    <w:qFormat/>
    <w:uiPriority w:val="9"/>
    <w:rPr>
      <w:b/>
      <w:bCs/>
      <w:kern w:val="44"/>
      <w:sz w:val="44"/>
      <w:szCs w:val="44"/>
    </w:rPr>
  </w:style>
  <w:style w:type="character" w:customStyle="1" w:styleId="42">
    <w:name w:val="表头-易恒 字符"/>
    <w:basedOn w:val="38"/>
    <w:link w:val="34"/>
    <w:qFormat/>
    <w:uiPriority w:val="0"/>
    <w:rPr>
      <w:rFonts w:ascii="Times New Roman" w:hAnsi="Times New Roman" w:eastAsia="宋体" w:cs="Times New Roman"/>
      <w:b/>
      <w:sz w:val="24"/>
      <w:szCs w:val="24"/>
    </w:rPr>
  </w:style>
  <w:style w:type="paragraph" w:customStyle="1" w:styleId="43">
    <w:name w:val="标题3-易恒"/>
    <w:basedOn w:val="6"/>
    <w:next w:val="35"/>
    <w:link w:val="44"/>
    <w:qFormat/>
    <w:uiPriority w:val="0"/>
    <w:pPr>
      <w:spacing w:before="0" w:after="0" w:line="360" w:lineRule="auto"/>
    </w:pPr>
    <w:rPr>
      <w:rFonts w:ascii="Times New Roman" w:hAnsi="Times New Roman" w:eastAsia="宋体"/>
      <w:sz w:val="24"/>
    </w:rPr>
  </w:style>
  <w:style w:type="character" w:customStyle="1" w:styleId="44">
    <w:name w:val="标题3-易恒 字符"/>
    <w:basedOn w:val="45"/>
    <w:link w:val="43"/>
    <w:qFormat/>
    <w:uiPriority w:val="0"/>
    <w:rPr>
      <w:rFonts w:ascii="Times New Roman" w:hAnsi="Times New Roman" w:eastAsia="宋体"/>
      <w:sz w:val="24"/>
      <w:szCs w:val="32"/>
    </w:rPr>
  </w:style>
  <w:style w:type="character" w:customStyle="1" w:styleId="45">
    <w:name w:val="标题 3 字符"/>
    <w:basedOn w:val="29"/>
    <w:link w:val="6"/>
    <w:semiHidden/>
    <w:qFormat/>
    <w:uiPriority w:val="9"/>
    <w:rPr>
      <w:b/>
      <w:bCs/>
      <w:sz w:val="32"/>
      <w:szCs w:val="32"/>
    </w:rPr>
  </w:style>
  <w:style w:type="paragraph" w:customStyle="1" w:styleId="46">
    <w:name w:val="标题2-易恒"/>
    <w:basedOn w:val="5"/>
    <w:next w:val="35"/>
    <w:link w:val="47"/>
    <w:qFormat/>
    <w:uiPriority w:val="0"/>
    <w:pPr>
      <w:spacing w:before="0" w:after="0" w:line="360" w:lineRule="auto"/>
    </w:pPr>
    <w:rPr>
      <w:rFonts w:ascii="Times New Roman" w:hAnsi="Times New Roman" w:eastAsia="宋体"/>
      <w:sz w:val="24"/>
    </w:rPr>
  </w:style>
  <w:style w:type="character" w:customStyle="1" w:styleId="47">
    <w:name w:val="标题2-易恒 字符"/>
    <w:basedOn w:val="48"/>
    <w:link w:val="46"/>
    <w:qFormat/>
    <w:uiPriority w:val="0"/>
    <w:rPr>
      <w:rFonts w:ascii="Times New Roman" w:hAnsi="Times New Roman" w:eastAsia="宋体" w:cstheme="majorBidi"/>
      <w:sz w:val="24"/>
      <w:szCs w:val="32"/>
    </w:rPr>
  </w:style>
  <w:style w:type="character" w:customStyle="1" w:styleId="48">
    <w:name w:val="标题 2 字符"/>
    <w:basedOn w:val="29"/>
    <w:link w:val="5"/>
    <w:semiHidden/>
    <w:qFormat/>
    <w:uiPriority w:val="9"/>
    <w:rPr>
      <w:rFonts w:asciiTheme="majorHAnsi" w:hAnsiTheme="majorHAnsi" w:eastAsiaTheme="majorEastAsia" w:cstheme="majorBidi"/>
      <w:b/>
      <w:bCs/>
      <w:sz w:val="32"/>
      <w:szCs w:val="32"/>
    </w:rPr>
  </w:style>
  <w:style w:type="paragraph" w:customStyle="1" w:styleId="49">
    <w:name w:val="标题4-易恒"/>
    <w:basedOn w:val="7"/>
    <w:next w:val="35"/>
    <w:link w:val="50"/>
    <w:qFormat/>
    <w:uiPriority w:val="0"/>
    <w:pPr>
      <w:spacing w:before="0" w:after="0" w:line="360" w:lineRule="auto"/>
    </w:pPr>
    <w:rPr>
      <w:rFonts w:ascii="Times New Roman" w:hAnsi="Times New Roman" w:eastAsia="宋体"/>
      <w:sz w:val="24"/>
    </w:rPr>
  </w:style>
  <w:style w:type="character" w:customStyle="1" w:styleId="50">
    <w:name w:val="标题4-易恒 字符"/>
    <w:basedOn w:val="51"/>
    <w:link w:val="49"/>
    <w:qFormat/>
    <w:uiPriority w:val="0"/>
    <w:rPr>
      <w:rFonts w:ascii="Times New Roman" w:hAnsi="Times New Roman" w:eastAsia="宋体" w:cstheme="majorBidi"/>
      <w:sz w:val="24"/>
      <w:szCs w:val="28"/>
    </w:rPr>
  </w:style>
  <w:style w:type="character" w:customStyle="1" w:styleId="51">
    <w:name w:val="标题 4 字符"/>
    <w:basedOn w:val="29"/>
    <w:link w:val="7"/>
    <w:qFormat/>
    <w:uiPriority w:val="0"/>
    <w:rPr>
      <w:rFonts w:asciiTheme="majorHAnsi" w:hAnsiTheme="majorHAnsi" w:eastAsiaTheme="majorEastAsia" w:cstheme="majorBidi"/>
      <w:b/>
      <w:bCs/>
      <w:sz w:val="28"/>
      <w:szCs w:val="28"/>
    </w:rPr>
  </w:style>
  <w:style w:type="character" w:customStyle="1" w:styleId="52">
    <w:name w:val="页眉 字符"/>
    <w:basedOn w:val="29"/>
    <w:link w:val="23"/>
    <w:qFormat/>
    <w:uiPriority w:val="0"/>
    <w:rPr>
      <w:sz w:val="18"/>
      <w:szCs w:val="18"/>
    </w:rPr>
  </w:style>
  <w:style w:type="character" w:customStyle="1" w:styleId="53">
    <w:name w:val="页脚 字符"/>
    <w:basedOn w:val="29"/>
    <w:link w:val="22"/>
    <w:qFormat/>
    <w:uiPriority w:val="99"/>
    <w:rPr>
      <w:sz w:val="18"/>
      <w:szCs w:val="18"/>
    </w:rPr>
  </w:style>
  <w:style w:type="character" w:customStyle="1" w:styleId="54">
    <w:name w:val="报告正文 Char Char"/>
    <w:link w:val="55"/>
    <w:qFormat/>
    <w:uiPriority w:val="0"/>
    <w:rPr>
      <w:rFonts w:eastAsia="仿宋_GB2312"/>
      <w:sz w:val="28"/>
      <w:szCs w:val="24"/>
    </w:rPr>
  </w:style>
  <w:style w:type="paragraph" w:customStyle="1" w:styleId="55">
    <w:name w:val="报告正文"/>
    <w:basedOn w:val="1"/>
    <w:link w:val="54"/>
    <w:qFormat/>
    <w:uiPriority w:val="0"/>
    <w:pPr>
      <w:spacing w:line="360" w:lineRule="auto"/>
      <w:ind w:firstLine="200" w:firstLineChars="200"/>
    </w:pPr>
    <w:rPr>
      <w:rFonts w:eastAsia="仿宋_GB2312"/>
      <w:sz w:val="28"/>
      <w:szCs w:val="24"/>
    </w:rPr>
  </w:style>
  <w:style w:type="character" w:customStyle="1" w:styleId="56">
    <w:name w:val="正文文本 字符"/>
    <w:basedOn w:val="29"/>
    <w:link w:val="13"/>
    <w:qFormat/>
    <w:uiPriority w:val="0"/>
    <w:rPr>
      <w:rFonts w:ascii="Times New Roman" w:hAnsi="Times New Roman" w:eastAsia="宋体" w:cs="Times New Roman"/>
      <w:sz w:val="24"/>
      <w:szCs w:val="24"/>
    </w:rPr>
  </w:style>
  <w:style w:type="paragraph" w:customStyle="1" w:styleId="57">
    <w:name w:val="表格-易恒1"/>
    <w:basedOn w:val="1"/>
    <w:link w:val="58"/>
    <w:qFormat/>
    <w:uiPriority w:val="0"/>
    <w:pPr>
      <w:jc w:val="center"/>
    </w:pPr>
    <w:rPr>
      <w:rFonts w:ascii="Times New Roman" w:hAnsi="Times New Roman" w:eastAsia="宋体"/>
      <w:szCs w:val="32"/>
    </w:rPr>
  </w:style>
  <w:style w:type="character" w:customStyle="1" w:styleId="58">
    <w:name w:val="表格-易恒1 字符"/>
    <w:basedOn w:val="29"/>
    <w:link w:val="57"/>
    <w:qFormat/>
    <w:uiPriority w:val="0"/>
    <w:rPr>
      <w:rFonts w:ascii="Times New Roman" w:hAnsi="Times New Roman" w:eastAsia="宋体"/>
      <w:szCs w:val="32"/>
    </w:rPr>
  </w:style>
  <w:style w:type="paragraph" w:customStyle="1" w:styleId="59">
    <w:name w:val="表头-易恒1"/>
    <w:basedOn w:val="57"/>
    <w:next w:val="1"/>
    <w:link w:val="60"/>
    <w:qFormat/>
    <w:uiPriority w:val="0"/>
    <w:pPr>
      <w:spacing w:before="50" w:beforeLines="50"/>
    </w:pPr>
    <w:rPr>
      <w:b/>
    </w:rPr>
  </w:style>
  <w:style w:type="character" w:customStyle="1" w:styleId="60">
    <w:name w:val="表头-易恒1 字符"/>
    <w:basedOn w:val="58"/>
    <w:link w:val="59"/>
    <w:qFormat/>
    <w:uiPriority w:val="0"/>
    <w:rPr>
      <w:rFonts w:ascii="Times New Roman" w:hAnsi="Times New Roman" w:eastAsia="宋体"/>
      <w:b/>
      <w:szCs w:val="32"/>
    </w:rPr>
  </w:style>
  <w:style w:type="character" w:customStyle="1" w:styleId="61">
    <w:name w:val="正文文本缩进 2 字符"/>
    <w:basedOn w:val="29"/>
    <w:link w:val="21"/>
    <w:semiHidden/>
    <w:qFormat/>
    <w:uiPriority w:val="99"/>
    <w:rPr>
      <w:rFonts w:ascii="Times New Roman" w:hAnsi="Times New Roman" w:eastAsia="宋体" w:cs="Times New Roman"/>
      <w:sz w:val="24"/>
      <w:szCs w:val="24"/>
    </w:rPr>
  </w:style>
  <w:style w:type="character" w:customStyle="1" w:styleId="62">
    <w:name w:val="纯文本 字符"/>
    <w:basedOn w:val="29"/>
    <w:link w:val="20"/>
    <w:qFormat/>
    <w:uiPriority w:val="0"/>
    <w:rPr>
      <w:rFonts w:ascii="宋体" w:hAnsi="Courier New" w:eastAsia="宋体" w:cs="Times New Roman"/>
      <w:sz w:val="20"/>
      <w:szCs w:val="20"/>
    </w:rPr>
  </w:style>
  <w:style w:type="paragraph" w:customStyle="1" w:styleId="63">
    <w:name w:val="表标题"/>
    <w:basedOn w:val="1"/>
    <w:qFormat/>
    <w:uiPriority w:val="0"/>
    <w:pPr>
      <w:jc w:val="center"/>
    </w:pPr>
    <w:rPr>
      <w:rFonts w:ascii="Times New Roman" w:hAnsi="Times New Roman" w:eastAsia="宋体" w:cs="Times New Roman"/>
      <w:b/>
      <w:kern w:val="0"/>
      <w:szCs w:val="20"/>
    </w:rPr>
  </w:style>
  <w:style w:type="paragraph" w:customStyle="1" w:styleId="64">
    <w:name w:val="A正文1"/>
    <w:basedOn w:val="1"/>
    <w:qFormat/>
    <w:uiPriority w:val="0"/>
    <w:pPr>
      <w:spacing w:line="360" w:lineRule="auto"/>
      <w:ind w:firstLine="200" w:firstLineChars="200"/>
    </w:pPr>
    <w:rPr>
      <w:rFonts w:ascii="Times New Roman" w:hAnsi="Times New Roman" w:eastAsia="宋体" w:cs="Times New Roman"/>
      <w:sz w:val="24"/>
      <w:szCs w:val="28"/>
    </w:rPr>
  </w:style>
  <w:style w:type="paragraph" w:customStyle="1" w:styleId="65">
    <w:name w:val="样式 样式 样式 小四 首行缩进:  2.25 字符 + 首行缩进:  2.25 字符 + 首行缩进:  2 字符"/>
    <w:basedOn w:val="1"/>
    <w:qFormat/>
    <w:uiPriority w:val="0"/>
    <w:pPr>
      <w:spacing w:line="440" w:lineRule="exact"/>
      <w:ind w:firstLine="200" w:firstLineChars="200"/>
    </w:pPr>
    <w:rPr>
      <w:rFonts w:ascii="Times New Roman" w:hAnsi="Times New Roman" w:eastAsia="宋体" w:cs="Times New Roman"/>
      <w:sz w:val="24"/>
      <w:szCs w:val="24"/>
    </w:rPr>
  </w:style>
  <w:style w:type="paragraph" w:customStyle="1" w:styleId="66">
    <w:name w:val="TOC 标题1"/>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67">
    <w:name w:val="普通(网站) 字符"/>
    <w:link w:val="26"/>
    <w:qFormat/>
    <w:uiPriority w:val="0"/>
    <w:rPr>
      <w:rFonts w:ascii="宋体" w:hAnsi="宋体" w:eastAsia="宋体"/>
      <w:sz w:val="24"/>
    </w:rPr>
  </w:style>
  <w:style w:type="character" w:customStyle="1" w:styleId="68">
    <w:name w:val="正文文本首行缩进 字符"/>
    <w:link w:val="12"/>
    <w:qFormat/>
    <w:uiPriority w:val="0"/>
    <w:rPr>
      <w:szCs w:val="24"/>
    </w:rPr>
  </w:style>
  <w:style w:type="character" w:customStyle="1" w:styleId="69">
    <w:name w:val="正文文本首行缩进 字符1"/>
    <w:basedOn w:val="56"/>
    <w:semiHidden/>
    <w:qFormat/>
    <w:uiPriority w:val="99"/>
    <w:rPr>
      <w:rFonts w:ascii="Times New Roman" w:hAnsi="Times New Roman" w:eastAsia="宋体" w:cs="Times New Roman"/>
      <w:sz w:val="24"/>
      <w:szCs w:val="24"/>
    </w:rPr>
  </w:style>
  <w:style w:type="paragraph" w:customStyle="1" w:styleId="70">
    <w:name w:val="Default"/>
    <w:basedOn w:val="71"/>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71">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72">
    <w:name w:val="纯文本1"/>
    <w:basedOn w:val="1"/>
    <w:autoRedefine/>
    <w:unhideWhenUsed/>
    <w:qFormat/>
    <w:uiPriority w:val="0"/>
    <w:pPr>
      <w:adjustRightInd w:val="0"/>
    </w:pPr>
    <w:rPr>
      <w:rFonts w:hint="eastAsia" w:ascii="宋体" w:hAnsi="Courier New"/>
    </w:rPr>
  </w:style>
  <w:style w:type="paragraph" w:customStyle="1" w:styleId="73">
    <w:name w:val="aa"/>
    <w:basedOn w:val="1"/>
    <w:qFormat/>
    <w:uiPriority w:val="0"/>
    <w:pPr>
      <w:spacing w:line="360" w:lineRule="auto"/>
      <w:ind w:firstLine="480" w:firstLineChars="200"/>
    </w:pPr>
    <w:rPr>
      <w:rFonts w:ascii="宋体" w:hAnsi="宋体" w:eastAsia="宋体" w:cs="Times New Roman"/>
      <w:sz w:val="24"/>
      <w:szCs w:val="24"/>
    </w:rPr>
  </w:style>
  <w:style w:type="paragraph" w:customStyle="1" w:styleId="74">
    <w:name w:val="_Style 3"/>
    <w:qFormat/>
    <w:uiPriority w:val="1"/>
    <w:pPr>
      <w:widowControl w:val="0"/>
      <w:jc w:val="center"/>
    </w:pPr>
    <w:rPr>
      <w:rFonts w:ascii="Times New Roman" w:hAnsi="Times New Roman" w:eastAsia="宋体" w:cs="Times New Roman"/>
      <w:kern w:val="2"/>
      <w:sz w:val="21"/>
      <w:szCs w:val="22"/>
      <w:lang w:val="en-US" w:eastAsia="zh-CN" w:bidi="ar-SA"/>
    </w:rPr>
  </w:style>
  <w:style w:type="paragraph" w:customStyle="1" w:styleId="75">
    <w:name w:val="易恒-正文"/>
    <w:basedOn w:val="1"/>
    <w:link w:val="76"/>
    <w:qFormat/>
    <w:uiPriority w:val="0"/>
    <w:pPr>
      <w:spacing w:line="360" w:lineRule="auto"/>
      <w:ind w:firstLine="200" w:firstLineChars="200"/>
    </w:pPr>
    <w:rPr>
      <w:rFonts w:ascii="Times New Roman" w:hAnsi="Times New Roman" w:eastAsia="宋体"/>
      <w:sz w:val="24"/>
    </w:rPr>
  </w:style>
  <w:style w:type="character" w:customStyle="1" w:styleId="76">
    <w:name w:val="易恒-正文 字符"/>
    <w:basedOn w:val="29"/>
    <w:link w:val="75"/>
    <w:qFormat/>
    <w:uiPriority w:val="0"/>
    <w:rPr>
      <w:rFonts w:ascii="Times New Roman" w:hAnsi="Times New Roman" w:eastAsia="宋体"/>
      <w:sz w:val="24"/>
    </w:rPr>
  </w:style>
  <w:style w:type="paragraph" w:customStyle="1" w:styleId="77">
    <w:name w:val="易恒-表头"/>
    <w:basedOn w:val="75"/>
    <w:next w:val="75"/>
    <w:link w:val="78"/>
    <w:qFormat/>
    <w:uiPriority w:val="0"/>
    <w:pPr>
      <w:ind w:firstLine="0" w:firstLineChars="0"/>
      <w:jc w:val="center"/>
    </w:pPr>
    <w:rPr>
      <w:b/>
    </w:rPr>
  </w:style>
  <w:style w:type="character" w:customStyle="1" w:styleId="78">
    <w:name w:val="易恒-表头 字符"/>
    <w:basedOn w:val="76"/>
    <w:link w:val="77"/>
    <w:qFormat/>
    <w:uiPriority w:val="0"/>
    <w:rPr>
      <w:rFonts w:ascii="Times New Roman" w:hAnsi="Times New Roman" w:eastAsia="宋体"/>
      <w:b/>
      <w:sz w:val="24"/>
    </w:rPr>
  </w:style>
  <w:style w:type="paragraph" w:customStyle="1" w:styleId="79">
    <w:name w:val="易恒-表格"/>
    <w:basedOn w:val="75"/>
    <w:link w:val="80"/>
    <w:qFormat/>
    <w:uiPriority w:val="0"/>
    <w:pPr>
      <w:spacing w:line="240" w:lineRule="auto"/>
      <w:ind w:firstLine="0" w:firstLineChars="0"/>
      <w:jc w:val="center"/>
    </w:pPr>
  </w:style>
  <w:style w:type="character" w:customStyle="1" w:styleId="80">
    <w:name w:val="易恒-表格 字符"/>
    <w:basedOn w:val="76"/>
    <w:link w:val="79"/>
    <w:qFormat/>
    <w:uiPriority w:val="0"/>
    <w:rPr>
      <w:rFonts w:ascii="Times New Roman" w:hAnsi="Times New Roman" w:eastAsia="宋体"/>
      <w:sz w:val="24"/>
    </w:rPr>
  </w:style>
  <w:style w:type="paragraph" w:customStyle="1" w:styleId="81">
    <w:name w:val="正文（用）"/>
    <w:basedOn w:val="1"/>
    <w:qFormat/>
    <w:uiPriority w:val="0"/>
    <w:pPr>
      <w:spacing w:line="360" w:lineRule="auto"/>
      <w:ind w:firstLine="480" w:firstLineChars="200"/>
    </w:pPr>
    <w:rPr>
      <w:rFonts w:ascii="宋体" w:hAnsi="宋体" w:eastAsia="宋体" w:cs="宋体"/>
      <w:sz w:val="24"/>
      <w:szCs w:val="20"/>
    </w:rPr>
  </w:style>
  <w:style w:type="paragraph" w:customStyle="1" w:styleId="82">
    <w:name w:val="sheet"/>
    <w:basedOn w:val="1"/>
    <w:link w:val="83"/>
    <w:qFormat/>
    <w:uiPriority w:val="0"/>
    <w:pPr>
      <w:jc w:val="center"/>
    </w:pPr>
    <w:rPr>
      <w:rFonts w:ascii="Calibri" w:hAnsi="Calibri" w:eastAsia="宋体" w:cs="宋体"/>
      <w:kern w:val="0"/>
    </w:rPr>
  </w:style>
  <w:style w:type="character" w:customStyle="1" w:styleId="83">
    <w:name w:val="sheet Char"/>
    <w:link w:val="82"/>
    <w:qFormat/>
    <w:uiPriority w:val="0"/>
    <w:rPr>
      <w:rFonts w:ascii="Calibri" w:hAnsi="Calibri" w:eastAsia="宋体" w:cs="宋体"/>
      <w:kern w:val="0"/>
    </w:rPr>
  </w:style>
  <w:style w:type="paragraph" w:customStyle="1" w:styleId="84">
    <w:name w:val="BG"/>
    <w:basedOn w:val="1"/>
    <w:qFormat/>
    <w:uiPriority w:val="0"/>
    <w:pPr>
      <w:spacing w:line="360" w:lineRule="auto"/>
      <w:ind w:firstLine="200" w:firstLineChars="200"/>
      <w:jc w:val="center"/>
    </w:pPr>
    <w:rPr>
      <w:rFonts w:ascii="Times New Roman" w:hAnsi="Times New Roman" w:eastAsia="宋体" w:cs="Times New Roman"/>
      <w:szCs w:val="24"/>
    </w:rPr>
  </w:style>
  <w:style w:type="paragraph" w:customStyle="1" w:styleId="85">
    <w:name w:val="样式 样式 黑体 小三 加粗 居中1 + 段前: 0.5 行 行距: 固定值 26 磅"/>
    <w:basedOn w:val="1"/>
    <w:qFormat/>
    <w:uiPriority w:val="0"/>
    <w:pPr>
      <w:spacing w:beforeLines="50" w:line="520" w:lineRule="exact"/>
      <w:jc w:val="center"/>
    </w:pPr>
    <w:rPr>
      <w:rFonts w:ascii="黑体" w:hAnsi="Times New Roman" w:eastAsia="黑体" w:cs="宋体"/>
      <w:sz w:val="24"/>
      <w:szCs w:val="20"/>
    </w:rPr>
  </w:style>
  <w:style w:type="paragraph" w:styleId="86">
    <w:name w:val="Intense Quote"/>
    <w:basedOn w:val="1"/>
    <w:next w:val="1"/>
    <w:link w:val="87"/>
    <w:qFormat/>
    <w:uiPriority w:val="0"/>
    <w:pPr>
      <w:jc w:val="center"/>
    </w:pPr>
    <w:rPr>
      <w:rFonts w:ascii="Times New Roman" w:hAnsi="Times New Roman" w:eastAsia="宋体" w:cs="Times New Roman"/>
      <w:bCs/>
      <w:iCs/>
      <w:szCs w:val="24"/>
      <w:lang w:eastAsia="en-US" w:bidi="en-US"/>
    </w:rPr>
  </w:style>
  <w:style w:type="character" w:customStyle="1" w:styleId="87">
    <w:name w:val="明显引用 字符"/>
    <w:basedOn w:val="29"/>
    <w:link w:val="86"/>
    <w:qFormat/>
    <w:uiPriority w:val="0"/>
    <w:rPr>
      <w:rFonts w:ascii="Times New Roman" w:hAnsi="Times New Roman" w:eastAsia="宋体" w:cs="Times New Roman"/>
      <w:bCs/>
      <w:iCs/>
      <w:szCs w:val="24"/>
      <w:lang w:eastAsia="en-US" w:bidi="en-US"/>
    </w:rPr>
  </w:style>
  <w:style w:type="character" w:customStyle="1" w:styleId="88">
    <w:name w:val="fontstyle01"/>
    <w:qFormat/>
    <w:uiPriority w:val="0"/>
    <w:rPr>
      <w:rFonts w:hint="eastAsia" w:ascii="宋体" w:hAnsi="宋体" w:eastAsia="宋体"/>
      <w:color w:val="000000"/>
      <w:sz w:val="24"/>
      <w:szCs w:val="24"/>
    </w:rPr>
  </w:style>
  <w:style w:type="character" w:customStyle="1" w:styleId="89">
    <w:name w:val="表格 Char"/>
    <w:link w:val="90"/>
    <w:qFormat/>
    <w:uiPriority w:val="0"/>
    <w:rPr>
      <w:rFonts w:ascii="宋体"/>
    </w:rPr>
  </w:style>
  <w:style w:type="paragraph" w:customStyle="1" w:styleId="90">
    <w:name w:val="表格"/>
    <w:basedOn w:val="25"/>
    <w:next w:val="1"/>
    <w:link w:val="89"/>
    <w:qFormat/>
    <w:uiPriority w:val="0"/>
    <w:pPr>
      <w:adjustRightInd w:val="0"/>
      <w:snapToGrid w:val="0"/>
      <w:spacing w:beforeLines="10" w:afterLines="10" w:line="259" w:lineRule="auto"/>
      <w:ind w:firstLine="0" w:firstLineChars="0"/>
      <w:contextualSpacing w:val="0"/>
      <w:jc w:val="center"/>
    </w:pPr>
    <w:rPr>
      <w:rFonts w:ascii="宋体"/>
    </w:rPr>
  </w:style>
  <w:style w:type="paragraph" w:customStyle="1" w:styleId="91">
    <w:name w:val="（正文）"/>
    <w:basedOn w:val="1"/>
    <w:qFormat/>
    <w:uiPriority w:val="0"/>
    <w:pPr>
      <w:ind w:firstLine="200" w:firstLineChars="200"/>
    </w:pPr>
    <w:rPr>
      <w:rFonts w:ascii="Times New Roman" w:hAnsi="Times New Roman" w:eastAsia="仿宋" w:cs="Times New Roman"/>
      <w:szCs w:val="20"/>
    </w:rPr>
  </w:style>
  <w:style w:type="character" w:customStyle="1" w:styleId="92">
    <w:name w:val="表格内容 Char"/>
    <w:link w:val="93"/>
    <w:qFormat/>
    <w:uiPriority w:val="0"/>
    <w:rPr>
      <w:rFonts w:ascii="宋体"/>
      <w:bCs/>
      <w:color w:val="000000"/>
      <w:szCs w:val="21"/>
    </w:rPr>
  </w:style>
  <w:style w:type="paragraph" w:customStyle="1" w:styleId="93">
    <w:name w:val="表格内容"/>
    <w:basedOn w:val="1"/>
    <w:link w:val="92"/>
    <w:qFormat/>
    <w:uiPriority w:val="0"/>
    <w:pPr>
      <w:topLinePunct/>
      <w:jc w:val="center"/>
    </w:pPr>
    <w:rPr>
      <w:rFonts w:ascii="宋体"/>
      <w:bCs/>
      <w:color w:val="000000"/>
      <w:szCs w:val="21"/>
    </w:rPr>
  </w:style>
  <w:style w:type="character" w:styleId="94">
    <w:name w:val="Placeholder Text"/>
    <w:basedOn w:val="29"/>
    <w:semiHidden/>
    <w:qFormat/>
    <w:uiPriority w:val="99"/>
    <w:rPr>
      <w:color w:val="666666"/>
    </w:rPr>
  </w:style>
  <w:style w:type="paragraph" w:customStyle="1" w:styleId="95">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6">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table" w:customStyle="1" w:styleId="97">
    <w:name w:val="网格型1"/>
    <w:basedOn w:val="27"/>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8">
    <w:name w:val="Unresolved Mention"/>
    <w:basedOn w:val="29"/>
    <w:semiHidden/>
    <w:unhideWhenUsed/>
    <w:qFormat/>
    <w:uiPriority w:val="99"/>
    <w:rPr>
      <w:color w:val="605E5C"/>
      <w:shd w:val="clear" w:color="auto" w:fill="E1DFDD"/>
    </w:rPr>
  </w:style>
  <w:style w:type="character" w:customStyle="1" w:styleId="99">
    <w:name w:val="表格内容 Char1"/>
    <w:qFormat/>
    <w:uiPriority w:val="0"/>
    <w:rPr>
      <w:rFonts w:cs="宋体"/>
      <w:sz w:val="21"/>
      <w:szCs w:val="24"/>
    </w:rPr>
  </w:style>
  <w:style w:type="paragraph" w:customStyle="1" w:styleId="100">
    <w:name w:val="李正文"/>
    <w:basedOn w:val="1"/>
    <w:qFormat/>
    <w:uiPriority w:val="0"/>
    <w:pPr>
      <w:tabs>
        <w:tab w:val="left" w:pos="2730"/>
      </w:tabs>
      <w:spacing w:line="360" w:lineRule="auto"/>
      <w:ind w:firstLine="420" w:firstLineChars="200"/>
    </w:pPr>
    <w:rPr>
      <w:rFonts w:ascii="Times New Roman" w:hAnsi="Times New Roman" w:eastAsia="宋体"/>
      <w:sz w:val="24"/>
    </w:rPr>
  </w:style>
  <w:style w:type="paragraph" w:customStyle="1" w:styleId="101">
    <w:name w:val="报告书正文 Char Char Char"/>
    <w:basedOn w:val="1"/>
    <w:qFormat/>
    <w:uiPriority w:val="0"/>
    <w:pPr>
      <w:spacing w:line="300" w:lineRule="auto"/>
      <w:ind w:firstLine="480" w:firstLineChars="200"/>
    </w:pPr>
    <w:rPr>
      <w:rFonts w:ascii="宋体" w:hAnsi="宋体"/>
      <w:sz w:val="24"/>
      <w:szCs w:val="20"/>
    </w:rPr>
  </w:style>
  <w:style w:type="paragraph" w:customStyle="1" w:styleId="102">
    <w:name w:val="环评正文"/>
    <w:basedOn w:val="1"/>
    <w:qFormat/>
    <w:uiPriority w:val="0"/>
    <w:pPr>
      <w:spacing w:line="360" w:lineRule="auto"/>
      <w:ind w:firstLine="560" w:firstLineChars="200"/>
      <w:jc w:val="left"/>
    </w:pPr>
    <w:rPr>
      <w:szCs w:val="28"/>
    </w:rPr>
  </w:style>
  <w:style w:type="paragraph" w:customStyle="1" w:styleId="103">
    <w:name w:val="表3-1"/>
    <w:basedOn w:val="1"/>
    <w:qFormat/>
    <w:uiPriority w:val="0"/>
    <w:pPr>
      <w:widowControl/>
      <w:spacing w:beforeLines="50" w:after="100" w:afterAutospacing="1"/>
      <w:jc w:val="center"/>
    </w:pPr>
    <w:rPr>
      <w:b/>
      <w:sz w:val="24"/>
    </w:rPr>
  </w:style>
  <w:style w:type="paragraph" w:customStyle="1" w:styleId="104">
    <w:name w:val="段落"/>
    <w:basedOn w:val="1"/>
    <w:qFormat/>
    <w:uiPriority w:val="0"/>
    <w:pPr>
      <w:tabs>
        <w:tab w:val="left" w:pos="720"/>
        <w:tab w:val="left" w:pos="900"/>
      </w:tabs>
      <w:spacing w:line="360" w:lineRule="auto"/>
      <w:ind w:firstLine="480" w:firstLineChars="200"/>
    </w:pPr>
    <w:rPr>
      <w:kern w:val="24"/>
      <w:sz w:val="24"/>
    </w:rPr>
  </w:style>
  <w:style w:type="paragraph" w:customStyle="1" w:styleId="105">
    <w:name w:val="BG-表头"/>
    <w:basedOn w:val="1"/>
    <w:qFormat/>
    <w:uiPriority w:val="0"/>
    <w:pPr>
      <w:spacing w:line="240" w:lineRule="auto"/>
      <w:ind w:firstLine="0" w:firstLineChars="0"/>
      <w:jc w:val="center"/>
    </w:pPr>
    <w:rPr>
      <w:b/>
      <w:sz w:val="21"/>
    </w:rPr>
  </w:style>
  <w:style w:type="paragraph" w:customStyle="1" w:styleId="106">
    <w:name w:val="环评表格"/>
    <w:basedOn w:val="1"/>
    <w:qFormat/>
    <w:uiPriority w:val="0"/>
    <w:pPr>
      <w:pBdr>
        <w:top w:val="none" w:color="auto" w:sz="0" w:space="1"/>
        <w:left w:val="none" w:color="auto" w:sz="0" w:space="4"/>
        <w:bottom w:val="none" w:color="auto" w:sz="0" w:space="1"/>
        <w:right w:val="none" w:color="auto" w:sz="0" w:space="4"/>
      </w:pBdr>
      <w:jc w:val="center"/>
    </w:pPr>
    <w:rPr>
      <w:szCs w:val="28"/>
    </w:rPr>
  </w:style>
  <w:style w:type="paragraph" w:customStyle="1" w:styleId="107">
    <w:name w:val="段"/>
    <w:qFormat/>
    <w:uiPriority w:val="0"/>
    <w:pPr>
      <w:autoSpaceDE w:val="0"/>
      <w:autoSpaceDN w:val="0"/>
      <w:ind w:firstLine="200" w:firstLineChars="200"/>
      <w:jc w:val="both"/>
    </w:pPr>
    <w:rPr>
      <w:rFonts w:ascii="宋体" w:hAnsi="Calibri" w:eastAsia="宋体" w:cs="Times New Roman"/>
      <w:sz w:val="21"/>
      <w:szCs w:val="22"/>
      <w:lang w:val="en-US" w:eastAsia="zh-CN" w:bidi="ar-SA"/>
    </w:rPr>
  </w:style>
  <w:style w:type="paragraph" w:customStyle="1" w:styleId="108">
    <w:name w:val="正文-大多数内容"/>
    <w:basedOn w:val="1"/>
    <w:qFormat/>
    <w:uiPriority w:val="0"/>
    <w:pPr>
      <w:ind w:firstLine="720"/>
    </w:pPr>
  </w:style>
  <w:style w:type="paragraph" w:customStyle="1" w:styleId="109">
    <w:name w:val="D表内1磅"/>
    <w:basedOn w:val="110"/>
    <w:qFormat/>
    <w:uiPriority w:val="0"/>
    <w:pPr>
      <w:spacing w:before="20" w:after="20"/>
    </w:pPr>
    <w:rPr>
      <w:rFonts w:ascii="Times New Roman"/>
      <w:spacing w:val="0"/>
    </w:rPr>
  </w:style>
  <w:style w:type="paragraph" w:customStyle="1" w:styleId="110">
    <w:name w:val="D表内0磅"/>
    <w:basedOn w:val="111"/>
    <w:semiHidden/>
    <w:qFormat/>
    <w:uiPriority w:val="0"/>
    <w:pPr>
      <w:jc w:val="center"/>
    </w:pPr>
    <w:rPr>
      <w:rFonts w:ascii="仿宋_GB2312"/>
      <w:spacing w:val="4"/>
      <w:szCs w:val="21"/>
    </w:rPr>
  </w:style>
  <w:style w:type="paragraph" w:customStyle="1" w:styleId="111">
    <w:name w:val="D表内"/>
    <w:basedOn w:val="112"/>
    <w:next w:val="1"/>
    <w:semiHidden/>
    <w:qFormat/>
    <w:uiPriority w:val="0"/>
    <w:pPr>
      <w:spacing w:before="40" w:after="40"/>
    </w:pPr>
  </w:style>
  <w:style w:type="paragraph" w:customStyle="1" w:styleId="112">
    <w:name w:val="图表"/>
    <w:basedOn w:val="1"/>
    <w:semiHidden/>
    <w:qFormat/>
    <w:uiPriority w:val="0"/>
    <w:pPr>
      <w:spacing w:before="120" w:after="120" w:line="240" w:lineRule="auto"/>
      <w:ind w:firstLine="0" w:firstLineChars="0"/>
      <w:jc w:val="center"/>
    </w:pPr>
    <w:rPr>
      <w:kern w:val="2"/>
      <w:sz w:val="21"/>
      <w:szCs w:val="21"/>
    </w:rPr>
  </w:style>
  <w:style w:type="paragraph" w:customStyle="1" w:styleId="113">
    <w:name w:val="Default1"/>
    <w:basedOn w:val="25"/>
    <w:next w:val="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14">
    <w:name w:val="表头"/>
    <w:basedOn w:val="10"/>
    <w:next w:val="1"/>
    <w:qFormat/>
    <w:uiPriority w:val="0"/>
    <w:pPr>
      <w:adjustRightInd w:val="0"/>
      <w:snapToGrid w:val="0"/>
      <w:jc w:val="center"/>
    </w:pPr>
    <w:rPr>
      <w:b/>
      <w:color w:val="000000"/>
      <w:szCs w:val="20"/>
    </w:rPr>
  </w:style>
  <w:style w:type="paragraph" w:customStyle="1" w:styleId="115">
    <w:name w:val="文本表格"/>
    <w:basedOn w:val="1"/>
    <w:qFormat/>
    <w:uiPriority w:val="0"/>
    <w:pPr>
      <w:adjustRightInd/>
      <w:snapToGrid/>
      <w:spacing w:line="240" w:lineRule="auto"/>
      <w:ind w:firstLine="0" w:firstLineChars="0"/>
      <w:jc w:val="center"/>
    </w:pPr>
    <w:rPr>
      <w:rFonts w:hint="eastAsia" w:ascii="宋体" w:hAnsi="宋体" w:eastAsia="宋体" w:cs="宋体"/>
      <w:sz w:val="21"/>
    </w:rPr>
  </w:style>
  <w:style w:type="paragraph" w:customStyle="1" w:styleId="116">
    <w:name w:val="文本正文"/>
    <w:basedOn w:val="1"/>
    <w:qFormat/>
    <w:uiPriority w:val="0"/>
    <w:pPr>
      <w:adjustRightInd/>
      <w:snapToGrid/>
      <w:spacing w:line="360" w:lineRule="auto"/>
      <w:ind w:firstLine="1044" w:firstLineChars="200"/>
    </w:pPr>
    <w:rPr>
      <w:rFonts w:hint="eastAsia" w:ascii="宋体" w:hAnsi="宋体" w:eastAsia="宋体" w:cs="宋体"/>
      <w:sz w:val="24"/>
    </w:rPr>
  </w:style>
  <w:style w:type="paragraph" w:customStyle="1" w:styleId="117">
    <w:name w:val="表"/>
    <w:basedOn w:val="1"/>
    <w:qFormat/>
    <w:uiPriority w:val="0"/>
    <w:pPr>
      <w:jc w:val="center"/>
    </w:pPr>
  </w:style>
  <w:style w:type="paragraph" w:customStyle="1" w:styleId="118">
    <w:name w:val="Table Paragraph"/>
    <w:basedOn w:val="1"/>
    <w:qFormat/>
    <w:uiPriority w:val="1"/>
    <w:pPr>
      <w:autoSpaceDE w:val="0"/>
      <w:autoSpaceDN w:val="0"/>
      <w:adjustRightInd w:val="0"/>
      <w:jc w:val="left"/>
    </w:pPr>
    <w:rPr>
      <w:rFonts w:cs="Times New Roman"/>
    </w:rPr>
  </w:style>
  <w:style w:type="character" w:customStyle="1" w:styleId="119">
    <w:name w:val="正文文本缩进 字符"/>
    <w:link w:val="3"/>
    <w:qFormat/>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1" Type="http://schemas.openxmlformats.org/officeDocument/2006/relationships/fontTable" Target="fontTable.xml"/><Relationship Id="rId40" Type="http://schemas.openxmlformats.org/officeDocument/2006/relationships/customXml" Target="../customXml/item1.xml"/><Relationship Id="rId4" Type="http://schemas.openxmlformats.org/officeDocument/2006/relationships/footer" Target="footer2.xml"/><Relationship Id="rId39" Type="http://schemas.openxmlformats.org/officeDocument/2006/relationships/numbering" Target="numbering.xml"/><Relationship Id="rId38" Type="http://schemas.openxmlformats.org/officeDocument/2006/relationships/image" Target="media/image29.png"/><Relationship Id="rId37" Type="http://schemas.openxmlformats.org/officeDocument/2006/relationships/image" Target="media/image28.png"/><Relationship Id="rId36" Type="http://schemas.openxmlformats.org/officeDocument/2006/relationships/image" Target="media/image27.png"/><Relationship Id="rId35" Type="http://schemas.openxmlformats.org/officeDocument/2006/relationships/image" Target="media/image26.png"/><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jpeg"/><Relationship Id="rId3" Type="http://schemas.openxmlformats.org/officeDocument/2006/relationships/footer" Target="footer1.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emf"/><Relationship Id="rId22" Type="http://schemas.openxmlformats.org/officeDocument/2006/relationships/oleObject" Target="embeddings/oleObject4.bin"/><Relationship Id="rId21" Type="http://schemas.openxmlformats.org/officeDocument/2006/relationships/image" Target="media/image13.emf"/><Relationship Id="rId20" Type="http://schemas.openxmlformats.org/officeDocument/2006/relationships/oleObject" Target="embeddings/oleObject3.bin"/><Relationship Id="rId2" Type="http://schemas.openxmlformats.org/officeDocument/2006/relationships/settings" Target="settings.xml"/><Relationship Id="rId19" Type="http://schemas.openxmlformats.org/officeDocument/2006/relationships/image" Target="media/image12.emf"/><Relationship Id="rId18" Type="http://schemas.openxmlformats.org/officeDocument/2006/relationships/oleObject" Target="embeddings/oleObject2.bin"/><Relationship Id="rId17" Type="http://schemas.openxmlformats.org/officeDocument/2006/relationships/image" Target="media/image11.emf"/><Relationship Id="rId16" Type="http://schemas.openxmlformats.org/officeDocument/2006/relationships/oleObject" Target="embeddings/oleObject1.bin"/><Relationship Id="rId15" Type="http://schemas.openxmlformats.org/officeDocument/2006/relationships/image" Target="media/image10.png"/><Relationship Id="rId14" Type="http://schemas.openxmlformats.org/officeDocument/2006/relationships/image" Target="media/image9.jpe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97e4eaf5-493f-44a8-b864-c77ba8cd7e01</errorID>
      <errorWord>，</errorWord>
      <group>L1_Format</group>
      <groupName>格式问题</groupName>
      <ability>L2_HalfPunc_CN</ability>
      <abilityName>全半角检查</abilityName>
      <candidateList>
        <item>,</item>
      </candidateList>
      <explain>文本全半角错误。</explain>
      <paraID>4AB7EDC2</paraID>
      <start>14</start>
      <end>15</end>
      <status>unmodified</status>
      <modifiedWord/>
      <trackRevisions>false</trackRevisions>
    </reviewItem>
    <reviewItem>
      <errorID>57c7fdae-3f17-4ec2-bc1f-732ed3fcf77b</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2EABFE93</paraID>
      <start>20</start>
      <end>21</end>
      <status>unmodified</status>
      <modifiedWord/>
      <trackRevisions>false</trackRevisions>
    </reviewItem>
    <reviewItem>
      <errorID>57b5c221-a65c-4ceb-92a2-d8b763518c6c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1D02CFC1</paraID>
      <start>0</start>
      <end>2</end>
      <status>unmodified</status>
      <modifiedWord/>
      <trackRevisions>false</trackRevisions>
    </reviewItem>
    <reviewItem>
      <errorID>e7f06762-2875-4f44-b1ea-46b9793e36e0</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1D02CFC1</paraID>
      <start>23</start>
      <end>24</end>
      <status>unmodified</status>
      <modifiedWord/>
      <trackRevisions>false</trackRevisions>
    </reviewItem>
    <reviewItem>
      <errorID>dfae2691-beb6-4b28-b262-debbc585db4c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814337B</paraID>
      <start>22</start>
      <end>23</end>
      <status>unmodified</status>
      <modifiedWord/>
      <trackRevisions>false</trackRevisions>
    </reviewItem>
    <reviewItem>
      <errorID>c46acea5-759b-4566-9104-2b4a86f0ccc5</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814337B</paraID>
      <start>44</start>
      <end>47</end>
      <status>unmodified</status>
      <modifiedWord/>
      <trackRevisions>false</trackRevisions>
    </reviewItem>
    <reviewItem>
      <errorID>49aea925-69d2-42ba-8cd3-01fb421965e3</errorID>
      <errorWord>富</errorWord>
      <group>L1_Word</group>
      <groupName>字词问题</groupName>
      <ability>L2_Typo</ability>
      <abilityName>字词错误</abilityName>
      <candidateList>
        <item>富的</item>
      </candidateList>
      <explain/>
      <paraID> 1B3FA1F</paraID>
      <start>101</start>
      <end>103</end>
      <status>modified</status>
      <modifiedWord>富的</modifiedWord>
      <trackRevisions>false</trackRevisions>
    </reviewItem>
    <reviewItem>
      <errorID>30007f42-e9dd-4349-a246-5e08e2226649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5B114157</paraID>
      <start>0</start>
      <end>2</end>
      <status>unmodified</status>
      <modifiedWord/>
      <trackRevisions>false</trackRevisions>
    </reviewItem>
    <reviewItem>
      <errorID>231bb42e-8de0-47c1-94a3-5b3a1ba119b5</errorID>
      <errorWord>-</errorWord>
      <group>L1_Format</group>
      <groupName>格式问题</groupName>
      <ability>L2_HalfPunc_CN</ability>
      <abilityName>全半角检查</abilityName>
      <candidateList>
        <item>－</item>
      </candidateList>
      <explain>文本全半角错误。</explain>
      <paraID>4CC27D8D</paraID>
      <start>148</start>
      <end>149</end>
      <status>unmodified</status>
      <modifiedWord/>
      <trackRevisions>false</trackRevisions>
    </reviewItem>
    <reviewItem>
      <errorID>16c8ec14-c317-4d15-99ca-cdf7bfb94a30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25387ECD</paraID>
      <start>0</start>
      <end>2</end>
      <status>unmodified</status>
      <modifiedWord/>
      <trackRevisions>false</trackRevisions>
    </reviewItem>
    <reviewItem>
      <errorID>d7740cad-4207-44c0-b496-e5bee631bcd0</errorID>
      <errorWord>小</errorWord>
      <group>L1_Word</group>
      <groupName>字词问题</groupName>
      <ability>L2_Typo</ability>
      <abilityName>字词错误</abilityName>
      <candidateList>
        <item>少</item>
      </candidateList>
      <explain/>
      <paraID>29760FF4</paraID>
      <start>28</start>
      <end>29</end>
      <status>unmodified</status>
      <modifiedWord/>
      <trackRevisions>false</trackRevisions>
    </reviewItem>
    <reviewItem>
      <errorID>823c9fb6-fc09-4121-aab9-20f3d5287275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78115737</paraID>
      <start>0</start>
      <end>2</end>
      <status>unmodified</status>
      <modifiedWord/>
      <trackRevisions>false</trackRevisions>
    </reviewItem>
    <reviewItem>
      <errorID>a919e003-60e5-4698-9806-e5ad5a80021c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284474C5</paraID>
      <start>0</start>
      <end>2</end>
      <status>unmodified</status>
      <modifiedWord/>
      <trackRevisions>false</trackRevisions>
    </reviewItem>
    <reviewItem>
      <errorID>cbcf2ba5-778a-4f4a-a4ee-22e5a7f830f4</errorID>
      <errorWord>政协十三届全国委员会</errorWord>
      <group>L1_Political</group>
      <groupName>政治性问题</groupName>
      <ability>L2_Unpolitical</ability>
      <abilityName>政治敏感错误</abilityName>
      <candidateList>
        <item>政协第十三届全国委员会</item>
      </candidateList>
      <explain/>
      <paraID>77ECCB2C</paraID>
      <start>18</start>
      <end>28</end>
      <status>unmodified</status>
      <modifiedWord/>
      <trackRevisions>false</trackRevisions>
    </reviewItem>
    <reviewItem>
      <errorID>26eb1627-f29b-4e45-8bc8-3325dc26e990</errorID>
      <errorWord>《</errorWord>
      <group>L1_Punc</group>
      <groupName>标点问题</groupName>
      <ability>L2_Punc_CN</ability>
      <abilityName>标点符号检查</abilityName>
      <candidateList/>
      <explain>同一形式括号套用。</explain>
      <paraID>6F88262A</paraID>
      <start>9</start>
      <end>10</end>
      <status>unmodified</status>
      <modifiedWord/>
      <trackRevisions>false</trackRevisions>
    </reviewItem>
    <reviewItem>
      <errorID>7b1c03ec-f0b0-4a57-9b6c-171d7795cd53</errorID>
      <errorWord>》</errorWord>
      <group>L1_Punc</group>
      <groupName>标点问题</groupName>
      <ability>L2_Punc_CN</ability>
      <abilityName>标点符号检查</abilityName>
      <candidateList/>
      <explain>同一形式括号套用。</explain>
      <paraID>6F88262A</paraID>
      <start>17</start>
      <end>18</end>
      <status>unmodified</status>
      <modifiedWord/>
      <trackRevisions>false</trackRevisions>
    </reviewItem>
    <reviewItem>
      <errorID>b3aa6d63-4590-41c9-99a1-4d52ca8ce4fc</errorID>
      <errorWord>设</errorWord>
      <group>L1_Word</group>
      <groupName>字词问题</groupName>
      <ability>L2_Typo</ability>
      <abilityName>字词错误</abilityName>
      <candidateList>
        <item>设置</item>
      </candidateList>
      <explain/>
      <paraID>5AC54D00</paraID>
      <start>78</start>
      <end>79</end>
      <status>unmodified</status>
      <modifiedWord/>
      <trackRevisions>false</trackRevisions>
    </reviewItem>
    <reviewItem>
      <errorID>b92e70e7-88eb-47cd-a47e-bf081a46b5b4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34CEB9F1</paraID>
      <start>0</start>
      <end>2</end>
      <status>unmodified</status>
      <modifiedWord/>
      <trackRevisions>false</trackRevisions>
    </reviewItem>
    <reviewItem>
      <errorID>e7fbb515-6f9e-4d81-b7b3-0422509842b0</errorID>
      <errorWord>(</errorWord>
      <group>L1_Format</group>
      <groupName>格式问题</groupName>
      <ability>L2_HalfPunc_CN</ability>
      <abilityName>全半角检查</abilityName>
      <candidateList>
        <item>（</item>
      </candidateList>
      <explain>文本全半角错误。</explain>
      <paraID>372407FC</paraID>
      <start>41</start>
      <end>42</end>
      <status>unmodified</status>
      <modifiedWord/>
      <trackRevisions>false</trackRevisions>
    </reviewItem>
    <reviewItem>
      <errorID>3d8495b9-5048-4fa0-b81f-aabc844e1257</errorID>
      <errorWord>)</errorWord>
      <group>L1_Format</group>
      <groupName>格式问题</groupName>
      <ability>L2_HalfPunc_CN</ability>
      <abilityName>全半角检查</abilityName>
      <candidateList>
        <item>）</item>
      </candidateList>
      <explain>文本全半角错误。</explain>
      <paraID>372407FC</paraID>
      <start>45</start>
      <end>46</end>
      <status>unmodified</status>
      <modifiedWord/>
      <trackRevisions>false</trackRevisions>
    </reviewItem>
    <reviewItem>
      <errorID>b4f5f927-fb4e-48ff-b31f-bf6fe819a01f</errorID>
      <errorWord>(</errorWord>
      <group>L1_Format</group>
      <groupName>格式问题</groupName>
      <ability>L2_HalfPunc_CN</ability>
      <abilityName>全半角检查</abilityName>
      <candidateList>
        <item>（</item>
      </candidateList>
      <explain>文本全半角错误。</explain>
      <paraID>372407FC</paraID>
      <start>56</start>
      <end>57</end>
      <status>unmodified</status>
      <modifiedWord/>
      <trackRevisions>false</trackRevisions>
    </reviewItem>
    <reviewItem>
      <errorID>7e9a098d-f2b0-4400-88eb-cf99e8e21401</errorID>
      <errorWord>)</errorWord>
      <group>L1_Format</group>
      <groupName>格式问题</groupName>
      <ability>L2_HalfPunc_CN</ability>
      <abilityName>全半角检查</abilityName>
      <candidateList>
        <item>）</item>
      </candidateList>
      <explain>文本全半角错误。</explain>
      <paraID>372407FC</paraID>
      <start>61</start>
      <end>62</end>
      <status>unmodified</status>
      <modifiedWord/>
      <trackRevisions>false</trackRevisions>
    </reviewItem>
    <reviewItem>
      <errorID>574dde8d-b73c-40f0-b076-10d63e3d7ce3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652F5F8C</paraID>
      <start>0</start>
      <end>2</end>
      <status>unmodified</status>
      <modifiedWord/>
      <trackRevisions>false</trackRevisions>
    </reviewItem>
    <reviewItem>
      <errorID>743112b8-7bf9-43b5-afde-9b82b9f4be20</errorID>
      <errorWord>1,4-丁二醇</errorWord>
      <group>L1_Word</group>
      <groupName>字词问题</groupName>
      <ability>L2_Typo</ability>
      <abilityName>字词错误</abilityName>
      <candidateList/>
      <explain>【违禁内容】句中涉及国家法律明令禁止的违禁内容，请注意甄别。</explain>
      <paraID>6E4DA504</paraID>
      <start>69</start>
      <end>76</end>
      <status>unmodified</status>
      <modifiedWord/>
      <trackRevisions>false</trackRevisions>
    </reviewItem>
    <reviewItem>
      <errorID>14b7cb8f-fb51-44f7-963d-428a36e3cc64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5A4BB70C</paraID>
      <start>0</start>
      <end>2</end>
      <status>unmodified</status>
      <modifiedWord/>
      <trackRevisions>false</trackRevisions>
    </reviewItem>
    <reviewItem>
      <errorID>b496d5ba-c373-45b2-ace9-439363111423</errorID>
      <errorWord>(</errorWord>
      <group>L1_Format</group>
      <groupName>格式问题</groupName>
      <ability>L2_HalfPunc_CN</ability>
      <abilityName>全半角检查</abilityName>
      <candidateList>
        <item>（</item>
      </candidateList>
      <explain>文本全半角错误。</explain>
      <paraID> A967614</paraID>
      <start>60</start>
      <end>61</end>
      <status>unmodified</status>
      <modifiedWord/>
      <trackRevisions>false</trackRevisions>
    </reviewItem>
    <reviewItem>
      <errorID>aced4958-9e47-41f3-803f-24a5c3e54ba0</errorID>
      <errorWord>)</errorWord>
      <group>L1_Format</group>
      <groupName>格式问题</groupName>
      <ability>L2_HalfPunc_CN</ability>
      <abilityName>全半角检查</abilityName>
      <candidateList>
        <item>）</item>
      </candidateList>
      <explain>文本全半角错误。</explain>
      <paraID> A967614</paraID>
      <start>68</start>
      <end>69</end>
      <status>unmodified</status>
      <modifiedWord/>
      <trackRevisions>false</trackRevisions>
    </reviewItem>
    <reviewItem>
      <errorID>37e985f9-c344-40dd-9285-39d44776b178</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A967614</paraID>
      <start>210</start>
      <end>211</end>
      <status>unmodified</status>
      <modifiedWord/>
      <trackRevisions>false</trackRevisions>
    </reviewItem>
    <reviewItem>
      <errorID>c52f6faf-5aba-4027-bfa0-b8bc41a75c47</errorID>
      <errorWord>:</errorWord>
      <group>L1_Format</group>
      <groupName>格式问题</groupName>
      <ability>L2_HalfPunc_CN</ability>
      <abilityName>全半角检查</abilityName>
      <candidateList>
        <item>：</item>
      </candidateList>
      <explain>文本全半角错误。</explain>
      <paraID>47A9D010</paraID>
      <start>77</start>
      <end>78</end>
      <status>unmodified</status>
      <modifiedWord/>
      <trackRevisions>false</trackRevisions>
    </reviewItem>
    <reviewItem>
      <errorID>ce3bb303-1896-4255-877a-53030803693e</errorID>
      <errorWord>(</errorWord>
      <group>L1_Format</group>
      <groupName>格式问题</groupName>
      <ability>L2_HalfPunc_CN</ability>
      <abilityName>全半角检查</abilityName>
      <candidateList>
        <item>（</item>
      </candidateList>
      <explain>文本全半角错误。</explain>
      <paraID>394E0438</paraID>
      <start>58</start>
      <end>59</end>
      <status>unmodified</status>
      <modifiedWord/>
      <trackRevisions>false</trackRevisions>
    </reviewItem>
    <reviewItem>
      <errorID>8be3699c-5584-479e-92d8-c7b9e07f457a</errorID>
      <errorWord>)</errorWord>
      <group>L1_Format</group>
      <groupName>格式问题</groupName>
      <ability>L2_HalfPunc_CN</ability>
      <abilityName>全半角检查</abilityName>
      <candidateList>
        <item>）</item>
      </candidateList>
      <explain>文本全半角错误。</explain>
      <paraID>394E0438</paraID>
      <start>60</start>
      <end>61</end>
      <status>unmodified</status>
      <modifiedWord/>
      <trackRevisions>false</trackRevisions>
    </reviewItem>
    <reviewItem>
      <errorID>b77ec113-a212-42fc-ba51-a7d19224744d</errorID>
      <errorWord>(</errorWord>
      <group>L1_Format</group>
      <groupName>格式问题</groupName>
      <ability>L2_HalfPunc_CN</ability>
      <abilityName>全半角检查</abilityName>
      <candidateList>
        <item>（</item>
      </candidateList>
      <explain>文本全半角错误。</explain>
      <paraID>394E0438</paraID>
      <start>66</start>
      <end>67</end>
      <status>unmodified</status>
      <modifiedWord/>
      <trackRevisions>false</trackRevisions>
    </reviewItem>
    <reviewItem>
      <errorID>2533f679-600f-4086-b650-b5e4dd575928</errorID>
      <errorWord>)</errorWord>
      <group>L1_Format</group>
      <groupName>格式问题</groupName>
      <ability>L2_HalfPunc_CN</ability>
      <abilityName>全半角检查</abilityName>
      <candidateList>
        <item>）</item>
      </candidateList>
      <explain>文本全半角错误。</explain>
      <paraID>394E0438</paraID>
      <start>68</start>
      <end>69</end>
      <status>unmodified</status>
      <modifiedWord/>
      <trackRevisions>false</trackRevisions>
    </reviewItem>
    <reviewItem>
      <errorID>611852a6-f859-4aef-84f2-f661b08eb5f8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60F99036</paraID>
      <start>0</start>
      <end>2</end>
      <status>unmodified</status>
      <modifiedWord/>
      <trackRevisions>false</trackRevisions>
    </reviewItem>
    <reviewItem>
      <errorID>0411c673-4ffe-4084-b8b2-aad52fe713f4</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60F99036</paraID>
      <start>30</start>
      <end>31</end>
      <status>unmodified</status>
      <modifiedWord/>
      <trackRevisions>false</trackRevisions>
    </reviewItem>
    <reviewItem>
      <errorID>5e6859a4-9547-4ff1-8a51-02670c1ee9cc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5F0BF02</paraID>
      <start>128</start>
      <end>129</end>
      <status>unmodified</status>
      <modifiedWord/>
      <trackRevisions>false</trackRevisions>
    </reviewItem>
    <reviewItem>
      <errorID>c600128c-b54c-47e6-b057-32bfe58498ae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6646D857</paraID>
      <start>0</start>
      <end>2</end>
      <status>unmodified</status>
      <modifiedWord/>
      <trackRevisions>false</trackRevisions>
    </reviewItem>
    <reviewItem>
      <errorID>3c1c3b88-b4cc-4161-8bab-09b6eb01443e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40C07E82</paraID>
      <start>0</start>
      <end>3</end>
      <status>unmodified</status>
      <modifiedWord/>
      <trackRevisions>false</trackRevisions>
    </reviewItem>
    <reviewItem>
      <errorID>860409dc-a6d5-4514-8ac3-810dd2c4496a</errorID>
      <errorWord>，为</errorWord>
      <group>L1_Word</group>
      <groupName>字词问题</groupName>
      <ability>L2_Typo</ability>
      <abilityName>字词错误</abilityName>
      <candidateList>
        <item>，</item>
      </candidateList>
      <explain/>
      <paraID>6755B7E8</paraID>
      <start>37</start>
      <end>39</end>
      <status>unmodified</status>
      <modifiedWord/>
      <trackRevisions>false</trackRevisions>
    </reviewItem>
    <reviewItem>
      <errorID>89fc9d55-10ee-41eb-945f-b13d855fe0b0</errorID>
      <errorWord>，为</errorWord>
      <group>L1_Word</group>
      <groupName>字词问题</groupName>
      <ability>L2_Typo</ability>
      <abilityName>字词错误</abilityName>
      <candidateList>
        <item>，</item>
      </candidateList>
      <explain/>
      <paraID>  A9B450</paraID>
      <start>73</start>
      <end>75</end>
      <status>unmodified</status>
      <modifiedWord/>
      <trackRevisions>false</trackRevisions>
    </reviewItem>
    <reviewItem>
      <errorID>5bcecbae-be86-4962-a742-1adfe29f4918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612AEE8A</paraID>
      <start>0</start>
      <end>3</end>
      <status>unmodified</status>
      <modifiedWord/>
      <trackRevisions>false</trackRevisions>
    </reviewItem>
    <reviewItem>
      <errorID>7d4f3b12-616b-4ae1-a71b-b9656e9341a8</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439D736B</paraID>
      <start>0</start>
      <end>3</end>
      <status>unmodified</status>
      <modifiedWord/>
      <trackRevisions>false</trackRevisions>
    </reviewItem>
    <reviewItem>
      <errorID>a4b0464d-1856-4043-9965-980bc304f4db</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439D736B</paraID>
      <start>31</start>
      <end>32</end>
      <status>unmodified</status>
      <modifiedWord/>
      <trackRevisions>false</trackRevisions>
    </reviewItem>
    <reviewItem>
      <errorID>24b2db3b-cc7c-47ed-88df-594e0a13c93f</errorID>
      <errorWord>，</errorWord>
      <group>L1_Word</group>
      <groupName>字词问题</groupName>
      <ability>L2_Typo</ability>
      <abilityName>字词错误</abilityName>
      <candidateList>
        <item>，对</item>
      </candidateList>
      <explain/>
      <paraID>15EB147D</paraID>
      <start>34</start>
      <end>35</end>
      <status>unmodified</status>
      <modifiedWord/>
      <trackRevisions>false</trackRevisions>
    </reviewItem>
    <reviewItem>
      <errorID>0a443766-420a-4ae1-a01a-4c2c6c486889</errorID>
      <errorWord>谋划”十五五”</errorWord>
      <group>L1_Political</group>
      <groupName>政治性问题</groupName>
      <ability>L2_Keyword</ability>
      <abilityName>固定表述</abilityName>
      <candidateList>
        <item>谋划“十五五”</item>
      </candidateList>
      <explain>注意检查当前固定表述标点是否使用规范。</explain>
      <paraID>15EB147D</paraID>
      <start>105</start>
      <end>112</end>
      <status>modified</status>
      <modifiedWord>谋划“十五五”</modifiedWord>
      <trackRevisions>false</trackRevisions>
    </reviewItem>
    <reviewItem>
      <errorID>4ac9cf6c-67fb-490f-b5f7-a5e12e0b9bcf</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1FA733D</paraID>
      <start>0</start>
      <end>3</end>
      <status>unmodified</status>
      <modifiedWord/>
      <trackRevisions>false</trackRevisions>
    </reviewItem>
    <reviewItem>
      <errorID>551aeddb-ca0d-4b8b-9c37-f93d8883ed99</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445719ED</paraID>
      <start>0</start>
      <end>3</end>
      <status>unmodified</status>
      <modifiedWord/>
      <trackRevisions>false</trackRevisions>
    </reviewItem>
    <reviewItem>
      <errorID>11f90f9d-0d99-45bd-9603-1c2673e066ee</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4A4396B5</paraID>
      <start>25</start>
      <end>26</end>
      <status>unmodified</status>
      <modifiedWord/>
      <trackRevisions>false</trackRevisions>
    </reviewItem>
    <reviewItem>
      <errorID>b5807804-05df-483e-9a01-1bf8d4af2414</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257E6DF5</paraID>
      <start>0</start>
      <end>3</end>
      <status>unmodified</status>
      <modifiedWord/>
      <trackRevisions>false</trackRevisions>
    </reviewItem>
    <reviewItem>
      <errorID>5a61167e-3e4a-47f4-ba7d-b008f579c620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A75AF00</paraID>
      <start>0</start>
      <end>2</end>
      <status>unmodified</status>
      <modifiedWord/>
      <trackRevisions>false</trackRevisions>
    </reviewItem>
    <reviewItem>
      <errorID>3254a475-0bcd-4e20-8762-7139466b0744</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1E44D2DC</paraID>
      <start>32</start>
      <end>33</end>
      <status>unmodified</status>
      <modifiedWord/>
      <trackRevisions>false</trackRevisions>
    </reviewItem>
    <reviewItem>
      <errorID>0e6d828f-dcfa-48cf-a4bb-d9bae268d397</errorID>
      <errorWord>项</errorWord>
      <group>L1_Word</group>
      <groupName>字词问题</groupName>
      <ability>L2_Typo</ability>
      <abilityName>字词错误</abilityName>
      <candidateList>
        <item>项目</item>
      </candidateList>
      <explain/>
      <paraID>1E44D2DC</paraID>
      <start>35</start>
      <end>37</end>
      <status>modified</status>
      <modifiedWord>项目</modifiedWord>
      <trackRevisions>false</trackRevisions>
    </reviewItem>
    <reviewItem>
      <errorID>b471d266-a2a1-419b-993d-9a414e3534c9</errorID>
      <errorWord>-</errorWord>
      <group>L1_Format</group>
      <groupName>格式问题</groupName>
      <ability>L2_HalfPunc_CN</ability>
      <abilityName>全半角检查</abilityName>
      <candidateList>
        <item>－</item>
      </candidateList>
      <explain>文本全半角错误。</explain>
      <paraID>1E44D2DC</paraID>
      <start>109</start>
      <end>110</end>
      <status>unmodified</status>
      <modifiedWord/>
      <trackRevisions>false</trackRevisions>
    </reviewItem>
    <reviewItem>
      <errorID>74829e35-5c24-4e78-b272-2f15bb778fe5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60B2EB99</paraID>
      <start>0</start>
      <end>2</end>
      <status>unmodified</status>
      <modifiedWord/>
      <trackRevisions>false</trackRevisions>
    </reviewItem>
    <reviewItem>
      <errorID>77821a5a-9cb2-42c6-a296-315a5cb9009a</errorID>
      <errorWord>设</errorWord>
      <group>L1_Word</group>
      <groupName>字词问题</groupName>
      <ability>L2_Typo</ability>
      <abilityName>字词错误</abilityName>
      <candidateList>
        <item>设置</item>
      </candidateList>
      <explain/>
      <paraID>571FB4A3</paraID>
      <start>8</start>
      <end>9</end>
      <status>unmodified</status>
      <modifiedWord/>
      <trackRevisions>false</trackRevisions>
    </reviewItem>
    <reviewItem>
      <errorID>5507b84f-e428-4327-9520-b6909cb3635c</errorID>
      <errorWord>设</errorWord>
      <group>L1_Word</group>
      <groupName>字词问题</groupName>
      <ability>L2_Typo</ability>
      <abilityName>字词错误</abilityName>
      <candidateList>
        <item>设置</item>
      </candidateList>
      <explain/>
      <paraID>26A84FD3</paraID>
      <start>8</start>
      <end>9</end>
      <status>unmodified</status>
      <modifiedWord/>
      <trackRevisions>false</trackRevisions>
    </reviewItem>
    <reviewItem>
      <errorID>4d706ffd-2d57-4c10-92fc-7a560ad28b23</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57AA55B5</paraID>
      <start>56</start>
      <end>57</end>
      <status>unmodified</status>
      <modifiedWord/>
      <trackRevisions>false</trackRevisions>
    </reviewItem>
    <reviewItem>
      <errorID>79507aa5-3ced-4561-afb9-ea270b67ba48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2CCBAED8</paraID>
      <start>0</start>
      <end>2</end>
      <status>unmodified</status>
      <modifiedWord/>
      <trackRevisions>false</trackRevisions>
    </reviewItem>
    <reviewItem>
      <errorID>f16aa9f1-403d-4706-802a-99bdc9b63ddd</errorID>
      <errorWord>《产业结构调整指导目录》（2024年本）</errorWord>
      <group>L1_Knowledge</group>
      <groupName>知识性问题</groupName>
      <ability>L2_Knowledge</ability>
      <abilityName>其他知识</abilityName>
      <candidateList>
        <item>《产业结构调整指导目录（2024年本）》</item>
      </candidateList>
      <explain>疑似政策文件、法律法规名称等书写不规范，请注意检查。</explain>
      <paraID>6E9AE8DF</paraID>
      <start>2</start>
      <end>22</end>
      <status>unmodified</status>
      <modifiedWord/>
      <trackRevisions>false</trackRevisions>
    </reviewItem>
    <reviewItem>
      <errorID>9a80dec5-384d-4231-960a-e8b86a4422a6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4AA3C497</paraID>
      <start>0</start>
      <end>2</end>
      <status>unmodified</status>
      <modifiedWord/>
      <trackRevisions>false</trackRevisions>
    </reviewItem>
    <reviewItem>
      <errorID>baa346b1-6ca9-4080-b79a-96e15c2fa159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1A5E3C96</paraID>
      <start>0</start>
      <end>2</end>
      <status>unmodified</status>
      <modifiedWord/>
      <trackRevisions>false</trackRevisions>
    </reviewItem>
    <reviewItem>
      <errorID>a9b490c0-76f3-48eb-ae79-790078525689</errorID>
      <errorWord>成份</errorWord>
      <group>L1_Word</group>
      <groupName>字词问题</groupName>
      <ability>L2_Typo</ability>
      <abilityName>字词错误</abilityName>
      <candidateList>
        <item>成分</item>
      </candidateList>
      <explain/>
      <paraID> 1FEE6FD</paraID>
      <start>50</start>
      <end>52</end>
      <status>unmodified</status>
      <modifiedWord/>
      <trackRevisions>false</trackRevisions>
    </reviewItem>
    <reviewItem>
      <errorID>202b3a2a-0636-41c6-b471-9cf1fc43a39e</errorID>
      <errorWord>监测</errorWord>
      <group>L1_Word</group>
      <groupName>字词问题</groupName>
      <ability>L2_Typo</ability>
      <abilityName>字词错误</abilityName>
      <candidateList>
        <item>检测</item>
      </candidateList>
      <explain/>
      <paraID> 1FEE6FD</paraID>
      <start>52</start>
      <end>54</end>
      <status>unmodified</status>
      <modifiedWord/>
      <trackRevisions>false</trackRevisions>
    </reviewItem>
    <reviewItem>
      <errorID>5bad923d-6125-410b-a213-546351acc06d</errorID>
      <errorWord>，</errorWord>
      <group>L1_Punc</group>
      <groupName>标点问题</groupName>
      <ability>L2_Punc_CN</ability>
      <abilityName>标点符号检查</abilityName>
      <candidateList>
        <item/>
      </candidateList>
      <explain>括号内行文末尾一般不加标点。</explain>
      <paraID>217439E6</paraID>
      <start>31</start>
      <end>32</end>
      <status>unmodified</status>
      <modifiedWord/>
      <trackRevisions>false</trackRevisions>
    </reviewItem>
    <reviewItem>
      <errorID>89760b70-5561-4593-83b9-4dfd877db39e</errorID>
      <errorWord>的气化热</errorWord>
      <group>L1_Word</group>
      <groupName>字词问题</groupName>
      <ability>L2_Variant</ability>
      <abilityName>异形词</abilityName>
      <candidateList>
        <item>的汽化热</item>
      </candidateList>
      <explain>词汇[的气化热]的规范词形写作[的汽化热]。</explain>
      <paraID>194A2BDF</paraID>
      <start>25</start>
      <end>29</end>
      <status>unmodified</status>
      <modifiedWord/>
      <trackRevisions>false</trackRevisions>
    </reviewItem>
    <reviewItem>
      <errorID>1647e0a0-f21e-42d0-a068-21666dfae263</errorID>
      <errorWord>的气化热</errorWord>
      <group>L1_Word</group>
      <groupName>字词问题</groupName>
      <ability>L2_Variant</ability>
      <abilityName>异形词</abilityName>
      <candidateList>
        <item>的汽化热</item>
      </candidateList>
      <explain>词汇[的气化热]的规范词形写作[的汽化热]。</explain>
      <paraID> 7BB2338</paraID>
      <start>22</start>
      <end>26</end>
      <status>unmodified</status>
      <modifiedWord/>
      <trackRevisions>false</trackRevisions>
    </reviewItem>
    <reviewItem>
      <errorID>18a5caee-6f19-40c5-99e4-5e7fde09975e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33CDBB7E</paraID>
      <start>0</start>
      <end>2</end>
      <status>unmodified</status>
      <modifiedWord/>
      <trackRevisions>false</trackRevisions>
    </reviewItem>
    <reviewItem>
      <errorID>7af977ac-d4e6-4d3e-92a8-f542868f7d63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71FCEB4D</paraID>
      <start>0</start>
      <end>2</end>
      <status>unmodified</status>
      <modifiedWord/>
      <trackRevisions>false</trackRevisions>
    </reviewItem>
    <reviewItem>
      <errorID>e9eff5ec-ac92-482a-b01a-eb1df3e83a2d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62C844F0</paraID>
      <start>0</start>
      <end>2</end>
      <status>unmodified</status>
      <modifiedWord/>
      <trackRevisions>false</trackRevisions>
    </reviewItem>
    <reviewItem>
      <errorID>0de8a3a3-74b3-4580-9fbd-f36bd0feb959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6B73DE0B</paraID>
      <start>0</start>
      <end>2</end>
      <status>unmodified</status>
      <modifiedWord/>
      <trackRevisions>false</trackRevisions>
    </reviewItem>
    <reviewItem>
      <errorID>72c43709-6ed3-43ff-b3dc-ac02e8634b30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782C2F75</paraID>
      <start>0</start>
      <end>2</end>
      <status>unmodified</status>
      <modifiedWord/>
      <trackRevisions>false</trackRevisions>
    </reviewItem>
    <reviewItem>
      <errorID>fd0a879a-72e1-433e-8741-55fd1e66b6d7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6EDC5274</paraID>
      <start>0</start>
      <end>2</end>
      <status>unmodified</status>
      <modifiedWord/>
      <trackRevisions>false</trackRevisions>
    </reviewItem>
    <reviewItem>
      <errorID>613e2da6-202c-4bd8-8575-e0b55ed0c451</errorID>
      <errorWord>:</errorWord>
      <group>L1_Format</group>
      <groupName>格式问题</groupName>
      <ability>L2_HalfPunc_CN</ability>
      <abilityName>全半角检查</abilityName>
      <candidateList>
        <item>：</item>
      </candidateList>
      <explain>文本全半角错误。</explain>
      <paraID>58C6E49D</paraID>
      <start>6</start>
      <end>7</end>
      <status>unmodified</status>
      <modifiedWord/>
      <trackRevisions>false</trackRevisions>
    </reviewItem>
    <reviewItem>
      <errorID>5c97de08-9dd7-4cf6-a1d0-c2aa27f02fb0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3F728152</paraID>
      <start>0</start>
      <end>2</end>
      <status>unmodified</status>
      <modifiedWord/>
      <trackRevisions>false</trackRevisions>
    </reviewItem>
    <reviewItem>
      <errorID>da1e9de8-1ab2-42ec-ba86-8c8a0369d1de</errorID>
      <errorWord>（</errorWord>
      <group>L1_Format</group>
      <groupName>格式问题</groupName>
      <ability>L2_HalfPunc_CN</ability>
      <abilityName>全半角检查</abilityName>
      <candidateList>
        <item>(</item>
      </candidateList>
      <explain>文本全半角错误。</explain>
      <paraID>76A6DE57</paraID>
      <start>1</start>
      <end>2</end>
      <status>unmodified</status>
      <modifiedWord/>
      <trackRevisions>false</trackRevisions>
    </reviewItem>
    <reviewItem>
      <errorID>c7356e46-8685-410d-a9d6-7ff90c6da32f</errorID>
      <errorWord>）</errorWord>
      <group>L1_Format</group>
      <groupName>格式问题</groupName>
      <ability>L2_HalfPunc_CN</ability>
      <abilityName>全半角检查</abilityName>
      <candidateList>
        <item>)</item>
      </candidateList>
      <explain>文本全半角错误。</explain>
      <paraID>76A6DE57</paraID>
      <start>7</start>
      <end>8</end>
      <status>unmodified</status>
      <modifiedWord/>
      <trackRevisions>false</trackRevisions>
    </reviewItem>
    <reviewItem>
      <errorID>02ae7af2-9475-4c22-9353-74e286acc0f9</errorID>
      <errorWord>（</errorWord>
      <group>L1_Format</group>
      <groupName>格式问题</groupName>
      <ability>L2_HalfPunc_CN</ability>
      <abilityName>全半角检查</abilityName>
      <candidateList>
        <item>(</item>
      </candidateList>
      <explain>文本全半角错误。</explain>
      <paraID>  352264</paraID>
      <start>3</start>
      <end>4</end>
      <status>unmodified</status>
      <modifiedWord/>
      <trackRevisions>false</trackRevisions>
    </reviewItem>
    <reviewItem>
      <errorID>cce0d570-10d9-4c37-ac5d-ddd7e068b624</errorID>
      <errorWord>）</errorWord>
      <group>L1_Format</group>
      <groupName>格式问题</groupName>
      <ability>L2_HalfPunc_CN</ability>
      <abilityName>全半角检查</abilityName>
      <candidateList>
        <item>)</item>
      </candidateList>
      <explain>文本全半角错误。</explain>
      <paraID>  352264</paraID>
      <start>9</start>
      <end>10</end>
      <status>unmodified</status>
      <modifiedWord/>
      <trackRevisions>false</trackRevisions>
    </reviewItem>
    <reviewItem>
      <errorID>240294f0-0e0c-4232-8f01-6e44007f736a</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21544506</paraID>
      <start>69</start>
      <end>70</end>
      <status>unmodified</status>
      <modifiedWord/>
      <trackRevisions>false</trackRevisions>
    </reviewItem>
    <reviewItem>
      <errorID>31837608-4e30-470f-a07e-5db93f204c20</errorID>
      <errorWord>》（试行）</errorWord>
      <group>L1_Word</group>
      <groupName>字词问题</groupName>
      <ability>L2_Typo</ability>
      <abilityName>字词错误</abilityName>
      <candidateList>
        <item>（试行）》</item>
      </candidateList>
      <explain/>
      <paraID>21544506</paraID>
      <start>162</start>
      <end>167</end>
      <status>unmodified</status>
      <modifiedWord/>
      <trackRevisions>false</trackRevisions>
    </reviewItem>
    <reviewItem>
      <errorID>d6d1d320-ff95-4fe0-b82a-e9cd05ea70ce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13035C59</paraID>
      <start>0</start>
      <end>2</end>
      <status>unmodified</status>
      <modifiedWord/>
      <trackRevisions>false</trackRevisions>
    </reviewItem>
    <reviewItem>
      <errorID>e4ecb083-7296-4981-9ef1-1da258b80862</errorID>
      <errorWord>》（试行）</errorWord>
      <group>L1_Word</group>
      <groupName>字词问题</groupName>
      <ability>L2_Typo</ability>
      <abilityName>字词错误</abilityName>
      <candidateList>
        <item>（试行）》</item>
      </candidateList>
      <explain/>
      <paraID>13AAEA9D</paraID>
      <start>27</start>
      <end>32</end>
      <status>unmodified</status>
      <modifiedWord/>
      <trackRevisions>false</trackRevisions>
    </reviewItem>
    <reviewItem>
      <errorID>80095576-91c9-41fa-b262-a6e7278da1e6</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BB91A60</paraID>
      <start>66</start>
      <end>67</end>
      <status>unmodified</status>
      <modifiedWord/>
      <trackRevisions>false</trackRevisions>
    </reviewItem>
    <reviewItem>
      <errorID>1f8d323d-d44c-498e-ab0a-263227109908</errorID>
      <errorWord>牛扼</errorWord>
      <group>L1_Word</group>
      <groupName>字词问题</groupName>
      <ability>L2_Typo</ability>
      <abilityName>字词错误</abilityName>
      <candidateList>
        <item>牛轭</item>
      </candidateList>
      <explain/>
      <paraID> BB91A60</paraID>
      <start>74</start>
      <end>76</end>
      <status>unmodified</status>
      <modifiedWord/>
      <trackRevisions>false</trackRevisions>
    </reviewItem>
    <reviewItem>
      <errorID>1ef4e00d-a8c1-462a-a60c-81c57c4e750c</errorID>
      <errorWord>牛扼</errorWord>
      <group>L1_Word</group>
      <groupName>字词问题</groupName>
      <ability>L2_Typo</ability>
      <abilityName>字词错误</abilityName>
      <candidateList>
        <item>牛轭</item>
      </candidateList>
      <explain/>
      <paraID>4E73B520</paraID>
      <start>0</start>
      <end>2</end>
      <status>unmodified</status>
      <modifiedWord/>
      <trackRevisions>false</trackRevisions>
    </reviewItem>
    <reviewItem>
      <errorID>fd47a0f6-bb2d-4700-a0f0-c8fbeda5cca7</errorID>
      <errorWord>牛扼</errorWord>
      <group>L1_Word</group>
      <groupName>字词问题</groupName>
      <ability>L2_Typo</ability>
      <abilityName>字词错误</abilityName>
      <candidateList>
        <item>牛轭</item>
      </candidateList>
      <explain/>
      <paraID>185B2185</paraID>
      <start>10</start>
      <end>12</end>
      <status>unmodified</status>
      <modifiedWord/>
      <trackRevisions>false</trackRevisions>
    </reviewItem>
    <reviewItem>
      <errorID>24029cb0-2787-4b68-9586-8d0dad3c3f65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1E3C54F1</paraID>
      <start>0</start>
      <end>2</end>
      <status>unmodified</status>
      <modifiedWord/>
      <trackRevisions>false</trackRevisions>
    </reviewItem>
    <reviewItem>
      <errorID>5f52c4c4-9558-4ca1-9df2-a2d2125d3214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30AFE281</paraID>
      <start>0</start>
      <end>2</end>
      <status>unmodified</status>
      <modifiedWord/>
      <trackRevisions>false</trackRevisions>
    </reviewItem>
    <reviewItem>
      <errorID>a835a7dd-151c-4b72-bc70-544ab9248f21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6F6DE9C0</paraID>
      <start>0</start>
      <end>2</end>
      <status>unmodified</status>
      <modifiedWord/>
      <trackRevisions>false</trackRevisions>
    </reviewItem>
    <reviewItem>
      <errorID>2cb610a4-778e-4a02-a8c4-e65158972346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1E259841</paraID>
      <start>0</start>
      <end>2</end>
      <status>unmodified</status>
      <modifiedWord/>
      <trackRevisions>false</trackRevisions>
    </reviewItem>
    <reviewItem>
      <errorID>f8898585-afd5-4d9a-91bf-f2c76e45fe90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6CA1AECC</paraID>
      <start>0</start>
      <end>2</end>
      <status>unmodified</status>
      <modifiedWord/>
      <trackRevisions>false</trackRevisions>
    </reviewItem>
    <reviewItem>
      <errorID>bdae7d4c-74d4-4a6e-b310-86a6dbbc421f</errorID>
      <errorWord>，</errorWord>
      <group>L1_Format</group>
      <groupName>格式问题</groupName>
      <ability>L2_HalfPunc_CN</ability>
      <abilityName>全半角检查</abilityName>
      <candidateList>
        <item>,</item>
      </candidateList>
      <explain>文本全半角错误。</explain>
      <paraID> DC8257D</paraID>
      <start>13</start>
      <end>14</end>
      <status>unmodified</status>
      <modifiedWord/>
      <trackRevisions>false</trackRevisions>
    </reviewItem>
    <reviewItem>
      <errorID>43ccd89e-380e-4c61-beca-8445e07e4bd9</errorID>
      <errorWord>，</errorWord>
      <group>L1_Format</group>
      <groupName>格式问题</groupName>
      <ability>L2_HalfPunc_CN</ability>
      <abilityName>全半角检查</abilityName>
      <candidateList>
        <item>,</item>
      </candidateList>
      <explain>文本全半角错误。</explain>
      <paraID>477C6ABE</paraID>
      <start>13</start>
      <end>14</end>
      <status>unmodified</status>
      <modifiedWord/>
      <trackRevisions>false</trackRevisions>
    </reviewItem>
    <reviewItem>
      <errorID>6fe98c86-510e-41e1-906b-450a83672c30</errorID>
      <errorWord>，</errorWord>
      <group>L1_Format</group>
      <groupName>格式问题</groupName>
      <ability>L2_HalfPunc_CN</ability>
      <abilityName>全半角检查</abilityName>
      <candidateList>
        <item>,</item>
      </candidateList>
      <explain>文本全半角错误。</explain>
      <paraID>590D0EF8</paraID>
      <start>13</start>
      <end>14</end>
      <status>unmodified</status>
      <modifiedWord/>
      <trackRevisions>false</trackRevisions>
    </reviewItem>
    <reviewItem>
      <errorID>c120ef7b-0aa0-4db8-8f33-6a1d1ec2c852</errorID>
      <errorWord>，</errorWord>
      <group>L1_Format</group>
      <groupName>格式问题</groupName>
      <ability>L2_HalfPunc_CN</ability>
      <abilityName>全半角检查</abilityName>
      <candidateList>
        <item>,</item>
      </candidateList>
      <explain>文本全半角错误。</explain>
      <paraID>5C002D5B</paraID>
      <start>13</start>
      <end>14</end>
      <status>unmodified</status>
      <modifiedWord/>
      <trackRevisions>false</trackRevisions>
    </reviewItem>
    <reviewItem>
      <errorID>c43022b7-60db-4b66-9d59-d724e3c38249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6A5709F2</paraID>
      <start>0</start>
      <end>2</end>
      <status>unmodified</status>
      <modifiedWord/>
      <trackRevisions>false</trackRevisions>
    </reviewItem>
    <reviewItem>
      <errorID>968461b5-787b-4adb-8502-82dfc440c80b</errorID>
      <errorWord>，</errorWord>
      <group>L1_Format</group>
      <groupName>格式问题</groupName>
      <ability>L2_HalfPunc_CN</ability>
      <abilityName>全半角检查</abilityName>
      <candidateList>
        <item>,</item>
      </candidateList>
      <explain>文本全半角错误。</explain>
      <paraID>660F4602</paraID>
      <start>13</start>
      <end>14</end>
      <status>unmodified</status>
      <modifiedWord/>
      <trackRevisions>false</trackRevisions>
    </reviewItem>
    <reviewItem>
      <errorID>2b223529-d644-42d4-b7e5-6b579e8738e6</errorID>
      <errorWord>，</errorWord>
      <group>L1_Format</group>
      <groupName>格式问题</groupName>
      <ability>L2_HalfPunc_CN</ability>
      <abilityName>全半角检查</abilityName>
      <candidateList>
        <item>,</item>
      </candidateList>
      <explain>文本全半角错误。</explain>
      <paraID>64CC32CB</paraID>
      <start>13</start>
      <end>14</end>
      <status>unmodified</status>
      <modifiedWord/>
      <trackRevisions>false</trackRevisions>
    </reviewItem>
    <reviewItem>
      <errorID>181ec2c3-f51b-41e3-99a0-1497e8ec585a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88AD59B</paraID>
      <start>0</start>
      <end>2</end>
      <status>unmodified</status>
      <modifiedWord/>
      <trackRevisions>false</trackRevisions>
    </reviewItem>
    <reviewItem>
      <errorID>fb32a061-30dc-4df9-9adb-f2a80accaf60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186443C5</paraID>
      <start>0</start>
      <end>2</end>
      <status>unmodified</status>
      <modifiedWord/>
      <trackRevisions>false</trackRevisions>
    </reviewItem>
    <reviewItem>
      <errorID>bee8bd16-685d-460c-901f-be933ed20125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6874F75F</paraID>
      <start>0</start>
      <end>2</end>
      <status>unmodified</status>
      <modifiedWord/>
      <trackRevisions>false</trackRevisions>
    </reviewItem>
    <reviewItem>
      <errorID>671d594c-edb5-49bb-8662-ac16b4b2a54c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5F605166</paraID>
      <start>0</start>
      <end>2</end>
      <status>unmodified</status>
      <modifiedWord/>
      <trackRevisions>false</trackRevisions>
    </reviewItem>
    <reviewItem>
      <errorID>4c598be8-97ba-4642-8672-5627699b9c55</errorID>
      <errorWord>《火电厂烟气脱硝工程技术规范选择性非催化还原法（HJ563-2010）》</errorWord>
      <group>L1_Knowledge</group>
      <groupName>知识性问题</groupName>
      <ability>L2_Knowledge</ability>
      <abilityName>其他知识</abilityName>
      <candidateList>
        <item>《火电厂烟气脱硝工程技术规范选择性非催化还原法》（HJ563-2010）</item>
      </candidateList>
      <explain>疑似政策文件、法律法规名称等书写不规范，请注意检查。</explain>
      <paraID>23401815</paraID>
      <start>127</start>
      <end>163</end>
      <status>unmodified</status>
      <modifiedWord/>
      <trackRevisions>false</trackRevisions>
    </reviewItem>
    <reviewItem>
      <errorID>1ba240d7-61f9-4e11-b719-ab1de8cf3fdb</errorID>
      <errorWord>（</errorWord>
      <group>L1_Format</group>
      <groupName>格式问题</groupName>
      <ability>L2_HalfPunc_CN</ability>
      <abilityName>全半角检查</abilityName>
      <candidateList>
        <item>(</item>
      </candidateList>
      <explain>文本全半角错误。</explain>
      <paraID>2708C6E8</paraID>
      <start>0</start>
      <end>1</end>
      <status>unmodified</status>
      <modifiedWord/>
      <trackRevisions>false</trackRevisions>
    </reviewItem>
    <reviewItem>
      <errorID>cf41625e-c049-4e6f-944a-21bee5ce66b0</errorID>
      <errorWord>）</errorWord>
      <group>L1_Format</group>
      <groupName>格式问题</groupName>
      <ability>L2_HalfPunc_CN</ability>
      <abilityName>全半角检查</abilityName>
      <candidateList>
        <item>)</item>
      </candidateList>
      <explain>文本全半角错误。</explain>
      <paraID>2708C6E8</paraID>
      <start>5</start>
      <end>6</end>
      <status>unmodified</status>
      <modifiedWord/>
      <trackRevisions>false</trackRevisions>
    </reviewItem>
    <reviewItem>
      <errorID>baea3fec-df88-4e87-b771-1afac3c7bd55</errorID>
      <errorWord>＜</errorWord>
      <group>L1_Format</group>
      <groupName>格式问题</groupName>
      <ability>L2_HalfPunc_CN</ability>
      <abilityName>全半角检查</abilityName>
      <candidateList>
        <item>&lt;</item>
      </candidateList>
      <explain>文本全半角错误。</explain>
      <paraID> B77228B</paraID>
      <start>0</start>
      <end>1</end>
      <status>unmodified</status>
      <modifiedWord/>
      <trackRevisions>false</trackRevisions>
    </reviewItem>
    <reviewItem>
      <errorID>283c9165-1aec-4761-b118-45f5ac8dddd6</errorID>
      <errorWord>＜</errorWord>
      <group>L1_Format</group>
      <groupName>格式问题</groupName>
      <ability>L2_HalfPunc_CN</ability>
      <abilityName>全半角检查</abilityName>
      <candidateList>
        <item>&lt;</item>
      </candidateList>
      <explain>文本全半角错误。</explain>
      <paraID>7474EAF6</paraID>
      <start>4</start>
      <end>5</end>
      <status>unmodified</status>
      <modifiedWord/>
      <trackRevisions>false</trackRevisions>
    </reviewItem>
    <reviewItem>
      <errorID>62c1af0f-e97e-4123-b5a2-b3f7afae1f53</errorID>
      <errorWord>＜</errorWord>
      <group>L1_Format</group>
      <groupName>格式问题</groupName>
      <ability>L2_HalfPunc_CN</ability>
      <abilityName>全半角检查</abilityName>
      <candidateList>
        <item>&lt;</item>
      </candidateList>
      <explain>文本全半角错误。</explain>
      <paraID>4466CF9C</paraID>
      <start>4</start>
      <end>5</end>
      <status>unmodified</status>
      <modifiedWord/>
      <trackRevisions>false</trackRevisions>
    </reviewItem>
    <reviewItem>
      <errorID>97c98f78-68f0-440c-af83-c0f5265fa4c0</errorID>
      <errorWord>＜</errorWord>
      <group>L1_Format</group>
      <groupName>格式问题</groupName>
      <ability>L2_HalfPunc_CN</ability>
      <abilityName>全半角检查</abilityName>
      <candidateList>
        <item>&lt;</item>
      </candidateList>
      <explain>文本全半角错误。</explain>
      <paraID>37377168</paraID>
      <start>4</start>
      <end>5</end>
      <status>unmodified</status>
      <modifiedWord/>
      <trackRevisions>false</trackRevisions>
    </reviewItem>
    <reviewItem>
      <errorID>ca3aefac-0f5f-4c3d-9d8c-681e324c7e24</errorID>
      <errorWord>＜</errorWord>
      <group>L1_Format</group>
      <groupName>格式问题</groupName>
      <ability>L2_HalfPunc_CN</ability>
      <abilityName>全半角检查</abilityName>
      <candidateList>
        <item>&lt;</item>
      </candidateList>
      <explain>文本全半角错误。</explain>
      <paraID>65068589</paraID>
      <start>2</start>
      <end>3</end>
      <status>unmodified</status>
      <modifiedWord/>
      <trackRevisions>false</trackRevisions>
    </reviewItem>
    <reviewItem>
      <errorID>ede02341-6d7b-4025-a8a9-45b4aa7022ee</errorID>
      <errorWord>＜</errorWord>
      <group>L1_Format</group>
      <groupName>格式问题</groupName>
      <ability>L2_HalfPunc_CN</ability>
      <abilityName>全半角检查</abilityName>
      <candidateList>
        <item>&lt;</item>
      </candidateList>
      <explain>文本全半角错误。</explain>
      <paraID>627D3212</paraID>
      <start>0</start>
      <end>1</end>
      <status>unmodified</status>
      <modifiedWord/>
      <trackRevisions>false</trackRevisions>
    </reviewItem>
    <reviewItem>
      <errorID>bfbb12bf-7e75-4736-ad63-d799e3455622</errorID>
      <errorWord>＜</errorWord>
      <group>L1_Format</group>
      <groupName>格式问题</groupName>
      <ability>L2_HalfPunc_CN</ability>
      <abilityName>全半角检查</abilityName>
      <candidateList>
        <item>&lt;</item>
      </candidateList>
      <explain>文本全半角错误。</explain>
      <paraID>77F6B626</paraID>
      <start>2</start>
      <end>3</end>
      <status>unmodified</status>
      <modifiedWord/>
      <trackRevisions>false</trackRevisions>
    </reviewItem>
    <reviewItem>
      <errorID>f54f4495-eb92-43d9-83a8-1b30d674b8d8</errorID>
      <errorWord>＜</errorWord>
      <group>L1_Format</group>
      <groupName>格式问题</groupName>
      <ability>L2_HalfPunc_CN</ability>
      <abilityName>全半角检查</abilityName>
      <candidateList>
        <item>&lt;</item>
      </candidateList>
      <explain>文本全半角错误。</explain>
      <paraID>4EB6D94C</paraID>
      <start>2</start>
      <end>3</end>
      <status>unmodified</status>
      <modifiedWord/>
      <trackRevisions>false</trackRevisions>
    </reviewItem>
    <reviewItem>
      <errorID>94f1588e-cb30-43c1-8a1a-96d6e717c835</errorID>
      <errorWord>＜</errorWord>
      <group>L1_Format</group>
      <groupName>格式问题</groupName>
      <ability>L2_HalfPunc_CN</ability>
      <abilityName>全半角检查</abilityName>
      <candidateList>
        <item>&lt;</item>
      </candidateList>
      <explain>文本全半角错误。</explain>
      <paraID>57BB1E70</paraID>
      <start>2</start>
      <end>3</end>
      <status>unmodified</status>
      <modifiedWord/>
      <trackRevisions>false</trackRevisions>
    </reviewItem>
    <reviewItem>
      <errorID>ca33d6a0-80f7-43c9-a04f-cbdf44824732</errorID>
      <errorWord>＜</errorWord>
      <group>L1_Format</group>
      <groupName>格式问题</groupName>
      <ability>L2_HalfPunc_CN</ability>
      <abilityName>全半角检查</abilityName>
      <candidateList>
        <item>&lt;</item>
      </candidateList>
      <explain>文本全半角错误。</explain>
      <paraID>408B82C2</paraID>
      <start>3</start>
      <end>4</end>
      <status>unmodified</status>
      <modifiedWord/>
      <trackRevisions>false</trackRevisions>
    </reviewItem>
    <reviewItem>
      <errorID>3b73b439-1206-416d-9748-f8be8484b915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A48D2D4</paraID>
      <start>0</start>
      <end>2</end>
      <status>unmodified</status>
      <modifiedWord/>
      <trackRevisions>false</trackRevisions>
    </reviewItem>
    <reviewItem>
      <errorID>b8b76f70-40ac-4a1c-9e3e-0f781c6e920b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48B271C6</paraID>
      <start>0</start>
      <end>2</end>
      <status>unmodified</status>
      <modifiedWord/>
      <trackRevisions>false</trackRevisions>
    </reviewItem>
    <reviewItem>
      <errorID>b98ecb62-c43c-4a5c-b3e9-a9144de16cc5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4F7C7804</paraID>
      <start>0</start>
      <end>2</end>
      <status>unmodified</status>
      <modifiedWord/>
      <trackRevisions>false</trackRevisions>
    </reviewItem>
    <reviewItem>
      <errorID>eff40f96-390e-497a-aef8-4802fc60c8ea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75765A6D</paraID>
      <start>0</start>
      <end>2</end>
      <status>unmodified</status>
      <modifiedWord/>
      <trackRevisions>false</trackRevisions>
    </reviewItem>
    <reviewItem>
      <errorID>3b1b043b-db4c-4b6f-b8f7-3a3e62df0b7e</errorID>
      <errorWord>程</errorWord>
      <group>L1_Word</group>
      <groupName>字词问题</groupName>
      <ability>L2_Typo</ability>
      <abilityName>字词错误</abilityName>
      <candidateList>
        <item>程中</item>
      </candidateList>
      <explain/>
      <paraID>78564412</paraID>
      <start>6</start>
      <end>7</end>
      <status>unmodified</status>
      <modifiedWord/>
      <trackRevisions>false</trackRevisions>
    </reviewItem>
    <reviewItem>
      <errorID>bc9341dc-2120-4ea3-9a4f-442492ca153e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C537139</paraID>
      <start>0</start>
      <end>2</end>
      <status>unmodified</status>
      <modifiedWord/>
      <trackRevisions>false</trackRevisions>
    </reviewItem>
    <reviewItem>
      <errorID>280074bd-8cc6-4486-8f32-8fa2f1f7b66f</errorID>
      <errorWord>-</errorWord>
      <group>L1_Format</group>
      <groupName>格式问题</groupName>
      <ability>L2_HalfPunc_CN</ability>
      <abilityName>全半角检查</abilityName>
      <candidateList>
        <item>－</item>
      </candidateList>
      <explain>文本全半角错误。</explain>
      <paraID>7F86B47D</paraID>
      <start>164</start>
      <end>165</end>
      <status>unmodified</status>
      <modifiedWord/>
      <trackRevisions>false</trackRevisions>
    </reviewItem>
    <reviewItem>
      <errorID>06624628-5688-4fce-8e21-0eb527b531be</errorID>
      <errorWord>-</errorWord>
      <group>L1_Format</group>
      <groupName>格式问题</groupName>
      <ability>L2_HalfPunc_CN</ability>
      <abilityName>全半角检查</abilityName>
      <candidateList>
        <item>－</item>
      </candidateList>
      <explain>文本全半角错误。</explain>
      <paraID>28F443F7</paraID>
      <start>63</start>
      <end>64</end>
      <status>unmodified</status>
      <modifiedWord/>
      <trackRevisions>false</trackRevisions>
    </reviewItem>
    <reviewItem>
      <errorID>6e495365-282e-40c4-898c-eb7c01e90b58</errorID>
      <errorWord>-</errorWord>
      <group>L1_Format</group>
      <groupName>格式问题</groupName>
      <ability>L2_HalfPunc_CN</ability>
      <abilityName>全半角检查</abilityName>
      <candidateList>
        <item>－</item>
      </candidateList>
      <explain>文本全半角错误。</explain>
      <paraID>5AE67263</paraID>
      <start>63</start>
      <end>64</end>
      <status>unmodified</status>
      <modifiedWord/>
      <trackRevisions>false</trackRevisions>
    </reviewItem>
    <reviewItem>
      <errorID>be7c4f40-e542-465d-a6a7-94caca5bc9cf</errorID>
      <errorWord>，</errorWord>
      <group>L1_Format</group>
      <groupName>格式问题</groupName>
      <ability>L2_HalfPunc_CN</ability>
      <abilityName>全半角检查</abilityName>
      <candidateList>
        <item>,</item>
      </candidateList>
      <explain>文本全半角错误。</explain>
      <paraID>7F45DC43</paraID>
      <start>12</start>
      <end>13</end>
      <status>unmodified</status>
      <modifiedWord/>
      <trackRevisions>false</trackRevisions>
    </reviewItem>
    <reviewItem>
      <errorID>3b13a721-0e80-4d4b-a6a5-5dcfcccedf16</errorID>
      <errorWord>，</errorWord>
      <group>L1_Format</group>
      <groupName>格式问题</groupName>
      <ability>L2_HalfPunc_CN</ability>
      <abilityName>全半角检查</abilityName>
      <candidateList>
        <item>,</item>
      </candidateList>
      <explain>文本全半角错误。</explain>
      <paraID>508FDE89</paraID>
      <start>12</start>
      <end>13</end>
      <status>unmodified</status>
      <modifiedWord/>
      <trackRevisions>false</trackRevisions>
    </reviewItem>
    <reviewItem>
      <errorID>1b627d8a-320e-4884-902d-84cebeb4db69</errorID>
      <errorWord>（</errorWord>
      <group>L1_Format</group>
      <groupName>格式问题</groupName>
      <ability>L2_HalfPunc_CN</ability>
      <abilityName>全半角检查</abilityName>
      <candidateList>
        <item>(</item>
      </candidateList>
      <explain>文本全半角错误。</explain>
      <paraID>68E8E12C</paraID>
      <start>0</start>
      <end>1</end>
      <status>unmodified</status>
      <modifiedWord/>
      <trackRevisions>false</trackRevisions>
    </reviewItem>
    <reviewItem>
      <errorID>2ed1101f-8a15-4ec5-9c49-c288a5764c8c</errorID>
      <errorWord>）</errorWord>
      <group>L1_Format</group>
      <groupName>格式问题</groupName>
      <ability>L2_HalfPunc_CN</ability>
      <abilityName>全半角检查</abilityName>
      <candidateList>
        <item>)</item>
      </candidateList>
      <explain>文本全半角错误。</explain>
      <paraID>68E8E12C</paraID>
      <start>5</start>
      <end>6</end>
      <status>unmodified</status>
      <modifiedWord/>
      <trackRevisions>false</trackRevisions>
    </reviewItem>
    <reviewItem>
      <errorID>4baebb97-c964-43cb-823a-f9318ab33239</errorID>
      <errorWord>（</errorWord>
      <group>L1_Format</group>
      <groupName>格式问题</groupName>
      <ability>L2_HalfPunc_CN</ability>
      <abilityName>全半角检查</abilityName>
      <candidateList>
        <item>(</item>
      </candidateList>
      <explain>文本全半角错误。</explain>
      <paraID>721421A5</paraID>
      <start>0</start>
      <end>1</end>
      <status>unmodified</status>
      <modifiedWord/>
      <trackRevisions>false</trackRevisions>
    </reviewItem>
    <reviewItem>
      <errorID>3a7a1a87-481b-41df-98e5-9cc365f32487</errorID>
      <errorWord>）</errorWord>
      <group>L1_Format</group>
      <groupName>格式问题</groupName>
      <ability>L2_HalfPunc_CN</ability>
      <abilityName>全半角检查</abilityName>
      <candidateList>
        <item>)</item>
      </candidateList>
      <explain>文本全半角错误。</explain>
      <paraID>721421A5</paraID>
      <start>4</start>
      <end>5</end>
      <status>unmodified</status>
      <modifiedWord/>
      <trackRevisions>false</trackRevisions>
    </reviewItem>
    <reviewItem>
      <errorID>41e0d84b-460a-4c70-9166-d85d7b309e28</errorID>
      <errorWord>（</errorWord>
      <group>L1_Format</group>
      <groupName>格式问题</groupName>
      <ability>L2_HalfPunc_CN</ability>
      <abilityName>全半角检查</abilityName>
      <candidateList>
        <item>(</item>
      </candidateList>
      <explain>文本全半角错误。</explain>
      <paraID>7C7624D0</paraID>
      <start>0</start>
      <end>1</end>
      <status>unmodified</status>
      <modifiedWord/>
      <trackRevisions>false</trackRevisions>
    </reviewItem>
    <reviewItem>
      <errorID>81982d17-3a2e-428c-9915-a6e660971ada</errorID>
      <errorWord>）</errorWord>
      <group>L1_Format</group>
      <groupName>格式问题</groupName>
      <ability>L2_HalfPunc_CN</ability>
      <abilityName>全半角检查</abilityName>
      <candidateList>
        <item>)</item>
      </candidateList>
      <explain>文本全半角错误。</explain>
      <paraID>7C7624D0</paraID>
      <start>6</start>
      <end>7</end>
      <status>unmodified</status>
      <modifiedWord/>
      <trackRevisions>false</trackRevisions>
    </reviewItem>
    <reviewItem>
      <errorID>93d8ab28-fb9a-4524-8aa8-f8fa524ba5b8</errorID>
      <errorWord>（</errorWord>
      <group>L1_Format</group>
      <groupName>格式问题</groupName>
      <ability>L2_HalfPunc_CN</ability>
      <abilityName>全半角检查</abilityName>
      <candidateList>
        <item>(</item>
      </candidateList>
      <explain>文本全半角错误。</explain>
      <paraID>7C78EE54</paraID>
      <start>0</start>
      <end>1</end>
      <status>unmodified</status>
      <modifiedWord/>
      <trackRevisions>false</trackRevisions>
    </reviewItem>
    <reviewItem>
      <errorID>53febbdb-7c6e-480e-9877-84d8d199a5df</errorID>
      <errorWord>）</errorWord>
      <group>L1_Format</group>
      <groupName>格式问题</groupName>
      <ability>L2_HalfPunc_CN</ability>
      <abilityName>全半角检查</abilityName>
      <candidateList>
        <item>)</item>
      </candidateList>
      <explain>文本全半角错误。</explain>
      <paraID>7C78EE54</paraID>
      <start>5</start>
      <end>6</end>
      <status>unmodified</status>
      <modifiedWord/>
      <trackRevisions>false</trackRevisions>
    </reviewItem>
    <reviewItem>
      <errorID>3a2dd685-a8c7-45a9-bab9-5f4ff94a9050</errorID>
      <errorWord>（</errorWord>
      <group>L1_Format</group>
      <groupName>格式问题</groupName>
      <ability>L2_HalfPunc_CN</ability>
      <abilityName>全半角检查</abilityName>
      <candidateList>
        <item>(</item>
      </candidateList>
      <explain>文本全半角错误。</explain>
      <paraID>72DFEC03</paraID>
      <start>0</start>
      <end>1</end>
      <status>unmodified</status>
      <modifiedWord/>
      <trackRevisions>false</trackRevisions>
    </reviewItem>
    <reviewItem>
      <errorID>f612ff3b-7c4b-42d6-9d04-f60775dea1e1</errorID>
      <errorWord>）</errorWord>
      <group>L1_Format</group>
      <groupName>格式问题</groupName>
      <ability>L2_HalfPunc_CN</ability>
      <abilityName>全半角检查</abilityName>
      <candidateList>
        <item>)</item>
      </candidateList>
      <explain>文本全半角错误。</explain>
      <paraID>72DFEC03</paraID>
      <start>4</start>
      <end>5</end>
      <status>unmodified</status>
      <modifiedWord/>
      <trackRevisions>false</trackRevisions>
    </reviewItem>
    <reviewItem>
      <errorID>bcb6ba34-2617-4556-8f2b-1c4dfb80d92f</errorID>
      <errorWord>《火电厂烟气脱硝工程技术规范选择性非催化还原法（HJ563-2010）》</errorWord>
      <group>L1_Knowledge</group>
      <groupName>知识性问题</groupName>
      <ability>L2_Knowledge</ability>
      <abilityName>其他知识</abilityName>
      <candidateList>
        <item>《火电厂烟气脱硝工程技术规范选择性非催化还原法》（HJ563-2010）</item>
      </candidateList>
      <explain>疑似政策文件、法律法规名称等书写不规范，请注意检查。</explain>
      <paraID>53F66766</paraID>
      <start>0</start>
      <end>36</end>
      <status>unmodified</status>
      <modifiedWord/>
      <trackRevisions>false</trackRevisions>
    </reviewItem>
    <reviewItem>
      <errorID>dc833571-bf13-4d4a-8fe1-b1c71118c558</errorID>
      <errorWord>，</errorWord>
      <group>L1_Format</group>
      <groupName>格式问题</groupName>
      <ability>L2_HalfPunc_CN</ability>
      <abilityName>全半角检查</abilityName>
      <candidateList>
        <item>,</item>
      </candidateList>
      <explain>文本全半角错误。</explain>
      <paraID>25D3715A</paraID>
      <start>12</start>
      <end>13</end>
      <status>unmodified</status>
      <modifiedWord/>
      <trackRevisions>false</trackRevisions>
    </reviewItem>
    <reviewItem>
      <errorID>5f38701f-444b-494b-be41-b3dcc709b411</errorID>
      <errorWord>，</errorWord>
      <group>L1_Format</group>
      <groupName>格式问题</groupName>
      <ability>L2_HalfPunc_CN</ability>
      <abilityName>全半角检查</abilityName>
      <candidateList>
        <item>,</item>
      </candidateList>
      <explain>文本全半角错误。</explain>
      <paraID>7BA960F5</paraID>
      <start>13</start>
      <end>14</end>
      <status>unmodified</status>
      <modifiedWord/>
      <trackRevisions>false</trackRevisions>
    </reviewItem>
    <reviewItem>
      <errorID>615feb0a-aa62-4931-abf7-5cf8712cb183</errorID>
      <errorWord>(</errorWord>
      <group>L1_Format</group>
      <groupName>格式问题</groupName>
      <ability>L2_HalfPunc_CN</ability>
      <abilityName>全半角检查</abilityName>
      <candidateList>
        <item>（</item>
      </candidateList>
      <explain>文本全半角错误。</explain>
      <paraID>5AD13F1E</paraID>
      <start>2</start>
      <end>3</end>
      <status>unmodified</status>
      <modifiedWord/>
      <trackRevisions>false</trackRevisions>
    </reviewItem>
    <reviewItem>
      <errorID>0a3c95ae-b465-4e1f-8880-8fddfe6bf462</errorID>
      <errorWord>)</errorWord>
      <group>L1_Format</group>
      <groupName>格式问题</groupName>
      <ability>L2_HalfPunc_CN</ability>
      <abilityName>全半角检查</abilityName>
      <candidateList>
        <item>）</item>
      </candidateList>
      <explain>文本全半角错误。</explain>
      <paraID>5AD13F1E</paraID>
      <start>7</start>
      <end>8</end>
      <status>unmodified</status>
      <modifiedWord/>
      <trackRevisions>false</trackRevisions>
    </reviewItem>
    <reviewItem>
      <errorID>c6acd845-4a54-4d2d-b172-c9edfe55037f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375B8749</paraID>
      <start>0</start>
      <end>2</end>
      <status>unmodified</status>
      <modifiedWord/>
      <trackRevisions>false</trackRevisions>
    </reviewItem>
    <reviewItem>
      <errorID>5e1d2bb4-bda9-4c8a-b8d8-365acad6f007</errorID>
      <errorWord>：</errorWord>
      <group>L1_Format</group>
      <groupName>格式问题</groupName>
      <ability>L2_HalfPunc_CN</ability>
      <abilityName>全半角检查</abilityName>
      <candidateList>
        <item>:</item>
      </candidateList>
      <explain>文本全半角错误。</explain>
      <paraID>6B21F439</paraID>
      <start>99</start>
      <end>100</end>
      <status>unmodified</status>
      <modifiedWord/>
      <trackRevisions>false</trackRevisions>
    </reviewItem>
    <reviewItem>
      <errorID>0eeb17aa-0e54-4d0e-aade-f00996804058</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3D7C3CD7</paraID>
      <start>101</start>
      <end>102</end>
      <status>unmodified</status>
      <modifiedWord/>
      <trackRevisions>false</trackRevisions>
    </reviewItem>
    <reviewItem>
      <errorID>4c04f31e-7028-44eb-95fd-33795f959eb8</errorID>
      <errorWord>50%-60%</errorWord>
      <group>L1_Knowledge</group>
      <groupName>知识性问题</groupName>
      <ability>L2_Knowledge</ability>
      <abilityName>其他知识</abilityName>
      <candidateList>
        <item>50%—60%</item>
      </candidateList>
      <explain>1. “50%-60%”中的单位“%”仅出现在后一个数字上，容易引起歧义；根据《现代汉语标点符号数字用法规范手册》，数字表示范围两边需要使用统一的格式。2. 根据标点国标 4.13 中的规则，数字、时间或地域连接符应使用（视觉上更长的）“—”或“～”。</explain>
      <paraID>3D7C3CD7</paraID>
      <start>112</start>
      <end>119</end>
      <status>unmodified</status>
      <modifiedWord/>
      <trackRevisions>false</trackRevisions>
    </reviewItem>
    <reviewItem>
      <errorID>e887500f-60c7-4e72-813c-16456780dda1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5236C9F2</paraID>
      <start>0</start>
      <end>2</end>
      <status>unmodified</status>
      <modifiedWord/>
      <trackRevisions>false</trackRevisions>
    </reviewItem>
    <reviewItem>
      <errorID>12cc9f80-59fb-492a-ac44-7829eb08884d</errorID>
      <errorWord>9）、</errorWord>
      <group>L1_Punc</group>
      <groupName>标点问题</groupName>
      <ability>L2_Punc_CN</ability>
      <abilityName>标点符号检查</abilityName>
      <candidateList>
        <item>9）</item>
      </candidateList>
      <explain>根据国标GB/T 15834-2011《标点符号用法》中的4.5.3.3节，带括号的汉字数字或阿拉伯数字表次序时，后面通常不加顿号。如“（一）指导思想”“（二）行动指南”。</explain>
      <paraID>1B71905C</paraID>
      <start>153</start>
      <end>156</end>
      <status>unmodified</status>
      <modifiedWord/>
      <trackRevisions>false</trackRevisions>
    </reviewItem>
    <reviewItem>
      <errorID>e034ee8e-c399-4791-a21b-59ea90e34454</errorID>
      <errorWord>)</errorWord>
      <group>L1_Format</group>
      <groupName>格式问题</groupName>
      <ability>L2_HalfPunc_CN</ability>
      <abilityName>全半角检查</abilityName>
      <candidateList>
        <item>）</item>
      </candidateList>
      <explain>文本全半角错误。</explain>
      <paraID>663DD6A2</paraID>
      <start>23</start>
      <end>24</end>
      <status>unmodified</status>
      <modifiedWord/>
      <trackRevisions>false</trackRevisions>
    </reviewItem>
    <reviewItem>
      <errorID>0d343cca-eead-4d24-85dd-9bf9bdcf813e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43430922</paraID>
      <start>0</start>
      <end>2</end>
      <status>unmodified</status>
      <modifiedWord/>
      <trackRevisions>false</trackRevisions>
    </reviewItem>
    <reviewItem>
      <errorID>c6918786-7042-4ad5-8dae-2ddb78a08a0c</errorID>
      <errorWord>《固体废物分类与代码目录》（2024年）</errorWord>
      <group>L1_Knowledge</group>
      <groupName>知识性问题</groupName>
      <ability>L2_Knowledge</ability>
      <abilityName>其他知识</abilityName>
      <candidateList>
        <item>《固体废物分类与代码目录（2024年）》</item>
      </candidateList>
      <explain>疑似政策文件、法律法规名称等书写不规范，请注意检查。</explain>
      <paraID>3EC0E433</paraID>
      <start>74</start>
      <end>94</end>
      <status>unmodified</status>
      <modifiedWord/>
      <trackRevisions>false</trackRevisions>
    </reviewItem>
    <reviewItem>
      <errorID>02115d25-e042-4a10-bf99-9c50537ce15e</errorID>
      <errorWord>《固体废物分类与代码目录》（2024年）</errorWord>
      <group>L1_Knowledge</group>
      <groupName>知识性问题</groupName>
      <ability>L2_Knowledge</ability>
      <abilityName>其他知识</abilityName>
      <candidateList>
        <item>《固体废物分类与代码目录（2024年）》</item>
      </candidateList>
      <explain>疑似政策文件、法律法规名称等书写不规范，请注意检查。</explain>
      <paraID>2771B6EA</paraID>
      <start>145</start>
      <end>165</end>
      <status>unmodified</status>
      <modifiedWord/>
      <trackRevisions>false</trackRevisions>
    </reviewItem>
    <reviewItem>
      <errorID>6c7a36c1-fca9-4abe-8298-3f7b83450c98</errorID>
      <errorWord>《固体废物分类与代码目录》（2024年）</errorWord>
      <group>L1_Knowledge</group>
      <groupName>知识性问题</groupName>
      <ability>L2_Knowledge</ability>
      <abilityName>其他知识</abilityName>
      <candidateList>
        <item>《固体废物分类与代码目录（2024年）》</item>
      </candidateList>
      <explain>疑似政策文件、法律法规名称等书写不规范，请注意检查。</explain>
      <paraID>197BA2BA</paraID>
      <start>76</start>
      <end>96</end>
      <status>unmodified</status>
      <modifiedWord/>
      <trackRevisions>false</trackRevisions>
    </reviewItem>
    <reviewItem>
      <errorID>3dc77e42-fb72-42da-aebd-26180500a823</errorID>
      <errorWord>《固体废物分类与代码目录》（2024年）</errorWord>
      <group>L1_Knowledge</group>
      <groupName>知识性问题</groupName>
      <ability>L2_Knowledge</ability>
      <abilityName>其他知识</abilityName>
      <candidateList>
        <item>《固体废物分类与代码目录（2024年）》</item>
      </candidateList>
      <explain>疑似政策文件、法律法规名称等书写不规范，请注意检查。</explain>
      <paraID>4A4BB52C</paraID>
      <start>74</start>
      <end>94</end>
      <status>unmodified</status>
      <modifiedWord/>
      <trackRevisions>false</trackRevisions>
    </reviewItem>
    <reviewItem>
      <errorID>83adfbc5-673e-4e8a-80b7-8e4d64f94426</errorID>
      <errorWord>《固体废物分类与代码目录》（2024年）</errorWord>
      <group>L1_Knowledge</group>
      <groupName>知识性问题</groupName>
      <ability>L2_Knowledge</ability>
      <abilityName>其他知识</abilityName>
      <candidateList>
        <item>《固体废物分类与代码目录（2024年）》</item>
      </candidateList>
      <explain>疑似政策文件、法律法规名称等书写不规范，请注意检查。</explain>
      <paraID>6F3B5890</paraID>
      <start>118</start>
      <end>138</end>
      <status>unmodified</status>
      <modifiedWord/>
      <trackRevisions>false</trackRevisions>
    </reviewItem>
    <reviewItem>
      <errorID>ee8b0e5d-591f-4907-a0dc-a1b49e201d53</errorID>
      <errorWord>《固体废物分类与代码目录》（2024年）</errorWord>
      <group>L1_Knowledge</group>
      <groupName>知识性问题</groupName>
      <ability>L2_Knowledge</ability>
      <abilityName>其他知识</abilityName>
      <candidateList>
        <item>《固体废物分类与代码目录（2024年）》</item>
      </candidateList>
      <explain>疑似政策文件、法律法规名称等书写不规范，请注意检查。</explain>
      <paraID>2EFF136E</paraID>
      <start>82</start>
      <end>102</end>
      <status>unmodified</status>
      <modifiedWord/>
      <trackRevisions>false</trackRevisions>
    </reviewItem>
    <reviewItem>
      <errorID>b3c08b3a-08c1-41da-a1ad-5bc473133058</errorID>
      <errorWord>~</errorWord>
      <group>L1_Format</group>
      <groupName>格式问题</groupName>
      <ability>L2_HalfPunc_CN</ability>
      <abilityName>全半角检查</abilityName>
      <candidateList>
        <item>～</item>
      </candidateList>
      <explain>文本全半角错误。</explain>
      <paraID>700FBF23</paraID>
      <start>56</start>
      <end>57</end>
      <status>unmodified</status>
      <modifiedWord/>
      <trackRevisions>false</trackRevisions>
    </reviewItem>
    <reviewItem>
      <errorID>5ffab31d-a176-4a7a-93b6-9a06ff354bce</errorID>
      <errorWord>《固体废物分类与代码目录》（2024年）</errorWord>
      <group>L1_Knowledge</group>
      <groupName>知识性问题</groupName>
      <ability>L2_Knowledge</ability>
      <abilityName>其他知识</abilityName>
      <candidateList>
        <item>《固体废物分类与代码目录（2024年）》</item>
      </candidateList>
      <explain>疑似政策文件、法律法规名称等书写不规范，请注意检查。</explain>
      <paraID>700FBF23</paraID>
      <start>215</start>
      <end>235</end>
      <status>unmodified</status>
      <modifiedWord/>
      <trackRevisions>false</trackRevisions>
    </reviewItem>
    <reviewItem>
      <errorID>2b651e37-2cb1-4f9d-9534-3f25dd0125f5</errorID>
      <errorWord>交有</errorWord>
      <group>L1_Word</group>
      <groupName>字词问题</groupName>
      <ability>L2_Typo</ability>
      <abilityName>字词错误</abilityName>
      <candidateList>
        <item>交由</item>
      </candidateList>
      <explain/>
      <paraID>1EEA6647</paraID>
      <start>0</start>
      <end>2</end>
      <status>unmodified</status>
      <modifiedWord/>
      <trackRevisions>false</trackRevisions>
    </reviewItem>
    <reviewItem>
      <errorID>b3e7a074-c480-47fd-a900-e311fab50b38</errorID>
      <errorWord>-</errorWord>
      <group>L1_Format</group>
      <groupName>格式问题</groupName>
      <ability>L2_HalfPunc_CN</ability>
      <abilityName>全半角检查</abilityName>
      <candidateList>
        <item>－</item>
      </candidateList>
      <explain>文本全半角错误。</explain>
      <paraID> 3B1A9AD</paraID>
      <start>67</start>
      <end>68</end>
      <status>unmodified</status>
      <modifiedWord/>
      <trackRevisions>false</trackRevisions>
    </reviewItem>
    <reviewItem>
      <errorID>11db581e-9451-4f19-9e3f-96e9d02d265a</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3B1A9AD</paraID>
      <start>132</start>
      <end>133</end>
      <status>unmodified</status>
      <modifiedWord/>
      <trackRevisions>false</trackRevisions>
    </reviewItem>
    <reviewItem>
      <errorID>85503acb-0488-4802-8b4f-fe5e276eeafd</errorID>
      <errorWord>进一步加强对</errorWord>
      <group>L1_Word</group>
      <groupName>字词问题</groupName>
      <ability>L2_Typo</ability>
      <abilityName>字词错误</abilityName>
      <candidateList>
        <item>进一步加强</item>
      </candidateList>
      <explain/>
      <paraID>31794907</paraID>
      <start>10</start>
      <end>16</end>
      <status>unmodified</status>
      <modifiedWord/>
      <trackRevisions>false</trackRevisions>
    </reviewItem>
    <reviewItem>
      <errorID>b36df524-3305-4c46-9452-1389b2675e1f</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5D128BB7</paraID>
      <start>36</start>
      <end>37</end>
      <status>unmodified</status>
      <modifiedWord/>
      <trackRevisions>false</trackRevisions>
    </reviewItem>
    <reviewItem>
      <errorID>f75215c4-9ccf-4e34-a89e-519c26bc5be4</errorID>
      <errorWord>其它人工</errorWord>
      <group>L1_Word</group>
      <groupName>字词问题</groupName>
      <ability>L2_Alias</ability>
      <abilityName>也作/曾用词</abilityName>
      <candidateList>
        <item>其他人工</item>
      </candidateList>
      <explain>词汇[其它人工]为不规范表述或旧称，其规范书面表述为[其他人工]。</explain>
      <paraID>5D128BB7</paraID>
      <start>63</start>
      <end>67</end>
      <status>unmodified</status>
      <modifiedWord/>
      <trackRevisions>false</trackRevisions>
    </reviewItem>
    <reviewItem>
      <errorID>ccd84fd7-d77a-444e-8e3e-7f526a54b930</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5D128BB7</paraID>
      <start>77</start>
      <end>78</end>
      <status>unmodified</status>
      <modifiedWord/>
      <trackRevisions>false</trackRevisions>
    </reviewItem>
    <reviewItem>
      <errorID>149fe8f7-d5fa-4b8a-8684-50f9e3ef21c9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636BCF75</paraID>
      <start>0</start>
      <end>2</end>
      <status>unmodified</status>
      <modifiedWord/>
      <trackRevisions>false</trackRevisions>
    </reviewItem>
    <reviewItem>
      <errorID>568b36e1-7f9c-4b8f-b72b-9dc6829942c7</errorID>
      <errorWord>指施</errorWord>
      <group>L1_Word</group>
      <groupName>字词问题</groupName>
      <ability>L2_Typo</ability>
      <abilityName>字词错误</abilityName>
      <candidateList>
        <item>措施</item>
      </candidateList>
      <explain/>
      <paraID>59243014</paraID>
      <start>130</start>
      <end>132</end>
      <status>modified</status>
      <modifiedWord>措施</modifiedWord>
      <trackRevisions>false</trackRevisions>
    </reviewItem>
    <reviewItem>
      <errorID>ac80c89d-56d0-45e1-a941-8b48cf987a00</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611F6A71</paraID>
      <start>21</start>
      <end>22</end>
      <status>unmodified</status>
      <modifiedWord/>
      <trackRevisions>false</trackRevisions>
    </reviewItem>
    <reviewItem>
      <errorID>f85231dd-a9b3-4dc7-8eb4-3e4697e13edf</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314AA1C</paraID>
      <start>58</start>
      <end>59</end>
      <status>unmodified</status>
      <modifiedWord/>
      <trackRevisions>false</trackRevisions>
    </reviewItem>
    <reviewItem>
      <errorID>a7a73924-82c8-4a9c-b50f-1e2d7e081b89</errorID>
      <errorWord>＜</errorWord>
      <group>L1_Format</group>
      <groupName>格式问题</groupName>
      <ability>L2_HalfPunc_CN</ability>
      <abilityName>全半角检查</abilityName>
      <candidateList>
        <item>&lt;</item>
      </candidateList>
      <explain>文本全半角错误。</explain>
      <paraID>6460C503</paraID>
      <start>0</start>
      <end>1</end>
      <status>unmodified</status>
      <modifiedWord/>
      <trackRevisions>false</trackRevisions>
    </reviewItem>
    <reviewItem>
      <errorID>86f4ece6-19bd-4ea4-91b9-e8187f99663d</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6460C503</paraID>
      <start>3</start>
      <end>4</end>
      <status>unmodified</status>
      <modifiedWord/>
      <trackRevisions>false</trackRevisions>
    </reviewItem>
    <reviewItem>
      <errorID>a6aa0d48-220b-46c7-bb56-388513bc793b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229A20A4</paraID>
      <start>0</start>
      <end>2</end>
      <status>unmodified</status>
      <modifiedWord/>
      <trackRevisions>false</trackRevisions>
    </reviewItem>
    <reviewItem>
      <errorID>99f84483-8da6-4b4c-8679-14d9d872a3be</errorID>
      <errorWord>作安全</errorWord>
      <group>L1_Word</group>
      <groupName>字词问题</groupName>
      <ability>L2_Alias</ability>
      <abilityName>也作/曾用词</abilityName>
      <candidateList>
        <item>做安全</item>
      </candidateList>
      <explain>词汇[作安全]为不规范表述或旧称，其规范书面表述为[做安全]。</explain>
      <paraID>325CCF43</paraID>
      <start>29</start>
      <end>32</end>
      <status>unmodified</status>
      <modifiedWord/>
      <trackRevisions>false</trackRevisions>
    </reviewItem>
    <reviewItem>
      <errorID>3e260b57-ebb2-4ade-97f9-5ada162ff017</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AED038A</paraID>
      <start>299</start>
      <end>300</end>
      <status>unmodified</status>
      <modifiedWord/>
      <trackRevisions>false</trackRevisions>
    </reviewItem>
    <reviewItem>
      <errorID>4220099e-6a47-4720-b311-ef61435f5683</errorID>
      <errorWord>及防止污染</errorWord>
      <group>L1_Word</group>
      <groupName>字词问题</groupName>
      <ability>L2_Typo</ability>
      <abilityName>字词错误</abilityName>
      <candidateList>
        <item>及防治污染</item>
      </candidateList>
      <explain/>
      <paraID>28147B7F</paraID>
      <start>46</start>
      <end>51</end>
      <status>unmodified</status>
      <modifiedWord/>
      <trackRevisions>false</trackRevisions>
    </reviewItem>
    <reviewItem>
      <errorID>2e287f2b-f3d0-4fff-8794-41b5cf5608be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41AB0DDB</paraID>
      <start>0</start>
      <end>2</end>
      <status>unmodified</status>
      <modifiedWord/>
      <trackRevisions>false</trackRevisions>
    </reviewItem>
    <reviewItem>
      <errorID>b1e1d754-a2c6-4806-a172-edb4dea84713</errorID>
      <errorWord>)</errorWord>
      <group>L1_Format</group>
      <groupName>格式问题</groupName>
      <ability>L2_HalfPunc_CN</ability>
      <abilityName>全半角检查</abilityName>
      <candidateList>
        <item>）</item>
      </candidateList>
      <explain>文本全半角错误。</explain>
      <paraID>3A095C77</paraID>
      <start>6</start>
      <end>7</end>
      <status>unmodified</status>
      <modifiedWord/>
      <trackRevisions>false</trackRevisions>
    </reviewItem>
    <reviewItem>
      <errorID>0cd0bbc7-461b-4653-9984-abe2b7afe6a5</errorID>
      <errorWord>(</errorWord>
      <group>L1_Format</group>
      <groupName>格式问题</groupName>
      <ability>L2_HalfPunc_CN</ability>
      <abilityName>全半角检查</abilityName>
      <candidateList>
        <item>（</item>
      </candidateList>
      <explain>文本全半角错误。</explain>
      <paraID>37777121</paraID>
      <start>3</start>
      <end>4</end>
      <status>unmodified</status>
      <modifiedWord/>
      <trackRevisions>false</trackRevisions>
    </reviewItem>
    <reviewItem>
      <errorID>4094a96b-ea54-4c4c-83fe-612fcdcc88da</errorID>
      <errorWord>)</errorWord>
      <group>L1_Format</group>
      <groupName>格式问题</groupName>
      <ability>L2_HalfPunc_CN</ability>
      <abilityName>全半角检查</abilityName>
      <candidateList>
        <item>）</item>
      </candidateList>
      <explain>文本全半角错误。</explain>
      <paraID>7C3BDFF1</paraID>
      <start>2</start>
      <end>3</end>
      <status>unmodified</status>
      <modifiedWord/>
      <trackRevisions>false</trackRevisions>
    </reviewItem>
    <reviewItem>
      <errorID>ef6634bf-28cc-4c0c-9f16-2793272b9cf1</errorID>
      <errorWord>《火电厂烟气脱硝工程技术规范选择性非催化还原法（HJ563-2010）》</errorWord>
      <group>L1_Knowledge</group>
      <groupName>知识性问题</groupName>
      <ability>L2_Knowledge</ability>
      <abilityName>其他知识</abilityName>
      <candidateList>
        <item>《火电厂烟气脱硝工程技术规范选择性非催化还原法》（HJ563-2010）</item>
      </candidateList>
      <explain>疑似政策文件、法律法规名称等书写不规范，请注意检查。</explain>
      <paraID>424F0C32</paraID>
      <start>0</start>
      <end>36</end>
      <status>unmodified</status>
      <modifiedWord/>
      <trackRevisions>false</trackRevisions>
    </reviewItem>
    <reviewItem>
      <errorID>e3a6acad-7feb-4bc2-ae82-fe275765e695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3D57587F</paraID>
      <start>0</start>
      <end>2</end>
      <status>unmodified</status>
      <modifiedWord/>
      <trackRevisions>false</trackRevisions>
    </reviewItem>
    <reviewItem>
      <errorID>6ca702c3-8da7-4445-bcfc-1feaa3f690e2</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51777452</paraID>
      <start>17</start>
      <end>20</end>
      <status>unmodified</status>
      <modifiedWord/>
      <trackRevisions>false</trackRevisions>
    </reviewItem>
    <reviewItem>
      <errorID>6ae89fc5-fe9d-41f5-91ea-988c9a13b796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619C1E17</paraID>
      <start>0</start>
      <end>2</end>
      <status>unmodified</status>
      <modifiedWord/>
      <trackRevisions>false</trackRevisions>
    </reviewItem>
    <reviewItem>
      <errorID>0120b5e3-3753-4e89-bc8c-8c9b1cdda4fc</errorID>
      <errorWord>-</errorWord>
      <group>L1_Format</group>
      <groupName>格式问题</groupName>
      <ability>L2_HalfPunc_CN</ability>
      <abilityName>全半角检查</abilityName>
      <candidateList>
        <item>－</item>
      </candidateList>
      <explain>文本全半角错误。</explain>
      <paraID>11948DB4</paraID>
      <start>74</start>
      <end>75</end>
      <status>unmodified</status>
      <modifiedWord/>
      <trackRevisions>false</trackRevisions>
    </reviewItem>
    <reviewItem>
      <errorID>0857f60d-2ec6-4ebc-b4cc-0e7354f7d672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719699F0</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e9d61c6f-a5e4-4270-b42c-0220d9127972}">
  <ds:schemaRefs/>
</ds:datastoreItem>
</file>

<file path=docProps/app.xml><?xml version="1.0" encoding="utf-8"?>
<Properties xmlns="http://schemas.openxmlformats.org/officeDocument/2006/extended-properties" xmlns:vt="http://schemas.openxmlformats.org/officeDocument/2006/docPropsVTypes">
  <Template>Normal.dotm</Template>
  <Pages>82</Pages>
  <Words>40623</Words>
  <Characters>46524</Characters>
  <Lines>297</Lines>
  <Paragraphs>83</Paragraphs>
  <TotalTime>0</TotalTime>
  <ScaleCrop>false</ScaleCrop>
  <LinksUpToDate>false</LinksUpToDate>
  <CharactersWithSpaces>46851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2024-11-20T13:34:00Z</dcterms:created>
  <dc:creator>wenzhiliang</dc:creator>
  <cp:lastModifiedBy>爱你所爱</cp:lastModifiedBy>
  <dcterms:modified xsi:type="dcterms:W3CDTF">2026-07-22T09:43:55Z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E2B1415837C14140B8AB83183D7C552D_13</vt:lpwstr>
  </property>
  <property fmtid="{D5CDD505-2E9C-101B-9397-08002B2CF9AE}" pid="4" name="KSOTemplateDocerSaveRecord">
    <vt:lpwstr>eyJoZGlkIjoiOGMwODM4YzIwYjNkMzU5MzQ2MTdhNmI0MGEyMmFkNTQiLCJ1c2VySWQiOiI4NTQxNjY0OTUifQ==</vt:lpwstr>
  </property>
</Properties>
</file>