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AC8AD">
      <w:pPr>
        <w:pStyle w:val="4"/>
        <w:keepNext w:val="0"/>
        <w:keepLines w:val="0"/>
        <w:pageBreakBefore w:val="0"/>
        <w:widowControl/>
        <w:kinsoku/>
        <w:wordWrap/>
        <w:overflowPunct/>
        <w:topLinePunct w:val="0"/>
        <w:autoSpaceDE/>
        <w:autoSpaceDN/>
        <w:bidi w:val="0"/>
        <w:adjustRightInd/>
        <w:snapToGrid/>
        <w:spacing w:before="0" w:after="0" w:line="58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14:paraId="44E00609">
      <w:pPr>
        <w:pStyle w:val="4"/>
        <w:keepNext w:val="0"/>
        <w:keepLines w:val="0"/>
        <w:pageBreakBefore w:val="0"/>
        <w:widowControl/>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益阳市资阳区农业农村局2026年涉企行政检查计划</w:t>
      </w:r>
      <w:r>
        <w:rPr>
          <w:rFonts w:hint="eastAsia" w:ascii="方正小标宋简体" w:hAnsi="方正小标宋简体" w:eastAsia="方正小标宋简体" w:cs="方正小标宋简体"/>
          <w:b w:val="0"/>
          <w:bCs w:val="0"/>
          <w:sz w:val="44"/>
          <w:szCs w:val="44"/>
          <w:lang w:eastAsia="zh-CN"/>
        </w:rPr>
        <w:t>表</w:t>
      </w:r>
    </w:p>
    <w:p w14:paraId="1AEADC7A">
      <w:pPr>
        <w:rPr>
          <w:rFonts w:hint="eastAsia"/>
          <w:lang w:eastAsia="zh-CN"/>
        </w:rPr>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 w:type="dxa"/>
          <w:bottom w:w="0" w:type="dxa"/>
          <w:right w:w="10" w:type="dxa"/>
        </w:tblCellMar>
      </w:tblPr>
      <w:tblGrid>
        <w:gridCol w:w="543"/>
        <w:gridCol w:w="1787"/>
        <w:gridCol w:w="3480"/>
        <w:gridCol w:w="1605"/>
        <w:gridCol w:w="1629"/>
        <w:gridCol w:w="1235"/>
        <w:gridCol w:w="589"/>
        <w:gridCol w:w="635"/>
        <w:gridCol w:w="1295"/>
        <w:gridCol w:w="887"/>
        <w:gridCol w:w="1233"/>
      </w:tblGrid>
      <w:tr w14:paraId="3103DB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282" w:hRule="atLeast"/>
          <w:tblHeader/>
        </w:trPr>
        <w:tc>
          <w:tcPr>
            <w:tcW w:w="0" w:type="auto"/>
            <w:tcBorders>
              <w:tl2br w:val="nil"/>
              <w:tr2bl w:val="nil"/>
            </w:tcBorders>
            <w:tcMar>
              <w:top w:w="60" w:type="dxa"/>
              <w:left w:w="120" w:type="dxa"/>
              <w:bottom w:w="30" w:type="dxa"/>
              <w:right w:w="120" w:type="dxa"/>
            </w:tcMar>
            <w:vAlign w:val="center"/>
          </w:tcPr>
          <w:p w14:paraId="5BE72C70">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0" w:type="auto"/>
            <w:tcBorders>
              <w:tl2br w:val="nil"/>
              <w:tr2bl w:val="nil"/>
            </w:tcBorders>
            <w:tcMar>
              <w:top w:w="60" w:type="dxa"/>
              <w:left w:w="120" w:type="dxa"/>
              <w:bottom w:w="30" w:type="dxa"/>
              <w:right w:w="120" w:type="dxa"/>
            </w:tcMar>
            <w:vAlign w:val="center"/>
          </w:tcPr>
          <w:p w14:paraId="77C3A502">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抽查事项</w:t>
            </w:r>
          </w:p>
        </w:tc>
        <w:tc>
          <w:tcPr>
            <w:tcW w:w="0" w:type="auto"/>
            <w:tcBorders>
              <w:tl2br w:val="nil"/>
              <w:tr2bl w:val="nil"/>
            </w:tcBorders>
            <w:tcMar>
              <w:top w:w="60" w:type="dxa"/>
              <w:left w:w="120" w:type="dxa"/>
              <w:bottom w:w="30" w:type="dxa"/>
              <w:right w:w="120" w:type="dxa"/>
            </w:tcMar>
            <w:vAlign w:val="center"/>
          </w:tcPr>
          <w:p w14:paraId="2F5F7ABE">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实施依据</w:t>
            </w:r>
          </w:p>
        </w:tc>
        <w:tc>
          <w:tcPr>
            <w:tcW w:w="0" w:type="auto"/>
            <w:tcBorders>
              <w:tl2br w:val="nil"/>
              <w:tr2bl w:val="nil"/>
            </w:tcBorders>
            <w:tcMar>
              <w:top w:w="60" w:type="dxa"/>
              <w:left w:w="120" w:type="dxa"/>
              <w:bottom w:w="30" w:type="dxa"/>
              <w:right w:w="120" w:type="dxa"/>
            </w:tcMar>
            <w:vAlign w:val="center"/>
          </w:tcPr>
          <w:p w14:paraId="4351BAA1">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具体检查对象或双随机抽查范围（含比例）</w:t>
            </w:r>
          </w:p>
        </w:tc>
        <w:tc>
          <w:tcPr>
            <w:tcW w:w="0" w:type="auto"/>
            <w:tcBorders>
              <w:tl2br w:val="nil"/>
              <w:tr2bl w:val="nil"/>
            </w:tcBorders>
            <w:tcMar>
              <w:top w:w="60" w:type="dxa"/>
              <w:left w:w="120" w:type="dxa"/>
              <w:bottom w:w="30" w:type="dxa"/>
              <w:right w:w="120" w:type="dxa"/>
            </w:tcMar>
            <w:vAlign w:val="center"/>
          </w:tcPr>
          <w:p w14:paraId="5755089B">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检查内容</w:t>
            </w:r>
          </w:p>
        </w:tc>
        <w:tc>
          <w:tcPr>
            <w:tcW w:w="0" w:type="auto"/>
            <w:tcBorders>
              <w:tl2br w:val="nil"/>
              <w:tr2bl w:val="nil"/>
            </w:tcBorders>
            <w:tcMar>
              <w:top w:w="60" w:type="dxa"/>
              <w:left w:w="120" w:type="dxa"/>
              <w:bottom w:w="30" w:type="dxa"/>
              <w:right w:w="120" w:type="dxa"/>
            </w:tcMar>
            <w:vAlign w:val="center"/>
          </w:tcPr>
          <w:p w14:paraId="633F4D0B">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拟实施时间</w:t>
            </w:r>
          </w:p>
        </w:tc>
        <w:tc>
          <w:tcPr>
            <w:tcW w:w="0" w:type="auto"/>
            <w:tcBorders>
              <w:tl2br w:val="nil"/>
              <w:tr2bl w:val="nil"/>
            </w:tcBorders>
            <w:tcMar>
              <w:top w:w="60" w:type="dxa"/>
              <w:left w:w="120" w:type="dxa"/>
              <w:bottom w:w="30" w:type="dxa"/>
              <w:right w:w="120" w:type="dxa"/>
            </w:tcMar>
            <w:vAlign w:val="center"/>
          </w:tcPr>
          <w:p w14:paraId="61AC81F1">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检查方式</w:t>
            </w:r>
          </w:p>
        </w:tc>
        <w:tc>
          <w:tcPr>
            <w:tcW w:w="0" w:type="auto"/>
            <w:tcBorders>
              <w:tl2br w:val="nil"/>
              <w:tr2bl w:val="nil"/>
            </w:tcBorders>
            <w:tcMar>
              <w:top w:w="60" w:type="dxa"/>
              <w:left w:w="120" w:type="dxa"/>
              <w:bottom w:w="30" w:type="dxa"/>
              <w:right w:w="120" w:type="dxa"/>
            </w:tcMar>
            <w:vAlign w:val="center"/>
          </w:tcPr>
          <w:p w14:paraId="5EBB4A79">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年度检查频次</w:t>
            </w:r>
          </w:p>
        </w:tc>
        <w:tc>
          <w:tcPr>
            <w:tcW w:w="0" w:type="auto"/>
            <w:tcBorders>
              <w:tl2br w:val="nil"/>
              <w:tr2bl w:val="nil"/>
            </w:tcBorders>
            <w:tcMar>
              <w:top w:w="60" w:type="dxa"/>
              <w:left w:w="120" w:type="dxa"/>
              <w:bottom w:w="30" w:type="dxa"/>
              <w:right w:w="120" w:type="dxa"/>
            </w:tcMar>
            <w:vAlign w:val="center"/>
          </w:tcPr>
          <w:p w14:paraId="5E69E54F">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承办股室</w:t>
            </w:r>
          </w:p>
        </w:tc>
        <w:tc>
          <w:tcPr>
            <w:tcW w:w="0" w:type="auto"/>
            <w:tcBorders>
              <w:tl2br w:val="nil"/>
              <w:tr2bl w:val="nil"/>
            </w:tcBorders>
            <w:tcMar>
              <w:top w:w="60" w:type="dxa"/>
              <w:left w:w="120" w:type="dxa"/>
              <w:bottom w:w="30" w:type="dxa"/>
              <w:right w:w="120" w:type="dxa"/>
            </w:tcMar>
            <w:vAlign w:val="center"/>
          </w:tcPr>
          <w:p w14:paraId="54CB4A08">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是否跨部门联合监管</w:t>
            </w:r>
          </w:p>
        </w:tc>
        <w:tc>
          <w:tcPr>
            <w:tcW w:w="0" w:type="auto"/>
            <w:tcBorders>
              <w:tl2br w:val="nil"/>
              <w:tr2bl w:val="nil"/>
            </w:tcBorders>
            <w:tcMar>
              <w:top w:w="60" w:type="dxa"/>
              <w:left w:w="120" w:type="dxa"/>
              <w:bottom w:w="30" w:type="dxa"/>
              <w:right w:w="120" w:type="dxa"/>
            </w:tcMar>
            <w:vAlign w:val="center"/>
          </w:tcPr>
          <w:p w14:paraId="06219A09">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黑体" w:eastAsia="黑体" w:cs="黑体"/>
                <w:sz w:val="28"/>
                <w:szCs w:val="28"/>
              </w:rPr>
            </w:pPr>
            <w:r>
              <w:rPr>
                <w:rFonts w:hint="eastAsia" w:ascii="黑体" w:hAnsi="黑体" w:eastAsia="黑体" w:cs="黑体"/>
                <w:sz w:val="28"/>
                <w:szCs w:val="28"/>
              </w:rPr>
              <w:t>备注</w:t>
            </w:r>
          </w:p>
        </w:tc>
      </w:tr>
      <w:tr w14:paraId="3A657E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182" w:hRule="atLeast"/>
        </w:trPr>
        <w:tc>
          <w:tcPr>
            <w:tcW w:w="0" w:type="auto"/>
            <w:tcBorders>
              <w:tl2br w:val="nil"/>
              <w:tr2bl w:val="nil"/>
            </w:tcBorders>
            <w:tcMar>
              <w:top w:w="60" w:type="dxa"/>
              <w:left w:w="120" w:type="dxa"/>
              <w:bottom w:w="30" w:type="dxa"/>
              <w:right w:w="120" w:type="dxa"/>
            </w:tcMar>
            <w:vAlign w:val="top"/>
          </w:tcPr>
          <w:p w14:paraId="12BBB2E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0" w:type="auto"/>
            <w:tcBorders>
              <w:tl2br w:val="nil"/>
              <w:tr2bl w:val="nil"/>
            </w:tcBorders>
            <w:tcMar>
              <w:top w:w="60" w:type="dxa"/>
              <w:left w:w="120" w:type="dxa"/>
              <w:bottom w:w="30" w:type="dxa"/>
              <w:right w:w="120" w:type="dxa"/>
            </w:tcMar>
            <w:vAlign w:val="top"/>
          </w:tcPr>
          <w:p w14:paraId="72C5248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对肥料登记产品质量的监督检查</w:t>
            </w:r>
          </w:p>
        </w:tc>
        <w:tc>
          <w:tcPr>
            <w:tcW w:w="0" w:type="auto"/>
            <w:tcBorders>
              <w:tl2br w:val="nil"/>
              <w:tr2bl w:val="nil"/>
            </w:tcBorders>
            <w:tcMar>
              <w:top w:w="60" w:type="dxa"/>
              <w:left w:w="120" w:type="dxa"/>
              <w:bottom w:w="30" w:type="dxa"/>
              <w:right w:w="120" w:type="dxa"/>
            </w:tcMar>
            <w:vAlign w:val="top"/>
          </w:tcPr>
          <w:p w14:paraId="1249EFD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《肥料登记管理办法》第二十四条</w:t>
            </w:r>
          </w:p>
        </w:tc>
        <w:tc>
          <w:tcPr>
            <w:tcW w:w="0" w:type="auto"/>
            <w:tcBorders>
              <w:tl2br w:val="nil"/>
              <w:tr2bl w:val="nil"/>
            </w:tcBorders>
            <w:tcMar>
              <w:top w:w="60" w:type="dxa"/>
              <w:left w:w="120" w:type="dxa"/>
              <w:bottom w:w="30" w:type="dxa"/>
              <w:right w:w="120" w:type="dxa"/>
            </w:tcMar>
            <w:vAlign w:val="top"/>
          </w:tcPr>
          <w:p w14:paraId="75ABE48E">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辖区内肥料登记产品生产经营企业，10%</w:t>
            </w:r>
          </w:p>
        </w:tc>
        <w:tc>
          <w:tcPr>
            <w:tcW w:w="0" w:type="auto"/>
            <w:tcBorders>
              <w:tl2br w:val="nil"/>
              <w:tr2bl w:val="nil"/>
            </w:tcBorders>
            <w:tcMar>
              <w:top w:w="60" w:type="dxa"/>
              <w:left w:w="120" w:type="dxa"/>
              <w:bottom w:w="30" w:type="dxa"/>
              <w:right w:w="120" w:type="dxa"/>
            </w:tcMar>
            <w:vAlign w:val="top"/>
          </w:tcPr>
          <w:p w14:paraId="55DA2C0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肥料登记产品质量</w:t>
            </w:r>
          </w:p>
        </w:tc>
        <w:tc>
          <w:tcPr>
            <w:tcW w:w="0" w:type="auto"/>
            <w:tcBorders>
              <w:tl2br w:val="nil"/>
              <w:tr2bl w:val="nil"/>
            </w:tcBorders>
            <w:tcMar>
              <w:top w:w="60" w:type="dxa"/>
              <w:left w:w="120" w:type="dxa"/>
              <w:bottom w:w="30" w:type="dxa"/>
              <w:right w:w="120" w:type="dxa"/>
            </w:tcMar>
            <w:vAlign w:val="top"/>
          </w:tcPr>
          <w:p w14:paraId="428155D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3-6月</w:t>
            </w:r>
          </w:p>
        </w:tc>
        <w:tc>
          <w:tcPr>
            <w:tcW w:w="0" w:type="auto"/>
            <w:tcBorders>
              <w:tl2br w:val="nil"/>
              <w:tr2bl w:val="nil"/>
            </w:tcBorders>
            <w:tcMar>
              <w:top w:w="60" w:type="dxa"/>
              <w:left w:w="120" w:type="dxa"/>
              <w:bottom w:w="30" w:type="dxa"/>
              <w:right w:w="120" w:type="dxa"/>
            </w:tcMar>
            <w:vAlign w:val="top"/>
          </w:tcPr>
          <w:p w14:paraId="3CB2F1E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17F319C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68AD26F3">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区土壤肥料站</w:t>
            </w:r>
          </w:p>
        </w:tc>
        <w:tc>
          <w:tcPr>
            <w:tcW w:w="0" w:type="auto"/>
            <w:tcBorders>
              <w:tl2br w:val="nil"/>
              <w:tr2bl w:val="nil"/>
            </w:tcBorders>
            <w:tcMar>
              <w:top w:w="60" w:type="dxa"/>
              <w:left w:w="120" w:type="dxa"/>
              <w:bottom w:w="30" w:type="dxa"/>
              <w:right w:w="120" w:type="dxa"/>
            </w:tcMar>
            <w:vAlign w:val="top"/>
          </w:tcPr>
          <w:p w14:paraId="6D7CDC52">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是（双随机一公开）</w:t>
            </w:r>
          </w:p>
        </w:tc>
        <w:tc>
          <w:tcPr>
            <w:tcW w:w="0" w:type="auto"/>
            <w:tcBorders>
              <w:tl2br w:val="nil"/>
              <w:tr2bl w:val="nil"/>
            </w:tcBorders>
            <w:tcMar>
              <w:top w:w="60" w:type="dxa"/>
              <w:left w:w="120" w:type="dxa"/>
              <w:bottom w:w="30" w:type="dxa"/>
              <w:right w:w="120" w:type="dxa"/>
            </w:tcMar>
            <w:vAlign w:val="top"/>
          </w:tcPr>
          <w:p w14:paraId="7C9DC4B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r>
              <w:rPr>
                <w:rFonts w:hint="eastAsia" w:ascii="仿宋_GB2312" w:hAnsi="仿宋_GB2312" w:eastAsia="仿宋_GB2312" w:cs="仿宋_GB2312"/>
                <w:sz w:val="24"/>
                <w:szCs w:val="24"/>
                <w:lang w:eastAsia="zh-CN"/>
              </w:rPr>
              <w:t>区土壤肥料站</w:t>
            </w:r>
            <w:r>
              <w:rPr>
                <w:rFonts w:hint="eastAsia" w:ascii="仿宋_GB2312" w:hAnsi="仿宋_GB2312" w:eastAsia="仿宋_GB2312" w:cs="仿宋_GB2312"/>
                <w:sz w:val="24"/>
                <w:szCs w:val="24"/>
              </w:rPr>
              <w:t>牵头，区市场监管局认证股配合</w:t>
            </w:r>
          </w:p>
        </w:tc>
      </w:tr>
      <w:tr w14:paraId="5687FB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018" w:hRule="atLeast"/>
        </w:trPr>
        <w:tc>
          <w:tcPr>
            <w:tcW w:w="0" w:type="auto"/>
            <w:tcBorders>
              <w:tl2br w:val="nil"/>
              <w:tr2bl w:val="nil"/>
            </w:tcBorders>
            <w:tcMar>
              <w:top w:w="60" w:type="dxa"/>
              <w:left w:w="120" w:type="dxa"/>
              <w:bottom w:w="30" w:type="dxa"/>
              <w:right w:w="120" w:type="dxa"/>
            </w:tcMar>
            <w:vAlign w:val="top"/>
          </w:tcPr>
          <w:p w14:paraId="35189B8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0" w:type="auto"/>
            <w:tcBorders>
              <w:tl2br w:val="nil"/>
              <w:tr2bl w:val="nil"/>
            </w:tcBorders>
            <w:tcMar>
              <w:top w:w="60" w:type="dxa"/>
              <w:left w:w="120" w:type="dxa"/>
              <w:bottom w:w="30" w:type="dxa"/>
              <w:right w:w="120" w:type="dxa"/>
            </w:tcMar>
            <w:vAlign w:val="top"/>
          </w:tcPr>
          <w:p w14:paraId="798728F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对农作物种子（含饲草种、烟草种、中药材种、食用菌菌种）质量的监督检查</w:t>
            </w:r>
          </w:p>
        </w:tc>
        <w:tc>
          <w:tcPr>
            <w:tcW w:w="0" w:type="auto"/>
            <w:tcBorders>
              <w:tl2br w:val="nil"/>
              <w:tr2bl w:val="nil"/>
            </w:tcBorders>
            <w:tcMar>
              <w:top w:w="60" w:type="dxa"/>
              <w:left w:w="120" w:type="dxa"/>
              <w:bottom w:w="30" w:type="dxa"/>
              <w:right w:w="120" w:type="dxa"/>
            </w:tcMar>
            <w:vAlign w:val="top"/>
          </w:tcPr>
          <w:p w14:paraId="6DED8DC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《中华人民共和国种子法》第四十六条</w:t>
            </w:r>
          </w:p>
        </w:tc>
        <w:tc>
          <w:tcPr>
            <w:tcW w:w="0" w:type="auto"/>
            <w:tcBorders>
              <w:tl2br w:val="nil"/>
              <w:tr2bl w:val="nil"/>
            </w:tcBorders>
            <w:tcMar>
              <w:top w:w="60" w:type="dxa"/>
              <w:left w:w="120" w:type="dxa"/>
              <w:bottom w:w="30" w:type="dxa"/>
              <w:right w:w="120" w:type="dxa"/>
            </w:tcMar>
            <w:vAlign w:val="top"/>
          </w:tcPr>
          <w:p w14:paraId="19A4076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辖区内农作物种子生产经营企业（</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家），50%</w:t>
            </w:r>
          </w:p>
        </w:tc>
        <w:tc>
          <w:tcPr>
            <w:tcW w:w="0" w:type="auto"/>
            <w:tcBorders>
              <w:tl2br w:val="nil"/>
              <w:tr2bl w:val="nil"/>
            </w:tcBorders>
            <w:tcMar>
              <w:top w:w="60" w:type="dxa"/>
              <w:left w:w="120" w:type="dxa"/>
              <w:bottom w:w="30" w:type="dxa"/>
              <w:right w:w="120" w:type="dxa"/>
            </w:tcMar>
            <w:vAlign w:val="top"/>
          </w:tcPr>
          <w:p w14:paraId="15FF4D6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主要农作物种子质量</w:t>
            </w:r>
          </w:p>
        </w:tc>
        <w:tc>
          <w:tcPr>
            <w:tcW w:w="0" w:type="auto"/>
            <w:tcBorders>
              <w:tl2br w:val="nil"/>
              <w:tr2bl w:val="nil"/>
            </w:tcBorders>
            <w:tcMar>
              <w:top w:w="60" w:type="dxa"/>
              <w:left w:w="120" w:type="dxa"/>
              <w:bottom w:w="30" w:type="dxa"/>
              <w:right w:w="120" w:type="dxa"/>
            </w:tcMar>
            <w:vAlign w:val="top"/>
          </w:tcPr>
          <w:p w14:paraId="23CB719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3-12月</w:t>
            </w:r>
          </w:p>
        </w:tc>
        <w:tc>
          <w:tcPr>
            <w:tcW w:w="0" w:type="auto"/>
            <w:tcBorders>
              <w:tl2br w:val="nil"/>
              <w:tr2bl w:val="nil"/>
            </w:tcBorders>
            <w:tcMar>
              <w:top w:w="60" w:type="dxa"/>
              <w:left w:w="120" w:type="dxa"/>
              <w:bottom w:w="30" w:type="dxa"/>
              <w:right w:w="120" w:type="dxa"/>
            </w:tcMar>
            <w:vAlign w:val="top"/>
          </w:tcPr>
          <w:p w14:paraId="100EAB5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58C8422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2次</w:t>
            </w:r>
          </w:p>
        </w:tc>
        <w:tc>
          <w:tcPr>
            <w:tcW w:w="0" w:type="auto"/>
            <w:tcBorders>
              <w:tl2br w:val="nil"/>
              <w:tr2bl w:val="nil"/>
            </w:tcBorders>
            <w:tcMar>
              <w:top w:w="60" w:type="dxa"/>
              <w:left w:w="120" w:type="dxa"/>
              <w:bottom w:w="30" w:type="dxa"/>
              <w:right w:w="120" w:type="dxa"/>
            </w:tcMar>
            <w:vAlign w:val="top"/>
          </w:tcPr>
          <w:p w14:paraId="7161CFF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种业管理股</w:t>
            </w:r>
            <w:r>
              <w:rPr>
                <w:rFonts w:hint="eastAsia" w:ascii="仿宋_GB2312" w:hAnsi="仿宋_GB2312" w:eastAsia="仿宋_GB2312" w:cs="仿宋_GB2312"/>
                <w:sz w:val="24"/>
                <w:szCs w:val="24"/>
                <w:lang w:eastAsia="zh-CN"/>
              </w:rPr>
              <w:t>（科技教育股）</w:t>
            </w:r>
          </w:p>
        </w:tc>
        <w:tc>
          <w:tcPr>
            <w:tcW w:w="0" w:type="auto"/>
            <w:tcBorders>
              <w:tl2br w:val="nil"/>
              <w:tr2bl w:val="nil"/>
            </w:tcBorders>
            <w:tcMar>
              <w:top w:w="60" w:type="dxa"/>
              <w:left w:w="120" w:type="dxa"/>
              <w:bottom w:w="30" w:type="dxa"/>
              <w:right w:w="120" w:type="dxa"/>
            </w:tcMar>
            <w:vAlign w:val="top"/>
          </w:tcPr>
          <w:p w14:paraId="49EAAAE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是（双随机一公开）</w:t>
            </w:r>
          </w:p>
        </w:tc>
        <w:tc>
          <w:tcPr>
            <w:tcW w:w="0" w:type="auto"/>
            <w:tcBorders>
              <w:tl2br w:val="nil"/>
              <w:tr2bl w:val="nil"/>
            </w:tcBorders>
            <w:tcMar>
              <w:top w:w="60" w:type="dxa"/>
              <w:left w:w="120" w:type="dxa"/>
              <w:bottom w:w="30" w:type="dxa"/>
              <w:right w:w="120" w:type="dxa"/>
            </w:tcMar>
            <w:vAlign w:val="top"/>
          </w:tcPr>
          <w:p w14:paraId="1713376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区农业农村局种业管理股牵头，区市场监管局信用股配合</w:t>
            </w:r>
          </w:p>
        </w:tc>
      </w:tr>
      <w:tr w14:paraId="74E9DE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vAlign w:val="top"/>
          </w:tcPr>
          <w:p w14:paraId="00DBCC8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0" w:type="auto"/>
            <w:tcBorders>
              <w:tl2br w:val="nil"/>
              <w:tr2bl w:val="nil"/>
            </w:tcBorders>
            <w:tcMar>
              <w:top w:w="60" w:type="dxa"/>
              <w:left w:w="120" w:type="dxa"/>
              <w:bottom w:w="30" w:type="dxa"/>
              <w:right w:w="120" w:type="dxa"/>
            </w:tcMar>
            <w:vAlign w:val="top"/>
          </w:tcPr>
          <w:p w14:paraId="53C01B9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对农用薄膜使用、回收的监督检查</w:t>
            </w:r>
          </w:p>
        </w:tc>
        <w:tc>
          <w:tcPr>
            <w:tcW w:w="0" w:type="auto"/>
            <w:tcBorders>
              <w:tl2br w:val="nil"/>
              <w:tr2bl w:val="nil"/>
            </w:tcBorders>
            <w:tcMar>
              <w:top w:w="60" w:type="dxa"/>
              <w:left w:w="120" w:type="dxa"/>
              <w:bottom w:w="30" w:type="dxa"/>
              <w:right w:w="120" w:type="dxa"/>
            </w:tcMar>
            <w:vAlign w:val="top"/>
          </w:tcPr>
          <w:p w14:paraId="04DF5ED3">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《农用薄膜管理办法》（2020公布）第五条 县级以上人民政府农业农村主管部门负责农用薄膜使用、回收监督管理工作，指导农用薄膜回收利用体系建设。</w:t>
            </w:r>
          </w:p>
          <w:p w14:paraId="17F2AC5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第二十一条 建立农用薄膜残留监测制度，县级以上地方人民政府农业农村主管部门应当定期开展本行政区域的农用薄膜残留监测。 </w:t>
            </w:r>
          </w:p>
        </w:tc>
        <w:tc>
          <w:tcPr>
            <w:tcW w:w="0" w:type="auto"/>
            <w:tcBorders>
              <w:tl2br w:val="nil"/>
              <w:tr2bl w:val="nil"/>
            </w:tcBorders>
            <w:tcMar>
              <w:top w:w="60" w:type="dxa"/>
              <w:left w:w="120" w:type="dxa"/>
              <w:bottom w:w="30" w:type="dxa"/>
              <w:right w:w="120" w:type="dxa"/>
            </w:tcMar>
            <w:vAlign w:val="top"/>
          </w:tcPr>
          <w:p w14:paraId="6001A20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从事农业种植的企业</w:t>
            </w:r>
          </w:p>
        </w:tc>
        <w:tc>
          <w:tcPr>
            <w:tcW w:w="0" w:type="auto"/>
            <w:tcBorders>
              <w:tl2br w:val="nil"/>
              <w:tr2bl w:val="nil"/>
            </w:tcBorders>
            <w:tcMar>
              <w:top w:w="60" w:type="dxa"/>
              <w:left w:w="120" w:type="dxa"/>
              <w:bottom w:w="30" w:type="dxa"/>
              <w:right w:w="120" w:type="dxa"/>
            </w:tcMar>
            <w:vAlign w:val="top"/>
          </w:tcPr>
          <w:p w14:paraId="66D86A8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对农用薄膜使用、回收的监督管理。</w:t>
            </w:r>
          </w:p>
          <w:p w14:paraId="16B3EE6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p>
        </w:tc>
        <w:tc>
          <w:tcPr>
            <w:tcW w:w="0" w:type="auto"/>
            <w:tcBorders>
              <w:tl2br w:val="nil"/>
              <w:tr2bl w:val="nil"/>
            </w:tcBorders>
            <w:tcMar>
              <w:top w:w="60" w:type="dxa"/>
              <w:left w:w="120" w:type="dxa"/>
              <w:bottom w:w="30" w:type="dxa"/>
              <w:right w:w="120" w:type="dxa"/>
            </w:tcMar>
            <w:vAlign w:val="top"/>
          </w:tcPr>
          <w:p w14:paraId="1747524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按本单位每年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月底前报经同级司法行政部门备案审查的涉企年度行政检查计划执行</w:t>
            </w:r>
          </w:p>
        </w:tc>
        <w:tc>
          <w:tcPr>
            <w:tcW w:w="0" w:type="auto"/>
            <w:tcBorders>
              <w:tl2br w:val="nil"/>
              <w:tr2bl w:val="nil"/>
            </w:tcBorders>
            <w:tcMar>
              <w:top w:w="60" w:type="dxa"/>
              <w:left w:w="120" w:type="dxa"/>
              <w:bottom w:w="30" w:type="dxa"/>
              <w:right w:w="120" w:type="dxa"/>
            </w:tcMar>
            <w:vAlign w:val="top"/>
          </w:tcPr>
          <w:p w14:paraId="0541456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现场检查</w:t>
            </w:r>
          </w:p>
        </w:tc>
        <w:tc>
          <w:tcPr>
            <w:tcW w:w="0" w:type="auto"/>
            <w:tcBorders>
              <w:tl2br w:val="nil"/>
              <w:tr2bl w:val="nil"/>
            </w:tcBorders>
            <w:tcMar>
              <w:top w:w="60" w:type="dxa"/>
              <w:left w:w="120" w:type="dxa"/>
              <w:bottom w:w="30" w:type="dxa"/>
              <w:right w:w="120" w:type="dxa"/>
            </w:tcMar>
            <w:vAlign w:val="top"/>
          </w:tcPr>
          <w:p w14:paraId="451A5E3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p>
        </w:tc>
        <w:tc>
          <w:tcPr>
            <w:tcW w:w="0" w:type="auto"/>
            <w:tcBorders>
              <w:tl2br w:val="nil"/>
              <w:tr2bl w:val="nil"/>
            </w:tcBorders>
            <w:tcMar>
              <w:top w:w="60" w:type="dxa"/>
              <w:left w:w="120" w:type="dxa"/>
              <w:bottom w:w="30" w:type="dxa"/>
              <w:right w:w="120" w:type="dxa"/>
            </w:tcMar>
            <w:vAlign w:val="top"/>
          </w:tcPr>
          <w:p w14:paraId="3EA1A10E">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农业资源保护与利用股</w:t>
            </w:r>
          </w:p>
        </w:tc>
        <w:tc>
          <w:tcPr>
            <w:tcW w:w="0" w:type="auto"/>
            <w:tcBorders>
              <w:tl2br w:val="nil"/>
              <w:tr2bl w:val="nil"/>
            </w:tcBorders>
            <w:tcMar>
              <w:top w:w="60" w:type="dxa"/>
              <w:left w:w="120" w:type="dxa"/>
              <w:bottom w:w="30" w:type="dxa"/>
              <w:right w:w="120" w:type="dxa"/>
            </w:tcMar>
            <w:vAlign w:val="top"/>
          </w:tcPr>
          <w:p w14:paraId="25350FD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是（双随机一公开）</w:t>
            </w:r>
          </w:p>
        </w:tc>
        <w:tc>
          <w:tcPr>
            <w:tcW w:w="0" w:type="auto"/>
            <w:tcBorders>
              <w:tl2br w:val="nil"/>
              <w:tr2bl w:val="nil"/>
            </w:tcBorders>
            <w:tcMar>
              <w:top w:w="60" w:type="dxa"/>
              <w:left w:w="120" w:type="dxa"/>
              <w:bottom w:w="30" w:type="dxa"/>
              <w:right w:w="120" w:type="dxa"/>
            </w:tcMar>
            <w:vAlign w:val="top"/>
          </w:tcPr>
          <w:p w14:paraId="1C3AA725">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p>
        </w:tc>
      </w:tr>
      <w:tr w14:paraId="32B146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476" w:hRule="atLeast"/>
        </w:trPr>
        <w:tc>
          <w:tcPr>
            <w:tcW w:w="0" w:type="auto"/>
            <w:tcBorders>
              <w:tl2br w:val="nil"/>
              <w:tr2bl w:val="nil"/>
            </w:tcBorders>
            <w:tcMar>
              <w:top w:w="60" w:type="dxa"/>
              <w:left w:w="120" w:type="dxa"/>
              <w:bottom w:w="30" w:type="dxa"/>
              <w:right w:w="120" w:type="dxa"/>
            </w:tcMar>
            <w:vAlign w:val="top"/>
          </w:tcPr>
          <w:p w14:paraId="04595192">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0" w:type="auto"/>
            <w:tcBorders>
              <w:tl2br w:val="nil"/>
              <w:tr2bl w:val="nil"/>
            </w:tcBorders>
            <w:tcMar>
              <w:top w:w="60" w:type="dxa"/>
              <w:left w:w="120" w:type="dxa"/>
              <w:bottom w:w="30" w:type="dxa"/>
              <w:right w:w="120" w:type="dxa"/>
            </w:tcMar>
            <w:vAlign w:val="top"/>
          </w:tcPr>
          <w:p w14:paraId="274D7DE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对农业生产经营单位执行有关安全生产法律法规、标准情况的行政检查</w:t>
            </w:r>
          </w:p>
        </w:tc>
        <w:tc>
          <w:tcPr>
            <w:tcW w:w="0" w:type="auto"/>
            <w:tcBorders>
              <w:tl2br w:val="nil"/>
              <w:tr2bl w:val="nil"/>
            </w:tcBorders>
            <w:tcMar>
              <w:top w:w="60" w:type="dxa"/>
              <w:left w:w="120" w:type="dxa"/>
              <w:bottom w:w="30" w:type="dxa"/>
              <w:right w:w="120" w:type="dxa"/>
            </w:tcMar>
            <w:vAlign w:val="top"/>
          </w:tcPr>
          <w:p w14:paraId="043433A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《中华人民共和国安全生产法》第六十五条</w:t>
            </w:r>
          </w:p>
        </w:tc>
        <w:tc>
          <w:tcPr>
            <w:tcW w:w="0" w:type="auto"/>
            <w:tcBorders>
              <w:tl2br w:val="nil"/>
              <w:tr2bl w:val="nil"/>
            </w:tcBorders>
            <w:tcMar>
              <w:top w:w="60" w:type="dxa"/>
              <w:left w:w="120" w:type="dxa"/>
              <w:bottom w:w="30" w:type="dxa"/>
              <w:right w:w="120" w:type="dxa"/>
            </w:tcMar>
            <w:vAlign w:val="top"/>
          </w:tcPr>
          <w:p w14:paraId="652F8D2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辖区内农业生产经营单位，结合业务监管</w:t>
            </w:r>
          </w:p>
        </w:tc>
        <w:tc>
          <w:tcPr>
            <w:tcW w:w="0" w:type="auto"/>
            <w:tcBorders>
              <w:tl2br w:val="nil"/>
              <w:tr2bl w:val="nil"/>
            </w:tcBorders>
            <w:tcMar>
              <w:top w:w="60" w:type="dxa"/>
              <w:left w:w="120" w:type="dxa"/>
              <w:bottom w:w="30" w:type="dxa"/>
              <w:right w:w="120" w:type="dxa"/>
            </w:tcMar>
            <w:vAlign w:val="top"/>
          </w:tcPr>
          <w:p w14:paraId="2F2F1CA3">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执行有关安全生产法律法规、标准的情况</w:t>
            </w:r>
          </w:p>
        </w:tc>
        <w:tc>
          <w:tcPr>
            <w:tcW w:w="0" w:type="auto"/>
            <w:tcBorders>
              <w:tl2br w:val="nil"/>
              <w:tr2bl w:val="nil"/>
            </w:tcBorders>
            <w:tcMar>
              <w:top w:w="60" w:type="dxa"/>
              <w:left w:w="120" w:type="dxa"/>
              <w:bottom w:w="30" w:type="dxa"/>
              <w:right w:w="120" w:type="dxa"/>
            </w:tcMar>
            <w:vAlign w:val="top"/>
          </w:tcPr>
          <w:p w14:paraId="119A7C0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w:t>
            </w:r>
          </w:p>
        </w:tc>
        <w:tc>
          <w:tcPr>
            <w:tcW w:w="0" w:type="auto"/>
            <w:tcBorders>
              <w:tl2br w:val="nil"/>
              <w:tr2bl w:val="nil"/>
            </w:tcBorders>
            <w:tcMar>
              <w:top w:w="60" w:type="dxa"/>
              <w:left w:w="120" w:type="dxa"/>
              <w:bottom w:w="30" w:type="dxa"/>
              <w:right w:w="120" w:type="dxa"/>
            </w:tcMar>
            <w:vAlign w:val="top"/>
          </w:tcPr>
          <w:p w14:paraId="492FD29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1691A75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1B50E08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安全生产管理股</w:t>
            </w:r>
          </w:p>
        </w:tc>
        <w:tc>
          <w:tcPr>
            <w:tcW w:w="0" w:type="auto"/>
            <w:tcBorders>
              <w:tl2br w:val="nil"/>
              <w:tr2bl w:val="nil"/>
            </w:tcBorders>
            <w:tcMar>
              <w:top w:w="60" w:type="dxa"/>
              <w:left w:w="120" w:type="dxa"/>
              <w:bottom w:w="30" w:type="dxa"/>
              <w:right w:w="120" w:type="dxa"/>
            </w:tcMar>
            <w:vAlign w:val="top"/>
          </w:tcPr>
          <w:p w14:paraId="0B243AF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0B95D302">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不列入双随机一公开，应结合行业监管的行政检查事项一并进行</w:t>
            </w:r>
          </w:p>
        </w:tc>
      </w:tr>
      <w:tr w14:paraId="01122B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5934" w:hRule="atLeast"/>
        </w:trPr>
        <w:tc>
          <w:tcPr>
            <w:tcW w:w="0" w:type="auto"/>
            <w:tcBorders>
              <w:tl2br w:val="nil"/>
              <w:tr2bl w:val="nil"/>
            </w:tcBorders>
            <w:tcMar>
              <w:top w:w="60" w:type="dxa"/>
              <w:left w:w="120" w:type="dxa"/>
              <w:bottom w:w="30" w:type="dxa"/>
              <w:right w:w="120" w:type="dxa"/>
            </w:tcMar>
            <w:vAlign w:val="top"/>
          </w:tcPr>
          <w:p w14:paraId="102441E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0" w:type="auto"/>
            <w:tcBorders>
              <w:tl2br w:val="nil"/>
              <w:tr2bl w:val="nil"/>
            </w:tcBorders>
            <w:tcMar>
              <w:top w:w="60" w:type="dxa"/>
              <w:left w:w="120" w:type="dxa"/>
              <w:bottom w:w="30" w:type="dxa"/>
              <w:right w:w="120" w:type="dxa"/>
            </w:tcMar>
            <w:vAlign w:val="top"/>
          </w:tcPr>
          <w:p w14:paraId="51B2515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对粮食生产、储备、流通、加工等的监督检查</w:t>
            </w:r>
          </w:p>
        </w:tc>
        <w:tc>
          <w:tcPr>
            <w:tcW w:w="0" w:type="auto"/>
            <w:tcBorders>
              <w:tl2br w:val="nil"/>
              <w:tr2bl w:val="nil"/>
            </w:tcBorders>
            <w:tcMar>
              <w:top w:w="60" w:type="dxa"/>
              <w:left w:w="120" w:type="dxa"/>
              <w:bottom w:w="30" w:type="dxa"/>
              <w:right w:w="120" w:type="dxa"/>
            </w:tcMar>
            <w:vAlign w:val="top"/>
          </w:tcPr>
          <w:p w14:paraId="384001A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粮食安全保障法》（2023公布）第五十八条县级以上人民政府发展改革、农业农村、粮食和储备、自然资源、水行政、生态环境、市场监督管理、工业和信息化等有关部门应当依照职责对粮食生产、储备、流通、加工等实施监督检查，并建立粮食安全监管协调机制和信息共享机制，加强协作配合。</w:t>
            </w:r>
          </w:p>
          <w:p w14:paraId="78DCA4F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第六十一条 县级以上人民政府有关部门依照职责开展粮食安全监督检查，可以采取下列措施：</w:t>
            </w:r>
          </w:p>
          <w:p w14:paraId="6DA4B46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（一）进入粮食生产经营场所实施现场检查；</w:t>
            </w:r>
          </w:p>
          <w:p w14:paraId="6CD6B8C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（二）向有关单位和人员调查了解相关情况；</w:t>
            </w:r>
          </w:p>
          <w:p w14:paraId="4A8AB37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（三）进入涉嫌违法活动的场所调查取证；</w:t>
            </w:r>
          </w:p>
          <w:p w14:paraId="160FEA7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（四）查阅、复制有关文件、资料、账簿、凭证，对可能被转移、隐匿或者损毁的文件、资料、账簿、凭证、电子设备等予以封存；</w:t>
            </w:r>
          </w:p>
          <w:p w14:paraId="2EECF0B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（五）查封、扣押涉嫌违法活动的场所、设施或者财物；</w:t>
            </w:r>
          </w:p>
          <w:p w14:paraId="60924FD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（六）对有关单位的法定代表人、负责人或者其他工作人员进行约谈、询问。</w:t>
            </w:r>
          </w:p>
        </w:tc>
        <w:tc>
          <w:tcPr>
            <w:tcW w:w="0" w:type="auto"/>
            <w:tcBorders>
              <w:tl2br w:val="nil"/>
              <w:tr2bl w:val="nil"/>
            </w:tcBorders>
            <w:tcMar>
              <w:top w:w="60" w:type="dxa"/>
              <w:left w:w="120" w:type="dxa"/>
              <w:bottom w:w="30" w:type="dxa"/>
              <w:right w:w="120" w:type="dxa"/>
            </w:tcMar>
            <w:vAlign w:val="top"/>
          </w:tcPr>
          <w:p w14:paraId="0459AF6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粮食生产、加工企业</w:t>
            </w:r>
          </w:p>
        </w:tc>
        <w:tc>
          <w:tcPr>
            <w:tcW w:w="0" w:type="auto"/>
            <w:tcBorders>
              <w:tl2br w:val="nil"/>
              <w:tr2bl w:val="nil"/>
            </w:tcBorders>
            <w:tcMar>
              <w:top w:w="60" w:type="dxa"/>
              <w:left w:w="120" w:type="dxa"/>
              <w:bottom w:w="30" w:type="dxa"/>
              <w:right w:w="120" w:type="dxa"/>
            </w:tcMar>
            <w:vAlign w:val="top"/>
          </w:tcPr>
          <w:p w14:paraId="5B29F38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粮食生产、加工企业</w:t>
            </w:r>
          </w:p>
        </w:tc>
        <w:tc>
          <w:tcPr>
            <w:tcW w:w="0" w:type="auto"/>
            <w:tcBorders>
              <w:tl2br w:val="nil"/>
              <w:tr2bl w:val="nil"/>
            </w:tcBorders>
            <w:tcMar>
              <w:top w:w="60" w:type="dxa"/>
              <w:left w:w="120" w:type="dxa"/>
              <w:bottom w:w="30" w:type="dxa"/>
              <w:right w:w="120" w:type="dxa"/>
            </w:tcMar>
            <w:vAlign w:val="top"/>
          </w:tcPr>
          <w:p w14:paraId="3FAE874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按本单位每年3月底前报请同级司法行政部门备案审查的涉企年度行政检查计划执行</w:t>
            </w:r>
          </w:p>
        </w:tc>
        <w:tc>
          <w:tcPr>
            <w:tcW w:w="0" w:type="auto"/>
            <w:tcBorders>
              <w:tl2br w:val="nil"/>
              <w:tr2bl w:val="nil"/>
            </w:tcBorders>
            <w:tcMar>
              <w:top w:w="60" w:type="dxa"/>
              <w:left w:w="120" w:type="dxa"/>
              <w:bottom w:w="30" w:type="dxa"/>
              <w:right w:w="120" w:type="dxa"/>
            </w:tcMar>
            <w:vAlign w:val="top"/>
          </w:tcPr>
          <w:p w14:paraId="198C4E3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w:t>
            </w:r>
          </w:p>
        </w:tc>
        <w:tc>
          <w:tcPr>
            <w:tcW w:w="0" w:type="auto"/>
            <w:tcBorders>
              <w:tl2br w:val="nil"/>
              <w:tr2bl w:val="nil"/>
            </w:tcBorders>
            <w:tcMar>
              <w:top w:w="60" w:type="dxa"/>
              <w:left w:w="120" w:type="dxa"/>
              <w:bottom w:w="30" w:type="dxa"/>
              <w:right w:w="120" w:type="dxa"/>
            </w:tcMar>
            <w:vAlign w:val="top"/>
          </w:tcPr>
          <w:p w14:paraId="64AC5F1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1次</w:t>
            </w:r>
          </w:p>
        </w:tc>
        <w:tc>
          <w:tcPr>
            <w:tcW w:w="0" w:type="auto"/>
            <w:tcBorders>
              <w:tl2br w:val="nil"/>
              <w:tr2bl w:val="nil"/>
            </w:tcBorders>
            <w:tcMar>
              <w:top w:w="60" w:type="dxa"/>
              <w:left w:w="120" w:type="dxa"/>
              <w:bottom w:w="30" w:type="dxa"/>
              <w:right w:w="120" w:type="dxa"/>
            </w:tcMar>
            <w:vAlign w:val="top"/>
          </w:tcPr>
          <w:p w14:paraId="6C89951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种植业管理股</w:t>
            </w:r>
          </w:p>
        </w:tc>
        <w:tc>
          <w:tcPr>
            <w:tcW w:w="0" w:type="auto"/>
            <w:tcBorders>
              <w:tl2br w:val="nil"/>
              <w:tr2bl w:val="nil"/>
            </w:tcBorders>
            <w:tcMar>
              <w:top w:w="60" w:type="dxa"/>
              <w:left w:w="120" w:type="dxa"/>
              <w:bottom w:w="30" w:type="dxa"/>
              <w:right w:w="120" w:type="dxa"/>
            </w:tcMar>
            <w:vAlign w:val="top"/>
          </w:tcPr>
          <w:p w14:paraId="2AC6CAD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1CDC406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是（双随机一公开）</w:t>
            </w:r>
          </w:p>
        </w:tc>
      </w:tr>
      <w:tr w14:paraId="53B728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vAlign w:val="top"/>
          </w:tcPr>
          <w:p w14:paraId="78EF760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0" w:type="auto"/>
            <w:tcBorders>
              <w:tl2br w:val="nil"/>
              <w:tr2bl w:val="nil"/>
            </w:tcBorders>
            <w:tcMar>
              <w:top w:w="60" w:type="dxa"/>
              <w:left w:w="120" w:type="dxa"/>
              <w:bottom w:w="30" w:type="dxa"/>
              <w:right w:w="120" w:type="dxa"/>
            </w:tcMar>
            <w:vAlign w:val="top"/>
          </w:tcPr>
          <w:p w14:paraId="4EE6B88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对农产品产地环境、农业投入品购买和使用、农产品生产记录、承诺达标合格证开具等情况的行政检查</w:t>
            </w:r>
          </w:p>
        </w:tc>
        <w:tc>
          <w:tcPr>
            <w:tcW w:w="0" w:type="auto"/>
            <w:tcBorders>
              <w:tl2br w:val="nil"/>
              <w:tr2bl w:val="nil"/>
            </w:tcBorders>
            <w:tcMar>
              <w:top w:w="60" w:type="dxa"/>
              <w:left w:w="120" w:type="dxa"/>
              <w:bottom w:w="30" w:type="dxa"/>
              <w:right w:w="120" w:type="dxa"/>
            </w:tcMar>
            <w:vAlign w:val="top"/>
          </w:tcPr>
          <w:p w14:paraId="14F3B325">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《中华人民共和国农产品质量安全法》第五十三条</w:t>
            </w:r>
          </w:p>
        </w:tc>
        <w:tc>
          <w:tcPr>
            <w:tcW w:w="0" w:type="auto"/>
            <w:tcBorders>
              <w:tl2br w:val="nil"/>
              <w:tr2bl w:val="nil"/>
            </w:tcBorders>
            <w:tcMar>
              <w:top w:w="60" w:type="dxa"/>
              <w:left w:w="120" w:type="dxa"/>
              <w:bottom w:w="30" w:type="dxa"/>
              <w:right w:w="120" w:type="dxa"/>
            </w:tcMar>
            <w:vAlign w:val="top"/>
          </w:tcPr>
          <w:p w14:paraId="6EDE2B9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辖区内农产品生产经营主体约30家，2%</w:t>
            </w:r>
          </w:p>
        </w:tc>
        <w:tc>
          <w:tcPr>
            <w:tcW w:w="0" w:type="auto"/>
            <w:tcBorders>
              <w:tl2br w:val="nil"/>
              <w:tr2bl w:val="nil"/>
            </w:tcBorders>
            <w:tcMar>
              <w:top w:w="60" w:type="dxa"/>
              <w:left w:w="120" w:type="dxa"/>
              <w:bottom w:w="30" w:type="dxa"/>
              <w:right w:w="120" w:type="dxa"/>
            </w:tcMar>
            <w:vAlign w:val="top"/>
          </w:tcPr>
          <w:p w14:paraId="1BE1E53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产地环境、农业投入品购买和使用、农产品生产记录、承诺达标合格证开具等情况</w:t>
            </w:r>
          </w:p>
        </w:tc>
        <w:tc>
          <w:tcPr>
            <w:tcW w:w="0" w:type="auto"/>
            <w:tcBorders>
              <w:tl2br w:val="nil"/>
              <w:tr2bl w:val="nil"/>
            </w:tcBorders>
            <w:tcMar>
              <w:top w:w="60" w:type="dxa"/>
              <w:left w:w="120" w:type="dxa"/>
              <w:bottom w:w="30" w:type="dxa"/>
              <w:right w:w="120" w:type="dxa"/>
            </w:tcMar>
            <w:vAlign w:val="top"/>
          </w:tcPr>
          <w:p w14:paraId="734581E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3-12月</w:t>
            </w:r>
          </w:p>
        </w:tc>
        <w:tc>
          <w:tcPr>
            <w:tcW w:w="0" w:type="auto"/>
            <w:tcBorders>
              <w:tl2br w:val="nil"/>
              <w:tr2bl w:val="nil"/>
            </w:tcBorders>
            <w:tcMar>
              <w:top w:w="60" w:type="dxa"/>
              <w:left w:w="120" w:type="dxa"/>
              <w:bottom w:w="30" w:type="dxa"/>
              <w:right w:w="120" w:type="dxa"/>
            </w:tcMar>
            <w:vAlign w:val="top"/>
          </w:tcPr>
          <w:p w14:paraId="6CC3B98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73AEF3E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4次</w:t>
            </w:r>
          </w:p>
        </w:tc>
        <w:tc>
          <w:tcPr>
            <w:tcW w:w="0" w:type="auto"/>
            <w:tcBorders>
              <w:tl2br w:val="nil"/>
              <w:tr2bl w:val="nil"/>
            </w:tcBorders>
            <w:tcMar>
              <w:top w:w="60" w:type="dxa"/>
              <w:left w:w="120" w:type="dxa"/>
              <w:bottom w:w="30" w:type="dxa"/>
              <w:right w:w="120" w:type="dxa"/>
            </w:tcMar>
            <w:vAlign w:val="top"/>
          </w:tcPr>
          <w:p w14:paraId="0E62A0F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农产品质量安全监管股</w:t>
            </w:r>
          </w:p>
        </w:tc>
        <w:tc>
          <w:tcPr>
            <w:tcW w:w="0" w:type="auto"/>
            <w:tcBorders>
              <w:tl2br w:val="nil"/>
              <w:tr2bl w:val="nil"/>
            </w:tcBorders>
            <w:tcMar>
              <w:top w:w="60" w:type="dxa"/>
              <w:left w:w="120" w:type="dxa"/>
              <w:bottom w:w="30" w:type="dxa"/>
              <w:right w:w="120" w:type="dxa"/>
            </w:tcMar>
            <w:vAlign w:val="top"/>
          </w:tcPr>
          <w:p w14:paraId="48F6AC7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31A9758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双随机一公开、重点检查事项</w:t>
            </w:r>
          </w:p>
        </w:tc>
      </w:tr>
      <w:tr w14:paraId="2268E4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3036" w:hRule="atLeast"/>
        </w:trPr>
        <w:tc>
          <w:tcPr>
            <w:tcW w:w="0" w:type="auto"/>
            <w:tcBorders>
              <w:tl2br w:val="nil"/>
              <w:tr2bl w:val="nil"/>
            </w:tcBorders>
            <w:tcMar>
              <w:top w:w="60" w:type="dxa"/>
              <w:left w:w="120" w:type="dxa"/>
              <w:bottom w:w="30" w:type="dxa"/>
              <w:right w:w="120" w:type="dxa"/>
            </w:tcMar>
            <w:vAlign w:val="top"/>
          </w:tcPr>
          <w:p w14:paraId="252DE5F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0" w:type="auto"/>
            <w:tcBorders>
              <w:tl2br w:val="nil"/>
              <w:tr2bl w:val="nil"/>
            </w:tcBorders>
            <w:tcMar>
              <w:top w:w="60" w:type="dxa"/>
              <w:left w:w="120" w:type="dxa"/>
              <w:bottom w:w="30" w:type="dxa"/>
              <w:right w:w="120" w:type="dxa"/>
            </w:tcMar>
            <w:vAlign w:val="top"/>
          </w:tcPr>
          <w:p w14:paraId="0F06580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农产品质量安全监督抽查</w:t>
            </w:r>
          </w:p>
        </w:tc>
        <w:tc>
          <w:tcPr>
            <w:tcW w:w="0" w:type="auto"/>
            <w:tcBorders>
              <w:tl2br w:val="nil"/>
              <w:tr2bl w:val="nil"/>
            </w:tcBorders>
            <w:tcMar>
              <w:top w:w="60" w:type="dxa"/>
              <w:left w:w="120" w:type="dxa"/>
              <w:bottom w:w="30" w:type="dxa"/>
              <w:right w:w="120" w:type="dxa"/>
            </w:tcMar>
            <w:vAlign w:val="top"/>
          </w:tcPr>
          <w:p w14:paraId="7EDA3B6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《中华人民共和国农产品质量安全法》第四十七条</w:t>
            </w:r>
          </w:p>
        </w:tc>
        <w:tc>
          <w:tcPr>
            <w:tcW w:w="0" w:type="auto"/>
            <w:tcBorders>
              <w:tl2br w:val="nil"/>
              <w:tr2bl w:val="nil"/>
            </w:tcBorders>
            <w:tcMar>
              <w:top w:w="60" w:type="dxa"/>
              <w:left w:w="120" w:type="dxa"/>
              <w:bottom w:w="30" w:type="dxa"/>
              <w:right w:w="120" w:type="dxa"/>
            </w:tcMar>
            <w:vAlign w:val="top"/>
          </w:tcPr>
          <w:p w14:paraId="5162093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辖区内农产品生产经营企业、合作社、家庭农场、农户等，50批次，30%</w:t>
            </w:r>
          </w:p>
        </w:tc>
        <w:tc>
          <w:tcPr>
            <w:tcW w:w="0" w:type="auto"/>
            <w:tcBorders>
              <w:tl2br w:val="nil"/>
              <w:tr2bl w:val="nil"/>
            </w:tcBorders>
            <w:tcMar>
              <w:top w:w="60" w:type="dxa"/>
              <w:left w:w="120" w:type="dxa"/>
              <w:bottom w:w="30" w:type="dxa"/>
              <w:right w:w="120" w:type="dxa"/>
            </w:tcMar>
            <w:vAlign w:val="top"/>
          </w:tcPr>
          <w:p w14:paraId="1A693D9F">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农产品质量安全监督抽查及检查人</w:t>
            </w:r>
          </w:p>
        </w:tc>
        <w:tc>
          <w:tcPr>
            <w:tcW w:w="0" w:type="auto"/>
            <w:tcBorders>
              <w:tl2br w:val="nil"/>
              <w:tr2bl w:val="nil"/>
            </w:tcBorders>
            <w:tcMar>
              <w:top w:w="60" w:type="dxa"/>
              <w:left w:w="120" w:type="dxa"/>
              <w:bottom w:w="30" w:type="dxa"/>
              <w:right w:w="120" w:type="dxa"/>
            </w:tcMar>
            <w:vAlign w:val="top"/>
          </w:tcPr>
          <w:p w14:paraId="5201E57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3-12月</w:t>
            </w:r>
          </w:p>
        </w:tc>
        <w:tc>
          <w:tcPr>
            <w:tcW w:w="0" w:type="auto"/>
            <w:tcBorders>
              <w:tl2br w:val="nil"/>
              <w:tr2bl w:val="nil"/>
            </w:tcBorders>
            <w:tcMar>
              <w:top w:w="60" w:type="dxa"/>
              <w:left w:w="120" w:type="dxa"/>
              <w:bottom w:w="30" w:type="dxa"/>
              <w:right w:w="120" w:type="dxa"/>
            </w:tcMar>
            <w:vAlign w:val="top"/>
          </w:tcPr>
          <w:p w14:paraId="6ABB3CA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04A1E16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4次</w:t>
            </w:r>
          </w:p>
        </w:tc>
        <w:tc>
          <w:tcPr>
            <w:tcW w:w="0" w:type="auto"/>
            <w:tcBorders>
              <w:tl2br w:val="nil"/>
              <w:tr2bl w:val="nil"/>
            </w:tcBorders>
            <w:tcMar>
              <w:top w:w="60" w:type="dxa"/>
              <w:left w:w="120" w:type="dxa"/>
              <w:bottom w:w="30" w:type="dxa"/>
              <w:right w:w="120" w:type="dxa"/>
            </w:tcMar>
            <w:vAlign w:val="top"/>
          </w:tcPr>
          <w:p w14:paraId="1E2D424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农产品质量安全监管股</w:t>
            </w:r>
          </w:p>
        </w:tc>
        <w:tc>
          <w:tcPr>
            <w:tcW w:w="0" w:type="auto"/>
            <w:tcBorders>
              <w:tl2br w:val="nil"/>
              <w:tr2bl w:val="nil"/>
            </w:tcBorders>
            <w:tcMar>
              <w:top w:w="60" w:type="dxa"/>
              <w:left w:w="120" w:type="dxa"/>
              <w:bottom w:w="30" w:type="dxa"/>
              <w:right w:w="120" w:type="dxa"/>
            </w:tcMar>
            <w:vAlign w:val="top"/>
          </w:tcPr>
          <w:p w14:paraId="79720432">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46BB28CF">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双随机一公开、重点检查事项</w:t>
            </w:r>
          </w:p>
        </w:tc>
      </w:tr>
      <w:tr w14:paraId="1577F5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284" w:hRule="atLeast"/>
        </w:trPr>
        <w:tc>
          <w:tcPr>
            <w:tcW w:w="0" w:type="auto"/>
            <w:tcBorders>
              <w:tl2br w:val="nil"/>
              <w:tr2bl w:val="nil"/>
            </w:tcBorders>
            <w:tcMar>
              <w:top w:w="60" w:type="dxa"/>
              <w:left w:w="120" w:type="dxa"/>
              <w:bottom w:w="30" w:type="dxa"/>
              <w:right w:w="120" w:type="dxa"/>
            </w:tcMar>
            <w:vAlign w:val="top"/>
          </w:tcPr>
          <w:p w14:paraId="2C2D386F">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0" w:type="auto"/>
            <w:tcBorders>
              <w:tl2br w:val="nil"/>
              <w:tr2bl w:val="nil"/>
            </w:tcBorders>
            <w:tcMar>
              <w:top w:w="60" w:type="dxa"/>
              <w:left w:w="120" w:type="dxa"/>
              <w:bottom w:w="30" w:type="dxa"/>
              <w:right w:w="120" w:type="dxa"/>
            </w:tcMar>
            <w:vAlign w:val="top"/>
          </w:tcPr>
          <w:p w14:paraId="78E4A48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对农用机械安全使用的监督管理</w:t>
            </w:r>
          </w:p>
        </w:tc>
        <w:tc>
          <w:tcPr>
            <w:tcW w:w="0" w:type="auto"/>
            <w:tcBorders>
              <w:tl2br w:val="nil"/>
              <w:tr2bl w:val="nil"/>
            </w:tcBorders>
            <w:tcMar>
              <w:top w:w="60" w:type="dxa"/>
              <w:left w:w="120" w:type="dxa"/>
              <w:bottom w:w="30" w:type="dxa"/>
              <w:right w:w="120" w:type="dxa"/>
            </w:tcMar>
            <w:vAlign w:val="top"/>
          </w:tcPr>
          <w:p w14:paraId="7949FFE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《农业机械安全监督管理条例》（2019修订）第九条第二款　县级以上地方人民政府农业机械化主管部门、工业主管部门和市场监督管理部门等有关部门按照各自职责，负责本行政区域的农业机械安全监督管理工作。</w:t>
            </w:r>
          </w:p>
          <w:p w14:paraId="4D90AFB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第二十三条　拖拉机、联合收割机应当悬挂牌照。拖拉机上道路行驶，联合收割机因转场作业、维修、安全检验等需要转移的，其操作人员应当携带操作证件。</w:t>
            </w:r>
          </w:p>
          <w:p w14:paraId="3C61713F">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拖拉机、联合收割机操作人员不得有下列行为：</w:t>
            </w:r>
          </w:p>
          <w:p w14:paraId="4189A6C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(一)操作与本人操作证件规定不相符的拖拉机、联合收割机；</w:t>
            </w:r>
          </w:p>
          <w:p w14:paraId="5FE9D20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(二)操作未按照规定登记、检验或者检验不合格、安全设施不全、机件失效的拖拉机、联合收割机；</w:t>
            </w:r>
          </w:p>
          <w:p w14:paraId="0B7F1275">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(三)使用国家管制的精神药品、麻醉品后操作拖拉机、联合收割机；</w:t>
            </w:r>
          </w:p>
          <w:p w14:paraId="714B7B95">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(四)患有妨碍安全操作的疾病操作拖拉机、联合收割机；</w:t>
            </w:r>
          </w:p>
          <w:p w14:paraId="776AFF2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(五)国务院农业机械化主管部门规定的其他禁止行为。</w:t>
            </w:r>
          </w:p>
          <w:p w14:paraId="0A5B222E">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禁止使用拖拉机、联合收割机违反规定载人</w:t>
            </w:r>
          </w:p>
        </w:tc>
        <w:tc>
          <w:tcPr>
            <w:tcW w:w="0" w:type="auto"/>
            <w:tcBorders>
              <w:tl2br w:val="nil"/>
              <w:tr2bl w:val="nil"/>
            </w:tcBorders>
            <w:tcMar>
              <w:top w:w="60" w:type="dxa"/>
              <w:left w:w="120" w:type="dxa"/>
              <w:bottom w:w="30" w:type="dxa"/>
              <w:right w:w="120" w:type="dxa"/>
            </w:tcMar>
            <w:vAlign w:val="top"/>
          </w:tcPr>
          <w:p w14:paraId="37272E6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经营使用农用机械的企业</w:t>
            </w:r>
          </w:p>
        </w:tc>
        <w:tc>
          <w:tcPr>
            <w:tcW w:w="0" w:type="auto"/>
            <w:tcBorders>
              <w:tl2br w:val="nil"/>
              <w:tr2bl w:val="nil"/>
            </w:tcBorders>
            <w:tcMar>
              <w:top w:w="60" w:type="dxa"/>
              <w:left w:w="120" w:type="dxa"/>
              <w:bottom w:w="30" w:type="dxa"/>
              <w:right w:w="120" w:type="dxa"/>
            </w:tcMar>
            <w:vAlign w:val="top"/>
          </w:tcPr>
          <w:p w14:paraId="10FAD71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对农用机械安全使用的监督管理。</w:t>
            </w:r>
          </w:p>
        </w:tc>
        <w:tc>
          <w:tcPr>
            <w:tcW w:w="0" w:type="auto"/>
            <w:tcBorders>
              <w:tl2br w:val="nil"/>
              <w:tr2bl w:val="nil"/>
            </w:tcBorders>
            <w:tcMar>
              <w:top w:w="60" w:type="dxa"/>
              <w:left w:w="120" w:type="dxa"/>
              <w:bottom w:w="30" w:type="dxa"/>
              <w:right w:w="120" w:type="dxa"/>
            </w:tcMar>
            <w:vAlign w:val="top"/>
          </w:tcPr>
          <w:p w14:paraId="54B8956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按本单位每年3月底前报请同级司法行政部门备案审查的涉企年度行政检查计划执行</w:t>
            </w:r>
          </w:p>
        </w:tc>
        <w:tc>
          <w:tcPr>
            <w:tcW w:w="0" w:type="auto"/>
            <w:tcBorders>
              <w:tl2br w:val="nil"/>
              <w:tr2bl w:val="nil"/>
            </w:tcBorders>
            <w:tcMar>
              <w:top w:w="60" w:type="dxa"/>
              <w:left w:w="120" w:type="dxa"/>
              <w:bottom w:w="30" w:type="dxa"/>
              <w:right w:w="120" w:type="dxa"/>
            </w:tcMar>
            <w:vAlign w:val="top"/>
          </w:tcPr>
          <w:p w14:paraId="668EE4E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现场检查</w:t>
            </w:r>
          </w:p>
        </w:tc>
        <w:tc>
          <w:tcPr>
            <w:tcW w:w="0" w:type="auto"/>
            <w:tcBorders>
              <w:tl2br w:val="nil"/>
              <w:tr2bl w:val="nil"/>
            </w:tcBorders>
            <w:tcMar>
              <w:top w:w="60" w:type="dxa"/>
              <w:left w:w="120" w:type="dxa"/>
              <w:bottom w:w="30" w:type="dxa"/>
              <w:right w:w="120" w:type="dxa"/>
            </w:tcMar>
            <w:vAlign w:val="top"/>
          </w:tcPr>
          <w:p w14:paraId="022B8CB2">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2次</w:t>
            </w:r>
          </w:p>
        </w:tc>
        <w:tc>
          <w:tcPr>
            <w:tcW w:w="0" w:type="auto"/>
            <w:tcBorders>
              <w:tl2br w:val="nil"/>
              <w:tr2bl w:val="nil"/>
            </w:tcBorders>
            <w:tcMar>
              <w:top w:w="60" w:type="dxa"/>
              <w:left w:w="120" w:type="dxa"/>
              <w:bottom w:w="30" w:type="dxa"/>
              <w:right w:w="120" w:type="dxa"/>
            </w:tcMar>
            <w:vAlign w:val="top"/>
          </w:tcPr>
          <w:p w14:paraId="5A87F69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农业机械化股</w:t>
            </w:r>
          </w:p>
        </w:tc>
        <w:tc>
          <w:tcPr>
            <w:tcW w:w="0" w:type="auto"/>
            <w:tcBorders>
              <w:tl2br w:val="nil"/>
              <w:tr2bl w:val="nil"/>
            </w:tcBorders>
            <w:tcMar>
              <w:top w:w="60" w:type="dxa"/>
              <w:left w:w="120" w:type="dxa"/>
              <w:bottom w:w="30" w:type="dxa"/>
              <w:right w:w="120" w:type="dxa"/>
            </w:tcMar>
            <w:vAlign w:val="top"/>
          </w:tcPr>
          <w:p w14:paraId="0871A35F">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2DC22DB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双随机一公开、重点检查事项</w:t>
            </w:r>
          </w:p>
        </w:tc>
      </w:tr>
      <w:tr w14:paraId="4FC4C3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946" w:hRule="atLeast"/>
        </w:trPr>
        <w:tc>
          <w:tcPr>
            <w:tcW w:w="0" w:type="auto"/>
            <w:tcBorders>
              <w:tl2br w:val="nil"/>
              <w:tr2bl w:val="nil"/>
            </w:tcBorders>
            <w:tcMar>
              <w:top w:w="60" w:type="dxa"/>
              <w:left w:w="120" w:type="dxa"/>
              <w:bottom w:w="30" w:type="dxa"/>
              <w:right w:w="120" w:type="dxa"/>
            </w:tcMar>
            <w:vAlign w:val="top"/>
          </w:tcPr>
          <w:p w14:paraId="4609476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0" w:type="auto"/>
            <w:tcBorders>
              <w:tl2br w:val="nil"/>
              <w:tr2bl w:val="nil"/>
            </w:tcBorders>
            <w:tcMar>
              <w:top w:w="60" w:type="dxa"/>
              <w:left w:w="120" w:type="dxa"/>
              <w:bottom w:w="30" w:type="dxa"/>
              <w:right w:w="120" w:type="dxa"/>
            </w:tcMar>
            <w:vAlign w:val="top"/>
          </w:tcPr>
          <w:p w14:paraId="4DE2C2E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对跨区调运农业植物及其产品的检疫监管</w:t>
            </w:r>
          </w:p>
        </w:tc>
        <w:tc>
          <w:tcPr>
            <w:tcW w:w="0" w:type="auto"/>
            <w:tcBorders>
              <w:tl2br w:val="nil"/>
              <w:tr2bl w:val="nil"/>
            </w:tcBorders>
            <w:tcMar>
              <w:top w:w="60" w:type="dxa"/>
              <w:left w:w="120" w:type="dxa"/>
              <w:bottom w:w="30" w:type="dxa"/>
              <w:right w:w="120" w:type="dxa"/>
            </w:tcMar>
            <w:vAlign w:val="top"/>
          </w:tcPr>
          <w:p w14:paraId="51F5013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《植物检疫条例》第七条、第十条</w:t>
            </w:r>
          </w:p>
        </w:tc>
        <w:tc>
          <w:tcPr>
            <w:tcW w:w="0" w:type="auto"/>
            <w:tcBorders>
              <w:tl2br w:val="nil"/>
              <w:tr2bl w:val="nil"/>
            </w:tcBorders>
            <w:tcMar>
              <w:top w:w="60" w:type="dxa"/>
              <w:left w:w="120" w:type="dxa"/>
              <w:bottom w:w="30" w:type="dxa"/>
              <w:right w:w="120" w:type="dxa"/>
            </w:tcMar>
            <w:vAlign w:val="top"/>
          </w:tcPr>
          <w:p w14:paraId="62B7FCA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2026年度办理了植物调运检疫事项的机关、事业单位、社会组织、个人，30%</w:t>
            </w:r>
          </w:p>
        </w:tc>
        <w:tc>
          <w:tcPr>
            <w:tcW w:w="0" w:type="auto"/>
            <w:tcBorders>
              <w:tl2br w:val="nil"/>
              <w:tr2bl w:val="nil"/>
            </w:tcBorders>
            <w:tcMar>
              <w:top w:w="60" w:type="dxa"/>
              <w:left w:w="120" w:type="dxa"/>
              <w:bottom w:w="30" w:type="dxa"/>
              <w:right w:w="120" w:type="dxa"/>
            </w:tcMar>
            <w:vAlign w:val="top"/>
          </w:tcPr>
          <w:p w14:paraId="358867A5">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实地查看是否有检疫性有害生物发生，检查调运相关文书是否齐全、规范</w:t>
            </w:r>
          </w:p>
        </w:tc>
        <w:tc>
          <w:tcPr>
            <w:tcW w:w="0" w:type="auto"/>
            <w:tcBorders>
              <w:tl2br w:val="nil"/>
              <w:tr2bl w:val="nil"/>
            </w:tcBorders>
            <w:tcMar>
              <w:top w:w="60" w:type="dxa"/>
              <w:left w:w="120" w:type="dxa"/>
              <w:bottom w:w="30" w:type="dxa"/>
              <w:right w:w="120" w:type="dxa"/>
            </w:tcMar>
            <w:vAlign w:val="top"/>
          </w:tcPr>
          <w:p w14:paraId="7B3BAC1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w:t>
            </w:r>
          </w:p>
        </w:tc>
        <w:tc>
          <w:tcPr>
            <w:tcW w:w="0" w:type="auto"/>
            <w:tcBorders>
              <w:tl2br w:val="nil"/>
              <w:tr2bl w:val="nil"/>
            </w:tcBorders>
            <w:tcMar>
              <w:top w:w="60" w:type="dxa"/>
              <w:left w:w="120" w:type="dxa"/>
              <w:bottom w:w="30" w:type="dxa"/>
              <w:right w:w="120" w:type="dxa"/>
            </w:tcMar>
            <w:vAlign w:val="top"/>
          </w:tcPr>
          <w:p w14:paraId="174106F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11EB5355">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7A24837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种业管理股</w:t>
            </w:r>
            <w:r>
              <w:rPr>
                <w:rFonts w:hint="eastAsia" w:ascii="仿宋_GB2312" w:hAnsi="仿宋_GB2312" w:eastAsia="仿宋_GB2312" w:cs="仿宋_GB2312"/>
                <w:sz w:val="24"/>
                <w:szCs w:val="24"/>
                <w:lang w:eastAsia="zh-CN"/>
              </w:rPr>
              <w:t>（科技教育股）</w:t>
            </w:r>
            <w:r>
              <w:rPr>
                <w:rFonts w:hint="eastAsia" w:ascii="仿宋_GB2312" w:hAnsi="仿宋_GB2312" w:eastAsia="仿宋_GB2312" w:cs="仿宋_GB2312"/>
                <w:sz w:val="24"/>
                <w:szCs w:val="24"/>
              </w:rPr>
              <w:t>、区植保植检站</w:t>
            </w:r>
          </w:p>
        </w:tc>
        <w:tc>
          <w:tcPr>
            <w:tcW w:w="0" w:type="auto"/>
            <w:tcBorders>
              <w:tl2br w:val="nil"/>
              <w:tr2bl w:val="nil"/>
            </w:tcBorders>
            <w:tcMar>
              <w:top w:w="60" w:type="dxa"/>
              <w:left w:w="120" w:type="dxa"/>
              <w:bottom w:w="30" w:type="dxa"/>
              <w:right w:w="120" w:type="dxa"/>
            </w:tcMar>
            <w:vAlign w:val="top"/>
          </w:tcPr>
          <w:p w14:paraId="27CCA62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34AF19A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r w14:paraId="5D13EE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3042" w:hRule="atLeast"/>
        </w:trPr>
        <w:tc>
          <w:tcPr>
            <w:tcW w:w="0" w:type="auto"/>
            <w:tcBorders>
              <w:tl2br w:val="nil"/>
              <w:tr2bl w:val="nil"/>
            </w:tcBorders>
            <w:tcMar>
              <w:top w:w="60" w:type="dxa"/>
              <w:left w:w="120" w:type="dxa"/>
              <w:bottom w:w="30" w:type="dxa"/>
              <w:right w:w="120" w:type="dxa"/>
            </w:tcMar>
            <w:vAlign w:val="top"/>
          </w:tcPr>
          <w:p w14:paraId="4BEA97B5">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p>
        </w:tc>
        <w:tc>
          <w:tcPr>
            <w:tcW w:w="0" w:type="auto"/>
            <w:tcBorders>
              <w:tl2br w:val="nil"/>
              <w:tr2bl w:val="nil"/>
            </w:tcBorders>
            <w:tcMar>
              <w:top w:w="60" w:type="dxa"/>
              <w:left w:w="120" w:type="dxa"/>
              <w:bottom w:w="30" w:type="dxa"/>
              <w:right w:w="120" w:type="dxa"/>
            </w:tcMar>
            <w:vAlign w:val="top"/>
          </w:tcPr>
          <w:p w14:paraId="0AE7DD4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对国（境）外引进农业种子、苗木的检疫检查</w:t>
            </w:r>
          </w:p>
        </w:tc>
        <w:tc>
          <w:tcPr>
            <w:tcW w:w="0" w:type="auto"/>
            <w:tcBorders>
              <w:tl2br w:val="nil"/>
              <w:tr2bl w:val="nil"/>
            </w:tcBorders>
            <w:tcMar>
              <w:top w:w="60" w:type="dxa"/>
              <w:left w:w="120" w:type="dxa"/>
              <w:bottom w:w="30" w:type="dxa"/>
              <w:right w:w="120" w:type="dxa"/>
            </w:tcMar>
            <w:vAlign w:val="top"/>
          </w:tcPr>
          <w:p w14:paraId="01451EB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《植物检疫条例》第十二条</w:t>
            </w:r>
          </w:p>
        </w:tc>
        <w:tc>
          <w:tcPr>
            <w:tcW w:w="0" w:type="auto"/>
            <w:tcBorders>
              <w:tl2br w:val="nil"/>
              <w:tr2bl w:val="nil"/>
            </w:tcBorders>
            <w:tcMar>
              <w:top w:w="60" w:type="dxa"/>
              <w:left w:w="120" w:type="dxa"/>
              <w:bottom w:w="30" w:type="dxa"/>
              <w:right w:w="120" w:type="dxa"/>
            </w:tcMar>
            <w:vAlign w:val="top"/>
          </w:tcPr>
          <w:p w14:paraId="71C804F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2026年度办理了国外引种检疫检查事项的机关、事业单位、社会组织、个人，30%</w:t>
            </w:r>
          </w:p>
        </w:tc>
        <w:tc>
          <w:tcPr>
            <w:tcW w:w="0" w:type="auto"/>
            <w:tcBorders>
              <w:tl2br w:val="nil"/>
              <w:tr2bl w:val="nil"/>
            </w:tcBorders>
            <w:tcMar>
              <w:top w:w="60" w:type="dxa"/>
              <w:left w:w="120" w:type="dxa"/>
              <w:bottom w:w="30" w:type="dxa"/>
              <w:right w:w="120" w:type="dxa"/>
            </w:tcMar>
            <w:vAlign w:val="top"/>
          </w:tcPr>
          <w:p w14:paraId="0D28525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实地查看是否有检疫性有害生物发生，检查引种相关文书是否齐全、规范</w:t>
            </w:r>
          </w:p>
        </w:tc>
        <w:tc>
          <w:tcPr>
            <w:tcW w:w="0" w:type="auto"/>
            <w:tcBorders>
              <w:tl2br w:val="nil"/>
              <w:tr2bl w:val="nil"/>
            </w:tcBorders>
            <w:tcMar>
              <w:top w:w="60" w:type="dxa"/>
              <w:left w:w="120" w:type="dxa"/>
              <w:bottom w:w="30" w:type="dxa"/>
              <w:right w:w="120" w:type="dxa"/>
            </w:tcMar>
            <w:vAlign w:val="top"/>
          </w:tcPr>
          <w:p w14:paraId="0940809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w:t>
            </w:r>
          </w:p>
        </w:tc>
        <w:tc>
          <w:tcPr>
            <w:tcW w:w="0" w:type="auto"/>
            <w:tcBorders>
              <w:tl2br w:val="nil"/>
              <w:tr2bl w:val="nil"/>
            </w:tcBorders>
            <w:tcMar>
              <w:top w:w="60" w:type="dxa"/>
              <w:left w:w="120" w:type="dxa"/>
              <w:bottom w:w="30" w:type="dxa"/>
              <w:right w:w="120" w:type="dxa"/>
            </w:tcMar>
            <w:vAlign w:val="top"/>
          </w:tcPr>
          <w:p w14:paraId="70A01E7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28DED3D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71B571B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种业管理股</w:t>
            </w:r>
            <w:r>
              <w:rPr>
                <w:rFonts w:hint="eastAsia" w:ascii="仿宋_GB2312" w:hAnsi="仿宋_GB2312" w:eastAsia="仿宋_GB2312" w:cs="仿宋_GB2312"/>
                <w:sz w:val="24"/>
                <w:szCs w:val="24"/>
                <w:lang w:eastAsia="zh-CN"/>
              </w:rPr>
              <w:t>（科技教育股）</w:t>
            </w:r>
            <w:r>
              <w:rPr>
                <w:rFonts w:hint="eastAsia" w:ascii="仿宋_GB2312" w:hAnsi="仿宋_GB2312" w:eastAsia="仿宋_GB2312" w:cs="仿宋_GB2312"/>
                <w:sz w:val="24"/>
                <w:szCs w:val="24"/>
              </w:rPr>
              <w:t>、区植保植检站</w:t>
            </w:r>
          </w:p>
        </w:tc>
        <w:tc>
          <w:tcPr>
            <w:tcW w:w="0" w:type="auto"/>
            <w:tcBorders>
              <w:tl2br w:val="nil"/>
              <w:tr2bl w:val="nil"/>
            </w:tcBorders>
            <w:tcMar>
              <w:top w:w="60" w:type="dxa"/>
              <w:left w:w="120" w:type="dxa"/>
              <w:bottom w:w="30" w:type="dxa"/>
              <w:right w:w="120" w:type="dxa"/>
            </w:tcMar>
            <w:vAlign w:val="top"/>
          </w:tcPr>
          <w:p w14:paraId="67C21E0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29500C6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r w14:paraId="502580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1953" w:hRule="atLeast"/>
        </w:trPr>
        <w:tc>
          <w:tcPr>
            <w:tcW w:w="0" w:type="auto"/>
            <w:tcBorders>
              <w:tl2br w:val="nil"/>
              <w:tr2bl w:val="nil"/>
            </w:tcBorders>
            <w:tcMar>
              <w:top w:w="60" w:type="dxa"/>
              <w:left w:w="120" w:type="dxa"/>
              <w:bottom w:w="30" w:type="dxa"/>
              <w:right w:w="120" w:type="dxa"/>
            </w:tcMar>
            <w:vAlign w:val="top"/>
          </w:tcPr>
          <w:p w14:paraId="601056B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p>
        </w:tc>
        <w:tc>
          <w:tcPr>
            <w:tcW w:w="0" w:type="auto"/>
            <w:tcBorders>
              <w:tl2br w:val="nil"/>
              <w:tr2bl w:val="nil"/>
            </w:tcBorders>
            <w:tcMar>
              <w:top w:w="60" w:type="dxa"/>
              <w:left w:w="120" w:type="dxa"/>
              <w:bottom w:w="30" w:type="dxa"/>
              <w:right w:w="120" w:type="dxa"/>
            </w:tcMar>
            <w:vAlign w:val="top"/>
          </w:tcPr>
          <w:p w14:paraId="7258105E">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对耕地种植用途的监督检查</w:t>
            </w:r>
          </w:p>
        </w:tc>
        <w:tc>
          <w:tcPr>
            <w:tcW w:w="0" w:type="auto"/>
            <w:tcBorders>
              <w:tl2br w:val="nil"/>
              <w:tr2bl w:val="nil"/>
            </w:tcBorders>
            <w:tcMar>
              <w:top w:w="60" w:type="dxa"/>
              <w:left w:w="120" w:type="dxa"/>
              <w:bottom w:w="30" w:type="dxa"/>
              <w:right w:w="120" w:type="dxa"/>
            </w:tcMar>
            <w:vAlign w:val="top"/>
          </w:tcPr>
          <w:p w14:paraId="29FFD6B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《中华人民共和国粮食安全保障法》第十三条、《土壤污染防治法》第五十四条</w:t>
            </w:r>
          </w:p>
        </w:tc>
        <w:tc>
          <w:tcPr>
            <w:tcW w:w="0" w:type="auto"/>
            <w:tcBorders>
              <w:tl2br w:val="nil"/>
              <w:tr2bl w:val="nil"/>
            </w:tcBorders>
            <w:tcMar>
              <w:top w:w="60" w:type="dxa"/>
              <w:left w:w="120" w:type="dxa"/>
              <w:bottom w:w="30" w:type="dxa"/>
              <w:right w:w="120" w:type="dxa"/>
            </w:tcMar>
            <w:vAlign w:val="top"/>
          </w:tcPr>
          <w:p w14:paraId="30034973">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在严格管控类耕地从事种植活动的单位或个人，100%</w:t>
            </w:r>
          </w:p>
        </w:tc>
        <w:tc>
          <w:tcPr>
            <w:tcW w:w="0" w:type="auto"/>
            <w:tcBorders>
              <w:tl2br w:val="nil"/>
              <w:tr2bl w:val="nil"/>
            </w:tcBorders>
            <w:tcMar>
              <w:top w:w="60" w:type="dxa"/>
              <w:left w:w="120" w:type="dxa"/>
              <w:bottom w:w="30" w:type="dxa"/>
              <w:right w:w="120" w:type="dxa"/>
            </w:tcMar>
            <w:vAlign w:val="top"/>
          </w:tcPr>
          <w:p w14:paraId="0597F91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主要严格管控类耕地退出后特种农产品生产的情况</w:t>
            </w:r>
          </w:p>
        </w:tc>
        <w:tc>
          <w:tcPr>
            <w:tcW w:w="0" w:type="auto"/>
            <w:tcBorders>
              <w:tl2br w:val="nil"/>
              <w:tr2bl w:val="nil"/>
            </w:tcBorders>
            <w:tcMar>
              <w:top w:w="60" w:type="dxa"/>
              <w:left w:w="120" w:type="dxa"/>
              <w:bottom w:w="30" w:type="dxa"/>
              <w:right w:w="120" w:type="dxa"/>
            </w:tcMar>
            <w:vAlign w:val="top"/>
          </w:tcPr>
          <w:p w14:paraId="0311E9F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5-10月</w:t>
            </w:r>
          </w:p>
        </w:tc>
        <w:tc>
          <w:tcPr>
            <w:tcW w:w="0" w:type="auto"/>
            <w:tcBorders>
              <w:tl2br w:val="nil"/>
              <w:tr2bl w:val="nil"/>
            </w:tcBorders>
            <w:tcMar>
              <w:top w:w="60" w:type="dxa"/>
              <w:left w:w="120" w:type="dxa"/>
              <w:bottom w:w="30" w:type="dxa"/>
              <w:right w:w="120" w:type="dxa"/>
            </w:tcMar>
            <w:vAlign w:val="top"/>
          </w:tcPr>
          <w:p w14:paraId="0EBF735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08A72B5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2次</w:t>
            </w:r>
          </w:p>
        </w:tc>
        <w:tc>
          <w:tcPr>
            <w:tcW w:w="0" w:type="auto"/>
            <w:tcBorders>
              <w:tl2br w:val="nil"/>
              <w:tr2bl w:val="nil"/>
            </w:tcBorders>
            <w:tcMar>
              <w:top w:w="60" w:type="dxa"/>
              <w:left w:w="120" w:type="dxa"/>
              <w:bottom w:w="30" w:type="dxa"/>
              <w:right w:w="120" w:type="dxa"/>
            </w:tcMar>
            <w:vAlign w:val="top"/>
          </w:tcPr>
          <w:p w14:paraId="732E655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农业资源保护与利用股</w:t>
            </w:r>
          </w:p>
        </w:tc>
        <w:tc>
          <w:tcPr>
            <w:tcW w:w="0" w:type="auto"/>
            <w:tcBorders>
              <w:tl2br w:val="nil"/>
              <w:tr2bl w:val="nil"/>
            </w:tcBorders>
            <w:tcMar>
              <w:top w:w="60" w:type="dxa"/>
              <w:left w:w="120" w:type="dxa"/>
              <w:bottom w:w="30" w:type="dxa"/>
              <w:right w:w="120" w:type="dxa"/>
            </w:tcMar>
            <w:vAlign w:val="top"/>
          </w:tcPr>
          <w:p w14:paraId="70481F0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2F60400E">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不列入双随机一公开</w:t>
            </w:r>
          </w:p>
        </w:tc>
      </w:tr>
      <w:tr w14:paraId="5C778C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833" w:hRule="atLeast"/>
        </w:trPr>
        <w:tc>
          <w:tcPr>
            <w:tcW w:w="0" w:type="auto"/>
            <w:tcBorders>
              <w:tl2br w:val="nil"/>
              <w:tr2bl w:val="nil"/>
            </w:tcBorders>
            <w:tcMar>
              <w:top w:w="60" w:type="dxa"/>
              <w:left w:w="120" w:type="dxa"/>
              <w:bottom w:w="30" w:type="dxa"/>
              <w:right w:w="120" w:type="dxa"/>
            </w:tcMar>
            <w:vAlign w:val="top"/>
          </w:tcPr>
          <w:p w14:paraId="53ADA9BE">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0" w:type="auto"/>
            <w:tcBorders>
              <w:tl2br w:val="nil"/>
              <w:tr2bl w:val="nil"/>
            </w:tcBorders>
            <w:tcMar>
              <w:top w:w="60" w:type="dxa"/>
              <w:left w:w="120" w:type="dxa"/>
              <w:bottom w:w="30" w:type="dxa"/>
              <w:right w:w="120" w:type="dxa"/>
            </w:tcMar>
            <w:vAlign w:val="top"/>
          </w:tcPr>
          <w:p w14:paraId="01AC516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对农药生产者、经营者及农药产品质量的行政检查</w:t>
            </w:r>
          </w:p>
        </w:tc>
        <w:tc>
          <w:tcPr>
            <w:tcW w:w="0" w:type="auto"/>
            <w:tcBorders>
              <w:tl2br w:val="nil"/>
              <w:tr2bl w:val="nil"/>
            </w:tcBorders>
            <w:tcMar>
              <w:top w:w="60" w:type="dxa"/>
              <w:left w:w="120" w:type="dxa"/>
              <w:bottom w:w="30" w:type="dxa"/>
              <w:right w:w="120" w:type="dxa"/>
            </w:tcMar>
            <w:vAlign w:val="top"/>
          </w:tcPr>
          <w:p w14:paraId="01AB76F2">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《农药管理条例》第四十一条、第二十三条</w:t>
            </w:r>
          </w:p>
        </w:tc>
        <w:tc>
          <w:tcPr>
            <w:tcW w:w="0" w:type="auto"/>
            <w:tcBorders>
              <w:tl2br w:val="nil"/>
              <w:tr2bl w:val="nil"/>
            </w:tcBorders>
            <w:tcMar>
              <w:top w:w="60" w:type="dxa"/>
              <w:left w:w="120" w:type="dxa"/>
              <w:bottom w:w="30" w:type="dxa"/>
              <w:right w:w="120" w:type="dxa"/>
            </w:tcMar>
            <w:vAlign w:val="top"/>
          </w:tcPr>
          <w:p w14:paraId="3E089ED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辖区内农药生产企业、经营单位，生产企业25%，限制使用农药经营单位10%</w:t>
            </w:r>
          </w:p>
        </w:tc>
        <w:tc>
          <w:tcPr>
            <w:tcW w:w="0" w:type="auto"/>
            <w:tcBorders>
              <w:tl2br w:val="nil"/>
              <w:tr2bl w:val="nil"/>
            </w:tcBorders>
            <w:tcMar>
              <w:top w:w="60" w:type="dxa"/>
              <w:left w:w="120" w:type="dxa"/>
              <w:bottom w:w="30" w:type="dxa"/>
              <w:right w:w="120" w:type="dxa"/>
            </w:tcMar>
            <w:vAlign w:val="top"/>
          </w:tcPr>
          <w:p w14:paraId="43BBC22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主体行为检查、产品质量及标签检查</w:t>
            </w:r>
          </w:p>
        </w:tc>
        <w:tc>
          <w:tcPr>
            <w:tcW w:w="0" w:type="auto"/>
            <w:tcBorders>
              <w:tl2br w:val="nil"/>
              <w:tr2bl w:val="nil"/>
            </w:tcBorders>
            <w:tcMar>
              <w:top w:w="60" w:type="dxa"/>
              <w:left w:w="120" w:type="dxa"/>
              <w:bottom w:w="30" w:type="dxa"/>
              <w:right w:w="120" w:type="dxa"/>
            </w:tcMar>
            <w:vAlign w:val="top"/>
          </w:tcPr>
          <w:p w14:paraId="11786DF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3-12月</w:t>
            </w:r>
          </w:p>
        </w:tc>
        <w:tc>
          <w:tcPr>
            <w:tcW w:w="0" w:type="auto"/>
            <w:tcBorders>
              <w:tl2br w:val="nil"/>
              <w:tr2bl w:val="nil"/>
            </w:tcBorders>
            <w:tcMar>
              <w:top w:w="60" w:type="dxa"/>
              <w:left w:w="120" w:type="dxa"/>
              <w:bottom w:w="30" w:type="dxa"/>
              <w:right w:w="120" w:type="dxa"/>
            </w:tcMar>
            <w:vAlign w:val="top"/>
          </w:tcPr>
          <w:p w14:paraId="0CB02CE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7D0CC66E">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55527E7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农药管理股</w:t>
            </w:r>
          </w:p>
        </w:tc>
        <w:tc>
          <w:tcPr>
            <w:tcW w:w="0" w:type="auto"/>
            <w:tcBorders>
              <w:tl2br w:val="nil"/>
              <w:tr2bl w:val="nil"/>
            </w:tcBorders>
            <w:tcMar>
              <w:top w:w="60" w:type="dxa"/>
              <w:left w:w="120" w:type="dxa"/>
              <w:bottom w:w="30" w:type="dxa"/>
              <w:right w:w="120" w:type="dxa"/>
            </w:tcMar>
            <w:vAlign w:val="top"/>
          </w:tcPr>
          <w:p w14:paraId="127543E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0E027222">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r w14:paraId="28FF4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091" w:hRule="atLeast"/>
        </w:trPr>
        <w:tc>
          <w:tcPr>
            <w:tcW w:w="0" w:type="auto"/>
            <w:tcBorders>
              <w:tl2br w:val="nil"/>
              <w:tr2bl w:val="nil"/>
            </w:tcBorders>
            <w:tcMar>
              <w:top w:w="60" w:type="dxa"/>
              <w:left w:w="120" w:type="dxa"/>
              <w:bottom w:w="30" w:type="dxa"/>
              <w:right w:w="120" w:type="dxa"/>
            </w:tcMar>
            <w:vAlign w:val="top"/>
          </w:tcPr>
          <w:p w14:paraId="2EA75F5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0" w:type="auto"/>
            <w:tcBorders>
              <w:tl2br w:val="nil"/>
              <w:tr2bl w:val="nil"/>
            </w:tcBorders>
            <w:tcMar>
              <w:top w:w="60" w:type="dxa"/>
              <w:left w:w="120" w:type="dxa"/>
              <w:bottom w:w="30" w:type="dxa"/>
              <w:right w:w="120" w:type="dxa"/>
            </w:tcMar>
            <w:vAlign w:val="top"/>
          </w:tcPr>
          <w:p w14:paraId="6BEB8AF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对农药生产、销售、使用情况的监督检查</w:t>
            </w:r>
          </w:p>
        </w:tc>
        <w:tc>
          <w:tcPr>
            <w:tcW w:w="0" w:type="auto"/>
            <w:tcBorders>
              <w:tl2br w:val="nil"/>
              <w:tr2bl w:val="nil"/>
            </w:tcBorders>
            <w:tcMar>
              <w:top w:w="60" w:type="dxa"/>
              <w:left w:w="120" w:type="dxa"/>
              <w:bottom w:w="30" w:type="dxa"/>
              <w:right w:w="120" w:type="dxa"/>
            </w:tcMar>
            <w:vAlign w:val="top"/>
          </w:tcPr>
          <w:p w14:paraId="1951379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《农药管理条例》第四十一条　县级以上人民政府农业主管部门履行农药监督管理职责，可以依法采取下列措施：</w:t>
            </w:r>
          </w:p>
          <w:p w14:paraId="02BB9BEE">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（一）进入农药生产、经营、使用场所实施现场检查；</w:t>
            </w:r>
          </w:p>
          <w:p w14:paraId="6F79A79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（二）对生产、经营、使用的农药实施抽查检测；</w:t>
            </w:r>
          </w:p>
          <w:p w14:paraId="0C90080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（三）向有关人员调查了解有关情况；</w:t>
            </w:r>
          </w:p>
          <w:p w14:paraId="562D104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（四）查阅、复制合同、票据、账簿以及其他有关资料；</w:t>
            </w:r>
          </w:p>
          <w:p w14:paraId="65CA39A3">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（五）查封、扣押违法生产、经营、使用的农药，以及用于违法生产、经营、使用农药的工具、设备、原材料等；</w:t>
            </w:r>
          </w:p>
          <w:p w14:paraId="6DE2558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（六）查封违法生产、经营、使用农药的场所。</w:t>
            </w:r>
          </w:p>
          <w:p w14:paraId="401F4FE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《农药经营许可管理办法》（农业部令2017年第5号公布、农业农村部令2018年第2号修订）第二十三条 县级以上地方农业部门应当对农药经营情况进行监督检查，定期调查统计农药销售情况，建立农药经营诚信档案并予以公布。</w:t>
            </w:r>
          </w:p>
        </w:tc>
        <w:tc>
          <w:tcPr>
            <w:tcW w:w="0" w:type="auto"/>
            <w:tcBorders>
              <w:tl2br w:val="nil"/>
              <w:tr2bl w:val="nil"/>
            </w:tcBorders>
            <w:tcMar>
              <w:top w:w="60" w:type="dxa"/>
              <w:left w:w="120" w:type="dxa"/>
              <w:bottom w:w="30" w:type="dxa"/>
              <w:right w:w="120" w:type="dxa"/>
            </w:tcMar>
            <w:vAlign w:val="top"/>
          </w:tcPr>
          <w:p w14:paraId="2556E84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农药生产经营和使用企业</w:t>
            </w:r>
          </w:p>
        </w:tc>
        <w:tc>
          <w:tcPr>
            <w:tcW w:w="0" w:type="auto"/>
            <w:tcBorders>
              <w:tl2br w:val="nil"/>
              <w:tr2bl w:val="nil"/>
            </w:tcBorders>
            <w:tcMar>
              <w:top w:w="60" w:type="dxa"/>
              <w:left w:w="120" w:type="dxa"/>
              <w:bottom w:w="30" w:type="dxa"/>
              <w:right w:w="120" w:type="dxa"/>
            </w:tcMar>
            <w:vAlign w:val="top"/>
          </w:tcPr>
          <w:p w14:paraId="10CF3AD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对农药生产、经营、使用场所的监督检查和农药的抽查检测。</w:t>
            </w:r>
          </w:p>
        </w:tc>
        <w:tc>
          <w:tcPr>
            <w:tcW w:w="0" w:type="auto"/>
            <w:tcBorders>
              <w:tl2br w:val="nil"/>
              <w:tr2bl w:val="nil"/>
            </w:tcBorders>
            <w:tcMar>
              <w:top w:w="60" w:type="dxa"/>
              <w:left w:w="120" w:type="dxa"/>
              <w:bottom w:w="30" w:type="dxa"/>
              <w:right w:w="120" w:type="dxa"/>
            </w:tcMar>
            <w:vAlign w:val="top"/>
          </w:tcPr>
          <w:p w14:paraId="4F94FB55">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按本单位每年3月底前报请同级司法行政部门备案审查的涉企年度行政检查计划执行</w:t>
            </w:r>
          </w:p>
        </w:tc>
        <w:tc>
          <w:tcPr>
            <w:tcW w:w="0" w:type="auto"/>
            <w:tcBorders>
              <w:tl2br w:val="nil"/>
              <w:tr2bl w:val="nil"/>
            </w:tcBorders>
            <w:tcMar>
              <w:top w:w="60" w:type="dxa"/>
              <w:left w:w="120" w:type="dxa"/>
              <w:bottom w:w="30" w:type="dxa"/>
              <w:right w:w="120" w:type="dxa"/>
            </w:tcMar>
            <w:vAlign w:val="top"/>
          </w:tcPr>
          <w:p w14:paraId="1FA8EB05">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72D04B5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646468DF">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农药管理股</w:t>
            </w:r>
          </w:p>
        </w:tc>
        <w:tc>
          <w:tcPr>
            <w:tcW w:w="0" w:type="auto"/>
            <w:tcBorders>
              <w:tl2br w:val="nil"/>
              <w:tr2bl w:val="nil"/>
            </w:tcBorders>
            <w:tcMar>
              <w:top w:w="60" w:type="dxa"/>
              <w:left w:w="120" w:type="dxa"/>
              <w:bottom w:w="30" w:type="dxa"/>
              <w:right w:w="120" w:type="dxa"/>
            </w:tcMar>
            <w:vAlign w:val="top"/>
          </w:tcPr>
          <w:p w14:paraId="1FD3A12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00B1514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r w14:paraId="73E624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823" w:hRule="atLeast"/>
        </w:trPr>
        <w:tc>
          <w:tcPr>
            <w:tcW w:w="0" w:type="auto"/>
            <w:tcBorders>
              <w:tl2br w:val="nil"/>
              <w:tr2bl w:val="nil"/>
            </w:tcBorders>
            <w:tcMar>
              <w:top w:w="60" w:type="dxa"/>
              <w:left w:w="120" w:type="dxa"/>
              <w:bottom w:w="30" w:type="dxa"/>
              <w:right w:w="120" w:type="dxa"/>
            </w:tcMar>
            <w:vAlign w:val="top"/>
          </w:tcPr>
          <w:p w14:paraId="6309A1E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0" w:type="auto"/>
            <w:tcBorders>
              <w:tl2br w:val="nil"/>
              <w:tr2bl w:val="nil"/>
            </w:tcBorders>
            <w:tcMar>
              <w:top w:w="60" w:type="dxa"/>
              <w:left w:w="120" w:type="dxa"/>
              <w:bottom w:w="30" w:type="dxa"/>
              <w:right w:w="120" w:type="dxa"/>
            </w:tcMar>
            <w:vAlign w:val="top"/>
          </w:tcPr>
          <w:p w14:paraId="0ACEFB03">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对兽药生产企业符合兽药生产质量管理规范要求的监督检查</w:t>
            </w:r>
          </w:p>
        </w:tc>
        <w:tc>
          <w:tcPr>
            <w:tcW w:w="0" w:type="auto"/>
            <w:tcBorders>
              <w:tl2br w:val="nil"/>
              <w:tr2bl w:val="nil"/>
            </w:tcBorders>
            <w:tcMar>
              <w:top w:w="60" w:type="dxa"/>
              <w:left w:w="120" w:type="dxa"/>
              <w:bottom w:w="30" w:type="dxa"/>
              <w:right w:w="120" w:type="dxa"/>
            </w:tcMar>
            <w:vAlign w:val="top"/>
          </w:tcPr>
          <w:p w14:paraId="447F95A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《兽药管理条例》第十四条</w:t>
            </w:r>
          </w:p>
        </w:tc>
        <w:tc>
          <w:tcPr>
            <w:tcW w:w="0" w:type="auto"/>
            <w:tcBorders>
              <w:tl2br w:val="nil"/>
              <w:tr2bl w:val="nil"/>
            </w:tcBorders>
            <w:tcMar>
              <w:top w:w="60" w:type="dxa"/>
              <w:left w:w="120" w:type="dxa"/>
              <w:bottom w:w="30" w:type="dxa"/>
              <w:right w:w="120" w:type="dxa"/>
            </w:tcMar>
            <w:vAlign w:val="top"/>
          </w:tcPr>
          <w:p w14:paraId="5125FF4F">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辖区内兽药生产企业，5%</w:t>
            </w:r>
          </w:p>
        </w:tc>
        <w:tc>
          <w:tcPr>
            <w:tcW w:w="0" w:type="auto"/>
            <w:tcBorders>
              <w:tl2br w:val="nil"/>
              <w:tr2bl w:val="nil"/>
            </w:tcBorders>
            <w:tcMar>
              <w:top w:w="60" w:type="dxa"/>
              <w:left w:w="120" w:type="dxa"/>
              <w:bottom w:w="30" w:type="dxa"/>
              <w:right w:w="120" w:type="dxa"/>
            </w:tcMar>
            <w:vAlign w:val="top"/>
          </w:tcPr>
          <w:p w14:paraId="70D0239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兽药经营行为是否符合GMP、GSP相关要求，并进行质量安全监督抽查</w:t>
            </w:r>
          </w:p>
        </w:tc>
        <w:tc>
          <w:tcPr>
            <w:tcW w:w="0" w:type="auto"/>
            <w:tcBorders>
              <w:tl2br w:val="nil"/>
              <w:tr2bl w:val="nil"/>
            </w:tcBorders>
            <w:tcMar>
              <w:top w:w="60" w:type="dxa"/>
              <w:left w:w="120" w:type="dxa"/>
              <w:bottom w:w="30" w:type="dxa"/>
              <w:right w:w="120" w:type="dxa"/>
            </w:tcMar>
            <w:vAlign w:val="top"/>
          </w:tcPr>
          <w:p w14:paraId="6CD885B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3-10月</w:t>
            </w:r>
          </w:p>
        </w:tc>
        <w:tc>
          <w:tcPr>
            <w:tcW w:w="0" w:type="auto"/>
            <w:tcBorders>
              <w:tl2br w:val="nil"/>
              <w:tr2bl w:val="nil"/>
            </w:tcBorders>
            <w:tcMar>
              <w:top w:w="60" w:type="dxa"/>
              <w:left w:w="120" w:type="dxa"/>
              <w:bottom w:w="30" w:type="dxa"/>
              <w:right w:w="120" w:type="dxa"/>
            </w:tcMar>
            <w:vAlign w:val="top"/>
          </w:tcPr>
          <w:p w14:paraId="798FFF3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418C613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5A01C16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农药管理股</w:t>
            </w:r>
          </w:p>
        </w:tc>
        <w:tc>
          <w:tcPr>
            <w:tcW w:w="0" w:type="auto"/>
            <w:tcBorders>
              <w:tl2br w:val="nil"/>
              <w:tr2bl w:val="nil"/>
            </w:tcBorders>
            <w:tcMar>
              <w:top w:w="60" w:type="dxa"/>
              <w:left w:w="120" w:type="dxa"/>
              <w:bottom w:w="30" w:type="dxa"/>
              <w:right w:w="120" w:type="dxa"/>
            </w:tcMar>
            <w:vAlign w:val="top"/>
          </w:tcPr>
          <w:p w14:paraId="75ADE92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7DDE73B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r w14:paraId="278056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771" w:hRule="atLeast"/>
        </w:trPr>
        <w:tc>
          <w:tcPr>
            <w:tcW w:w="0" w:type="auto"/>
            <w:tcBorders>
              <w:tl2br w:val="nil"/>
              <w:tr2bl w:val="nil"/>
            </w:tcBorders>
            <w:tcMar>
              <w:top w:w="60" w:type="dxa"/>
              <w:left w:w="120" w:type="dxa"/>
              <w:bottom w:w="30" w:type="dxa"/>
              <w:right w:w="120" w:type="dxa"/>
            </w:tcMar>
            <w:vAlign w:val="top"/>
          </w:tcPr>
          <w:p w14:paraId="145CE2F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0" w:type="auto"/>
            <w:tcBorders>
              <w:tl2br w:val="nil"/>
              <w:tr2bl w:val="nil"/>
            </w:tcBorders>
            <w:tcMar>
              <w:top w:w="60" w:type="dxa"/>
              <w:left w:w="120" w:type="dxa"/>
              <w:bottom w:w="30" w:type="dxa"/>
              <w:right w:w="120" w:type="dxa"/>
            </w:tcMar>
            <w:vAlign w:val="top"/>
          </w:tcPr>
          <w:p w14:paraId="00DE6C9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对兽药经营企业持续符合经营许可证规定条件的行政检查</w:t>
            </w:r>
          </w:p>
        </w:tc>
        <w:tc>
          <w:tcPr>
            <w:tcW w:w="0" w:type="auto"/>
            <w:tcBorders>
              <w:tl2br w:val="nil"/>
              <w:tr2bl w:val="nil"/>
            </w:tcBorders>
            <w:tcMar>
              <w:top w:w="60" w:type="dxa"/>
              <w:left w:w="120" w:type="dxa"/>
              <w:bottom w:w="30" w:type="dxa"/>
              <w:right w:w="120" w:type="dxa"/>
            </w:tcMar>
            <w:vAlign w:val="top"/>
          </w:tcPr>
          <w:p w14:paraId="4D74552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《兽药管理条例》第二十二条</w:t>
            </w:r>
          </w:p>
        </w:tc>
        <w:tc>
          <w:tcPr>
            <w:tcW w:w="0" w:type="auto"/>
            <w:tcBorders>
              <w:tl2br w:val="nil"/>
              <w:tr2bl w:val="nil"/>
            </w:tcBorders>
            <w:tcMar>
              <w:top w:w="60" w:type="dxa"/>
              <w:left w:w="120" w:type="dxa"/>
              <w:bottom w:w="30" w:type="dxa"/>
              <w:right w:w="120" w:type="dxa"/>
            </w:tcMar>
            <w:vAlign w:val="top"/>
          </w:tcPr>
          <w:p w14:paraId="3D0144E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辖区内兽药经营企业，5%</w:t>
            </w:r>
          </w:p>
        </w:tc>
        <w:tc>
          <w:tcPr>
            <w:tcW w:w="0" w:type="auto"/>
            <w:tcBorders>
              <w:tl2br w:val="nil"/>
              <w:tr2bl w:val="nil"/>
            </w:tcBorders>
            <w:tcMar>
              <w:top w:w="60" w:type="dxa"/>
              <w:left w:w="120" w:type="dxa"/>
              <w:bottom w:w="30" w:type="dxa"/>
              <w:right w:w="120" w:type="dxa"/>
            </w:tcMar>
            <w:vAlign w:val="top"/>
          </w:tcPr>
          <w:p w14:paraId="29D8575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兽药经营行为是否符合GMP、GSP相关要求，并进行质量安全监督抽查</w:t>
            </w:r>
          </w:p>
        </w:tc>
        <w:tc>
          <w:tcPr>
            <w:tcW w:w="0" w:type="auto"/>
            <w:tcBorders>
              <w:tl2br w:val="nil"/>
              <w:tr2bl w:val="nil"/>
            </w:tcBorders>
            <w:tcMar>
              <w:top w:w="60" w:type="dxa"/>
              <w:left w:w="120" w:type="dxa"/>
              <w:bottom w:w="30" w:type="dxa"/>
              <w:right w:w="120" w:type="dxa"/>
            </w:tcMar>
            <w:vAlign w:val="top"/>
          </w:tcPr>
          <w:p w14:paraId="434C7E1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3-10月</w:t>
            </w:r>
          </w:p>
        </w:tc>
        <w:tc>
          <w:tcPr>
            <w:tcW w:w="0" w:type="auto"/>
            <w:tcBorders>
              <w:tl2br w:val="nil"/>
              <w:tr2bl w:val="nil"/>
            </w:tcBorders>
            <w:tcMar>
              <w:top w:w="60" w:type="dxa"/>
              <w:left w:w="120" w:type="dxa"/>
              <w:bottom w:w="30" w:type="dxa"/>
              <w:right w:w="120" w:type="dxa"/>
            </w:tcMar>
            <w:vAlign w:val="top"/>
          </w:tcPr>
          <w:p w14:paraId="785070B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70266AFE">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29F156D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农药管理股</w:t>
            </w:r>
          </w:p>
        </w:tc>
        <w:tc>
          <w:tcPr>
            <w:tcW w:w="0" w:type="auto"/>
            <w:tcBorders>
              <w:tl2br w:val="nil"/>
              <w:tr2bl w:val="nil"/>
            </w:tcBorders>
            <w:tcMar>
              <w:top w:w="60" w:type="dxa"/>
              <w:left w:w="120" w:type="dxa"/>
              <w:bottom w:w="30" w:type="dxa"/>
              <w:right w:w="120" w:type="dxa"/>
            </w:tcMar>
            <w:vAlign w:val="top"/>
          </w:tcPr>
          <w:p w14:paraId="4C547AF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2D1C9B4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r w14:paraId="744AE5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3374" w:hRule="atLeast"/>
        </w:trPr>
        <w:tc>
          <w:tcPr>
            <w:tcW w:w="0" w:type="auto"/>
            <w:tcBorders>
              <w:tl2br w:val="nil"/>
              <w:tr2bl w:val="nil"/>
            </w:tcBorders>
            <w:tcMar>
              <w:top w:w="60" w:type="dxa"/>
              <w:left w:w="120" w:type="dxa"/>
              <w:bottom w:w="30" w:type="dxa"/>
              <w:right w:w="120" w:type="dxa"/>
            </w:tcMar>
            <w:vAlign w:val="top"/>
          </w:tcPr>
          <w:p w14:paraId="1F53C22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0" w:type="auto"/>
            <w:tcBorders>
              <w:tl2br w:val="nil"/>
              <w:tr2bl w:val="nil"/>
            </w:tcBorders>
            <w:tcMar>
              <w:top w:w="60" w:type="dxa"/>
              <w:left w:w="120" w:type="dxa"/>
              <w:bottom w:w="30" w:type="dxa"/>
              <w:right w:w="120" w:type="dxa"/>
            </w:tcMar>
            <w:vAlign w:val="top"/>
          </w:tcPr>
          <w:p w14:paraId="2524B8BE">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对科学研究、人工繁育、公众展示展演等利用野生动物及其制品的活动的行政检查</w:t>
            </w:r>
          </w:p>
        </w:tc>
        <w:tc>
          <w:tcPr>
            <w:tcW w:w="0" w:type="auto"/>
            <w:tcBorders>
              <w:tl2br w:val="nil"/>
              <w:tr2bl w:val="nil"/>
            </w:tcBorders>
            <w:tcMar>
              <w:top w:w="60" w:type="dxa"/>
              <w:left w:w="120" w:type="dxa"/>
              <w:bottom w:w="30" w:type="dxa"/>
              <w:right w:w="120" w:type="dxa"/>
            </w:tcMar>
            <w:vAlign w:val="top"/>
          </w:tcPr>
          <w:p w14:paraId="7EC273E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《中华人民共和国野生动物保护法》第三十五条</w:t>
            </w:r>
          </w:p>
        </w:tc>
        <w:tc>
          <w:tcPr>
            <w:tcW w:w="0" w:type="auto"/>
            <w:tcBorders>
              <w:tl2br w:val="nil"/>
              <w:tr2bl w:val="nil"/>
            </w:tcBorders>
            <w:tcMar>
              <w:top w:w="60" w:type="dxa"/>
              <w:left w:w="120" w:type="dxa"/>
              <w:bottom w:w="30" w:type="dxa"/>
              <w:right w:w="120" w:type="dxa"/>
            </w:tcMar>
            <w:vAlign w:val="top"/>
          </w:tcPr>
          <w:p w14:paraId="617CDED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进行人工繁育野生动物活动的经营单位，10%</w:t>
            </w:r>
          </w:p>
        </w:tc>
        <w:tc>
          <w:tcPr>
            <w:tcW w:w="0" w:type="auto"/>
            <w:tcBorders>
              <w:tl2br w:val="nil"/>
              <w:tr2bl w:val="nil"/>
            </w:tcBorders>
            <w:tcMar>
              <w:top w:w="60" w:type="dxa"/>
              <w:left w:w="120" w:type="dxa"/>
              <w:bottom w:w="30" w:type="dxa"/>
              <w:right w:w="120" w:type="dxa"/>
            </w:tcMar>
            <w:vAlign w:val="top"/>
          </w:tcPr>
          <w:p w14:paraId="32DA737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对科学研究、人工繁育、公众展示展演等利用野生动物及其制品的活动的行政检查</w:t>
            </w:r>
          </w:p>
        </w:tc>
        <w:tc>
          <w:tcPr>
            <w:tcW w:w="0" w:type="auto"/>
            <w:tcBorders>
              <w:tl2br w:val="nil"/>
              <w:tr2bl w:val="nil"/>
            </w:tcBorders>
            <w:tcMar>
              <w:top w:w="60" w:type="dxa"/>
              <w:left w:w="120" w:type="dxa"/>
              <w:bottom w:w="30" w:type="dxa"/>
              <w:right w:w="120" w:type="dxa"/>
            </w:tcMar>
            <w:vAlign w:val="top"/>
          </w:tcPr>
          <w:p w14:paraId="3DD403E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6-12月</w:t>
            </w:r>
          </w:p>
        </w:tc>
        <w:tc>
          <w:tcPr>
            <w:tcW w:w="0" w:type="auto"/>
            <w:tcBorders>
              <w:tl2br w:val="nil"/>
              <w:tr2bl w:val="nil"/>
            </w:tcBorders>
            <w:tcMar>
              <w:top w:w="60" w:type="dxa"/>
              <w:left w:w="120" w:type="dxa"/>
              <w:bottom w:w="30" w:type="dxa"/>
              <w:right w:w="120" w:type="dxa"/>
            </w:tcMar>
            <w:vAlign w:val="top"/>
          </w:tcPr>
          <w:p w14:paraId="7A59228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717BE25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2A5380A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农业资源保护与利用股</w:t>
            </w:r>
          </w:p>
        </w:tc>
        <w:tc>
          <w:tcPr>
            <w:tcW w:w="0" w:type="auto"/>
            <w:tcBorders>
              <w:tl2br w:val="nil"/>
              <w:tr2bl w:val="nil"/>
            </w:tcBorders>
            <w:tcMar>
              <w:top w:w="60" w:type="dxa"/>
              <w:left w:w="120" w:type="dxa"/>
              <w:bottom w:w="30" w:type="dxa"/>
              <w:right w:w="120" w:type="dxa"/>
            </w:tcMar>
            <w:vAlign w:val="top"/>
          </w:tcPr>
          <w:p w14:paraId="292C8512">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3AC7778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r w14:paraId="5BFE28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vAlign w:val="top"/>
          </w:tcPr>
          <w:p w14:paraId="608F9E9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0" w:type="auto"/>
            <w:tcBorders>
              <w:tl2br w:val="nil"/>
              <w:tr2bl w:val="nil"/>
            </w:tcBorders>
            <w:tcMar>
              <w:top w:w="60" w:type="dxa"/>
              <w:left w:w="120" w:type="dxa"/>
              <w:bottom w:w="30" w:type="dxa"/>
              <w:right w:w="120" w:type="dxa"/>
            </w:tcMar>
            <w:vAlign w:val="top"/>
          </w:tcPr>
          <w:p w14:paraId="40A013A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农业工程建设项目工程招标投标抽查</w:t>
            </w:r>
          </w:p>
        </w:tc>
        <w:tc>
          <w:tcPr>
            <w:tcW w:w="0" w:type="auto"/>
            <w:tcBorders>
              <w:tl2br w:val="nil"/>
              <w:tr2bl w:val="nil"/>
            </w:tcBorders>
            <w:tcMar>
              <w:top w:w="60" w:type="dxa"/>
              <w:left w:w="120" w:type="dxa"/>
              <w:bottom w:w="30" w:type="dxa"/>
              <w:right w:w="120" w:type="dxa"/>
            </w:tcMar>
            <w:vAlign w:val="top"/>
          </w:tcPr>
          <w:p w14:paraId="18706C1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《中华人民共和国招标投标法》第七条、《中华人民共和国招标投标法实施条例》第四条</w:t>
            </w:r>
          </w:p>
        </w:tc>
        <w:tc>
          <w:tcPr>
            <w:tcW w:w="0" w:type="auto"/>
            <w:tcBorders>
              <w:tl2br w:val="nil"/>
              <w:tr2bl w:val="nil"/>
            </w:tcBorders>
            <w:tcMar>
              <w:top w:w="60" w:type="dxa"/>
              <w:left w:w="120" w:type="dxa"/>
              <w:bottom w:w="30" w:type="dxa"/>
              <w:right w:w="120" w:type="dxa"/>
            </w:tcMar>
            <w:vAlign w:val="top"/>
          </w:tcPr>
          <w:p w14:paraId="67982483">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2025-2026年农业工程建设项目，1%</w:t>
            </w:r>
          </w:p>
        </w:tc>
        <w:tc>
          <w:tcPr>
            <w:tcW w:w="0" w:type="auto"/>
            <w:tcBorders>
              <w:tl2br w:val="nil"/>
              <w:tr2bl w:val="nil"/>
            </w:tcBorders>
            <w:tcMar>
              <w:top w:w="60" w:type="dxa"/>
              <w:left w:w="120" w:type="dxa"/>
              <w:bottom w:w="30" w:type="dxa"/>
              <w:right w:w="120" w:type="dxa"/>
            </w:tcMar>
            <w:vAlign w:val="top"/>
          </w:tcPr>
          <w:p w14:paraId="42AE79BF">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农业工程建设项目工程招标投标文件备案、评标及标后履约情况</w:t>
            </w:r>
          </w:p>
        </w:tc>
        <w:tc>
          <w:tcPr>
            <w:tcW w:w="0" w:type="auto"/>
            <w:tcBorders>
              <w:tl2br w:val="nil"/>
              <w:tr2bl w:val="nil"/>
            </w:tcBorders>
            <w:tcMar>
              <w:top w:w="60" w:type="dxa"/>
              <w:left w:w="120" w:type="dxa"/>
              <w:bottom w:w="30" w:type="dxa"/>
              <w:right w:w="120" w:type="dxa"/>
            </w:tcMar>
            <w:vAlign w:val="top"/>
          </w:tcPr>
          <w:p w14:paraId="141EDBC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w:t>
            </w:r>
          </w:p>
        </w:tc>
        <w:tc>
          <w:tcPr>
            <w:tcW w:w="0" w:type="auto"/>
            <w:tcBorders>
              <w:tl2br w:val="nil"/>
              <w:tr2bl w:val="nil"/>
            </w:tcBorders>
            <w:tcMar>
              <w:top w:w="60" w:type="dxa"/>
              <w:left w:w="120" w:type="dxa"/>
              <w:bottom w:w="30" w:type="dxa"/>
              <w:right w:w="120" w:type="dxa"/>
            </w:tcMar>
            <w:vAlign w:val="top"/>
          </w:tcPr>
          <w:p w14:paraId="550D379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2804859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28C78055">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农</w:t>
            </w:r>
            <w:r>
              <w:rPr>
                <w:rFonts w:hint="eastAsia" w:ascii="仿宋_GB2312" w:hAnsi="仿宋_GB2312" w:eastAsia="仿宋_GB2312" w:cs="仿宋_GB2312"/>
                <w:sz w:val="24"/>
                <w:szCs w:val="24"/>
                <w:lang w:eastAsia="zh-CN"/>
              </w:rPr>
              <w:t>田建设股</w:t>
            </w:r>
          </w:p>
        </w:tc>
        <w:tc>
          <w:tcPr>
            <w:tcW w:w="0" w:type="auto"/>
            <w:tcBorders>
              <w:tl2br w:val="nil"/>
              <w:tr2bl w:val="nil"/>
            </w:tcBorders>
            <w:tcMar>
              <w:top w:w="60" w:type="dxa"/>
              <w:left w:w="120" w:type="dxa"/>
              <w:bottom w:w="30" w:type="dxa"/>
              <w:right w:w="120" w:type="dxa"/>
            </w:tcMar>
            <w:vAlign w:val="top"/>
          </w:tcPr>
          <w:p w14:paraId="531A64B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5DE61B4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r w14:paraId="170877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713" w:hRule="atLeast"/>
        </w:trPr>
        <w:tc>
          <w:tcPr>
            <w:tcW w:w="0" w:type="auto"/>
            <w:tcBorders>
              <w:tl2br w:val="nil"/>
              <w:tr2bl w:val="nil"/>
            </w:tcBorders>
            <w:tcMar>
              <w:top w:w="60" w:type="dxa"/>
              <w:left w:w="120" w:type="dxa"/>
              <w:bottom w:w="30" w:type="dxa"/>
              <w:right w:w="120" w:type="dxa"/>
            </w:tcMar>
            <w:vAlign w:val="top"/>
          </w:tcPr>
          <w:p w14:paraId="5D7395B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0" w:type="auto"/>
            <w:tcBorders>
              <w:tl2br w:val="nil"/>
              <w:tr2bl w:val="nil"/>
            </w:tcBorders>
            <w:tcMar>
              <w:top w:w="60" w:type="dxa"/>
              <w:left w:w="120" w:type="dxa"/>
              <w:bottom w:w="30" w:type="dxa"/>
              <w:right w:w="120" w:type="dxa"/>
            </w:tcMar>
            <w:vAlign w:val="top"/>
          </w:tcPr>
          <w:p w14:paraId="6BCA091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对农业转基因生物安全的监督检查</w:t>
            </w:r>
          </w:p>
        </w:tc>
        <w:tc>
          <w:tcPr>
            <w:tcW w:w="0" w:type="auto"/>
            <w:tcBorders>
              <w:tl2br w:val="nil"/>
              <w:tr2bl w:val="nil"/>
            </w:tcBorders>
            <w:tcMar>
              <w:top w:w="60" w:type="dxa"/>
              <w:left w:w="120" w:type="dxa"/>
              <w:bottom w:w="30" w:type="dxa"/>
              <w:right w:w="120" w:type="dxa"/>
            </w:tcMar>
            <w:vAlign w:val="top"/>
          </w:tcPr>
          <w:p w14:paraId="27DAAAF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《农业转基因生物安全管理条例》（2017修订）第四条</w:t>
            </w:r>
          </w:p>
        </w:tc>
        <w:tc>
          <w:tcPr>
            <w:tcW w:w="0" w:type="auto"/>
            <w:tcBorders>
              <w:tl2br w:val="nil"/>
              <w:tr2bl w:val="nil"/>
            </w:tcBorders>
            <w:tcMar>
              <w:top w:w="60" w:type="dxa"/>
              <w:left w:w="120" w:type="dxa"/>
              <w:bottom w:w="30" w:type="dxa"/>
              <w:right w:w="120" w:type="dxa"/>
            </w:tcMar>
            <w:vAlign w:val="top"/>
          </w:tcPr>
          <w:p w14:paraId="7DD12DF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辖区内转基因生物加工经营企业，10%</w:t>
            </w:r>
          </w:p>
        </w:tc>
        <w:tc>
          <w:tcPr>
            <w:tcW w:w="0" w:type="auto"/>
            <w:tcBorders>
              <w:tl2br w:val="nil"/>
              <w:tr2bl w:val="nil"/>
            </w:tcBorders>
            <w:tcMar>
              <w:top w:w="60" w:type="dxa"/>
              <w:left w:w="120" w:type="dxa"/>
              <w:bottom w:w="30" w:type="dxa"/>
              <w:right w:w="120" w:type="dxa"/>
            </w:tcMar>
            <w:vAlign w:val="top"/>
          </w:tcPr>
          <w:p w14:paraId="1AD5F972">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转基因生物加工安全</w:t>
            </w:r>
          </w:p>
        </w:tc>
        <w:tc>
          <w:tcPr>
            <w:tcW w:w="0" w:type="auto"/>
            <w:tcBorders>
              <w:tl2br w:val="nil"/>
              <w:tr2bl w:val="nil"/>
            </w:tcBorders>
            <w:tcMar>
              <w:top w:w="60" w:type="dxa"/>
              <w:left w:w="120" w:type="dxa"/>
              <w:bottom w:w="30" w:type="dxa"/>
              <w:right w:w="120" w:type="dxa"/>
            </w:tcMar>
            <w:vAlign w:val="top"/>
          </w:tcPr>
          <w:p w14:paraId="113EE75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6-9月</w:t>
            </w:r>
          </w:p>
        </w:tc>
        <w:tc>
          <w:tcPr>
            <w:tcW w:w="0" w:type="auto"/>
            <w:tcBorders>
              <w:tl2br w:val="nil"/>
              <w:tr2bl w:val="nil"/>
            </w:tcBorders>
            <w:tcMar>
              <w:top w:w="60" w:type="dxa"/>
              <w:left w:w="120" w:type="dxa"/>
              <w:bottom w:w="30" w:type="dxa"/>
              <w:right w:w="120" w:type="dxa"/>
            </w:tcMar>
            <w:vAlign w:val="top"/>
          </w:tcPr>
          <w:p w14:paraId="52923816">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4618569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34E43CE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种业管理股股（</w:t>
            </w:r>
            <w:r>
              <w:rPr>
                <w:rFonts w:hint="eastAsia" w:ascii="仿宋_GB2312" w:hAnsi="仿宋_GB2312" w:eastAsia="仿宋_GB2312" w:cs="仿宋_GB2312"/>
                <w:sz w:val="24"/>
                <w:szCs w:val="24"/>
              </w:rPr>
              <w:t>科技教育股</w:t>
            </w:r>
            <w:r>
              <w:rPr>
                <w:rFonts w:hint="eastAsia" w:ascii="仿宋_GB2312" w:hAnsi="仿宋_GB2312" w:eastAsia="仿宋_GB2312" w:cs="仿宋_GB2312"/>
                <w:sz w:val="24"/>
                <w:szCs w:val="24"/>
                <w:lang w:eastAsia="zh-CN"/>
              </w:rPr>
              <w:t>）</w:t>
            </w:r>
          </w:p>
        </w:tc>
        <w:tc>
          <w:tcPr>
            <w:tcW w:w="0" w:type="auto"/>
            <w:tcBorders>
              <w:tl2br w:val="nil"/>
              <w:tr2bl w:val="nil"/>
            </w:tcBorders>
            <w:tcMar>
              <w:top w:w="60" w:type="dxa"/>
              <w:left w:w="120" w:type="dxa"/>
              <w:bottom w:w="30" w:type="dxa"/>
              <w:right w:w="120" w:type="dxa"/>
            </w:tcMar>
            <w:vAlign w:val="top"/>
          </w:tcPr>
          <w:p w14:paraId="294EA18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60F67F4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r w14:paraId="42B6C6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3112" w:hRule="atLeast"/>
        </w:trPr>
        <w:tc>
          <w:tcPr>
            <w:tcW w:w="0" w:type="auto"/>
            <w:tcBorders>
              <w:tl2br w:val="nil"/>
              <w:tr2bl w:val="nil"/>
            </w:tcBorders>
            <w:tcMar>
              <w:top w:w="60" w:type="dxa"/>
              <w:left w:w="120" w:type="dxa"/>
              <w:bottom w:w="30" w:type="dxa"/>
              <w:right w:w="120" w:type="dxa"/>
            </w:tcMar>
            <w:vAlign w:val="top"/>
          </w:tcPr>
          <w:p w14:paraId="7E79973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0" w:type="auto"/>
            <w:tcBorders>
              <w:tl2br w:val="nil"/>
              <w:tr2bl w:val="nil"/>
            </w:tcBorders>
            <w:tcMar>
              <w:top w:w="60" w:type="dxa"/>
              <w:left w:w="120" w:type="dxa"/>
              <w:bottom w:w="30" w:type="dxa"/>
              <w:right w:w="120" w:type="dxa"/>
            </w:tcMar>
            <w:vAlign w:val="top"/>
          </w:tcPr>
          <w:p w14:paraId="08EB9F32">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对绿色食品产地环境、产品质量、包装标识、标志使用等情况的监督检查</w:t>
            </w:r>
          </w:p>
        </w:tc>
        <w:tc>
          <w:tcPr>
            <w:tcW w:w="0" w:type="auto"/>
            <w:tcBorders>
              <w:tl2br w:val="nil"/>
              <w:tr2bl w:val="nil"/>
            </w:tcBorders>
            <w:tcMar>
              <w:top w:w="60" w:type="dxa"/>
              <w:left w:w="120" w:type="dxa"/>
              <w:bottom w:w="30" w:type="dxa"/>
              <w:right w:w="120" w:type="dxa"/>
            </w:tcMar>
            <w:vAlign w:val="top"/>
          </w:tcPr>
          <w:p w14:paraId="5E65BFF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《绿色食品标志管理办法》第二十四条</w:t>
            </w:r>
          </w:p>
        </w:tc>
        <w:tc>
          <w:tcPr>
            <w:tcW w:w="0" w:type="auto"/>
            <w:tcBorders>
              <w:tl2br w:val="nil"/>
              <w:tr2bl w:val="nil"/>
            </w:tcBorders>
            <w:tcMar>
              <w:top w:w="60" w:type="dxa"/>
              <w:left w:w="120" w:type="dxa"/>
              <w:bottom w:w="30" w:type="dxa"/>
              <w:right w:w="120" w:type="dxa"/>
            </w:tcMar>
            <w:vAlign w:val="top"/>
          </w:tcPr>
          <w:p w14:paraId="0283F3E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2023年底以前获得认证有效证书的绿色食品主体（20个），10%</w:t>
            </w:r>
          </w:p>
        </w:tc>
        <w:tc>
          <w:tcPr>
            <w:tcW w:w="0" w:type="auto"/>
            <w:tcBorders>
              <w:tl2br w:val="nil"/>
              <w:tr2bl w:val="nil"/>
            </w:tcBorders>
            <w:tcMar>
              <w:top w:w="60" w:type="dxa"/>
              <w:left w:w="120" w:type="dxa"/>
              <w:bottom w:w="30" w:type="dxa"/>
              <w:right w:w="120" w:type="dxa"/>
            </w:tcMar>
            <w:vAlign w:val="top"/>
          </w:tcPr>
          <w:p w14:paraId="0DFD446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产地环境、生产过程控制（投入品使用管理）、产品质量管理、包装标识、标志使用</w:t>
            </w:r>
          </w:p>
        </w:tc>
        <w:tc>
          <w:tcPr>
            <w:tcW w:w="0" w:type="auto"/>
            <w:tcBorders>
              <w:tl2br w:val="nil"/>
              <w:tr2bl w:val="nil"/>
            </w:tcBorders>
            <w:tcMar>
              <w:top w:w="60" w:type="dxa"/>
              <w:left w:w="120" w:type="dxa"/>
              <w:bottom w:w="30" w:type="dxa"/>
              <w:right w:w="120" w:type="dxa"/>
            </w:tcMar>
            <w:vAlign w:val="top"/>
          </w:tcPr>
          <w:p w14:paraId="0F18DC5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5-11月</w:t>
            </w:r>
          </w:p>
        </w:tc>
        <w:tc>
          <w:tcPr>
            <w:tcW w:w="0" w:type="auto"/>
            <w:tcBorders>
              <w:tl2br w:val="nil"/>
              <w:tr2bl w:val="nil"/>
            </w:tcBorders>
            <w:tcMar>
              <w:top w:w="60" w:type="dxa"/>
              <w:left w:w="120" w:type="dxa"/>
              <w:bottom w:w="30" w:type="dxa"/>
              <w:right w:w="120" w:type="dxa"/>
            </w:tcMar>
            <w:vAlign w:val="top"/>
          </w:tcPr>
          <w:p w14:paraId="7462D23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0" w:type="auto"/>
            <w:tcBorders>
              <w:tl2br w:val="nil"/>
              <w:tr2bl w:val="nil"/>
            </w:tcBorders>
            <w:tcMar>
              <w:top w:w="60" w:type="dxa"/>
              <w:left w:w="120" w:type="dxa"/>
              <w:bottom w:w="30" w:type="dxa"/>
              <w:right w:w="120" w:type="dxa"/>
            </w:tcMar>
            <w:vAlign w:val="top"/>
          </w:tcPr>
          <w:p w14:paraId="6B472D4D">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1次</w:t>
            </w:r>
          </w:p>
        </w:tc>
        <w:tc>
          <w:tcPr>
            <w:tcW w:w="0" w:type="auto"/>
            <w:tcBorders>
              <w:tl2br w:val="nil"/>
              <w:tr2bl w:val="nil"/>
            </w:tcBorders>
            <w:tcMar>
              <w:top w:w="60" w:type="dxa"/>
              <w:left w:w="120" w:type="dxa"/>
              <w:bottom w:w="30" w:type="dxa"/>
              <w:right w:w="120" w:type="dxa"/>
            </w:tcMar>
            <w:vAlign w:val="top"/>
          </w:tcPr>
          <w:p w14:paraId="3D1550B4">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农产品质量安全监管股</w:t>
            </w: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绿色食品办公室</w:t>
            </w:r>
            <w:r>
              <w:rPr>
                <w:rFonts w:hint="eastAsia" w:ascii="仿宋_GB2312" w:hAnsi="仿宋_GB2312" w:eastAsia="仿宋_GB2312" w:cs="仿宋_GB2312"/>
                <w:sz w:val="24"/>
                <w:szCs w:val="24"/>
                <w:lang w:eastAsia="zh-CN"/>
              </w:rPr>
              <w:t>）</w:t>
            </w:r>
          </w:p>
        </w:tc>
        <w:tc>
          <w:tcPr>
            <w:tcW w:w="0" w:type="auto"/>
            <w:tcBorders>
              <w:tl2br w:val="nil"/>
              <w:tr2bl w:val="nil"/>
            </w:tcBorders>
            <w:tcMar>
              <w:top w:w="60" w:type="dxa"/>
              <w:left w:w="120" w:type="dxa"/>
              <w:bottom w:w="30" w:type="dxa"/>
              <w:right w:w="120" w:type="dxa"/>
            </w:tcMar>
            <w:vAlign w:val="top"/>
          </w:tcPr>
          <w:p w14:paraId="60FC3898">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61901D1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r w14:paraId="637DA2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vAlign w:val="top"/>
          </w:tcPr>
          <w:p w14:paraId="3E831473">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0</w:t>
            </w:r>
          </w:p>
        </w:tc>
        <w:tc>
          <w:tcPr>
            <w:tcW w:w="0" w:type="auto"/>
            <w:tcBorders>
              <w:tl2br w:val="nil"/>
              <w:tr2bl w:val="nil"/>
            </w:tcBorders>
            <w:tcMar>
              <w:top w:w="60" w:type="dxa"/>
              <w:left w:w="120" w:type="dxa"/>
              <w:bottom w:w="30" w:type="dxa"/>
              <w:right w:w="120" w:type="dxa"/>
            </w:tcMar>
            <w:vAlign w:val="top"/>
          </w:tcPr>
          <w:p w14:paraId="7AF057CC">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对拖拉机和联合收割机的监督检查</w:t>
            </w:r>
          </w:p>
        </w:tc>
        <w:tc>
          <w:tcPr>
            <w:tcW w:w="0" w:type="auto"/>
            <w:tcBorders>
              <w:tl2br w:val="nil"/>
              <w:tr2bl w:val="nil"/>
            </w:tcBorders>
            <w:tcMar>
              <w:top w:w="60" w:type="dxa"/>
              <w:left w:w="120" w:type="dxa"/>
              <w:bottom w:w="30" w:type="dxa"/>
              <w:right w:w="120" w:type="dxa"/>
            </w:tcMar>
            <w:vAlign w:val="top"/>
          </w:tcPr>
          <w:p w14:paraId="2890F07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《农业机械安全监督管理条例》（2019修订）第九条第二款  县级以上地方人民政府农业机械化主管部门、工业主管部门和市场监督管理部门等有关部门按照各自职责，负责本行政区域的农业机械安全监督。</w:t>
            </w:r>
          </w:p>
          <w:p w14:paraId="20B8FBA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第二十一条　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w:t>
            </w:r>
          </w:p>
          <w:p w14:paraId="745E898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拖拉机、联合收割机使用期间登记事项发生变更的，其所有人应当按照国务院农业机械化主管部门的规定申请变更登记。</w:t>
            </w:r>
          </w:p>
        </w:tc>
        <w:tc>
          <w:tcPr>
            <w:tcW w:w="0" w:type="auto"/>
            <w:tcBorders>
              <w:tl2br w:val="nil"/>
              <w:tr2bl w:val="nil"/>
            </w:tcBorders>
            <w:tcMar>
              <w:top w:w="60" w:type="dxa"/>
              <w:left w:w="120" w:type="dxa"/>
              <w:bottom w:w="30" w:type="dxa"/>
              <w:right w:w="120" w:type="dxa"/>
            </w:tcMar>
            <w:vAlign w:val="top"/>
          </w:tcPr>
          <w:p w14:paraId="2CB3E89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经营使用拖拉机和联合收割机的企业</w:t>
            </w:r>
          </w:p>
        </w:tc>
        <w:tc>
          <w:tcPr>
            <w:tcW w:w="0" w:type="auto"/>
            <w:tcBorders>
              <w:tl2br w:val="nil"/>
              <w:tr2bl w:val="nil"/>
            </w:tcBorders>
            <w:tcMar>
              <w:top w:w="60" w:type="dxa"/>
              <w:left w:w="120" w:type="dxa"/>
              <w:bottom w:w="30" w:type="dxa"/>
              <w:right w:w="120" w:type="dxa"/>
            </w:tcMar>
            <w:vAlign w:val="top"/>
          </w:tcPr>
          <w:p w14:paraId="5A49A2E1">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对拖拉机和联合收割机登记的监督检查。</w:t>
            </w:r>
          </w:p>
        </w:tc>
        <w:tc>
          <w:tcPr>
            <w:tcW w:w="0" w:type="auto"/>
            <w:tcBorders>
              <w:tl2br w:val="nil"/>
              <w:tr2bl w:val="nil"/>
            </w:tcBorders>
            <w:tcMar>
              <w:top w:w="60" w:type="dxa"/>
              <w:left w:w="120" w:type="dxa"/>
              <w:bottom w:w="30" w:type="dxa"/>
              <w:right w:w="120" w:type="dxa"/>
            </w:tcMar>
            <w:vAlign w:val="top"/>
          </w:tcPr>
          <w:p w14:paraId="17241E9F">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按本单位每年3月底前报经同级司法行政部门备案审查的涉企年度行政检查计划执行</w:t>
            </w:r>
          </w:p>
        </w:tc>
        <w:tc>
          <w:tcPr>
            <w:tcW w:w="0" w:type="auto"/>
            <w:tcBorders>
              <w:tl2br w:val="nil"/>
              <w:tr2bl w:val="nil"/>
            </w:tcBorders>
            <w:tcMar>
              <w:top w:w="60" w:type="dxa"/>
              <w:left w:w="120" w:type="dxa"/>
              <w:bottom w:w="30" w:type="dxa"/>
              <w:right w:w="120" w:type="dxa"/>
            </w:tcMar>
            <w:vAlign w:val="top"/>
          </w:tcPr>
          <w:p w14:paraId="20369E59">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现场检查</w:t>
            </w:r>
          </w:p>
        </w:tc>
        <w:tc>
          <w:tcPr>
            <w:tcW w:w="0" w:type="auto"/>
            <w:tcBorders>
              <w:tl2br w:val="nil"/>
              <w:tr2bl w:val="nil"/>
            </w:tcBorders>
            <w:tcMar>
              <w:top w:w="60" w:type="dxa"/>
              <w:left w:w="120" w:type="dxa"/>
              <w:bottom w:w="30" w:type="dxa"/>
              <w:right w:w="120" w:type="dxa"/>
            </w:tcMar>
            <w:vAlign w:val="top"/>
          </w:tcPr>
          <w:p w14:paraId="2800E28B">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p>
        </w:tc>
        <w:tc>
          <w:tcPr>
            <w:tcW w:w="0" w:type="auto"/>
            <w:tcBorders>
              <w:tl2br w:val="nil"/>
              <w:tr2bl w:val="nil"/>
            </w:tcBorders>
            <w:tcMar>
              <w:top w:w="60" w:type="dxa"/>
              <w:left w:w="120" w:type="dxa"/>
              <w:bottom w:w="30" w:type="dxa"/>
              <w:right w:w="120" w:type="dxa"/>
            </w:tcMar>
            <w:vAlign w:val="top"/>
          </w:tcPr>
          <w:p w14:paraId="04861740">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农业机械化股</w:t>
            </w:r>
          </w:p>
        </w:tc>
        <w:tc>
          <w:tcPr>
            <w:tcW w:w="0" w:type="auto"/>
            <w:tcBorders>
              <w:tl2br w:val="nil"/>
              <w:tr2bl w:val="nil"/>
            </w:tcBorders>
            <w:tcMar>
              <w:top w:w="60" w:type="dxa"/>
              <w:left w:w="120" w:type="dxa"/>
              <w:bottom w:w="30" w:type="dxa"/>
              <w:right w:w="120" w:type="dxa"/>
            </w:tcMar>
            <w:vAlign w:val="top"/>
          </w:tcPr>
          <w:p w14:paraId="7962DE4A">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0" w:type="auto"/>
            <w:tcBorders>
              <w:tl2br w:val="nil"/>
              <w:tr2bl w:val="nil"/>
            </w:tcBorders>
            <w:tcMar>
              <w:top w:w="60" w:type="dxa"/>
              <w:left w:w="120" w:type="dxa"/>
              <w:bottom w:w="30" w:type="dxa"/>
              <w:right w:w="120" w:type="dxa"/>
            </w:tcMar>
            <w:vAlign w:val="top"/>
          </w:tcPr>
          <w:p w14:paraId="00045827">
            <w:pPr>
              <w:pStyle w:val="20"/>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双随机一公开</w:t>
            </w:r>
          </w:p>
        </w:tc>
      </w:tr>
    </w:tbl>
    <w:p w14:paraId="3C4E3080">
      <w:pPr>
        <w:rPr>
          <w:rFonts w:hint="eastAsia" w:ascii="黑体" w:hAnsi="黑体" w:eastAsia="黑体" w:cs="黑体"/>
          <w:sz w:val="32"/>
          <w:szCs w:val="32"/>
        </w:rPr>
        <w:sectPr>
          <w:footerReference r:id="rId3" w:type="default"/>
          <w:pgSz w:w="16838" w:h="11906" w:orient="landscape"/>
          <w:pgMar w:top="1440" w:right="1080" w:bottom="1440" w:left="1080" w:header="708" w:footer="708" w:gutter="0"/>
          <w:pgBorders>
            <w:top w:val="none" w:sz="0" w:space="0"/>
            <w:left w:val="none" w:sz="0" w:space="0"/>
            <w:bottom w:val="none" w:sz="0" w:space="0"/>
            <w:right w:val="none" w:sz="0" w:space="0"/>
          </w:pgBorders>
          <w:pgNumType w:fmt="decimal"/>
          <w:cols w:space="720" w:num="1"/>
          <w:docGrid w:linePitch="360" w:charSpace="0"/>
        </w:sectPr>
      </w:pPr>
      <w:bookmarkStart w:id="0" w:name="_GoBack"/>
      <w:bookmarkEnd w:id="0"/>
    </w:p>
    <w:p w14:paraId="76BFB0BB">
      <w:pPr>
        <w:keepNext w:val="0"/>
        <w:keepLines w:val="0"/>
        <w:pageBreakBefore w:val="0"/>
        <w:widowControl w:val="0"/>
        <w:kinsoku/>
        <w:wordWrap/>
        <w:overflowPunct/>
        <w:topLinePunct w:val="0"/>
        <w:autoSpaceDE/>
        <w:autoSpaceDN/>
        <w:bidi w:val="0"/>
        <w:adjustRightInd/>
        <w:snapToGrid/>
        <w:spacing w:line="560" w:lineRule="exact"/>
        <w:jc w:val="both"/>
        <w:textAlignment w:val="auto"/>
      </w:pPr>
    </w:p>
    <w:sectPr>
      <w:footerReference r:id="rId4" w:type="default"/>
      <w:pgSz w:w="16838" w:h="11906" w:orient="landscape"/>
      <w:pgMar w:top="1587" w:right="1701" w:bottom="1474" w:left="1701" w:header="708" w:footer="1446"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5DCBC">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8A7ED">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59264;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tpbXdYAAAAIAQAADwAAAAAAAAABACAAAAAiAAAAZHJzL2Rv&#10;d25yZXYueG1sUEsBAhQAFAAAAAgAh07iQEoGJGQ8AgAAbQQAAA4AAAAAAAAAAQAgAAAAJQEAAGRy&#10;cy9lMm9Eb2MueG1sUEsFBgAAAAAGAAYAWQEAANMFAAAAAA==&#10;">
              <v:fill on="f" focussize="0,0"/>
              <v:stroke on="f" weight="0.5pt"/>
              <v:imagedata o:title=""/>
              <o:lock v:ext="edit" aspectratio="f"/>
              <v:textbox inset="0mm,16pt,0mm,16pt" style="layout-flow:vertical-ideographic;mso-fit-shape-to-text:t;">
                <w:txbxContent>
                  <w:p w14:paraId="4828A7ED">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D262">
    <w:pPr>
      <w:pStyle w:val="9"/>
    </w:pPr>
  </w:p>
  <w:p w14:paraId="0BEF20C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AEE82">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23FAEE82">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00986F57"/>
    <w:rsid w:val="01E026CC"/>
    <w:rsid w:val="03F25454"/>
    <w:rsid w:val="04B635B2"/>
    <w:rsid w:val="08D01033"/>
    <w:rsid w:val="08EA41E4"/>
    <w:rsid w:val="0A2D14EA"/>
    <w:rsid w:val="0CE83407"/>
    <w:rsid w:val="0E4D215A"/>
    <w:rsid w:val="138E124B"/>
    <w:rsid w:val="14643D5A"/>
    <w:rsid w:val="14860F5C"/>
    <w:rsid w:val="159E329B"/>
    <w:rsid w:val="178D3AF2"/>
    <w:rsid w:val="1A67A11D"/>
    <w:rsid w:val="1C11425A"/>
    <w:rsid w:val="227710FC"/>
    <w:rsid w:val="24E66C6C"/>
    <w:rsid w:val="2707406D"/>
    <w:rsid w:val="28FFAE5A"/>
    <w:rsid w:val="2FB43990"/>
    <w:rsid w:val="31CC2C2C"/>
    <w:rsid w:val="320342B1"/>
    <w:rsid w:val="34645984"/>
    <w:rsid w:val="37A97B52"/>
    <w:rsid w:val="389E1315"/>
    <w:rsid w:val="3B8A4914"/>
    <w:rsid w:val="3F2FCA82"/>
    <w:rsid w:val="40EA7211"/>
    <w:rsid w:val="41B31CF9"/>
    <w:rsid w:val="42D55C9F"/>
    <w:rsid w:val="44A045CD"/>
    <w:rsid w:val="45DB35CC"/>
    <w:rsid w:val="463B28A6"/>
    <w:rsid w:val="48CA5329"/>
    <w:rsid w:val="4C6333EB"/>
    <w:rsid w:val="4E34798A"/>
    <w:rsid w:val="50010F5D"/>
    <w:rsid w:val="56A1616C"/>
    <w:rsid w:val="57262AED"/>
    <w:rsid w:val="57771605"/>
    <w:rsid w:val="5DF7CCAE"/>
    <w:rsid w:val="5E7E704B"/>
    <w:rsid w:val="5FDF31CA"/>
    <w:rsid w:val="63354ECB"/>
    <w:rsid w:val="66F8A7E7"/>
    <w:rsid w:val="6D8343C6"/>
    <w:rsid w:val="6E187783"/>
    <w:rsid w:val="6EC7FAB5"/>
    <w:rsid w:val="6FF84BF7"/>
    <w:rsid w:val="70F33611"/>
    <w:rsid w:val="72CC70E6"/>
    <w:rsid w:val="73A6715E"/>
    <w:rsid w:val="75157C52"/>
    <w:rsid w:val="752B5127"/>
    <w:rsid w:val="774F3949"/>
    <w:rsid w:val="77B15D12"/>
    <w:rsid w:val="78D0786C"/>
    <w:rsid w:val="7AD4E025"/>
    <w:rsid w:val="B5FE59E2"/>
    <w:rsid w:val="DFEDE37A"/>
    <w:rsid w:val="E7E34370"/>
    <w:rsid w:val="EADA7FE8"/>
    <w:rsid w:val="EF7EFDAC"/>
    <w:rsid w:val="EFCB3A95"/>
    <w:rsid w:val="FFBBECD5"/>
    <w:rsid w:val="FFF55F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0"/>
    <w:pPr>
      <w:spacing w:after="120"/>
    </w:pPr>
  </w:style>
  <w:style w:type="paragraph" w:styleId="9">
    <w:name w:val="footer"/>
    <w:basedOn w:val="1"/>
    <w:qFormat/>
    <w:uiPriority w:val="0"/>
    <w:pPr>
      <w:tabs>
        <w:tab w:val="center" w:pos="4153"/>
        <w:tab w:val="right" w:pos="8306"/>
      </w:tabs>
      <w:snapToGrid w:val="0"/>
      <w:spacing w:line="240" w:lineRule="atLeast"/>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footnote text"/>
    <w:link w:val="19"/>
    <w:semiHidden/>
    <w:unhideWhenUsed/>
    <w:qFormat/>
    <w:uiPriority w:val="99"/>
    <w:pPr>
      <w:spacing w:after="0" w:line="240" w:lineRule="auto"/>
    </w:pPr>
    <w:rPr>
      <w:rFonts w:asciiTheme="minorHAnsi" w:hAnsiTheme="minorHAnsi" w:eastAsiaTheme="minorEastAsia" w:cstheme="minorBidi"/>
      <w:sz w:val="20"/>
      <w:szCs w:val="20"/>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character" w:styleId="15">
    <w:name w:val="page number"/>
    <w:basedOn w:val="14"/>
    <w:qFormat/>
    <w:uiPriority w:val="0"/>
  </w:style>
  <w:style w:type="character" w:styleId="16">
    <w:name w:val="Hyperlink"/>
    <w:basedOn w:val="14"/>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qFormat/>
    <w:uiPriority w:val="0"/>
    <w:rPr>
      <w:rFonts w:asciiTheme="minorHAnsi" w:hAnsiTheme="minorHAnsi" w:eastAsiaTheme="minorEastAsia" w:cstheme="minorBidi"/>
      <w:sz w:val="21"/>
      <w:szCs w:val="22"/>
    </w:rPr>
  </w:style>
  <w:style w:type="character" w:customStyle="1" w:styleId="19">
    <w:name w:val="Footnote Text Char"/>
    <w:link w:val="11"/>
    <w:semiHidden/>
    <w:unhideWhenUsed/>
    <w:qFormat/>
    <w:uiPriority w:val="99"/>
    <w:rPr>
      <w:sz w:val="20"/>
      <w:szCs w:val="2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1815</Words>
  <Characters>1899</Characters>
  <TotalTime>4</TotalTime>
  <ScaleCrop>false</ScaleCrop>
  <LinksUpToDate>false</LinksUpToDate>
  <CharactersWithSpaces>1912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2026-03-20T03:31:00Z</dcterms:created>
  <dc:creator>Un-named</dc:creator>
  <cp:lastModifiedBy>Bruce_Neeal</cp:lastModifiedBy>
  <cp:lastPrinted>2026-03-24T01:48:00Z</cp:lastPrinted>
  <dcterms:modified xsi:type="dcterms:W3CDTF">2026-03-24T07:14:24Z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eyJoZGlkIjoiMWY1NjM3MmJlY2YzNzUzMmU0MjZhMDQzZDFlOGFkZTkiLCJ1c2VySWQiOiIyOTkzMDE4NDkifQ==</vt:lpwstr>
  </property>
  <property fmtid="{D5CDD505-2E9C-101B-9397-08002B2CF9AE}" pid="3" name="KSOProductBuildVer">
    <vt:lpwstr>2052-12.1.0.25225</vt:lpwstr>
  </property>
  <property fmtid="{D5CDD505-2E9C-101B-9397-08002B2CF9AE}" pid="4" name="ICV">
    <vt:lpwstr>752628432DBB4E14A5DDF8BBB7846FF3_13</vt:lpwstr>
  </property>
</Properties>
</file>