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600" w:lineRule="atLeas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pStyle w:val="3"/>
        <w:spacing w:after="0" w:line="600" w:lineRule="exact"/>
        <w:jc w:val="center"/>
        <w:rPr>
          <w:rFonts w:hint="eastAsia" w:ascii="方正小标宋简体" w:hAnsi="Times New Roman" w:eastAsia="方正小标宋简体"/>
          <w:color w:val="000000"/>
          <w:w w:val="1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w w:val="100"/>
          <w:sz w:val="44"/>
          <w:szCs w:val="44"/>
          <w:lang w:eastAsia="zh-CN"/>
        </w:rPr>
        <w:t>主体强身行动实施</w:t>
      </w:r>
      <w:r>
        <w:rPr>
          <w:rFonts w:hint="eastAsia" w:ascii="方正小标宋简体" w:hAnsi="Times New Roman" w:eastAsia="方正小标宋简体"/>
          <w:color w:val="000000"/>
          <w:w w:val="100"/>
          <w:sz w:val="44"/>
          <w:szCs w:val="44"/>
        </w:rPr>
        <w:t>方案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为加快培育壮大经营主体，进一步营造投资创业良好环境，持续增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强各类经营主体的内生动力和创新活力，为我市经营主体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壮大抢占更大市场、更多制高点、更优竞争地位、更快纾困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机，</w:t>
      </w:r>
      <w:r>
        <w:rPr>
          <w:rFonts w:hint="eastAsia" w:ascii="Times New Roman" w:hAnsi="Times New Roman" w:eastAsia="仿宋_GB2312" w:cs="仿宋_GB2312"/>
          <w:spacing w:val="-6"/>
          <w:position w:val="1"/>
          <w:sz w:val="32"/>
          <w:szCs w:val="32"/>
        </w:rPr>
        <w:t>扎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实推动经济回升向好，结合我市实际，特制定本实施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2"/>
          <w:sz w:val="32"/>
          <w:szCs w:val="32"/>
        </w:rPr>
        <w:t>一、工作目标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切实增强经济活力、改善社会预期、提振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信心，深入实施经营主体强身行动，促进经营主体高质量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。到2024年末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全市经营主体结构更加优化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各类优质经营主体实现平稳较快增长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实有经营主体达到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万户以上，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中企业达到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1.13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万户以上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“个转企”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达到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201户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规模以上农产品加工企业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达到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80家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；具有总承包和专业承包资质的独立核算建筑业企业达到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18家；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新增专精特新中小企业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10家；高新技术企业达到93家；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评价入库科技型中小企业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500家；新增规模以上服务业企业4家；限额以上商贸流通企业达到5家；新增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规模以上工业企业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12家；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新增外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商投资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2家；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外贸实绩企业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22家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positio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0"/>
          <w:position w:val="2"/>
          <w:sz w:val="32"/>
          <w:szCs w:val="32"/>
        </w:rPr>
        <w:t>工作</w:t>
      </w:r>
      <w:r>
        <w:rPr>
          <w:rFonts w:hint="eastAsia" w:ascii="黑体" w:hAnsi="黑体" w:eastAsia="黑体" w:cs="黑体"/>
          <w:spacing w:val="0"/>
          <w:position w:val="2"/>
          <w:sz w:val="32"/>
          <w:szCs w:val="32"/>
          <w:lang w:eastAsia="zh-CN"/>
        </w:rPr>
        <w:t>任务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position w:val="1"/>
          <w:sz w:val="32"/>
          <w:szCs w:val="32"/>
        </w:rPr>
        <w:t>（一）聚焦抢占更大市场，推动做大做强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position w:val="1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position w:val="1"/>
          <w:sz w:val="32"/>
          <w:szCs w:val="32"/>
        </w:rPr>
        <w:t>实施经营主体梯次培育计划。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强化平台、项目、金融、要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素保障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梯度培育一批亿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级企业。加强对企业的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全生命周期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服务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支持存量企业扩能升级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实施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新增规模工业企业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行动、企业上市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金芙蓉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跃升行动及专精特新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小巨人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企业倍增工程，构建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创型科技企业－科技型中小企业－高新技术企业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梯队接续体系，大力推动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个转企、企升规、规改股、股上市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深化建设工程企业资质改革。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市发改局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、市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科工局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市农业农村局、市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住建局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、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、市统计局、市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金融事务中心按职能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分工负责）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eastAsia="zh-CN"/>
        </w:rPr>
        <w:t>促进民营企业培优做强。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树立民营企业高质量发展标杆，推荐相关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企业参与2024年三湘民营企业百强榜评选，推动更多企业入选。建立健全定向培育企业名录和后备企业库，助力新增一批民营规上企业和民营高新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技术企业。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（市工商联、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科工局按职能分工负责）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支持外资外贸企业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围绕五大战略性产业集群，借助沪洽周、中博会、投洽会等平台，用好敲门招商、网络招商、资本招商等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方式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，办好招商会，延伸产业链，提升精准度。加大对重点外资项目的招引力度，通过招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引赋能提升园区的国际化水平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（市商务局牵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b w:val="0"/>
          <w:bCs w:val="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健全经营主体评价体系。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从规模结构、活跃程度、合规经营、竞争能力、经济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效益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、社会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责任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等多个维度，综合评价经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营主体发展状况，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引导和激励各类经营主体坚定走高质量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之路。</w:t>
      </w:r>
      <w:r>
        <w:rPr>
          <w:rFonts w:hint="eastAsia" w:ascii="Times New Roman" w:hAnsi="Times New Roman" w:eastAsia="楷体_GB2312" w:cs="方正楷体简体"/>
          <w:b w:val="0"/>
          <w:bCs w:val="0"/>
          <w:spacing w:val="0"/>
          <w:sz w:val="32"/>
          <w:szCs w:val="32"/>
        </w:rPr>
        <w:t>（市</w:t>
      </w:r>
      <w:r>
        <w:rPr>
          <w:rFonts w:hint="eastAsia" w:ascii="Times New Roman" w:hAnsi="Times New Roman" w:eastAsia="楷体_GB2312" w:cs="方正楷体简体"/>
          <w:b w:val="0"/>
          <w:bCs w:val="0"/>
          <w:spacing w:val="0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楷体_GB2312" w:cs="方正楷体简体"/>
          <w:b w:val="0"/>
          <w:bCs w:val="0"/>
          <w:spacing w:val="0"/>
          <w:sz w:val="32"/>
          <w:szCs w:val="32"/>
          <w:lang w:eastAsia="zh-CN"/>
        </w:rPr>
        <w:t>牵头</w:t>
      </w:r>
      <w:r>
        <w:rPr>
          <w:rFonts w:hint="eastAsia" w:ascii="Times New Roman" w:hAnsi="Times New Roman" w:eastAsia="楷体_GB2312" w:cs="方正楷体简体"/>
          <w:b w:val="0"/>
          <w:bCs w:val="0"/>
          <w:spacing w:val="0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楷体" w:hAnsi="楷体" w:eastAsia="楷体" w:cs="楷体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0"/>
          <w:position w:val="1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pacing w:val="0"/>
          <w:position w:val="1"/>
          <w:sz w:val="32"/>
          <w:szCs w:val="32"/>
        </w:rPr>
        <w:t>聚焦抢占更多制高点，促进创新创造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支持科技型企业创新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推进核心技术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攻关，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围绕全市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大产业链，精准布局重大科技项目和科技重大专项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积极创建省级技术创新中心、制造业创新中心。加强产学研融合创新平台建设，新增省级工程技术研究中心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、省级企业技术中心和工程研究中心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以上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。落实省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芙蓉计划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三尖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创新人才工程以及市人才新政25条升级版、支持产业人才20条等政策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举措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，实行引才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举荐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奖励，实施重点产业领军人才团队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企业科技创新创业人才团队等人才专项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，大力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引进或培育产业领军人才团队、科技创新创业团队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（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科工局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加快知识产权强市建设。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加强高质量高价值专利培育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强化企业、高校院所、知识产权服务机构协同创新，提高专利质量与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效益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，推动专利创造由量多向质优转变，实现量质齐升的良好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局面。加强知识产权保护，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严厉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打击侵权行为，维护市场秩序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依法保护知识产权权利人合法权益。加强专利转化运用工作，组织辖区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内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知识产权服务机构做好存量专利盘活工作，加快推进高价值专利转化和产业化。培育推广专利密集型产品，全面开展专利产品备案。持续开展知识产权质押融资入园惠企行动，提高知识产权质押融资的普及度和惠益面，促进创新型中小微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发展。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加强地理标志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品牌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培育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推动地理标志产品保护示范区建设。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（市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加大金融支持力度。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围绕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专精特新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、科技型制造业企业等经营主体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以及绿色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、传统企业转型升级等重点融资需求，加大制造业贷款投放力度。重点推动制造业中长期、信用贷款、首贷投放。鼓励银行机构持续优化内部定价机制，向制造业企业合理让利，降低企业综合融资成本。鼓励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并指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导银行业金融机构积极开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符合行业特点的金融产品，增强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融资+融智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的综合化服务能力，优化贷款期限管理，提高贷款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放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效率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和服务便利度。积极推进供应链金融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展，加强科技应用，提高上下游企业融资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效率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。丰富外贸产品，为制造业企业积极开展支付结算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贸易融资等一体化综合外贸金融服务。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市金融事务中心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eastAsia="楷体"/>
          <w:spacing w:val="0"/>
          <w:lang w:eastAsia="zh-CN"/>
        </w:rPr>
      </w:pPr>
      <w:r>
        <w:rPr>
          <w:rFonts w:hint="eastAsia" w:ascii="楷体" w:hAnsi="楷体" w:eastAsia="楷体" w:cs="楷体"/>
          <w:spacing w:val="0"/>
          <w:position w:val="1"/>
          <w:sz w:val="32"/>
          <w:szCs w:val="32"/>
        </w:rPr>
        <w:t>（三）聚焦抢占更优竞争地位，推进链式</w:t>
      </w:r>
      <w:r>
        <w:rPr>
          <w:rFonts w:hint="eastAsia" w:ascii="楷体" w:hAnsi="楷体" w:eastAsia="楷体" w:cs="楷体"/>
          <w:spacing w:val="0"/>
          <w:position w:val="1"/>
          <w:sz w:val="32"/>
          <w:szCs w:val="32"/>
          <w:lang w:eastAsia="zh-CN"/>
        </w:rPr>
        <w:t>发展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提升企业链式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水平。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对标省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4×4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现代化产业体系，打造全市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六大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产业链群。建立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链主+专班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推进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机制，聚焦培育装备制造、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船舶制造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绿色食品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纺织服装、新型建材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、新能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等六大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产业集群，做强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个优势产业链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（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科工局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大力推动湘商回归。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完善“两图五库”，用好境内外湘商会资源，运用市场化方式，加大对“三类500强”“专精特新、行业龙头、隐形冠军”企业、重点外资项目的招引力度。招引一批益商回乡投资项目，对接一批湘商来沅江投资项目。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组织市内外异地商会、行业商协会、专业园区和企业以小分队、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小活动形式，搭建活动平台开展以商招商、产业链招商，让湘商回归活动更加精准、更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具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特点、更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具成效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。持续推出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情暖湘商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清明五一篇、中秋国庆篇等，引导更多市外湘商企业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带动产业链企业回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沅江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入驻产业园区，促进经济高质量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展和乡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村振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兴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（市工商联、市商务局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按职能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分工牵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持续推进返乡创业。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大力开展返乡创业主体培育行动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力争2024年新增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0.3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万个以上返乡创业主体。依托农村实用人才带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人培训、高素质农民培育工程等项目，有针对性地培育返乡创业人才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（市农业农村局牵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支持国有企业做强做大。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坚持企业市场的主体地位，鼓励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支持、引导企业，通过股权投资、资产收购、基金投资、混改等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式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积极推动国有资本布局和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数字产业、新能源、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新型建材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生物技术、装备制造、电子信息、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绿色食品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等战略性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新兴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产业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推动国有企业从战略性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新兴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产业和传统产业两端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，加快构建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沅江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国资特色和优势的现代产业体系。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（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市国资服务中心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加快质量强市建设。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积极培育、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指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导企业申报第四届市长质量奖评选活动，加强获奖组织和个人之间的交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互鉴，开展获奖组织和个人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进管理经验的推广活动，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发挥龙头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企业带动引领作用，树立一批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进质量管理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法标杆企业和质量领军人物。积极组织、推荐我市名优产品参与湖南名品评选活动，认真研究申报标准和认证机制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组织相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关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企业进行专题培训，将更多技术含量高、质量等次优、品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形象好、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展潜力大、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具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有特色的产品和服务推选出来，打造市场监管领域促进高质量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金字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招牌”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，提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高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“沅江品牌”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影响力。着力夯实标准化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发展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基础，大力开展标准创新型企业培育、企业标准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领跑者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和对标达标工作，</w:t>
      </w:r>
      <w:r>
        <w:rPr>
          <w:rFonts w:hint="eastAsia" w:ascii="Times New Roman" w:hAnsi="Times New Roman" w:eastAsia="仿宋_GB2312" w:cs="仿宋_GB2312"/>
          <w:spacing w:val="-6"/>
          <w:position w:val="1"/>
          <w:sz w:val="32"/>
          <w:szCs w:val="32"/>
        </w:rPr>
        <w:t>推进国家级、省级标准化试点示范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建设。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（市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牵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头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position w:val="1"/>
          <w:sz w:val="32"/>
          <w:szCs w:val="32"/>
        </w:rPr>
        <w:t>（四）聚焦抢占更快纾困</w:t>
      </w:r>
      <w:r>
        <w:rPr>
          <w:rFonts w:hint="eastAsia" w:ascii="楷体" w:hAnsi="楷体" w:eastAsia="楷体" w:cs="楷体"/>
          <w:spacing w:val="0"/>
          <w:position w:val="1"/>
          <w:sz w:val="32"/>
          <w:szCs w:val="32"/>
          <w:lang w:eastAsia="zh-CN"/>
        </w:rPr>
        <w:t>先</w:t>
      </w:r>
      <w:r>
        <w:rPr>
          <w:rFonts w:hint="eastAsia" w:ascii="楷体" w:hAnsi="楷体" w:eastAsia="楷体" w:cs="楷体"/>
          <w:spacing w:val="0"/>
          <w:position w:val="1"/>
          <w:sz w:val="32"/>
          <w:szCs w:val="32"/>
        </w:rPr>
        <w:t>机，做实精准帮扶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常态长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eastAsia="zh-CN"/>
        </w:rPr>
        <w:t>效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开展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 xml:space="preserve"> 三送三解三优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行动。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不折不扣落实稳经济一揽子政策措施，多渠道做好政策宣传、解读，加速释放政策红利。围绕企业用地、用工、融资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用能等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 xml:space="preserve"> 急难愁盼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问题，多为企业办实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事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、办好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事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，分级分类帮助企业解决急难愁盼问题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切实提振市场预期、增强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展信心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让经营主体在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沅江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生得出、长得大、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展得好。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（各成员单位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按职能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分工负责）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提升涉企政务服务质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eastAsia="zh-CN"/>
        </w:rPr>
        <w:t>效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聚焦企业全生命周期重要阶段重点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事项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，推动企业信息变更、开办运输企业、开办餐饮店、水电气网联合报装、信用修复、企业上市合法合规信息核查、企业破产信息核查、企业注销登记等第一批8个涉企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一件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事”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落地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加快推进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高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办成一件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事”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一件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事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一次办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。加快推进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湘易办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超级服务端涉企服务能力建设，融合企业政策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现、金融贷款、利企查询等多种企业服务场景，推动更多高频涉企服务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事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项按规范全量接入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湘易办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，提供更优质便捷的政策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现服务、营商地图服务。推进涉企审批服务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一照通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改革，逐步推动营业执照与涉企审批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事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项的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证照联办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，实现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一照通行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一照通办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（市行政审批局、市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eastAsia="zh-CN"/>
        </w:rPr>
        <w:t>按职能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分工负责）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落实结构性减税降费政策。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持续拓展应用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五措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并举”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工作策略，抓好优惠政策落地，支持科技创新和制造业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展。多渠道开展政策宣传解读，提升税费政策知晓度。持续优化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政策找人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工作机制，拓展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自动算税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，提高政策落实针对性、精准性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确保政策红利直达快享。聚焦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高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办成一件亊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，持续开展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便民办税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春风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行动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，创新服务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举措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、畅通办理环节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提升纳税人满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意度。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（市税务局、市财政局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按职能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分工负责）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</w:rPr>
        <w:t>维护良好市场秩序。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服务全国统一大市场建设，加强公平竞争审查相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关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政策宣传，开展妨碍公平竞争的政策文件清理工作，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深入推进公平竞争审查制度实施。加强对民生领域、公用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事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业等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重点领域的反不正当竞争执法，维护公平公正、竞争有序的市场环境。推进监管能力提升行动，加强行风建设，规范监管执法行为，进一步提升服务水平和监管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效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能。深入推进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监管，健全信用修复机制，规范涉企检查，切实解决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多头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检查、重复检查等问题。组织开展涉企违规收费专项整治行动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深化涉企违规收费问题治理，切实减轻企业和群众负担。加大对价费相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关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政策的宣讲和提醒告诫力度，推动各项降费政策落实落地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持续优化营商环境，激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经营主体活力。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（市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楷体_GB2312" w:cs="方正楷体简体"/>
          <w:spacing w:val="0"/>
          <w:sz w:val="32"/>
          <w:szCs w:val="32"/>
        </w:rPr>
        <w:t>、市司法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局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  <w:lang w:eastAsia="zh-CN"/>
        </w:rPr>
        <w:t>按职能</w:t>
      </w:r>
      <w:r>
        <w:rPr>
          <w:rFonts w:hint="eastAsia" w:ascii="Times New Roman" w:hAnsi="Times New Roman" w:eastAsia="楷体_GB2312" w:cs="方正楷体简体"/>
          <w:spacing w:val="0"/>
          <w:position w:val="1"/>
          <w:sz w:val="32"/>
          <w:szCs w:val="32"/>
        </w:rPr>
        <w:t>分工负责）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spacing w:val="0"/>
        </w:rPr>
      </w:pPr>
      <w:r>
        <w:rPr>
          <w:rFonts w:hint="eastAsia" w:ascii="黑体" w:hAnsi="黑体" w:eastAsia="黑体" w:cs="黑体"/>
          <w:spacing w:val="0"/>
          <w:position w:val="2"/>
          <w:sz w:val="32"/>
          <w:szCs w:val="32"/>
        </w:rPr>
        <w:t>三、工作机制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成立实施主体强身行动工作专班，由市政府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分管副市长任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召集人，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市政府办联系副主任、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市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局长任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副召集人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成员单位包括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市发改局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市科工局、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市财政局、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市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住建局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、市农业农村局、市商务局、市文旅广体局、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市国资服务中心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、市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、市统计局、市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金融事务中心、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市行政审批局、市工商联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市税务局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市人民法院、市司法局、市自然资源局、市城管执法局。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专班办公室设市</w:t>
      </w:r>
      <w:r>
        <w:rPr>
          <w:rFonts w:hint="default" w:ascii="Times New Roman" w:hAnsi="Times New Roman" w:eastAsia="仿宋_GB2312" w:cs="仿宋_GB2312"/>
          <w:spacing w:val="0"/>
          <w:sz w:val="32"/>
          <w:szCs w:val="32"/>
          <w:lang w:val="en"/>
        </w:rPr>
        <w:t>市监局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</w:rPr>
        <w:t>，负责日常协调和调度工作</w:t>
      </w: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600" w:lineRule="exact"/>
        <w:rPr>
          <w:rFonts w:hint="eastAsia" w:ascii="Times New Roman" w:hAnsi="Times New Roman" w:eastAsia="仿宋_GB2312"/>
          <w:spacing w:val="0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5"/>
          <w:position w:val="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position w:val="1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</w:rPr>
        <w:t>各类经营主体发展预期表</w:t>
      </w:r>
    </w:p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0" w:h="16840"/>
          <w:pgMar w:top="1701" w:right="1474" w:bottom="1701" w:left="1587" w:header="850" w:footer="1247" w:gutter="0"/>
          <w:pgNumType w:fmt="numberInDash"/>
          <w:cols w:space="720" w:num="1"/>
          <w:rtlGutter w:val="0"/>
          <w:docGrid w:linePitch="0" w:charSpace="0"/>
        </w:sectPr>
      </w:pPr>
    </w:p>
    <w:p>
      <w:pPr>
        <w:spacing w:line="600" w:lineRule="exact"/>
        <w:jc w:val="left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表</w:t>
      </w:r>
    </w:p>
    <w:p>
      <w:pPr>
        <w:pStyle w:val="3"/>
        <w:spacing w:before="300" w:beforeLines="50"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各类经营主体发展预期表</w:t>
      </w:r>
    </w:p>
    <w:p>
      <w:pPr>
        <w:spacing w:after="180" w:afterLines="30" w:line="600" w:lineRule="exact"/>
        <w:ind w:right="320" w:rightChars="100"/>
        <w:jc w:val="right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数量单位：（户）</w:t>
      </w:r>
    </w:p>
    <w:tbl>
      <w:tblPr>
        <w:tblStyle w:val="6"/>
        <w:tblW w:w="10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852"/>
        <w:gridCol w:w="756"/>
        <w:gridCol w:w="1405"/>
        <w:gridCol w:w="1056"/>
        <w:gridCol w:w="900"/>
        <w:gridCol w:w="804"/>
        <w:gridCol w:w="1140"/>
        <w:gridCol w:w="814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tblHeader/>
          <w:jc w:val="center"/>
        </w:trPr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  <w:t>年  度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2021年</w:t>
            </w:r>
          </w:p>
        </w:tc>
        <w:tc>
          <w:tcPr>
            <w:tcW w:w="32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2022年</w:t>
            </w: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2023年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2024年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2025年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牵头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tblHeader/>
          <w:jc w:val="center"/>
        </w:trPr>
        <w:tc>
          <w:tcPr>
            <w:tcW w:w="16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指标类型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年末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实有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  <w:t>发展预期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年末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实有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  <w:t>完成率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  <w:t>发展预期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  <w:t>发展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  <w:t>预期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  <w:t>发展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val="en" w:bidi="ar"/>
              </w:rPr>
              <w:t>预期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tblHeader/>
          <w:jc w:val="center"/>
        </w:trPr>
        <w:tc>
          <w:tcPr>
            <w:tcW w:w="165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基本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目标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  <w:t>经营主体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4.58万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5.07万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5.13万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101.18%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5.53万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5.57万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6.0万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6.84万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市市场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监督管理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0.7万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0.82万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0.85万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103.66%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0.96万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0.99万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1.13万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1.27万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个转企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145.65%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270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规模以上农产品加工企业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100.00%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市农业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农村局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具有总承包和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专业承包资质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的独立核算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建筑业企业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市住房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城乡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规模以上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服务业企业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105.56%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4（新增）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市发展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改革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限额以上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商贸流通企业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116.67%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12（新增）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市商务局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新增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zh-CN"/>
              </w:rPr>
              <w:t>规模以上工业企业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20（新增）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153.85%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11（新增）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（新增）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科工局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国家专精特新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小巨人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专精特新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”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中小企业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10（新增）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国家级制造业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单项冠军企业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（产品）（个）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上市公司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100.00%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  <w:t>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金融事务中心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外商投资企业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3（新增）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150.00%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2（新增）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（新增）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市商务局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外贸实绩企业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50.00%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高新技术企业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113.85%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科工局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评价入库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科技型中小企业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221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221.00%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仿宋_GB231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仿宋_GB231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2YTJjNWZkM2I5NWVmMjU5MTg2YmI5ZTVmZDUifQ=="/>
  </w:docVars>
  <w:rsids>
    <w:rsidRoot w:val="540F2B80"/>
    <w:rsid w:val="540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600" w:lineRule="exact"/>
      <w:ind w:firstLine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semiHidden/>
    <w:qFormat/>
    <w:uiPriority w:val="0"/>
    <w:pPr>
      <w:widowControl w:val="0"/>
      <w:spacing w:line="600" w:lineRule="exact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方正仿宋简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方正仿宋简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2024-06-13T08:59:00Z</dcterms:created>
  <dc:creator>玎玎</dc:creator>
  <cp:lastModifiedBy>玎玎</cp:lastModifiedBy>
  <dcterms:modified xsi:type="dcterms:W3CDTF">2024-06-13T09:00:00Z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42CBF006FAC14E61A605283180785B92_11</vt:lpwstr>
  </property>
</Properties>
</file>