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eastAsia="方正小标宋简体"/>
          <w:sz w:val="44"/>
          <w:szCs w:val="44"/>
        </w:rPr>
      </w:pPr>
    </w:p>
    <w:p>
      <w:pPr>
        <w:spacing w:line="720" w:lineRule="exact"/>
        <w:jc w:val="center"/>
        <w:rPr>
          <w:rFonts w:eastAsia="方正小标宋简体"/>
          <w:sz w:val="44"/>
          <w:szCs w:val="44"/>
        </w:rPr>
      </w:pPr>
      <w:r>
        <w:rPr>
          <w:rFonts w:eastAsia="方正小标宋简体"/>
          <w:sz w:val="44"/>
          <w:szCs w:val="44"/>
        </w:rPr>
        <w:t>益阳市人民政府办公室</w:t>
      </w:r>
    </w:p>
    <w:p>
      <w:pPr>
        <w:spacing w:line="720" w:lineRule="exact"/>
        <w:jc w:val="center"/>
        <w:rPr>
          <w:rFonts w:eastAsia="方正小标宋简体"/>
          <w:sz w:val="44"/>
          <w:szCs w:val="44"/>
        </w:rPr>
      </w:pPr>
      <w:r>
        <w:rPr>
          <w:rFonts w:eastAsia="方正小标宋简体"/>
          <w:sz w:val="44"/>
          <w:szCs w:val="44"/>
        </w:rPr>
        <w:t>202</w:t>
      </w:r>
      <w:r>
        <w:rPr>
          <w:rFonts w:hint="default" w:eastAsia="方正小标宋简体"/>
          <w:sz w:val="44"/>
          <w:szCs w:val="44"/>
        </w:rPr>
        <w:t>3</w:t>
      </w:r>
      <w:r>
        <w:rPr>
          <w:rFonts w:eastAsia="方正小标宋简体"/>
          <w:sz w:val="44"/>
          <w:szCs w:val="44"/>
        </w:rPr>
        <w:t>年政府信息公开工作年度报告</w:t>
      </w:r>
    </w:p>
    <w:p>
      <w:pPr>
        <w:spacing w:line="720" w:lineRule="exact"/>
        <w:jc w:val="center"/>
        <w:rPr>
          <w:rFonts w:ascii="宋体" w:hAnsi="宋体"/>
          <w:b/>
          <w:sz w:val="44"/>
          <w:szCs w:val="44"/>
        </w:rPr>
      </w:pP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本报告按照《中华人民共和国政府信息公开条例》（</w:t>
      </w:r>
      <w:r>
        <w:rPr>
          <w:rFonts w:hint="eastAsia" w:eastAsia="方正仿宋简体"/>
          <w:color w:val="000000" w:themeColor="text1"/>
          <w:sz w:val="32"/>
          <w:szCs w:val="32"/>
          <w:lang w:val="en-US" w:eastAsia="zh-CN"/>
          <w14:textFill>
            <w14:solidFill>
              <w14:schemeClr w14:val="tx1"/>
            </w14:solidFill>
          </w14:textFill>
        </w:rPr>
        <w:t>国务院令第711号</w:t>
      </w:r>
      <w:r>
        <w:rPr>
          <w:rFonts w:hint="default" w:eastAsia="方正仿宋简体"/>
          <w:color w:val="000000" w:themeColor="text1"/>
          <w:sz w:val="32"/>
          <w:szCs w:val="32"/>
          <w:lang w:eastAsia="zh-CN"/>
          <w14:textFill>
            <w14:solidFill>
              <w14:schemeClr w14:val="tx1"/>
            </w14:solidFill>
          </w14:textFill>
        </w:rPr>
        <w:t>，</w:t>
      </w:r>
      <w:r>
        <w:rPr>
          <w:rFonts w:eastAsia="方正仿宋简体"/>
          <w:color w:val="000000" w:themeColor="text1"/>
          <w:sz w:val="32"/>
          <w:szCs w:val="32"/>
          <w14:textFill>
            <w14:solidFill>
              <w14:schemeClr w14:val="tx1"/>
            </w14:solidFill>
          </w14:textFill>
        </w:rPr>
        <w:t>以下简称《条例》）</w:t>
      </w:r>
      <w:r>
        <w:rPr>
          <w:rFonts w:eastAsia="方正仿宋简体"/>
          <w:color w:val="000000" w:themeColor="text1"/>
          <w:sz w:val="32"/>
          <w:szCs w:val="32"/>
          <w:lang w:val="en-US" w:eastAsia="zh-CN"/>
          <w14:textFill>
            <w14:solidFill>
              <w14:schemeClr w14:val="tx1"/>
            </w14:solidFill>
          </w14:textFill>
        </w:rPr>
        <w:t>和《国务院办公厅政府信息与政务公开办公室关于印发</w:t>
      </w:r>
      <w:r>
        <w:rPr>
          <w:rFonts w:hint="eastAsia" w:eastAsia="方正仿宋简体"/>
          <w:color w:val="000000" w:themeColor="text1"/>
          <w:sz w:val="32"/>
          <w:szCs w:val="32"/>
          <w:lang w:val="en-US" w:eastAsia="zh-CN"/>
          <w14:textFill>
            <w14:solidFill>
              <w14:schemeClr w14:val="tx1"/>
            </w14:solidFill>
          </w14:textFill>
        </w:rPr>
        <w:t>〈中华人民共和国政府信息公开工作年度报告格式〉的通知》（国办公开办函</w:t>
      </w:r>
      <w:r>
        <w:rPr>
          <w:rFonts w:hint="default" w:eastAsia="方正仿宋简体"/>
          <w:color w:val="000000" w:themeColor="text1"/>
          <w:sz w:val="32"/>
          <w:szCs w:val="32"/>
          <w:lang w:eastAsia="zh-CN"/>
          <w14:textFill>
            <w14:solidFill>
              <w14:schemeClr w14:val="tx1"/>
            </w14:solidFill>
          </w14:textFill>
        </w:rPr>
        <w:t>〔</w:t>
      </w:r>
      <w:r>
        <w:rPr>
          <w:rFonts w:hint="default" w:eastAsia="方正仿宋简体"/>
          <w:color w:val="000000" w:themeColor="text1"/>
          <w:sz w:val="32"/>
          <w:szCs w:val="32"/>
          <w:lang w:val="en-US" w:eastAsia="zh-CN"/>
          <w14:textFill>
            <w14:solidFill>
              <w14:schemeClr w14:val="tx1"/>
            </w14:solidFill>
          </w14:textFill>
        </w:rPr>
        <w:t>2021</w:t>
      </w:r>
      <w:r>
        <w:rPr>
          <w:rFonts w:hint="default" w:eastAsia="方正仿宋简体"/>
          <w:color w:val="000000" w:themeColor="text1"/>
          <w:sz w:val="32"/>
          <w:szCs w:val="32"/>
          <w:lang w:eastAsia="zh-CN"/>
          <w14:textFill>
            <w14:solidFill>
              <w14:schemeClr w14:val="tx1"/>
            </w14:solidFill>
          </w14:textFill>
        </w:rPr>
        <w:t>〕</w:t>
      </w:r>
      <w:r>
        <w:rPr>
          <w:rFonts w:hint="default" w:eastAsia="方正仿宋简体"/>
          <w:color w:val="000000" w:themeColor="text1"/>
          <w:sz w:val="32"/>
          <w:szCs w:val="32"/>
          <w:lang w:val="en-US" w:eastAsia="zh-CN"/>
          <w14:textFill>
            <w14:solidFill>
              <w14:schemeClr w14:val="tx1"/>
            </w14:solidFill>
          </w14:textFill>
        </w:rPr>
        <w:t>30</w:t>
      </w:r>
      <w:r>
        <w:rPr>
          <w:rFonts w:hint="eastAsia" w:eastAsia="方正仿宋简体"/>
          <w:color w:val="000000" w:themeColor="text1"/>
          <w:sz w:val="32"/>
          <w:szCs w:val="32"/>
          <w:lang w:val="en-US" w:eastAsia="zh-CN"/>
          <w14:textFill>
            <w14:solidFill>
              <w14:schemeClr w14:val="tx1"/>
            </w14:solidFill>
          </w14:textFill>
        </w:rPr>
        <w:t>号）等文件要求</w:t>
      </w:r>
      <w:r>
        <w:rPr>
          <w:rFonts w:eastAsia="方正仿宋简体"/>
          <w:color w:val="000000" w:themeColor="text1"/>
          <w:sz w:val="32"/>
          <w:szCs w:val="32"/>
          <w14:textFill>
            <w14:solidFill>
              <w14:schemeClr w14:val="tx1"/>
            </w14:solidFill>
          </w14:textFill>
        </w:rPr>
        <w:t>编制。全文包括总体情况、主动公开政府信息情况、收到和处理政府信息公开申请情况、</w:t>
      </w:r>
      <w:r>
        <w:rPr>
          <w:rFonts w:eastAsia="方正仿宋简体"/>
          <w:color w:val="000000" w:themeColor="text1"/>
          <w:sz w:val="32"/>
          <w:szCs w:val="32"/>
          <w:lang w:eastAsia="zh-CN"/>
          <w14:textFill>
            <w14:solidFill>
              <w14:schemeClr w14:val="tx1"/>
            </w14:solidFill>
          </w14:textFill>
        </w:rPr>
        <w:t>因政府信息公开工作被申请行政复议提起行政诉讼情况</w:t>
      </w:r>
      <w:r>
        <w:rPr>
          <w:rFonts w:eastAsia="方正仿宋简体"/>
          <w:color w:val="000000" w:themeColor="text1"/>
          <w:sz w:val="32"/>
          <w:szCs w:val="32"/>
          <w14:textFill>
            <w14:solidFill>
              <w14:schemeClr w14:val="tx1"/>
            </w14:solidFill>
          </w14:textFill>
        </w:rPr>
        <w:t>、存在的主要问题及改进情况、其他需要报告的事项六个部分。</w:t>
      </w:r>
      <w:r>
        <w:rPr>
          <w:rFonts w:hint="eastAsia" w:eastAsia="方正仿宋简体"/>
          <w:color w:val="000000" w:themeColor="text1"/>
          <w:sz w:val="32"/>
          <w:szCs w:val="32"/>
          <w14:textFill>
            <w14:solidFill>
              <w14:schemeClr w14:val="tx1"/>
            </w14:solidFill>
          </w14:textFill>
        </w:rPr>
        <w:t>本年度报告电子版可从“益阳市人民政府</w:t>
      </w:r>
      <w:r>
        <w:rPr>
          <w:rFonts w:hint="default" w:eastAsia="方正仿宋简体"/>
          <w:color w:val="000000" w:themeColor="text1"/>
          <w:sz w:val="32"/>
          <w:szCs w:val="32"/>
          <w14:textFill>
            <w14:solidFill>
              <w14:schemeClr w14:val="tx1"/>
            </w14:solidFill>
          </w14:textFill>
        </w:rPr>
        <w:t>门户</w:t>
      </w:r>
      <w:r>
        <w:rPr>
          <w:rFonts w:hint="eastAsia" w:eastAsia="方正仿宋简体"/>
          <w:color w:val="000000" w:themeColor="text1"/>
          <w:sz w:val="32"/>
          <w:szCs w:val="32"/>
          <w14:textFill>
            <w14:solidFill>
              <w14:schemeClr w14:val="tx1"/>
            </w14:solidFill>
          </w14:textFill>
        </w:rPr>
        <w:t>网站”（http://www.yiyang.gov.cn/）下载。</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24" w:firstLineChars="200"/>
        <w:textAlignment w:val="auto"/>
        <w:rPr>
          <w:rFonts w:hAnsi="方正仿宋简体" w:eastAsia="方正仿宋简体"/>
          <w:snapToGrid w:val="0"/>
          <w:color w:val="000000" w:themeColor="text1"/>
          <w:spacing w:val="-4"/>
          <w:sz w:val="32"/>
          <w:szCs w:val="32"/>
          <w14:textFill>
            <w14:solidFill>
              <w14:schemeClr w14:val="tx1"/>
            </w14:solidFill>
          </w14:textFill>
        </w:rPr>
      </w:pPr>
      <w:r>
        <w:rPr>
          <w:rFonts w:eastAsia="方正仿宋简体"/>
          <w:snapToGrid w:val="0"/>
          <w:color w:val="000000" w:themeColor="text1"/>
          <w:spacing w:val="-4"/>
          <w:sz w:val="32"/>
          <w:szCs w:val="32"/>
          <w14:textFill>
            <w14:solidFill>
              <w14:schemeClr w14:val="tx1"/>
            </w14:solidFill>
          </w14:textFill>
        </w:rPr>
        <w:t>202</w:t>
      </w:r>
      <w:r>
        <w:rPr>
          <w:rFonts w:hint="default" w:eastAsia="方正仿宋简体"/>
          <w:snapToGrid w:val="0"/>
          <w:color w:val="000000" w:themeColor="text1"/>
          <w:spacing w:val="-4"/>
          <w:sz w:val="32"/>
          <w:szCs w:val="32"/>
          <w14:textFill>
            <w14:solidFill>
              <w14:schemeClr w14:val="tx1"/>
            </w14:solidFill>
          </w14:textFill>
        </w:rPr>
        <w:t>3</w:t>
      </w:r>
      <w:r>
        <w:rPr>
          <w:rFonts w:hAnsi="方正仿宋简体" w:eastAsia="方正仿宋简体"/>
          <w:snapToGrid w:val="0"/>
          <w:color w:val="000000" w:themeColor="text1"/>
          <w:spacing w:val="-4"/>
          <w:sz w:val="32"/>
          <w:szCs w:val="32"/>
          <w14:textFill>
            <w14:solidFill>
              <w14:schemeClr w14:val="tx1"/>
            </w14:solidFill>
          </w14:textFill>
        </w:rPr>
        <w:t>年，</w:t>
      </w:r>
      <w:r>
        <w:rPr>
          <w:rFonts w:eastAsia="方正仿宋简体"/>
          <w:color w:val="000000" w:themeColor="text1"/>
          <w:sz w:val="32"/>
          <w:szCs w:val="32"/>
          <w14:textFill>
            <w14:solidFill>
              <w14:schemeClr w14:val="tx1"/>
            </w14:solidFill>
          </w14:textFill>
        </w:rPr>
        <w:t>市人民政府办公室</w:t>
      </w:r>
      <w:r>
        <w:rPr>
          <w:rFonts w:hAnsi="方正仿宋简体" w:eastAsia="方正仿宋简体"/>
          <w:snapToGrid w:val="0"/>
          <w:color w:val="000000" w:themeColor="text1"/>
          <w:spacing w:val="-4"/>
          <w:sz w:val="32"/>
          <w:szCs w:val="32"/>
          <w:lang w:val="en-US" w:eastAsia="zh-CN"/>
          <w14:textFill>
            <w14:solidFill>
              <w14:schemeClr w14:val="tx1"/>
            </w14:solidFill>
          </w14:textFill>
        </w:rPr>
        <w:t>坚持以习近平新时代中国特色社会主义思想为指导，</w:t>
      </w:r>
      <w:r>
        <w:rPr>
          <w:rFonts w:hint="default" w:ascii="方正仿宋简体" w:hAnsi="方正仿宋简体" w:eastAsia="方正仿宋简体" w:cs="方正仿宋简体"/>
          <w:color w:val="auto"/>
          <w:sz w:val="32"/>
          <w:szCs w:val="32"/>
          <w:shd w:val="clear" w:color="auto" w:fill="FFFFFF"/>
        </w:rPr>
        <w:t>深入贯彻党的二十大精神，全面落实中央、省关于深化政务公开各项决策部署和市委、市人民政府政务公开工作要求，</w:t>
      </w:r>
      <w:r>
        <w:rPr>
          <w:rFonts w:hint="default" w:ascii="方正仿宋简体" w:hAnsi="方正仿宋简体" w:eastAsia="方正仿宋简体" w:cs="方正仿宋简体"/>
          <w:color w:val="auto"/>
          <w:sz w:val="32"/>
          <w:szCs w:val="32"/>
          <w:shd w:val="clear" w:color="auto" w:fill="FFFFFF"/>
        </w:rPr>
        <w:t>聚焦实现</w:t>
      </w:r>
      <w:r>
        <w:rPr>
          <w:rFonts w:hint="default" w:ascii="方正仿宋简体" w:hAnsi="方正仿宋简体" w:eastAsia="方正仿宋简体" w:cs="方正仿宋简体"/>
          <w:color w:val="auto"/>
          <w:sz w:val="32"/>
          <w:szCs w:val="32"/>
          <w:shd w:val="clear" w:color="auto" w:fill="FFFFFF"/>
        </w:rPr>
        <w:t>“三高四新”</w:t>
      </w:r>
      <w:r>
        <w:rPr>
          <w:rFonts w:hint="default" w:ascii="方正仿宋简体" w:hAnsi="方正仿宋简体" w:eastAsia="方正仿宋简体" w:cs="方正仿宋简体"/>
          <w:color w:val="auto"/>
          <w:sz w:val="32"/>
          <w:szCs w:val="32"/>
          <w:shd w:val="clear" w:color="auto" w:fill="FFFFFF"/>
        </w:rPr>
        <w:t>美好蓝图</w:t>
      </w:r>
      <w:r>
        <w:rPr>
          <w:rFonts w:hint="default" w:ascii="方正仿宋简体" w:hAnsi="方正仿宋简体" w:eastAsia="方正仿宋简体" w:cs="方正仿宋简体"/>
          <w:color w:val="auto"/>
          <w:sz w:val="32"/>
          <w:szCs w:val="32"/>
          <w:shd w:val="clear" w:color="auto" w:fill="FFFFFF"/>
        </w:rPr>
        <w:t>，紧紧围绕打好“发展六仗”，</w:t>
      </w:r>
      <w:r>
        <w:rPr>
          <w:rFonts w:hAnsi="方正仿宋简体" w:eastAsia="方正仿宋简体"/>
          <w:snapToGrid w:val="0"/>
          <w:color w:val="000000" w:themeColor="text1"/>
          <w:spacing w:val="-4"/>
          <w:sz w:val="32"/>
          <w:szCs w:val="32"/>
          <w14:textFill>
            <w14:solidFill>
              <w14:schemeClr w14:val="tx1"/>
            </w14:solidFill>
          </w14:textFill>
        </w:rPr>
        <w:t>以省、市政务公开重点工作任务分工为抓手</w:t>
      </w:r>
      <w:r>
        <w:rPr>
          <w:rFonts w:hint="eastAsia" w:hAnsi="方正仿宋简体" w:eastAsia="方正仿宋简体"/>
          <w:snapToGrid w:val="0"/>
          <w:color w:val="000000" w:themeColor="text1"/>
          <w:spacing w:val="-4"/>
          <w:sz w:val="32"/>
          <w:szCs w:val="32"/>
          <w:lang w:val="en-US" w:eastAsia="zh-CN"/>
          <w14:textFill>
            <w14:solidFill>
              <w14:schemeClr w14:val="tx1"/>
            </w14:solidFill>
          </w14:textFill>
        </w:rPr>
        <w:t>，不断</w:t>
      </w:r>
      <w:r>
        <w:rPr>
          <w:rFonts w:hint="default" w:hAnsi="方正仿宋简体" w:eastAsia="方正仿宋简体"/>
          <w:snapToGrid w:val="0"/>
          <w:color w:val="000000" w:themeColor="text1"/>
          <w:spacing w:val="-4"/>
          <w:sz w:val="32"/>
          <w:szCs w:val="32"/>
          <w:lang w:eastAsia="zh-CN"/>
          <w14:textFill>
            <w14:solidFill>
              <w14:schemeClr w14:val="tx1"/>
            </w14:solidFill>
          </w14:textFill>
        </w:rPr>
        <w:t>完善</w:t>
      </w:r>
      <w:r>
        <w:rPr>
          <w:rFonts w:hint="eastAsia" w:hAnsi="方正仿宋简体" w:eastAsia="方正仿宋简体"/>
          <w:snapToGrid w:val="0"/>
          <w:color w:val="000000" w:themeColor="text1"/>
          <w:spacing w:val="-4"/>
          <w:sz w:val="32"/>
          <w:szCs w:val="32"/>
          <w:lang w:val="en-US" w:eastAsia="zh-CN"/>
          <w14:textFill>
            <w14:solidFill>
              <w14:schemeClr w14:val="tx1"/>
            </w14:solidFill>
          </w14:textFill>
        </w:rPr>
        <w:t>政务公开制度体系，</w:t>
      </w:r>
      <w:r>
        <w:rPr>
          <w:rFonts w:hint="default" w:ascii="方正仿宋简体" w:hAnsi="方正仿宋简体" w:eastAsia="方正仿宋简体" w:cs="方正仿宋简体"/>
          <w:color w:val="auto"/>
          <w:sz w:val="32"/>
          <w:szCs w:val="32"/>
          <w:shd w:val="clear" w:color="auto" w:fill="FFFFFF"/>
        </w:rPr>
        <w:t>充分发挥以公开促落实、强监管、优服务的职能作用，</w:t>
      </w:r>
      <w:r>
        <w:rPr>
          <w:rFonts w:hint="default" w:ascii="方正仿宋简体" w:hAnsi="方正仿宋简体" w:eastAsia="方正仿宋简体" w:cs="方正仿宋简体"/>
          <w:color w:val="auto"/>
          <w:sz w:val="32"/>
          <w:szCs w:val="32"/>
          <w:shd w:val="clear" w:color="auto" w:fill="FFFFFF"/>
          <w:lang w:eastAsia="zh-CN"/>
        </w:rPr>
        <w:t>不断提升政务公开的含金量、覆盖面、参与度</w:t>
      </w:r>
      <w:r>
        <w:rPr>
          <w:rFonts w:hint="eastAsia" w:hAnsi="方正仿宋简体" w:eastAsia="方正仿宋简体"/>
          <w:snapToGrid w:val="0"/>
          <w:color w:val="000000" w:themeColor="text1"/>
          <w:spacing w:val="-4"/>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楷体简体" w:eastAsia="方正楷体简体"/>
          <w:color w:val="000000" w:themeColor="text1"/>
          <w:sz w:val="32"/>
          <w:szCs w:val="32"/>
          <w14:textFill>
            <w14:solidFill>
              <w14:schemeClr w14:val="tx1"/>
            </w14:solidFill>
          </w14:textFill>
        </w:rPr>
        <w:t>（一）主动公开</w:t>
      </w:r>
      <w:r>
        <w:rPr>
          <w:rFonts w:hint="default" w:ascii="方正楷体简体" w:eastAsia="方正楷体简体"/>
          <w:color w:val="000000" w:themeColor="text1"/>
          <w:sz w:val="32"/>
          <w:szCs w:val="32"/>
          <w14:textFill>
            <w14:solidFill>
              <w14:schemeClr w14:val="tx1"/>
            </w14:solidFill>
          </w14:textFill>
        </w:rPr>
        <w:t>情况</w:t>
      </w:r>
      <w:r>
        <w:rPr>
          <w:rFonts w:hint="eastAsia" w:ascii="方正楷体简体" w:eastAsia="方正楷体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auto"/>
          <w:sz w:val="32"/>
          <w:szCs w:val="32"/>
          <w:shd w:val="clear" w:color="auto" w:fill="FFFFFF"/>
          <w:lang w:val="en-US" w:eastAsia="zh-CN"/>
        </w:rPr>
        <w:t>紧紧围绕国家和省市政务公开工作要点，聚焦打好“发展六仗”</w:t>
      </w:r>
      <w:r>
        <w:rPr>
          <w:rFonts w:hint="default" w:ascii="方正仿宋简体" w:hAnsi="方正仿宋简体" w:eastAsia="方正仿宋简体" w:cs="方正仿宋简体"/>
          <w:color w:val="auto"/>
          <w:sz w:val="32"/>
          <w:szCs w:val="32"/>
          <w:shd w:val="clear" w:color="auto" w:fill="FFFFFF"/>
          <w:lang w:eastAsia="zh-CN"/>
        </w:rPr>
        <w:t>，创新开展</w:t>
      </w:r>
      <w:r>
        <w:rPr>
          <w:rFonts w:hint="eastAsia" w:ascii="方正仿宋简体" w:hAnsi="方正仿宋简体" w:eastAsia="方正仿宋简体" w:cs="方正仿宋简体"/>
          <w:color w:val="000000"/>
          <w:sz w:val="32"/>
          <w:szCs w:val="32"/>
        </w:rPr>
        <w:t>“政务公开主题日”</w:t>
      </w:r>
      <w:r>
        <w:rPr>
          <w:rFonts w:hint="default" w:ascii="方正仿宋简体" w:hAnsi="方正仿宋简体" w:eastAsia="方正仿宋简体" w:cs="方正仿宋简体"/>
          <w:color w:val="auto"/>
          <w:sz w:val="32"/>
          <w:szCs w:val="32"/>
          <w:shd w:val="clear" w:color="auto" w:fill="FFFFFF"/>
          <w:lang w:eastAsia="zh-CN"/>
        </w:rPr>
        <w:t>活动，</w:t>
      </w:r>
      <w:r>
        <w:rPr>
          <w:rFonts w:hint="eastAsia" w:ascii="方正仿宋简体" w:hAnsi="方正仿宋简体" w:eastAsia="方正仿宋简体" w:cs="方正仿宋简体"/>
          <w:color w:val="auto"/>
          <w:sz w:val="32"/>
          <w:szCs w:val="32"/>
          <w:shd w:val="clear" w:color="auto" w:fill="FFFFFF"/>
          <w:lang w:val="en-US" w:eastAsia="zh-CN"/>
        </w:rPr>
        <w:t>全年通过市政府门户网站公开各类</w:t>
      </w:r>
      <w:r>
        <w:rPr>
          <w:rFonts w:hint="default" w:ascii="方正仿宋简体" w:hAnsi="方正仿宋简体" w:eastAsia="方正仿宋简体" w:cs="方正仿宋简体"/>
          <w:color w:val="auto"/>
          <w:sz w:val="32"/>
          <w:szCs w:val="32"/>
          <w:shd w:val="clear" w:color="auto" w:fill="FFFFFF"/>
          <w:lang w:eastAsia="zh-CN"/>
        </w:rPr>
        <w:t>政务</w:t>
      </w:r>
      <w:r>
        <w:rPr>
          <w:rFonts w:hint="eastAsia" w:ascii="方正仿宋简体" w:hAnsi="方正仿宋简体" w:eastAsia="方正仿宋简体" w:cs="方正仿宋简体"/>
          <w:color w:val="auto"/>
          <w:sz w:val="32"/>
          <w:szCs w:val="32"/>
          <w:shd w:val="clear" w:color="auto" w:fill="FFFFFF"/>
          <w:lang w:val="en-US" w:eastAsia="zh-CN"/>
        </w:rPr>
        <w:t>信息</w:t>
      </w:r>
      <w:r>
        <w:rPr>
          <w:rFonts w:hint="default" w:ascii="Times New Roman [Mono]" w:hAnsi="Times New Roman [Mono]" w:eastAsia="方正仿宋简体" w:cs="Times New Roman [Mono]"/>
          <w:color w:val="auto"/>
          <w:sz w:val="32"/>
          <w:szCs w:val="32"/>
          <w:shd w:val="clear" w:color="auto" w:fill="FFFFFF"/>
          <w:lang w:val="en-US" w:eastAsia="zh-CN"/>
        </w:rPr>
        <w:t>9439</w:t>
      </w:r>
      <w:r>
        <w:rPr>
          <w:rFonts w:hint="eastAsia" w:ascii="方正仿宋简体" w:hAnsi="方正仿宋简体" w:eastAsia="方正仿宋简体" w:cs="方正仿宋简体"/>
          <w:color w:val="auto"/>
          <w:sz w:val="32"/>
          <w:szCs w:val="32"/>
          <w:shd w:val="clear" w:color="auto" w:fill="FFFFFF"/>
          <w:lang w:val="en-US" w:eastAsia="zh-CN"/>
        </w:rPr>
        <w:t>条</w:t>
      </w:r>
      <w:r>
        <w:rPr>
          <w:rFonts w:hint="default" w:ascii="方正仿宋简体" w:hAnsi="方正仿宋简体" w:eastAsia="方正仿宋简体" w:cs="方正仿宋简体"/>
          <w:color w:val="auto"/>
          <w:sz w:val="32"/>
          <w:szCs w:val="32"/>
          <w:shd w:val="clear" w:color="auto" w:fill="FFFFFF"/>
          <w:lang w:eastAsia="zh-CN"/>
        </w:rPr>
        <w:t>，</w:t>
      </w:r>
      <w:r>
        <w:rPr>
          <w:rFonts w:hint="eastAsia" w:ascii="Times New Roman" w:hAnsi="Times New Roman" w:eastAsia="方正仿宋简体"/>
          <w:color w:val="000000"/>
          <w:kern w:val="2"/>
          <w:sz w:val="32"/>
          <w:szCs w:val="32"/>
        </w:rPr>
        <w:t>微信公众号发布信息828条，微博博文</w:t>
      </w:r>
      <w:r>
        <w:rPr>
          <w:rFonts w:hint="default" w:ascii="Times New Roman" w:hAnsi="Times New Roman" w:eastAsia="方正仿宋简体"/>
          <w:color w:val="000000"/>
          <w:kern w:val="2"/>
          <w:sz w:val="32"/>
          <w:szCs w:val="32"/>
        </w:rPr>
        <w:t>1173</w:t>
      </w:r>
      <w:r>
        <w:rPr>
          <w:rFonts w:hint="eastAsia" w:ascii="Times New Roman" w:hAnsi="Times New Roman" w:eastAsia="方正仿宋简体"/>
          <w:color w:val="000000"/>
          <w:kern w:val="2"/>
          <w:sz w:val="32"/>
          <w:szCs w:val="32"/>
        </w:rPr>
        <w:t>篇</w:t>
      </w:r>
      <w:r>
        <w:rPr>
          <w:rFonts w:hint="eastAsia" w:ascii="方正仿宋简体" w:hAnsi="方正仿宋简体" w:eastAsia="方正仿宋简体" w:cs="方正仿宋简体"/>
          <w:color w:val="auto"/>
          <w:sz w:val="32"/>
          <w:szCs w:val="32"/>
          <w:shd w:val="clear" w:color="auto" w:fill="FFFFFF"/>
          <w:lang w:val="en-US" w:eastAsia="zh-CN"/>
        </w:rPr>
        <w:t>。突出重点工作，依托市政府门户网站积极推进决策公开，主动公开规范性文件</w:t>
      </w:r>
      <w:r>
        <w:rPr>
          <w:rFonts w:hint="default" w:ascii="Times New Roman [Mono]" w:hAnsi="Times New Roman [Mono]" w:eastAsia="方正仿宋简体" w:cs="Times New Roman [Mono]"/>
          <w:color w:val="auto"/>
          <w:sz w:val="32"/>
          <w:szCs w:val="32"/>
          <w:shd w:val="clear" w:color="auto" w:fill="FFFFFF"/>
          <w:lang w:eastAsia="zh-CN"/>
        </w:rPr>
        <w:t>27</w:t>
      </w:r>
      <w:r>
        <w:rPr>
          <w:rFonts w:hint="eastAsia" w:ascii="方正仿宋简体" w:hAnsi="方正仿宋简体" w:eastAsia="方正仿宋简体" w:cs="方正仿宋简体"/>
          <w:color w:val="auto"/>
          <w:sz w:val="32"/>
          <w:szCs w:val="32"/>
          <w:shd w:val="clear" w:color="auto" w:fill="FFFFFF"/>
          <w:lang w:val="en-US" w:eastAsia="zh-CN"/>
        </w:rPr>
        <w:t>份，公开政府常务会议</w:t>
      </w:r>
      <w:r>
        <w:rPr>
          <w:rFonts w:hint="eastAsia" w:ascii="Times New Roman [Mono]" w:hAnsi="Times New Roman [Mono]" w:eastAsia="方正仿宋简体" w:cs="Times New Roman [Mono]"/>
          <w:color w:val="auto"/>
          <w:sz w:val="32"/>
          <w:szCs w:val="32"/>
          <w:shd w:val="clear" w:color="auto" w:fill="FFFFFF"/>
          <w:lang w:val="en-US" w:eastAsia="zh-CN"/>
        </w:rPr>
        <w:t>2</w:t>
      </w:r>
      <w:r>
        <w:rPr>
          <w:rFonts w:hint="default" w:ascii="Times New Roman [Mono]" w:hAnsi="Times New Roman [Mono]" w:eastAsia="方正仿宋简体" w:cs="Times New Roman [Mono]"/>
          <w:color w:val="auto"/>
          <w:sz w:val="32"/>
          <w:szCs w:val="32"/>
          <w:shd w:val="clear" w:color="auto" w:fill="FFFFFF"/>
          <w:lang w:eastAsia="zh-CN"/>
        </w:rPr>
        <w:t>2</w:t>
      </w:r>
      <w:r>
        <w:rPr>
          <w:rFonts w:hint="eastAsia" w:ascii="方正仿宋简体" w:hAnsi="方正仿宋简体" w:eastAsia="方正仿宋简体" w:cs="方正仿宋简体"/>
          <w:color w:val="auto"/>
          <w:sz w:val="32"/>
          <w:szCs w:val="32"/>
          <w:shd w:val="clear" w:color="auto" w:fill="FFFFFF"/>
          <w:lang w:val="en-US" w:eastAsia="zh-CN"/>
        </w:rPr>
        <w:t>期，发布重点领域信息</w:t>
      </w:r>
      <w:r>
        <w:rPr>
          <w:rFonts w:hint="eastAsia" w:ascii="Times New Roman [Mono]" w:hAnsi="Times New Roman [Mono]" w:eastAsia="方正仿宋简体" w:cs="Times New Roman [Mono]"/>
          <w:color w:val="auto"/>
          <w:sz w:val="32"/>
          <w:szCs w:val="32"/>
          <w:shd w:val="clear" w:color="auto" w:fill="FFFFFF"/>
          <w:lang w:val="en-US" w:eastAsia="zh-CN"/>
        </w:rPr>
        <w:t>5468</w:t>
      </w:r>
      <w:r>
        <w:rPr>
          <w:rFonts w:hint="eastAsia" w:ascii="方正仿宋简体" w:hAnsi="方正仿宋简体" w:eastAsia="方正仿宋简体" w:cs="方正仿宋简体"/>
          <w:color w:val="auto"/>
          <w:sz w:val="32"/>
          <w:szCs w:val="32"/>
          <w:shd w:val="clear" w:color="auto" w:fill="FFFFFF"/>
          <w:lang w:val="en-US" w:eastAsia="zh-CN"/>
        </w:rPr>
        <w:t>条，发布解读文件</w:t>
      </w:r>
      <w:r>
        <w:rPr>
          <w:rFonts w:hint="default" w:ascii="Times New Roman [Mono]" w:hAnsi="Times New Roman [Mono]" w:eastAsia="方正仿宋简体" w:cs="Times New Roman [Mono]"/>
          <w:color w:val="auto"/>
          <w:sz w:val="32"/>
          <w:szCs w:val="32"/>
          <w:shd w:val="clear" w:color="auto" w:fill="FFFFFF"/>
          <w:lang w:eastAsia="zh-CN"/>
        </w:rPr>
        <w:t>35</w:t>
      </w:r>
      <w:r>
        <w:rPr>
          <w:rFonts w:hint="eastAsia" w:ascii="Times New Roman [Mono]" w:hAnsi="Times New Roman [Mono]" w:eastAsia="方正仿宋简体" w:cs="Times New Roman [Mono]"/>
          <w:color w:val="auto"/>
          <w:sz w:val="32"/>
          <w:szCs w:val="32"/>
          <w:shd w:val="clear" w:color="auto" w:fill="FFFFFF"/>
          <w:lang w:val="en-US" w:eastAsia="zh-CN"/>
        </w:rPr>
        <w:t>份，发布主动回应信息</w:t>
      </w:r>
      <w:r>
        <w:rPr>
          <w:rFonts w:hint="default" w:ascii="Times New Roman [Mono]" w:hAnsi="Times New Roman [Mono]" w:eastAsia="方正仿宋简体" w:cs="Times New Roman [Mono]"/>
          <w:color w:val="auto"/>
          <w:sz w:val="32"/>
          <w:szCs w:val="32"/>
          <w:shd w:val="clear" w:color="auto" w:fill="FFFFFF"/>
          <w:lang w:eastAsia="zh-CN"/>
        </w:rPr>
        <w:t>71</w:t>
      </w:r>
      <w:r>
        <w:rPr>
          <w:rFonts w:hint="eastAsia" w:ascii="Times New Roman [Mono]" w:hAnsi="Times New Roman [Mono]" w:eastAsia="方正仿宋简体" w:cs="Times New Roman [Mono]"/>
          <w:color w:val="auto"/>
          <w:sz w:val="32"/>
          <w:szCs w:val="32"/>
          <w:shd w:val="clear" w:color="auto" w:fill="FFFFFF"/>
          <w:lang w:val="en-US" w:eastAsia="zh-CN"/>
        </w:rPr>
        <w:t>次，召开新闻发布会6</w:t>
      </w:r>
      <w:r>
        <w:rPr>
          <w:rFonts w:hint="eastAsia" w:ascii="方正仿宋简体" w:hAnsi="方正仿宋简体" w:eastAsia="方正仿宋简体" w:cs="方正仿宋简体"/>
          <w:color w:val="auto"/>
          <w:sz w:val="32"/>
          <w:szCs w:val="32"/>
          <w:shd w:val="clear" w:color="auto" w:fill="FFFFFF"/>
          <w:lang w:val="en-US" w:eastAsia="zh-CN"/>
        </w:rPr>
        <w:t>次。开设“</w:t>
      </w:r>
      <w:r>
        <w:rPr>
          <w:rFonts w:hint="eastAsia" w:ascii="Times New Roman [Mono]" w:hAnsi="Times New Roman [Mono]" w:eastAsia="方正仿宋简体" w:cs="Times New Roman [Mono]"/>
          <w:color w:val="auto"/>
          <w:sz w:val="32"/>
          <w:szCs w:val="32"/>
          <w:shd w:val="clear" w:color="auto" w:fill="FFFFFF"/>
          <w:lang w:val="en-US" w:eastAsia="zh-CN"/>
        </w:rPr>
        <w:fldChar w:fldCharType="begin"/>
      </w:r>
      <w:r>
        <w:rPr>
          <w:rFonts w:hint="eastAsia" w:ascii="Times New Roman [Mono]" w:hAnsi="Times New Roman [Mono]" w:eastAsia="方正仿宋简体" w:cs="Times New Roman [Mono]"/>
          <w:color w:val="auto"/>
          <w:sz w:val="32"/>
          <w:szCs w:val="32"/>
          <w:shd w:val="clear" w:color="auto" w:fill="FFFFFF"/>
          <w:lang w:val="en-US" w:eastAsia="zh-CN"/>
        </w:rPr>
        <w:instrText xml:space="preserve"> HYPERLINK "http://rums.yiyang.gov.cn/" </w:instrText>
      </w:r>
      <w:r>
        <w:rPr>
          <w:rFonts w:hint="eastAsia" w:ascii="Times New Roman [Mono]" w:hAnsi="Times New Roman [Mono]" w:eastAsia="方正仿宋简体" w:cs="Times New Roman [Mono]"/>
          <w:color w:val="auto"/>
          <w:sz w:val="32"/>
          <w:szCs w:val="32"/>
          <w:shd w:val="clear" w:color="auto" w:fill="FFFFFF"/>
          <w:lang w:val="en-US" w:eastAsia="zh-CN"/>
        </w:rPr>
        <w:fldChar w:fldCharType="separate"/>
      </w:r>
      <w:r>
        <w:rPr>
          <w:rFonts w:hint="eastAsia" w:ascii="Times New Roman [Mono]" w:hAnsi="Times New Roman [Mono]" w:eastAsia="方正仿宋简体" w:cs="Times New Roman [Mono]"/>
          <w:color w:val="auto"/>
          <w:sz w:val="32"/>
          <w:szCs w:val="32"/>
          <w:shd w:val="clear" w:color="auto" w:fill="FFFFFF"/>
          <w:lang w:val="en-US" w:eastAsia="zh-CN"/>
        </w:rPr>
        <w:t>2023</w:t>
      </w:r>
      <w:r>
        <w:rPr>
          <w:rFonts w:hint="eastAsia" w:ascii="方正仿宋简体" w:hAnsi="方正仿宋简体" w:eastAsia="方正仿宋简体" w:cs="方正仿宋简体"/>
          <w:color w:val="auto"/>
          <w:sz w:val="32"/>
          <w:szCs w:val="32"/>
          <w:shd w:val="clear" w:color="auto" w:fill="FFFFFF"/>
          <w:lang w:val="en-US" w:eastAsia="zh-CN"/>
        </w:rPr>
        <w:t>年两会专题</w:t>
      </w:r>
      <w:r>
        <w:rPr>
          <w:rFonts w:hint="eastAsia" w:ascii="方正仿宋简体" w:hAnsi="方正仿宋简体" w:eastAsia="方正仿宋简体" w:cs="方正仿宋简体"/>
          <w:color w:val="auto"/>
          <w:sz w:val="32"/>
          <w:szCs w:val="32"/>
          <w:shd w:val="clear" w:color="auto" w:fill="FFFFFF"/>
          <w:lang w:val="en-US" w:eastAsia="zh-CN"/>
        </w:rPr>
        <w:fldChar w:fldCharType="end"/>
      </w:r>
      <w:r>
        <w:rPr>
          <w:rFonts w:hint="eastAsia" w:ascii="方正仿宋简体" w:hAnsi="方正仿宋简体" w:eastAsia="方正仿宋简体" w:cs="方正仿宋简体"/>
          <w:color w:val="auto"/>
          <w:sz w:val="32"/>
          <w:szCs w:val="32"/>
          <w:shd w:val="clear" w:color="auto" w:fill="FFFFFF"/>
          <w:lang w:val="en-US" w:eastAsia="zh-CN"/>
        </w:rPr>
        <w:t>”“益阳市打好‘发展六仗’”“湘易办超级服务端”“</w:t>
      </w:r>
      <w:r>
        <w:rPr>
          <w:rFonts w:hint="eastAsia" w:ascii="方正仿宋简体" w:hAnsi="方正仿宋简体" w:eastAsia="方正仿宋简体" w:cs="方正仿宋简体"/>
          <w:color w:val="auto"/>
          <w:sz w:val="32"/>
          <w:szCs w:val="32"/>
          <w:shd w:val="clear" w:color="auto" w:fill="FFFFFF"/>
          <w:lang w:val="en-US" w:eastAsia="zh-CN"/>
        </w:rPr>
        <w:fldChar w:fldCharType="begin"/>
      </w:r>
      <w:r>
        <w:rPr>
          <w:rFonts w:hint="eastAsia" w:ascii="方正仿宋简体" w:hAnsi="方正仿宋简体" w:eastAsia="方正仿宋简体" w:cs="方正仿宋简体"/>
          <w:color w:val="auto"/>
          <w:sz w:val="32"/>
          <w:szCs w:val="32"/>
          <w:shd w:val="clear" w:color="auto" w:fill="FFFFFF"/>
          <w:lang w:val="en-US" w:eastAsia="zh-CN"/>
        </w:rPr>
        <w:instrText xml:space="preserve"> HYPERLINK "http://rums.yiyang.gov.cn/" </w:instrText>
      </w:r>
      <w:r>
        <w:rPr>
          <w:rFonts w:hint="eastAsia" w:ascii="方正仿宋简体" w:hAnsi="方正仿宋简体" w:eastAsia="方正仿宋简体" w:cs="方正仿宋简体"/>
          <w:color w:val="auto"/>
          <w:sz w:val="32"/>
          <w:szCs w:val="32"/>
          <w:shd w:val="clear" w:color="auto" w:fill="FFFFFF"/>
          <w:lang w:val="en-US" w:eastAsia="zh-CN"/>
        </w:rPr>
        <w:fldChar w:fldCharType="separate"/>
      </w:r>
      <w:r>
        <w:rPr>
          <w:rFonts w:hint="eastAsia" w:ascii="方正仿宋简体" w:hAnsi="方正仿宋简体" w:eastAsia="方正仿宋简体" w:cs="方正仿宋简体"/>
          <w:color w:val="auto"/>
          <w:sz w:val="32"/>
          <w:szCs w:val="32"/>
          <w:shd w:val="clear" w:color="auto" w:fill="FFFFFF"/>
          <w:lang w:val="en-US" w:eastAsia="zh-CN"/>
        </w:rPr>
        <w:t>助企纾困专栏</w:t>
      </w:r>
      <w:r>
        <w:rPr>
          <w:rFonts w:hint="eastAsia" w:ascii="方正仿宋简体" w:hAnsi="方正仿宋简体" w:eastAsia="方正仿宋简体" w:cs="方正仿宋简体"/>
          <w:color w:val="auto"/>
          <w:sz w:val="32"/>
          <w:szCs w:val="32"/>
          <w:shd w:val="clear" w:color="auto" w:fill="FFFFFF"/>
          <w:lang w:val="en-US" w:eastAsia="zh-CN"/>
        </w:rPr>
        <w:fldChar w:fldCharType="end"/>
      </w:r>
      <w:r>
        <w:rPr>
          <w:rFonts w:hint="eastAsia" w:ascii="方正仿宋简体" w:hAnsi="方正仿宋简体" w:eastAsia="方正仿宋简体" w:cs="方正仿宋简体"/>
          <w:color w:val="auto"/>
          <w:sz w:val="32"/>
          <w:szCs w:val="32"/>
          <w:shd w:val="clear" w:color="auto" w:fill="FFFFFF"/>
          <w:lang w:val="en-US" w:eastAsia="zh-CN"/>
        </w:rPr>
        <w:t>”等专题专栏</w:t>
      </w:r>
      <w:r>
        <w:rPr>
          <w:rFonts w:hint="eastAsia" w:ascii="Times New Roman [Mono]" w:hAnsi="Times New Roman [Mono]" w:eastAsia="方正仿宋简体" w:cs="Times New Roman [Mono]"/>
          <w:color w:val="auto"/>
          <w:sz w:val="32"/>
          <w:szCs w:val="32"/>
          <w:shd w:val="clear" w:color="auto" w:fill="FFFFFF"/>
          <w:lang w:val="en-US" w:eastAsia="zh-CN"/>
        </w:rPr>
        <w:t>8</w:t>
      </w:r>
      <w:r>
        <w:rPr>
          <w:rFonts w:hint="eastAsia" w:ascii="方正仿宋简体" w:hAnsi="方正仿宋简体" w:eastAsia="方正仿宋简体" w:cs="方正仿宋简体"/>
          <w:color w:val="auto"/>
          <w:sz w:val="32"/>
          <w:szCs w:val="32"/>
          <w:shd w:val="clear" w:color="auto" w:fill="FFFFFF"/>
          <w:lang w:val="en-US" w:eastAsia="zh-CN"/>
        </w:rPr>
        <w:t>个，权威集中发布全市相关政策措施、工作部署、政策解读。制作《益阳简况电子手册（</w:t>
      </w:r>
      <w:r>
        <w:rPr>
          <w:rFonts w:hint="eastAsia" w:ascii="Times New Roman [Mono]" w:hAnsi="Times New Roman [Mono]" w:eastAsia="方正仿宋简体" w:cs="Times New Roman [Mono]"/>
          <w:color w:val="auto"/>
          <w:sz w:val="32"/>
          <w:szCs w:val="32"/>
          <w:shd w:val="clear" w:color="auto" w:fill="FFFFFF"/>
          <w:lang w:val="en-US" w:eastAsia="zh-CN"/>
        </w:rPr>
        <w:t>2023</w:t>
      </w:r>
      <w:r>
        <w:rPr>
          <w:rFonts w:hint="eastAsia" w:ascii="方正仿宋简体" w:hAnsi="方正仿宋简体" w:eastAsia="方正仿宋简体" w:cs="方正仿宋简体"/>
          <w:color w:val="auto"/>
          <w:sz w:val="32"/>
          <w:szCs w:val="32"/>
          <w:shd w:val="clear" w:color="auto" w:fill="FFFFFF"/>
          <w:lang w:val="en-US" w:eastAsia="zh-CN"/>
        </w:rPr>
        <w:t>）》，收录页面</w:t>
      </w:r>
      <w:r>
        <w:rPr>
          <w:rFonts w:hint="eastAsia" w:ascii="Times New Roman [Mono]" w:hAnsi="Times New Roman [Mono]" w:eastAsia="方正仿宋简体" w:cs="Times New Roman [Mono]"/>
          <w:color w:val="auto"/>
          <w:sz w:val="32"/>
          <w:szCs w:val="32"/>
          <w:shd w:val="clear" w:color="auto" w:fill="FFFFFF"/>
          <w:lang w:val="en-US" w:eastAsia="zh-CN"/>
        </w:rPr>
        <w:t>222</w:t>
      </w:r>
      <w:r>
        <w:rPr>
          <w:rFonts w:hint="eastAsia" w:ascii="方正仿宋简体" w:hAnsi="方正仿宋简体" w:eastAsia="方正仿宋简体" w:cs="方正仿宋简体"/>
          <w:color w:val="auto"/>
          <w:sz w:val="32"/>
          <w:szCs w:val="32"/>
          <w:shd w:val="clear" w:color="auto" w:fill="FFFFFF"/>
          <w:lang w:val="en-US" w:eastAsia="zh-CN"/>
        </w:rPr>
        <w:t>个，一键扫码获取全市概况。</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eastAsia="方正仿宋简体"/>
          <w:color w:val="000000" w:themeColor="text1"/>
          <w:sz w:val="32"/>
          <w:szCs w:val="32"/>
          <w14:textFill>
            <w14:solidFill>
              <w14:schemeClr w14:val="tx1"/>
            </w14:solidFill>
          </w14:textFill>
        </w:rPr>
      </w:pPr>
      <w:r>
        <w:rPr>
          <w:rFonts w:ascii="方正楷体简体" w:eastAsia="方正楷体简体"/>
          <w:color w:val="000000" w:themeColor="text1"/>
          <w:sz w:val="32"/>
          <w:szCs w:val="32"/>
          <w14:textFill>
            <w14:solidFill>
              <w14:schemeClr w14:val="tx1"/>
            </w14:solidFill>
          </w14:textFill>
        </w:rPr>
        <w:t>（二）依申请公开情况。</w:t>
      </w:r>
      <w:r>
        <w:rPr>
          <w:rFonts w:hint="eastAsia" w:eastAsia="方正仿宋简体"/>
          <w:color w:val="000000" w:themeColor="text1"/>
          <w:sz w:val="32"/>
          <w:szCs w:val="32"/>
          <w:lang w:eastAsia="zh-CN"/>
          <w14:textFill>
            <w14:solidFill>
              <w14:schemeClr w14:val="tx1"/>
            </w14:solidFill>
          </w14:textFill>
        </w:rPr>
        <w:t>持续规范办理程序</w:t>
      </w:r>
      <w:r>
        <w:rPr>
          <w:rFonts w:hint="default" w:eastAsia="方正仿宋简体"/>
          <w:color w:val="000000" w:themeColor="text1"/>
          <w:sz w:val="32"/>
          <w:szCs w:val="32"/>
          <w:lang w:eastAsia="zh-CN"/>
          <w14:textFill>
            <w14:solidFill>
              <w14:schemeClr w14:val="tx1"/>
            </w14:solidFill>
          </w14:textFill>
        </w:rPr>
        <w:t>，</w:t>
      </w:r>
      <w:r>
        <w:rPr>
          <w:rFonts w:hint="eastAsia" w:eastAsia="方正仿宋简体"/>
          <w:color w:val="000000" w:themeColor="text1"/>
          <w:sz w:val="32"/>
          <w:szCs w:val="32"/>
          <w:lang w:eastAsia="zh-CN"/>
          <w14:textFill>
            <w14:solidFill>
              <w14:schemeClr w14:val="tx1"/>
            </w14:solidFill>
          </w14:textFill>
        </w:rPr>
        <w:t>坚持会商研判制度</w:t>
      </w:r>
      <w:r>
        <w:rPr>
          <w:rFonts w:hint="default" w:eastAsia="方正仿宋简体"/>
          <w:color w:val="000000" w:themeColor="text1"/>
          <w:sz w:val="32"/>
          <w:szCs w:val="32"/>
          <w:lang w:eastAsia="zh-CN"/>
          <w14:textFill>
            <w14:solidFill>
              <w14:schemeClr w14:val="tx1"/>
            </w14:solidFill>
          </w14:textFill>
        </w:rPr>
        <w:t>，</w:t>
      </w:r>
      <w:r>
        <w:rPr>
          <w:rFonts w:hint="eastAsia" w:eastAsia="方正仿宋简体"/>
          <w:color w:val="000000" w:themeColor="text1"/>
          <w:sz w:val="32"/>
          <w:szCs w:val="32"/>
          <w:lang w:eastAsia="zh-CN"/>
          <w14:textFill>
            <w14:solidFill>
              <w14:schemeClr w14:val="tx1"/>
            </w14:solidFill>
          </w14:textFill>
        </w:rPr>
        <w:t>加强分析、总结，切实提升办理效果。全年</w:t>
      </w:r>
      <w:r>
        <w:rPr>
          <w:rFonts w:hint="eastAsia" w:eastAsia="方正仿宋简体"/>
          <w:color w:val="000000" w:themeColor="text1"/>
          <w:sz w:val="32"/>
          <w:szCs w:val="32"/>
          <w14:textFill>
            <w14:solidFill>
              <w14:schemeClr w14:val="tx1"/>
            </w14:solidFill>
          </w14:textFill>
        </w:rPr>
        <w:t>共通过网络平台、信函等方式收到信息公开申请</w:t>
      </w:r>
      <w:r>
        <w:rPr>
          <w:rFonts w:hint="eastAsia" w:eastAsia="方正仿宋简体"/>
          <w:color w:val="000000" w:themeColor="text1"/>
          <w:sz w:val="32"/>
          <w:szCs w:val="32"/>
          <w:lang w:eastAsia="zh-CN"/>
          <w14:textFill>
            <w14:solidFill>
              <w14:schemeClr w14:val="tx1"/>
            </w14:solidFill>
          </w14:textFill>
        </w:rPr>
        <w:t>22</w:t>
      </w:r>
      <w:r>
        <w:rPr>
          <w:rFonts w:hint="eastAsia" w:eastAsia="方正仿宋简体"/>
          <w:color w:val="000000" w:themeColor="text1"/>
          <w:sz w:val="32"/>
          <w:szCs w:val="32"/>
          <w14:textFill>
            <w14:solidFill>
              <w14:schemeClr w14:val="tx1"/>
            </w14:solidFill>
          </w14:textFill>
        </w:rPr>
        <w:t>件，上年结转1件，办理结果为</w:t>
      </w:r>
      <w:r>
        <w:rPr>
          <w:rFonts w:hint="eastAsia" w:eastAsia="方正仿宋简体"/>
          <w:color w:val="000000" w:themeColor="text1"/>
          <w:sz w:val="32"/>
          <w:szCs w:val="32"/>
          <w:lang w:eastAsia="zh-CN"/>
          <w14:textFill>
            <w14:solidFill>
              <w14:schemeClr w14:val="tx1"/>
            </w14:solidFill>
          </w14:textFill>
        </w:rPr>
        <w:t>本机关无法提供</w:t>
      </w:r>
      <w:r>
        <w:rPr>
          <w:rFonts w:hint="eastAsia" w:eastAsia="方正仿宋简体"/>
          <w:color w:val="000000" w:themeColor="text1"/>
          <w:sz w:val="32"/>
          <w:szCs w:val="32"/>
          <w14:textFill>
            <w14:solidFill>
              <w14:schemeClr w14:val="tx1"/>
            </w14:solidFill>
          </w14:textFill>
        </w:rPr>
        <w:t>12件、部分公开8件、公开3件。因信息公开申请被行政复议</w:t>
      </w:r>
      <w:r>
        <w:rPr>
          <w:rFonts w:hint="default" w:eastAsia="方正仿宋简体"/>
          <w:color w:val="000000" w:themeColor="text1"/>
          <w:sz w:val="32"/>
          <w:szCs w:val="32"/>
          <w14:textFill>
            <w14:solidFill>
              <w14:schemeClr w14:val="tx1"/>
            </w14:solidFill>
          </w14:textFill>
        </w:rPr>
        <w:t>1</w:t>
      </w:r>
      <w:r>
        <w:rPr>
          <w:rFonts w:hint="eastAsia" w:eastAsia="方正仿宋简体"/>
          <w:color w:val="000000" w:themeColor="text1"/>
          <w:sz w:val="32"/>
          <w:szCs w:val="32"/>
          <w14:textFill>
            <w14:solidFill>
              <w14:schemeClr w14:val="tx1"/>
            </w14:solidFill>
          </w14:textFill>
        </w:rPr>
        <w:t>次，结果维持答复书1次。因信息公开申请被行政诉讼5次，结果为驳回诉讼请求2次，驳回上诉、维持原判</w:t>
      </w:r>
      <w:r>
        <w:rPr>
          <w:rFonts w:hint="default" w:eastAsia="方正仿宋简体"/>
          <w:color w:val="000000" w:themeColor="text1"/>
          <w:sz w:val="32"/>
          <w:szCs w:val="32"/>
          <w14:textFill>
            <w14:solidFill>
              <w14:schemeClr w14:val="tx1"/>
            </w14:solidFill>
          </w14:textFill>
        </w:rPr>
        <w:t>3</w:t>
      </w:r>
      <w:r>
        <w:rPr>
          <w:rFonts w:hint="eastAsia" w:eastAsia="方正仿宋简体"/>
          <w:color w:val="000000" w:themeColor="text1"/>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eastAsia="方正仿宋简体"/>
          <w:color w:val="000000" w:themeColor="text1"/>
          <w:sz w:val="32"/>
          <w:szCs w:val="32"/>
          <w14:textFill>
            <w14:solidFill>
              <w14:schemeClr w14:val="tx1"/>
            </w14:solidFill>
          </w14:textFill>
        </w:rPr>
      </w:pPr>
      <w:r>
        <w:rPr>
          <w:rFonts w:ascii="方正楷体简体" w:eastAsia="方正楷体简体"/>
          <w:color w:val="000000" w:themeColor="text1"/>
          <w:sz w:val="32"/>
          <w:szCs w:val="32"/>
          <w14:textFill>
            <w14:solidFill>
              <w14:schemeClr w14:val="tx1"/>
            </w14:solidFill>
          </w14:textFill>
        </w:rPr>
        <w:t>（三）政府信息管理情况。</w:t>
      </w:r>
      <w:r>
        <w:rPr>
          <w:rFonts w:hint="eastAsia" w:eastAsia="方正仿宋简体"/>
          <w:color w:val="000000" w:themeColor="text1"/>
          <w:sz w:val="32"/>
          <w:szCs w:val="32"/>
          <w14:textFill>
            <w14:solidFill>
              <w14:schemeClr w14:val="tx1"/>
            </w14:solidFill>
          </w14:textFill>
        </w:rPr>
        <w:t>对省政务公开办下发的</w:t>
      </w:r>
      <w:r>
        <w:rPr>
          <w:rFonts w:hint="eastAsia" w:eastAsia="方正仿宋简体"/>
          <w:color w:val="000000" w:themeColor="text1"/>
          <w:sz w:val="32"/>
          <w:szCs w:val="32"/>
          <w:lang w:eastAsia="zh-CN"/>
          <w14:textFill>
            <w14:solidFill>
              <w14:schemeClr w14:val="tx1"/>
            </w14:solidFill>
          </w14:textFill>
        </w:rPr>
        <w:t>《</w:t>
      </w:r>
      <w:r>
        <w:rPr>
          <w:rFonts w:hint="eastAsia" w:eastAsia="方正仿宋简体"/>
          <w:color w:val="000000" w:themeColor="text1"/>
          <w:sz w:val="32"/>
          <w:szCs w:val="32"/>
          <w:lang w:val="en-US" w:eastAsia="zh-CN"/>
          <w14:textFill>
            <w14:solidFill>
              <w14:schemeClr w14:val="tx1"/>
            </w14:solidFill>
          </w14:textFill>
        </w:rPr>
        <w:t>关于</w:t>
      </w:r>
      <w:r>
        <w:rPr>
          <w:rFonts w:hint="eastAsia" w:eastAsia="方正仿宋简体"/>
          <w:color w:val="000000" w:themeColor="text1"/>
          <w:sz w:val="32"/>
          <w:szCs w:val="32"/>
          <w:lang w:eastAsia="zh-CN"/>
          <w14:textFill>
            <w14:solidFill>
              <w14:schemeClr w14:val="tx1"/>
            </w14:solidFill>
          </w14:textFill>
        </w:rPr>
        <w:t>全省2022年政务公开第三方评估情况的通报》内容</w:t>
      </w:r>
      <w:r>
        <w:rPr>
          <w:rFonts w:hint="eastAsia" w:eastAsia="方正仿宋简体"/>
          <w:color w:val="000000" w:themeColor="text1"/>
          <w:sz w:val="32"/>
          <w:szCs w:val="32"/>
          <w14:textFill>
            <w14:solidFill>
              <w14:schemeClr w14:val="tx1"/>
            </w14:solidFill>
          </w14:textFill>
        </w:rPr>
        <w:t>及时抓好整改落实。</w:t>
      </w:r>
      <w:r>
        <w:rPr>
          <w:rFonts w:hint="default" w:eastAsia="方正仿宋简体"/>
          <w:color w:val="000000" w:themeColor="text1"/>
          <w:sz w:val="32"/>
          <w:szCs w:val="32"/>
          <w14:textFill>
            <w14:solidFill>
              <w14:schemeClr w14:val="tx1"/>
            </w14:solidFill>
          </w14:textFill>
        </w:rPr>
        <w:t>对照</w:t>
      </w:r>
      <w:r>
        <w:rPr>
          <w:rFonts w:hint="eastAsia" w:eastAsia="方正仿宋简体"/>
          <w:color w:val="000000" w:themeColor="text1"/>
          <w:sz w:val="32"/>
          <w:szCs w:val="32"/>
          <w:lang w:eastAsia="zh-CN"/>
          <w14:textFill>
            <w14:solidFill>
              <w14:schemeClr w14:val="tx1"/>
            </w14:solidFill>
          </w14:textFill>
        </w:rPr>
        <w:t>《湖南省政务公开第三方评估指标体系》内容按季</w:t>
      </w:r>
      <w:r>
        <w:rPr>
          <w:rFonts w:hint="eastAsia" w:eastAsia="方正仿宋简体"/>
          <w:color w:val="000000" w:themeColor="text1"/>
          <w:sz w:val="32"/>
          <w:szCs w:val="32"/>
          <w14:textFill>
            <w14:solidFill>
              <w14:schemeClr w14:val="tx1"/>
            </w14:solidFill>
          </w14:textFill>
        </w:rPr>
        <w:t>开展第三方评估自查并督促整改，</w:t>
      </w:r>
      <w:r>
        <w:rPr>
          <w:rFonts w:hint="default" w:eastAsia="方正仿宋简体"/>
          <w:color w:val="000000" w:themeColor="text1"/>
          <w:sz w:val="32"/>
          <w:szCs w:val="32"/>
          <w:lang w:eastAsia="zh-CN"/>
          <w14:textFill>
            <w14:solidFill>
              <w14:schemeClr w14:val="tx1"/>
            </w14:solidFill>
          </w14:textFill>
        </w:rPr>
        <w:t>依据</w:t>
      </w:r>
      <w:r>
        <w:rPr>
          <w:rFonts w:hint="eastAsia" w:eastAsia="方正仿宋简体"/>
          <w:color w:val="000000" w:themeColor="text1"/>
          <w:sz w:val="32"/>
          <w:szCs w:val="32"/>
          <w:lang w:eastAsia="zh-CN"/>
          <w14:textFill>
            <w14:solidFill>
              <w14:schemeClr w14:val="tx1"/>
            </w14:solidFill>
          </w14:textFill>
        </w:rPr>
        <w:t>省定考核指标对全市政府网站与政务新媒体开展季度检查，</w:t>
      </w:r>
      <w:r>
        <w:rPr>
          <w:rFonts w:hint="eastAsia" w:eastAsia="方正仿宋简体"/>
          <w:color w:val="000000" w:themeColor="text1"/>
          <w:sz w:val="32"/>
          <w:szCs w:val="32"/>
          <w14:textFill>
            <w14:solidFill>
              <w14:schemeClr w14:val="tx1"/>
            </w14:solidFill>
          </w14:textFill>
        </w:rPr>
        <w:t>对政务舆情进行监测，坚守不发生政务公开“事故”底线</w:t>
      </w:r>
      <w:r>
        <w:rPr>
          <w:rFonts w:hint="eastAsia" w:eastAsia="方正仿宋简体"/>
          <w:color w:val="000000" w:themeColor="text1"/>
          <w:sz w:val="32"/>
          <w:szCs w:val="32"/>
          <w:lang w:eastAsia="zh-CN"/>
          <w14:textFill>
            <w14:solidFill>
              <w14:schemeClr w14:val="tx1"/>
            </w14:solidFill>
          </w14:textFill>
        </w:rPr>
        <w:t>，全年共排查和处置不规范表述5636处、死链116处、外链123处</w:t>
      </w:r>
      <w:r>
        <w:rPr>
          <w:rFonts w:hint="eastAsia" w:eastAsia="方正仿宋简体"/>
          <w:color w:val="000000" w:themeColor="text1"/>
          <w:sz w:val="32"/>
          <w:szCs w:val="32"/>
          <w14:textFill>
            <w14:solidFill>
              <w14:schemeClr w14:val="tx1"/>
            </w14:solidFill>
          </w14:textFill>
        </w:rPr>
        <w:t>。严格对照《湖南省2023年政务公开第三方评估指标体系》要求，对我市政务公开工作逐项开展自查自纠，并向省政务局报送了《益阳市2023年政务公开工作自评报告》。</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（四）政府信息公开</w:t>
      </w:r>
      <w:r>
        <w:rPr>
          <w:rFonts w:hint="eastAsia" w:ascii="方正楷体简体" w:hAnsi="方正楷体简体" w:eastAsia="方正楷体简体" w:cs="方正楷体简体"/>
          <w:color w:val="auto"/>
          <w:sz w:val="32"/>
          <w:szCs w:val="32"/>
          <w:shd w:val="clear" w:color="auto" w:fill="FFFFFF"/>
        </w:rPr>
        <w:t>平台建设情况。</w:t>
      </w:r>
      <w:r>
        <w:rPr>
          <w:rFonts w:hint="eastAsia" w:ascii="方正仿宋简体" w:hAnsi="方正仿宋简体" w:eastAsia="方正仿宋简体" w:cs="方正仿宋简体"/>
          <w:color w:val="auto"/>
          <w:sz w:val="32"/>
          <w:szCs w:val="32"/>
          <w:shd w:val="clear" w:color="auto" w:fill="FFFFFF"/>
          <w:lang w:val="en-US" w:eastAsia="zh-CN"/>
        </w:rPr>
        <w:t>发挥</w:t>
      </w:r>
      <w:r>
        <w:rPr>
          <w:rFonts w:hint="default" w:ascii="方正仿宋简体" w:hAnsi="方正仿宋简体" w:eastAsia="方正仿宋简体" w:cs="方正仿宋简体"/>
          <w:color w:val="auto"/>
          <w:sz w:val="32"/>
          <w:szCs w:val="32"/>
          <w:shd w:val="clear" w:color="auto" w:fill="FFFFFF"/>
          <w:lang w:eastAsia="zh-CN"/>
        </w:rPr>
        <w:t>线上</w:t>
      </w:r>
      <w:r>
        <w:rPr>
          <w:rFonts w:hint="eastAsia" w:ascii="方正仿宋简体" w:hAnsi="方正仿宋简体" w:eastAsia="方正仿宋简体" w:cs="方正仿宋简体"/>
          <w:color w:val="auto"/>
          <w:sz w:val="32"/>
          <w:szCs w:val="32"/>
          <w:shd w:val="clear" w:color="auto" w:fill="FFFFFF"/>
          <w:lang w:val="en-US" w:eastAsia="zh-CN"/>
        </w:rPr>
        <w:t>政府网站和政务新媒体</w:t>
      </w:r>
      <w:r>
        <w:rPr>
          <w:rFonts w:hint="default" w:ascii="方正仿宋简体" w:hAnsi="方正仿宋简体" w:eastAsia="方正仿宋简体" w:cs="方正仿宋简体"/>
          <w:color w:val="auto"/>
          <w:sz w:val="32"/>
          <w:szCs w:val="32"/>
          <w:shd w:val="clear" w:color="auto" w:fill="FFFFFF"/>
          <w:lang w:eastAsia="zh-CN"/>
        </w:rPr>
        <w:t>、线下政务公开专区的政务</w:t>
      </w:r>
      <w:r>
        <w:rPr>
          <w:rFonts w:hint="eastAsia" w:ascii="方正仿宋简体" w:hAnsi="方正仿宋简体" w:eastAsia="方正仿宋简体" w:cs="方正仿宋简体"/>
          <w:color w:val="auto"/>
          <w:sz w:val="32"/>
          <w:szCs w:val="32"/>
          <w:shd w:val="clear" w:color="auto" w:fill="FFFFFF"/>
          <w:lang w:val="en-US" w:eastAsia="zh-CN"/>
        </w:rPr>
        <w:t>公开</w:t>
      </w:r>
      <w:r>
        <w:rPr>
          <w:rFonts w:hint="default" w:ascii="方正仿宋简体" w:hAnsi="方正仿宋简体" w:eastAsia="方正仿宋简体" w:cs="方正仿宋简体"/>
          <w:color w:val="auto"/>
          <w:sz w:val="32"/>
          <w:szCs w:val="32"/>
          <w:shd w:val="clear" w:color="auto" w:fill="FFFFFF"/>
          <w:lang w:eastAsia="zh-CN"/>
        </w:rPr>
        <w:t>主平台</w:t>
      </w:r>
      <w:r>
        <w:rPr>
          <w:rFonts w:hint="eastAsia" w:ascii="方正仿宋简体" w:hAnsi="方正仿宋简体" w:eastAsia="方正仿宋简体" w:cs="方正仿宋简体"/>
          <w:color w:val="auto"/>
          <w:sz w:val="32"/>
          <w:szCs w:val="32"/>
          <w:shd w:val="clear" w:color="auto" w:fill="FFFFFF"/>
          <w:lang w:val="en-US" w:eastAsia="zh-CN"/>
        </w:rPr>
        <w:t>作用，</w:t>
      </w:r>
      <w:r>
        <w:rPr>
          <w:rFonts w:hint="default" w:ascii="方正仿宋简体" w:hAnsi="方正仿宋简体" w:eastAsia="方正仿宋简体" w:cs="方正仿宋简体"/>
          <w:b w:val="0"/>
          <w:bCs w:val="0"/>
          <w:color w:val="auto"/>
          <w:sz w:val="32"/>
          <w:szCs w:val="32"/>
          <w:shd w:val="clear" w:color="auto" w:fill="FFFFFF"/>
        </w:rPr>
        <w:t>做好</w:t>
      </w:r>
      <w:r>
        <w:rPr>
          <w:rFonts w:hint="default" w:eastAsia="方正仿宋简体"/>
          <w:color w:val="000000" w:themeColor="text1"/>
          <w:sz w:val="32"/>
          <w:szCs w:val="32"/>
          <w:lang w:eastAsia="zh-CN"/>
          <w14:textFill>
            <w14:solidFill>
              <w14:schemeClr w14:val="tx1"/>
            </w14:solidFill>
          </w14:textFill>
        </w:rPr>
        <w:t>市政府门户</w:t>
      </w:r>
      <w:r>
        <w:rPr>
          <w:rFonts w:hint="eastAsia" w:eastAsia="方正仿宋简体"/>
          <w:color w:val="000000" w:themeColor="text1"/>
          <w:sz w:val="32"/>
          <w:szCs w:val="32"/>
          <w:lang w:eastAsia="zh-CN"/>
          <w14:textFill>
            <w14:solidFill>
              <w14:schemeClr w14:val="tx1"/>
            </w14:solidFill>
          </w14:textFill>
        </w:rPr>
        <w:t>网站</w:t>
      </w:r>
      <w:r>
        <w:rPr>
          <w:rFonts w:hint="default" w:ascii="方正仿宋简体" w:hAnsi="方正仿宋简体" w:eastAsia="方正仿宋简体" w:cs="方正仿宋简体"/>
          <w:b w:val="0"/>
          <w:bCs w:val="0"/>
          <w:color w:val="auto"/>
          <w:sz w:val="32"/>
          <w:szCs w:val="32"/>
          <w:shd w:val="clear" w:color="auto" w:fill="FFFFFF"/>
        </w:rPr>
        <w:t>信息公开专栏、</w:t>
      </w:r>
      <w:r>
        <w:rPr>
          <w:rFonts w:hint="default" w:ascii="Times New Roman" w:hAnsi="Times New Roman" w:eastAsia="方正仿宋简体" w:cs="Times New Roman"/>
          <w:color w:val="auto"/>
          <w:sz w:val="32"/>
          <w:szCs w:val="32"/>
          <w:shd w:val="clear" w:color="auto" w:fill="FFFFFF"/>
        </w:rPr>
        <w:t>基层政务公开平台和</w:t>
      </w:r>
      <w:r>
        <w:rPr>
          <w:rFonts w:hint="default" w:ascii="方正仿宋简体" w:hAnsi="方正仿宋简体" w:eastAsia="方正仿宋简体" w:cs="方正仿宋简体"/>
          <w:color w:val="auto"/>
          <w:sz w:val="32"/>
          <w:szCs w:val="32"/>
          <w:shd w:val="clear" w:color="auto" w:fill="FFFFFF"/>
        </w:rPr>
        <w:t>市民服务中心政务公开专区的运维工作。积极主动与市直相关部门衔接，建立了市民服务中心政务公开专区聘请人员的管理和薪资长效机制</w:t>
      </w:r>
      <w:r>
        <w:rPr>
          <w:rFonts w:hint="eastAsia" w:ascii="方正仿宋简体" w:hAnsi="方正仿宋简体" w:eastAsia="方正仿宋简体" w:cs="方正仿宋简体"/>
          <w:color w:val="auto"/>
          <w:sz w:val="32"/>
          <w:szCs w:val="32"/>
          <w:shd w:val="clear" w:color="auto" w:fill="FFFFFF"/>
        </w:rPr>
        <w:t>。</w:t>
      </w:r>
      <w:r>
        <w:rPr>
          <w:rFonts w:hint="eastAsia" w:eastAsia="方正仿宋简体"/>
          <w:color w:val="000000" w:themeColor="text1"/>
          <w:sz w:val="32"/>
          <w:szCs w:val="32"/>
          <w:lang w:eastAsia="zh-CN"/>
          <w14:textFill>
            <w14:solidFill>
              <w14:schemeClr w14:val="tx1"/>
            </w14:solidFill>
          </w14:textFill>
        </w:rPr>
        <w:t>对</w:t>
      </w:r>
      <w:r>
        <w:rPr>
          <w:rFonts w:hint="default" w:eastAsia="方正仿宋简体"/>
          <w:color w:val="000000" w:themeColor="text1"/>
          <w:sz w:val="32"/>
          <w:szCs w:val="32"/>
          <w:lang w:eastAsia="zh-CN"/>
          <w14:textFill>
            <w14:solidFill>
              <w14:schemeClr w14:val="tx1"/>
            </w14:solidFill>
          </w14:textFill>
        </w:rPr>
        <w:t>市政府门户</w:t>
      </w:r>
      <w:r>
        <w:rPr>
          <w:rFonts w:hint="eastAsia" w:eastAsia="方正仿宋简体"/>
          <w:color w:val="000000" w:themeColor="text1"/>
          <w:sz w:val="32"/>
          <w:szCs w:val="32"/>
          <w:lang w:eastAsia="zh-CN"/>
          <w14:textFill>
            <w14:solidFill>
              <w14:schemeClr w14:val="tx1"/>
            </w14:solidFill>
          </w14:textFill>
        </w:rPr>
        <w:t>网站</w:t>
      </w:r>
      <w:r>
        <w:rPr>
          <w:rFonts w:hint="default" w:eastAsia="方正仿宋简体"/>
          <w:color w:val="000000" w:themeColor="text1"/>
          <w:sz w:val="32"/>
          <w:szCs w:val="32"/>
          <w:lang w:eastAsia="zh-CN"/>
          <w14:textFill>
            <w14:solidFill>
              <w14:schemeClr w14:val="tx1"/>
            </w14:solidFill>
          </w14:textFill>
        </w:rPr>
        <w:t>实施</w:t>
      </w:r>
      <w:r>
        <w:rPr>
          <w:rFonts w:hint="eastAsia" w:eastAsia="方正仿宋简体"/>
          <w:color w:val="000000" w:themeColor="text1"/>
          <w:sz w:val="32"/>
          <w:szCs w:val="32"/>
          <w:lang w:eastAsia="zh-CN"/>
          <w14:textFill>
            <w14:solidFill>
              <w14:schemeClr w14:val="tx1"/>
            </w14:solidFill>
          </w14:textFill>
        </w:rPr>
        <w:t>了改版及适老化改造，着力改善网民使用体验。新申办了以</w:t>
      </w:r>
      <w:bookmarkStart w:id="0" w:name="_GoBack"/>
      <w:bookmarkEnd w:id="0"/>
      <w:r>
        <w:rPr>
          <w:rFonts w:hint="eastAsia" w:eastAsia="方正仿宋简体"/>
          <w:color w:val="000000" w:themeColor="text1"/>
          <w:sz w:val="32"/>
          <w:szCs w:val="32"/>
          <w:lang w:eastAsia="zh-CN"/>
          <w14:textFill>
            <w14:solidFill>
              <w14:schemeClr w14:val="tx1"/>
            </w14:solidFill>
          </w14:textFill>
        </w:rPr>
        <w:t>市</w:t>
      </w:r>
      <w:r>
        <w:rPr>
          <w:rFonts w:hint="default" w:eastAsia="方正仿宋简体"/>
          <w:color w:val="000000" w:themeColor="text1"/>
          <w:sz w:val="32"/>
          <w:szCs w:val="32"/>
          <w:lang w:eastAsia="zh-CN"/>
          <w14:textFill>
            <w14:solidFill>
              <w14:schemeClr w14:val="tx1"/>
            </w14:solidFill>
          </w14:textFill>
        </w:rPr>
        <w:t>人民政府办公室</w:t>
      </w:r>
      <w:r>
        <w:rPr>
          <w:rFonts w:hint="eastAsia" w:eastAsia="方正仿宋简体"/>
          <w:color w:val="000000" w:themeColor="text1"/>
          <w:sz w:val="32"/>
          <w:szCs w:val="32"/>
          <w:lang w:eastAsia="zh-CN"/>
          <w14:textFill>
            <w14:solidFill>
              <w14:schemeClr w14:val="tx1"/>
            </w14:solidFill>
          </w14:textFill>
        </w:rPr>
        <w:t>为主体的微信订阅号“益阳市人民政府网”，公众号主体更官方、功能定位更清晰、内容触达更及时。</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方正仿宋简体" w:hAnsi="方正仿宋简体" w:eastAsia="方正仿宋简体" w:cs="方正仿宋简体"/>
          <w:color w:val="auto"/>
          <w:sz w:val="32"/>
          <w:szCs w:val="32"/>
          <w:shd w:val="clear" w:color="auto" w:fill="FFFFFF"/>
        </w:rPr>
      </w:pPr>
      <w:r>
        <w:rPr>
          <w:rFonts w:ascii="方正楷体简体" w:eastAsia="方正楷体简体"/>
          <w:color w:val="000000" w:themeColor="text1"/>
          <w:sz w:val="32"/>
          <w:szCs w:val="32"/>
          <w14:textFill>
            <w14:solidFill>
              <w14:schemeClr w14:val="tx1"/>
            </w14:solidFill>
          </w14:textFill>
        </w:rPr>
        <w:t>（五）监督保障情况。</w:t>
      </w:r>
      <w:r>
        <w:rPr>
          <w:rFonts w:hint="default" w:ascii="方正仿宋简体" w:hAnsi="方正仿宋简体" w:eastAsia="方正仿宋简体" w:cs="方正仿宋简体"/>
          <w:color w:val="auto"/>
          <w:sz w:val="32"/>
          <w:szCs w:val="32"/>
          <w:shd w:val="clear" w:color="auto" w:fill="FFFFFF"/>
        </w:rPr>
        <w:t>市人民政府相关领导先后多次就全市政务公开工作作出批示。市人民政府办公室先后五次召开党组会议，专题研究政务公开工作，从组织和经费方面加强对政务公开工作的保障</w:t>
      </w:r>
      <w:r>
        <w:rPr>
          <w:rFonts w:hint="eastAsia" w:ascii="方正仿宋简体" w:hAnsi="方正仿宋简体" w:eastAsia="方正仿宋简体" w:cs="方正仿宋简体"/>
          <w:color w:val="auto"/>
          <w:sz w:val="32"/>
          <w:szCs w:val="32"/>
          <w:shd w:val="clear" w:color="auto" w:fill="FFFFFF"/>
        </w:rPr>
        <w:t>。制定</w:t>
      </w:r>
      <w:r>
        <w:rPr>
          <w:rFonts w:hint="default" w:ascii="方正仿宋简体" w:hAnsi="方正仿宋简体" w:eastAsia="方正仿宋简体" w:cs="方正仿宋简体"/>
          <w:color w:val="auto"/>
          <w:sz w:val="32"/>
          <w:szCs w:val="32"/>
          <w:shd w:val="clear" w:color="auto" w:fill="FFFFFF"/>
        </w:rPr>
        <w:t>印发</w:t>
      </w:r>
      <w:r>
        <w:rPr>
          <w:rFonts w:hint="eastAsia" w:ascii="方正仿宋简体" w:hAnsi="方正仿宋简体" w:eastAsia="方正仿宋简体" w:cs="方正仿宋简体"/>
          <w:color w:val="auto"/>
          <w:sz w:val="32"/>
          <w:szCs w:val="32"/>
          <w:shd w:val="clear" w:color="auto" w:fill="FFFFFF"/>
        </w:rPr>
        <w:t>《益阳市</w:t>
      </w:r>
      <w:r>
        <w:rPr>
          <w:rFonts w:hint="default" w:ascii="Times New Roman [Mono]" w:hAnsi="Times New Roman [Mono]" w:eastAsia="方正仿宋简体" w:cs="Times New Roman [Mono]"/>
          <w:color w:val="auto"/>
          <w:sz w:val="32"/>
          <w:szCs w:val="32"/>
          <w:shd w:val="clear" w:color="auto" w:fill="FFFFFF"/>
        </w:rPr>
        <w:t>2023年政务公开工作要点》并跟踪督促落实，将政务公开工作纳入年度绩效考核体系，不断加强考核结果运用。</w:t>
      </w:r>
      <w:r>
        <w:rPr>
          <w:rFonts w:hint="default" w:ascii="Times New Roman [Mono]" w:hAnsi="Times New Roman [Mono]" w:eastAsia="方正仿宋简体" w:cs="Times New Roman [Mono]"/>
          <w:color w:val="auto"/>
          <w:sz w:val="32"/>
          <w:szCs w:val="32"/>
          <w:shd w:val="clear" w:color="auto" w:fill="FFFFFF"/>
          <w:lang w:val="en-US" w:eastAsia="zh-CN"/>
        </w:rPr>
        <w:t>组织开展全市政务公开</w:t>
      </w:r>
      <w:r>
        <w:rPr>
          <w:rFonts w:hint="eastAsia" w:eastAsia="方正仿宋简体"/>
          <w:color w:val="000000" w:themeColor="text1"/>
          <w:sz w:val="32"/>
          <w:szCs w:val="32"/>
          <w14:textFill>
            <w14:solidFill>
              <w14:schemeClr w14:val="tx1"/>
            </w14:solidFill>
          </w14:textFill>
        </w:rPr>
        <w:t>第三方评估自查并督促整改</w:t>
      </w:r>
      <w:r>
        <w:rPr>
          <w:rFonts w:hint="default" w:eastAsia="方正仿宋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auto"/>
          <w:sz w:val="32"/>
          <w:szCs w:val="32"/>
          <w:shd w:val="clear" w:color="auto" w:fill="FFFFFF"/>
        </w:rPr>
        <w:t>建立健全日常指导与集中培训相结合的学习培训制度，对市直单位建立了政务公开工作人员跟班学习制度，组织开展了全市政务公开业务集中培训活动。</w:t>
      </w:r>
    </w:p>
    <w:p>
      <w:pPr>
        <w:spacing w:line="620" w:lineRule="exact"/>
        <w:ind w:firstLine="640" w:firstLineChars="200"/>
        <w:jc w:val="left"/>
        <w:rPr>
          <w:rFonts w:ascii="黑体" w:hAnsi="黑体" w:eastAsia="黑体"/>
          <w:sz w:val="32"/>
          <w:szCs w:val="32"/>
        </w:rPr>
      </w:pPr>
      <w:r>
        <w:rPr>
          <w:rFonts w:ascii="黑体" w:hAnsi="黑体" w:eastAsia="黑体"/>
          <w:sz w:val="32"/>
          <w:szCs w:val="32"/>
        </w:rPr>
        <w:t>二、主动公开政府信息情况</w:t>
      </w:r>
    </w:p>
    <w:tbl>
      <w:tblPr>
        <w:tblStyle w:val="5"/>
        <w:tblW w:w="9291"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323"/>
        <w:gridCol w:w="2323"/>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1" w:type="dxa"/>
            <w:gridSpan w:val="4"/>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22" w:type="dxa"/>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信息内容</w:t>
            </w:r>
          </w:p>
        </w:tc>
        <w:tc>
          <w:tcPr>
            <w:tcW w:w="2323" w:type="dxa"/>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本年制发件数</w:t>
            </w:r>
          </w:p>
        </w:tc>
        <w:tc>
          <w:tcPr>
            <w:tcW w:w="2323" w:type="dxa"/>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本年废止件数</w:t>
            </w:r>
          </w:p>
        </w:tc>
        <w:tc>
          <w:tcPr>
            <w:tcW w:w="2323" w:type="dxa"/>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2" w:type="dxa"/>
            <w:noWrap w:val="0"/>
            <w:vAlign w:val="center"/>
          </w:tcPr>
          <w:p>
            <w:pPr>
              <w:overflowPunct w:val="0"/>
              <w:spacing w:line="360" w:lineRule="exact"/>
              <w:jc w:val="left"/>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规章</w:t>
            </w:r>
          </w:p>
        </w:tc>
        <w:tc>
          <w:tcPr>
            <w:tcW w:w="2323" w:type="dxa"/>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1</w:t>
            </w:r>
          </w:p>
        </w:tc>
        <w:tc>
          <w:tcPr>
            <w:tcW w:w="2323" w:type="dxa"/>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0</w:t>
            </w:r>
          </w:p>
        </w:tc>
        <w:tc>
          <w:tcPr>
            <w:tcW w:w="2323" w:type="dxa"/>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22" w:type="dxa"/>
            <w:noWrap w:val="0"/>
            <w:vAlign w:val="center"/>
          </w:tcPr>
          <w:p>
            <w:pPr>
              <w:overflowPunct w:val="0"/>
              <w:spacing w:line="360" w:lineRule="exact"/>
              <w:jc w:val="left"/>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行政规范性文件</w:t>
            </w:r>
          </w:p>
        </w:tc>
        <w:tc>
          <w:tcPr>
            <w:tcW w:w="2323" w:type="dxa"/>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27</w:t>
            </w:r>
          </w:p>
        </w:tc>
        <w:tc>
          <w:tcPr>
            <w:tcW w:w="2323" w:type="dxa"/>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91</w:t>
            </w:r>
          </w:p>
        </w:tc>
        <w:tc>
          <w:tcPr>
            <w:tcW w:w="2323" w:type="dxa"/>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auto"/>
                <w:sz w:val="24"/>
                <w:lang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1" w:type="dxa"/>
            <w:gridSpan w:val="4"/>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22" w:type="dxa"/>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信息内容</w:t>
            </w:r>
          </w:p>
        </w:tc>
        <w:tc>
          <w:tcPr>
            <w:tcW w:w="6969" w:type="dxa"/>
            <w:gridSpan w:val="3"/>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2" w:type="dxa"/>
            <w:noWrap w:val="0"/>
            <w:vAlign w:val="center"/>
          </w:tcPr>
          <w:p>
            <w:pPr>
              <w:overflowPunct w:val="0"/>
              <w:spacing w:line="360" w:lineRule="exact"/>
              <w:jc w:val="left"/>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行政许可</w:t>
            </w:r>
          </w:p>
        </w:tc>
        <w:tc>
          <w:tcPr>
            <w:tcW w:w="6969" w:type="dxa"/>
            <w:gridSpan w:val="3"/>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91" w:type="dxa"/>
            <w:gridSpan w:val="4"/>
            <w:noWrap w:val="0"/>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2" w:type="dxa"/>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信息内容</w:t>
            </w:r>
          </w:p>
        </w:tc>
        <w:tc>
          <w:tcPr>
            <w:tcW w:w="6969" w:type="dxa"/>
            <w:gridSpan w:val="3"/>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22" w:type="dxa"/>
            <w:noWrap w:val="0"/>
            <w:vAlign w:val="center"/>
          </w:tcPr>
          <w:p>
            <w:pPr>
              <w:overflowPunct w:val="0"/>
              <w:spacing w:line="360" w:lineRule="exact"/>
              <w:jc w:val="left"/>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行政处罚</w:t>
            </w:r>
          </w:p>
        </w:tc>
        <w:tc>
          <w:tcPr>
            <w:tcW w:w="6969" w:type="dxa"/>
            <w:gridSpan w:val="3"/>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2" w:type="dxa"/>
            <w:noWrap w:val="0"/>
            <w:vAlign w:val="center"/>
          </w:tcPr>
          <w:p>
            <w:pPr>
              <w:overflowPunct w:val="0"/>
              <w:spacing w:line="360" w:lineRule="exact"/>
              <w:jc w:val="left"/>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行政强制</w:t>
            </w:r>
          </w:p>
        </w:tc>
        <w:tc>
          <w:tcPr>
            <w:tcW w:w="6969" w:type="dxa"/>
            <w:gridSpan w:val="3"/>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91" w:type="dxa"/>
            <w:gridSpan w:val="4"/>
            <w:noWrap w:val="0"/>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2" w:type="dxa"/>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信息内容</w:t>
            </w:r>
          </w:p>
        </w:tc>
        <w:tc>
          <w:tcPr>
            <w:tcW w:w="6969" w:type="dxa"/>
            <w:gridSpan w:val="3"/>
            <w:noWrap w:val="0"/>
            <w:vAlign w:val="center"/>
          </w:tcPr>
          <w:p>
            <w:pPr>
              <w:overflowPunct w:val="0"/>
              <w:spacing w:line="360" w:lineRule="exact"/>
              <w:jc w:val="center"/>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22" w:type="dxa"/>
            <w:noWrap w:val="0"/>
            <w:vAlign w:val="center"/>
          </w:tcPr>
          <w:p>
            <w:pPr>
              <w:overflowPunct w:val="0"/>
              <w:spacing w:line="360" w:lineRule="exact"/>
              <w:jc w:val="left"/>
              <w:rPr>
                <w:rFonts w:hint="eastAsia" w:ascii="Times New Roman" w:hAnsi="Times New Roman" w:eastAsia="方正仿宋简体" w:cs="Times New Roman"/>
                <w:color w:val="000000"/>
                <w:sz w:val="24"/>
                <w:lang w:val="en-US" w:eastAsia="zh-CN"/>
              </w:rPr>
            </w:pPr>
            <w:r>
              <w:rPr>
                <w:rFonts w:hint="eastAsia" w:ascii="Times New Roman" w:hAnsi="Times New Roman" w:eastAsia="方正仿宋简体" w:cs="Times New Roman"/>
                <w:color w:val="000000"/>
                <w:sz w:val="24"/>
                <w:lang w:val="en-US" w:eastAsia="zh-CN"/>
              </w:rPr>
              <w:t>行政事业性收费</w:t>
            </w:r>
          </w:p>
        </w:tc>
        <w:tc>
          <w:tcPr>
            <w:tcW w:w="6969" w:type="dxa"/>
            <w:gridSpan w:val="3"/>
            <w:noWrap w:val="0"/>
            <w:vAlign w:val="center"/>
          </w:tcPr>
          <w:p>
            <w:pPr>
              <w:overflowPunct w:val="0"/>
              <w:spacing w:line="36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color w:val="000000"/>
                <w:sz w:val="24"/>
                <w:lang w:eastAsia="zh-CN"/>
              </w:rPr>
              <w:t>0</w:t>
            </w:r>
          </w:p>
        </w:tc>
      </w:tr>
    </w:tbl>
    <w:p>
      <w:pPr>
        <w:ind w:firstLine="640" w:firstLineChars="200"/>
        <w:jc w:val="left"/>
        <w:rPr>
          <w:rFonts w:ascii="黑体" w:hAnsi="黑体" w:eastAsia="黑体"/>
          <w:sz w:val="32"/>
          <w:szCs w:val="32"/>
        </w:rPr>
      </w:pPr>
      <w:r>
        <w:rPr>
          <w:rFonts w:hint="eastAsia" w:ascii="黑体" w:hAnsi="黑体" w:eastAsia="黑体"/>
          <w:sz w:val="32"/>
          <w:szCs w:val="32"/>
        </w:rPr>
        <w:t>三、收到和处理政府信息公开申请情况</w:t>
      </w:r>
    </w:p>
    <w:tbl>
      <w:tblPr>
        <w:tblStyle w:val="5"/>
        <w:tblW w:w="923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7"/>
        <w:gridCol w:w="893"/>
        <w:gridCol w:w="3052"/>
        <w:gridCol w:w="651"/>
        <w:gridCol w:w="651"/>
        <w:gridCol w:w="651"/>
        <w:gridCol w:w="651"/>
        <w:gridCol w:w="651"/>
        <w:gridCol w:w="657"/>
        <w:gridCol w:w="6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672"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（本列数据的勾稽关系为：第一项加第二项之和，等于第三项加第四项之和）</w:t>
            </w:r>
          </w:p>
        </w:tc>
        <w:tc>
          <w:tcPr>
            <w:tcW w:w="456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672"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651" w:type="dxa"/>
            <w:vMerge w:val="restart"/>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自然人</w:t>
            </w:r>
          </w:p>
        </w:tc>
        <w:tc>
          <w:tcPr>
            <w:tcW w:w="326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法人或其他组织</w:t>
            </w:r>
          </w:p>
        </w:tc>
        <w:tc>
          <w:tcPr>
            <w:tcW w:w="655"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672" w:type="dxa"/>
            <w:gridSpan w:val="3"/>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651" w:type="dxa"/>
            <w:vMerge w:val="continue"/>
            <w:tcBorders>
              <w:top w:val="nil"/>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651" w:type="dxa"/>
            <w:tcBorders>
              <w:top w:val="nil"/>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商业</w:t>
            </w:r>
          </w:p>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企业</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科研</w:t>
            </w:r>
          </w:p>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机构</w:t>
            </w:r>
          </w:p>
        </w:tc>
        <w:tc>
          <w:tcPr>
            <w:tcW w:w="651" w:type="dxa"/>
            <w:tcBorders>
              <w:top w:val="single" w:color="auto" w:sz="8"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社会公益组织</w:t>
            </w:r>
          </w:p>
        </w:tc>
        <w:tc>
          <w:tcPr>
            <w:tcW w:w="651" w:type="dxa"/>
            <w:tcBorders>
              <w:top w:val="single" w:color="auto" w:sz="8"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法律服务机构</w:t>
            </w:r>
          </w:p>
        </w:tc>
        <w:tc>
          <w:tcPr>
            <w:tcW w:w="657" w:type="dxa"/>
            <w:tcBorders>
              <w:top w:val="single" w:color="auto" w:sz="8"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其他</w:t>
            </w:r>
          </w:p>
        </w:tc>
        <w:tc>
          <w:tcPr>
            <w:tcW w:w="655" w:type="dxa"/>
            <w:vMerge w:val="continue"/>
            <w:tcBorders>
              <w:top w:val="single" w:color="auto" w:sz="8"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4672" w:type="dxa"/>
            <w:gridSpan w:val="3"/>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一、本年新收政府信息公开申请数量</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eastAsia="方正仿宋简体" w:cs="Times New Roman"/>
                <w:sz w:val="24"/>
              </w:rPr>
              <w:t>22</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sz w:val="24"/>
              </w:rPr>
              <w:t>0</w:t>
            </w:r>
          </w:p>
        </w:tc>
        <w:tc>
          <w:tcPr>
            <w:tcW w:w="655"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eastAsia="方正仿宋简体" w:cs="Times New Roman"/>
                <w:sz w:val="24"/>
              </w:rPr>
              <w:t>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672" w:type="dxa"/>
            <w:gridSpan w:val="3"/>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二、上年结转政府信息公开申请数量</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eastAsia="方正仿宋简体" w:cs="Times New Roman"/>
                <w:sz w:val="24"/>
              </w:rPr>
              <w:t>1</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rPr>
            </w:pPr>
            <w:r>
              <w:rPr>
                <w:rFonts w:hint="default" w:ascii="Times New Roman" w:hAnsi="Times New Roman" w:eastAsia="方正仿宋简体" w:cs="Times New Roman"/>
                <w:sz w:val="24"/>
              </w:rPr>
              <w:t>0</w:t>
            </w:r>
          </w:p>
        </w:tc>
        <w:tc>
          <w:tcPr>
            <w:tcW w:w="657"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sz w:val="24"/>
              </w:rPr>
              <w:t>0</w:t>
            </w:r>
          </w:p>
        </w:tc>
        <w:tc>
          <w:tcPr>
            <w:tcW w:w="655"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rPr>
            </w:pPr>
            <w:r>
              <w:rPr>
                <w:rFonts w:hint="default" w:eastAsia="方正仿宋简体" w:cs="Times New Roman"/>
                <w:sz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restart"/>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三、本年度办理结果</w:t>
            </w:r>
          </w:p>
        </w:tc>
        <w:tc>
          <w:tcPr>
            <w:tcW w:w="3945" w:type="dxa"/>
            <w:gridSpan w:val="2"/>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（一）予以公开</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3</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single" w:color="auto" w:sz="4" w:space="0"/>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945" w:type="dxa"/>
            <w:gridSpan w:val="2"/>
            <w:tcBorders>
              <w:top w:val="single" w:color="auto" w:sz="4" w:space="0"/>
              <w:left w:val="nil"/>
              <w:bottom w:val="single"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（二）部分公开（区分处理的，只计这一情形，不计其他情形）</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8</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0</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restart"/>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（三）不予公开</w:t>
            </w: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1.属于国家秘密</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single" w:color="auto" w:sz="8"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2.其他法律行政法规禁止公开</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3.危及“三安全一稳定”</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4.保护第三方合法权益</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5.属于三类内部事务信息</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6.属于四类过程性信息</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7.属于行政执法案卷</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8.属于行政查询事项</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restart"/>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（四）无法提供</w:t>
            </w: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1.本机关不掌握相关政府信息</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1</w:t>
            </w:r>
            <w:r>
              <w:rPr>
                <w:rFonts w:hint="default" w:eastAsia="方正仿宋简体" w:cs="Times New Roman"/>
                <w:sz w:val="24"/>
              </w:rPr>
              <w:t>2</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1</w:t>
            </w:r>
            <w:r>
              <w:rPr>
                <w:rFonts w:hint="default" w:eastAsia="方正仿宋简体" w:cs="Times New Roman"/>
                <w:sz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2.没有现成信息需要另行制作</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nil"/>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3.补正后申请内容仍不明确</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restart"/>
            <w:tcBorders>
              <w:top w:val="nil"/>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（五）不予处理</w:t>
            </w: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1.信访举报投诉类申请</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2.重复申请</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eastAsia="zh-CN"/>
              </w:rPr>
            </w:pPr>
            <w:r>
              <w:rPr>
                <w:rFonts w:hint="default"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3.要求提供公开出版物</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4" w:space="0"/>
              <w:right w:val="single" w:color="auto" w:sz="8" w:space="0"/>
            </w:tcBorders>
            <w:noWrap w:val="0"/>
            <w:tcMar>
              <w:left w:w="57" w:type="dxa"/>
              <w:right w:w="57" w:type="dxa"/>
            </w:tcMar>
            <w:vAlign w:val="top"/>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4.无正当理由大量反复申请</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single" w:color="auto" w:sz="4" w:space="0"/>
              <w:left w:val="nil"/>
              <w:bottom w:val="outset"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5.要求行政机关确认或重新出具已获取信息</w:t>
            </w:r>
          </w:p>
        </w:tc>
        <w:tc>
          <w:tcPr>
            <w:tcW w:w="651" w:type="dxa"/>
            <w:tcBorders>
              <w:top w:val="single" w:color="auto" w:sz="4" w:space="0"/>
              <w:left w:val="nil"/>
              <w:bottom w:val="outset"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outset"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outset"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outset"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single" w:color="auto" w:sz="4" w:space="0"/>
              <w:left w:val="nil"/>
              <w:bottom w:val="outset"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single" w:color="auto" w:sz="4" w:space="0"/>
              <w:left w:val="nil"/>
              <w:bottom w:val="outset"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single" w:color="auto" w:sz="4" w:space="0"/>
              <w:left w:val="nil"/>
              <w:bottom w:val="outset"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restart"/>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（六）其他处理</w:t>
            </w:r>
          </w:p>
        </w:tc>
        <w:tc>
          <w:tcPr>
            <w:tcW w:w="3052"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1.申请人无正当理由逾期不补正、行政机关不再处理其政府信息公开申请</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2.申请人逾期未按收费通知要求缴纳费用、行政机关不再处理其政府信息公开申请</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color w:val="000000"/>
                <w:sz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893" w:type="dxa"/>
            <w:vMerge w:val="continue"/>
            <w:tcBorders>
              <w:top w:val="single" w:color="auto" w:sz="4" w:space="0"/>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052" w:type="dxa"/>
            <w:tcBorders>
              <w:top w:val="nil"/>
              <w:left w:val="nil"/>
              <w:bottom w:val="single" w:color="auto" w:sz="8"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3.其他</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1"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7"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c>
          <w:tcPr>
            <w:tcW w:w="655" w:type="dxa"/>
            <w:tcBorders>
              <w:top w:val="nil"/>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eastAsia="方正仿宋简体" w:cs="Times New Roman"/>
                <w:color w:val="000000"/>
                <w:sz w:val="24"/>
                <w:lang w:val="en-US" w:eastAsia="zh-CN"/>
              </w:rPr>
            </w:pPr>
            <w:r>
              <w:rPr>
                <w:rFonts w:hint="default" w:ascii="Times New Roman" w:hAnsi="Times New Roman" w:eastAsia="方正仿宋简体" w:cs="Times New Roman"/>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7" w:type="dxa"/>
            <w:vMerge w:val="continue"/>
            <w:tcBorders>
              <w:top w:val="single" w:color="auto" w:sz="4" w:space="0"/>
              <w:left w:val="single" w:color="auto" w:sz="8" w:space="0"/>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p>
        </w:tc>
        <w:tc>
          <w:tcPr>
            <w:tcW w:w="3945" w:type="dxa"/>
            <w:gridSpan w:val="2"/>
            <w:tcBorders>
              <w:top w:val="nil"/>
              <w:left w:val="nil"/>
              <w:bottom w:val="single" w:color="auto" w:sz="4" w:space="0"/>
              <w:right w:val="single" w:color="auto" w:sz="8" w:space="0"/>
            </w:tcBorders>
            <w:noWrap w:val="0"/>
            <w:tcMar>
              <w:left w:w="57" w:type="dxa"/>
              <w:right w:w="57" w:type="dxa"/>
            </w:tcMar>
            <w:vAlign w:val="center"/>
          </w:tcPr>
          <w:p>
            <w:pPr>
              <w:overflowPunct w:val="0"/>
              <w:spacing w:line="360" w:lineRule="exact"/>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lang w:val="en-US" w:eastAsia="zh-CN"/>
              </w:rPr>
              <w:t>（七）总计</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eastAsia="zh-CN" w:bidi="ar-SA"/>
              </w:rPr>
            </w:pPr>
            <w:r>
              <w:rPr>
                <w:rFonts w:hint="default" w:eastAsia="方正仿宋简体" w:cs="Times New Roman"/>
                <w:sz w:val="24"/>
              </w:rPr>
              <w:t>23</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eastAsia="zh-CN" w:bidi="ar-SA"/>
              </w:rPr>
            </w:pPr>
            <w:r>
              <w:rPr>
                <w:rFonts w:hint="default" w:eastAsia="方正仿宋简体" w:cs="Times New Roman"/>
                <w:sz w:val="24"/>
              </w:rPr>
              <w:t>0</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1"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7"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5" w:type="dxa"/>
            <w:tcBorders>
              <w:top w:val="nil"/>
              <w:left w:val="nil"/>
              <w:bottom w:val="single" w:color="auto" w:sz="4"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eastAsia="zh-CN" w:bidi="ar-SA"/>
              </w:rPr>
            </w:pPr>
            <w:r>
              <w:rPr>
                <w:rFonts w:hint="default" w:eastAsia="方正仿宋简体" w:cs="Times New Roman"/>
                <w:sz w:val="24"/>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672" w:type="dxa"/>
            <w:gridSpan w:val="3"/>
            <w:tcBorders>
              <w:top w:val="single" w:color="auto" w:sz="4"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eastAsia="zh-CN" w:bidi="ar-SA"/>
              </w:rPr>
            </w:pPr>
            <w:r>
              <w:rPr>
                <w:rFonts w:hint="default" w:eastAsia="方正仿宋简体" w:cs="Times New Roman"/>
                <w:sz w:val="24"/>
              </w:rPr>
              <w:t>0</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1"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7"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val="en-US" w:eastAsia="zh-CN" w:bidi="ar-SA"/>
              </w:rPr>
            </w:pPr>
            <w:r>
              <w:rPr>
                <w:rFonts w:hint="default" w:ascii="Times New Roman" w:hAnsi="Times New Roman" w:eastAsia="方正仿宋简体" w:cs="Times New Roman"/>
                <w:sz w:val="24"/>
              </w:rPr>
              <w:t>0</w:t>
            </w:r>
          </w:p>
        </w:tc>
        <w:tc>
          <w:tcPr>
            <w:tcW w:w="655" w:type="dxa"/>
            <w:tcBorders>
              <w:top w:val="single" w:color="auto" w:sz="4" w:space="0"/>
              <w:left w:val="nil"/>
              <w:bottom w:val="single" w:color="auto" w:sz="8" w:space="0"/>
              <w:right w:val="single" w:color="auto" w:sz="8" w:space="0"/>
            </w:tcBorders>
            <w:noWrap w:val="0"/>
            <w:tcMar>
              <w:left w:w="57" w:type="dxa"/>
              <w:right w:w="57" w:type="dxa"/>
            </w:tcMar>
            <w:vAlign w:val="center"/>
          </w:tcPr>
          <w:p>
            <w:pPr>
              <w:spacing w:line="400" w:lineRule="exact"/>
              <w:jc w:val="center"/>
              <w:rPr>
                <w:rFonts w:hint="default" w:ascii="Times New Roman" w:hAnsi="Times New Roman" w:cs="Times New Roman"/>
                <w:kern w:val="2"/>
                <w:sz w:val="21"/>
                <w:szCs w:val="24"/>
                <w:lang w:eastAsia="zh-CN" w:bidi="ar-SA"/>
              </w:rPr>
            </w:pPr>
            <w:r>
              <w:rPr>
                <w:rFonts w:hint="default" w:eastAsia="方正仿宋简体" w:cs="Times New Roman"/>
                <w:sz w:val="24"/>
              </w:rPr>
              <w:t>0</w:t>
            </w:r>
          </w:p>
        </w:tc>
      </w:tr>
    </w:tbl>
    <w:p>
      <w:pPr>
        <w:ind w:firstLine="640" w:firstLineChars="200"/>
        <w:jc w:val="left"/>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因政府信息公开工作被申请行政复议</w:t>
      </w:r>
      <w:r>
        <w:rPr>
          <w:rFonts w:hint="default" w:ascii="黑体" w:hAnsi="黑体" w:eastAsia="黑体"/>
          <w:sz w:val="32"/>
          <w:szCs w:val="32"/>
          <w:lang w:eastAsia="zh-CN"/>
        </w:rPr>
        <w:t>、</w:t>
      </w:r>
      <w:r>
        <w:rPr>
          <w:rFonts w:hint="eastAsia" w:ascii="黑体" w:hAnsi="黑体" w:eastAsia="黑体"/>
          <w:sz w:val="32"/>
          <w:szCs w:val="32"/>
          <w:lang w:eastAsia="zh-CN"/>
        </w:rPr>
        <w:t>提起行政诉讼</w:t>
      </w:r>
      <w:r>
        <w:rPr>
          <w:rFonts w:hint="eastAsia" w:ascii="黑体" w:hAnsi="黑体" w:eastAsia="黑体"/>
          <w:sz w:val="32"/>
          <w:szCs w:val="32"/>
        </w:rPr>
        <w:t>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16"/>
        <w:gridCol w:w="616"/>
        <w:gridCol w:w="616"/>
        <w:gridCol w:w="616"/>
        <w:gridCol w:w="616"/>
        <w:gridCol w:w="616"/>
        <w:gridCol w:w="614"/>
        <w:gridCol w:w="614"/>
        <w:gridCol w:w="614"/>
        <w:gridCol w:w="615"/>
        <w:gridCol w:w="614"/>
        <w:gridCol w:w="614"/>
        <w:gridCol w:w="614"/>
        <w:gridCol w:w="614"/>
        <w:gridCol w:w="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3080" w:type="dxa"/>
            <w:gridSpan w:val="5"/>
            <w:vAlign w:val="center"/>
          </w:tcPr>
          <w:p>
            <w:pPr>
              <w:spacing w:line="400" w:lineRule="exact"/>
              <w:jc w:val="center"/>
              <w:rPr>
                <w:rFonts w:eastAsia="方正仿宋简体"/>
                <w:sz w:val="24"/>
              </w:rPr>
            </w:pPr>
            <w:r>
              <w:rPr>
                <w:rFonts w:hint="eastAsia" w:eastAsia="方正仿宋简体"/>
                <w:sz w:val="24"/>
              </w:rPr>
              <w:t>行政复议</w:t>
            </w:r>
          </w:p>
        </w:tc>
        <w:tc>
          <w:tcPr>
            <w:tcW w:w="6145" w:type="dxa"/>
            <w:gridSpan w:val="10"/>
            <w:vAlign w:val="center"/>
          </w:tcPr>
          <w:p>
            <w:pPr>
              <w:spacing w:line="400" w:lineRule="exact"/>
              <w:jc w:val="center"/>
              <w:rPr>
                <w:rFonts w:eastAsia="方正仿宋简体"/>
                <w:sz w:val="24"/>
              </w:rPr>
            </w:pPr>
            <w:r>
              <w:rPr>
                <w:rFonts w:hint="eastAsia" w:eastAsia="方正仿宋简体"/>
                <w:sz w:val="24"/>
              </w:rPr>
              <w:t>行政诉讼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24" w:hRule="atLeast"/>
        </w:trPr>
        <w:tc>
          <w:tcPr>
            <w:tcW w:w="616" w:type="dxa"/>
            <w:vMerge w:val="restart"/>
            <w:vAlign w:val="center"/>
          </w:tcPr>
          <w:p>
            <w:pPr>
              <w:spacing w:line="400" w:lineRule="exact"/>
              <w:jc w:val="center"/>
              <w:rPr>
                <w:rFonts w:eastAsia="方正仿宋简体"/>
                <w:sz w:val="24"/>
              </w:rPr>
            </w:pPr>
            <w:r>
              <w:rPr>
                <w:rFonts w:hint="eastAsia" w:eastAsia="方正仿宋简体"/>
                <w:sz w:val="24"/>
              </w:rPr>
              <w:t>结果维持</w:t>
            </w:r>
          </w:p>
        </w:tc>
        <w:tc>
          <w:tcPr>
            <w:tcW w:w="616" w:type="dxa"/>
            <w:vMerge w:val="restart"/>
            <w:vAlign w:val="center"/>
          </w:tcPr>
          <w:p>
            <w:pPr>
              <w:spacing w:line="400" w:lineRule="exact"/>
              <w:jc w:val="center"/>
              <w:rPr>
                <w:rFonts w:eastAsia="方正仿宋简体"/>
                <w:sz w:val="24"/>
              </w:rPr>
            </w:pPr>
            <w:r>
              <w:rPr>
                <w:rFonts w:hint="eastAsia" w:eastAsia="方正仿宋简体"/>
                <w:sz w:val="24"/>
              </w:rPr>
              <w:t>结果纠正</w:t>
            </w:r>
          </w:p>
        </w:tc>
        <w:tc>
          <w:tcPr>
            <w:tcW w:w="616" w:type="dxa"/>
            <w:vMerge w:val="restart"/>
            <w:vAlign w:val="center"/>
          </w:tcPr>
          <w:p>
            <w:pPr>
              <w:spacing w:line="400" w:lineRule="exact"/>
              <w:jc w:val="center"/>
              <w:rPr>
                <w:rFonts w:eastAsia="方正仿宋简体"/>
                <w:sz w:val="24"/>
              </w:rPr>
            </w:pPr>
            <w:r>
              <w:rPr>
                <w:rFonts w:hint="eastAsia" w:eastAsia="方正仿宋简体"/>
                <w:sz w:val="24"/>
              </w:rPr>
              <w:t>其他结果</w:t>
            </w:r>
          </w:p>
        </w:tc>
        <w:tc>
          <w:tcPr>
            <w:tcW w:w="616" w:type="dxa"/>
            <w:vMerge w:val="restart"/>
            <w:vAlign w:val="center"/>
          </w:tcPr>
          <w:p>
            <w:pPr>
              <w:spacing w:line="400" w:lineRule="exact"/>
              <w:jc w:val="center"/>
              <w:rPr>
                <w:rFonts w:eastAsia="方正仿宋简体"/>
                <w:sz w:val="24"/>
              </w:rPr>
            </w:pPr>
            <w:r>
              <w:rPr>
                <w:rFonts w:hint="eastAsia" w:eastAsia="方正仿宋简体"/>
                <w:sz w:val="24"/>
              </w:rPr>
              <w:t>尚未审结</w:t>
            </w:r>
          </w:p>
        </w:tc>
        <w:tc>
          <w:tcPr>
            <w:tcW w:w="616" w:type="dxa"/>
            <w:vMerge w:val="restart"/>
            <w:vAlign w:val="center"/>
          </w:tcPr>
          <w:p>
            <w:pPr>
              <w:spacing w:line="400" w:lineRule="exact"/>
              <w:jc w:val="center"/>
              <w:rPr>
                <w:rFonts w:eastAsia="方正仿宋简体"/>
                <w:sz w:val="24"/>
              </w:rPr>
            </w:pPr>
            <w:r>
              <w:rPr>
                <w:rFonts w:hint="eastAsia" w:eastAsia="方正仿宋简体"/>
                <w:sz w:val="24"/>
              </w:rPr>
              <w:t>总计</w:t>
            </w:r>
          </w:p>
        </w:tc>
        <w:tc>
          <w:tcPr>
            <w:tcW w:w="3073" w:type="dxa"/>
            <w:gridSpan w:val="5"/>
            <w:vAlign w:val="center"/>
          </w:tcPr>
          <w:p>
            <w:pPr>
              <w:spacing w:line="400" w:lineRule="exact"/>
              <w:jc w:val="center"/>
              <w:rPr>
                <w:rFonts w:eastAsia="方正仿宋简体"/>
                <w:sz w:val="24"/>
              </w:rPr>
            </w:pPr>
            <w:r>
              <w:rPr>
                <w:rFonts w:hint="eastAsia" w:eastAsia="方正仿宋简体"/>
                <w:sz w:val="24"/>
              </w:rPr>
              <w:t>未经复议直接起诉</w:t>
            </w:r>
          </w:p>
        </w:tc>
        <w:tc>
          <w:tcPr>
            <w:tcW w:w="3072" w:type="dxa"/>
            <w:gridSpan w:val="5"/>
            <w:vAlign w:val="center"/>
          </w:tcPr>
          <w:p>
            <w:pPr>
              <w:spacing w:line="400" w:lineRule="exact"/>
              <w:jc w:val="center"/>
              <w:rPr>
                <w:rFonts w:eastAsia="方正仿宋简体"/>
                <w:sz w:val="24"/>
              </w:rPr>
            </w:pPr>
            <w:r>
              <w:rPr>
                <w:rFonts w:hint="eastAsia" w:eastAsia="方正仿宋简体"/>
                <w:sz w:val="24"/>
              </w:rPr>
              <w:t>复议后起诉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616" w:type="dxa"/>
            <w:vMerge w:val="continue"/>
            <w:vAlign w:val="center"/>
          </w:tcPr>
          <w:p>
            <w:pPr>
              <w:spacing w:line="400" w:lineRule="exact"/>
              <w:jc w:val="center"/>
              <w:rPr>
                <w:rFonts w:eastAsia="方正仿宋简体"/>
                <w:sz w:val="24"/>
              </w:rPr>
            </w:pPr>
          </w:p>
        </w:tc>
        <w:tc>
          <w:tcPr>
            <w:tcW w:w="616" w:type="dxa"/>
            <w:vMerge w:val="continue"/>
            <w:vAlign w:val="center"/>
          </w:tcPr>
          <w:p>
            <w:pPr>
              <w:spacing w:line="400" w:lineRule="exact"/>
              <w:jc w:val="center"/>
              <w:rPr>
                <w:rFonts w:eastAsia="方正仿宋简体"/>
                <w:sz w:val="24"/>
              </w:rPr>
            </w:pPr>
          </w:p>
        </w:tc>
        <w:tc>
          <w:tcPr>
            <w:tcW w:w="616" w:type="dxa"/>
            <w:vMerge w:val="continue"/>
            <w:vAlign w:val="center"/>
          </w:tcPr>
          <w:p>
            <w:pPr>
              <w:spacing w:line="400" w:lineRule="exact"/>
              <w:jc w:val="center"/>
              <w:rPr>
                <w:rFonts w:eastAsia="方正仿宋简体"/>
                <w:sz w:val="24"/>
              </w:rPr>
            </w:pPr>
          </w:p>
        </w:tc>
        <w:tc>
          <w:tcPr>
            <w:tcW w:w="616" w:type="dxa"/>
            <w:vMerge w:val="continue"/>
            <w:vAlign w:val="center"/>
          </w:tcPr>
          <w:p>
            <w:pPr>
              <w:spacing w:line="400" w:lineRule="exact"/>
              <w:jc w:val="center"/>
              <w:rPr>
                <w:rFonts w:eastAsia="方正仿宋简体"/>
                <w:sz w:val="24"/>
              </w:rPr>
            </w:pPr>
          </w:p>
        </w:tc>
        <w:tc>
          <w:tcPr>
            <w:tcW w:w="616" w:type="dxa"/>
            <w:vMerge w:val="continue"/>
            <w:vAlign w:val="center"/>
          </w:tcPr>
          <w:p>
            <w:pPr>
              <w:spacing w:line="400" w:lineRule="exact"/>
              <w:jc w:val="center"/>
              <w:rPr>
                <w:rFonts w:eastAsia="方正仿宋简体"/>
                <w:sz w:val="24"/>
              </w:rPr>
            </w:pPr>
          </w:p>
        </w:tc>
        <w:tc>
          <w:tcPr>
            <w:tcW w:w="616" w:type="dxa"/>
            <w:vAlign w:val="center"/>
          </w:tcPr>
          <w:p>
            <w:pPr>
              <w:spacing w:line="400" w:lineRule="exact"/>
              <w:jc w:val="center"/>
              <w:rPr>
                <w:rFonts w:eastAsia="方正仿宋简体"/>
                <w:sz w:val="24"/>
              </w:rPr>
            </w:pPr>
            <w:r>
              <w:rPr>
                <w:rFonts w:hint="eastAsia" w:eastAsia="方正仿宋简体"/>
                <w:sz w:val="24"/>
              </w:rPr>
              <w:t>结果维持</w:t>
            </w:r>
          </w:p>
        </w:tc>
        <w:tc>
          <w:tcPr>
            <w:tcW w:w="614" w:type="dxa"/>
            <w:vAlign w:val="center"/>
          </w:tcPr>
          <w:p>
            <w:pPr>
              <w:spacing w:line="400" w:lineRule="exact"/>
              <w:jc w:val="center"/>
              <w:rPr>
                <w:rFonts w:eastAsia="方正仿宋简体"/>
                <w:sz w:val="24"/>
              </w:rPr>
            </w:pPr>
            <w:r>
              <w:rPr>
                <w:rFonts w:hint="eastAsia" w:eastAsia="方正仿宋简体"/>
                <w:sz w:val="24"/>
              </w:rPr>
              <w:t>结果纠正</w:t>
            </w:r>
          </w:p>
        </w:tc>
        <w:tc>
          <w:tcPr>
            <w:tcW w:w="614" w:type="dxa"/>
            <w:vAlign w:val="center"/>
          </w:tcPr>
          <w:p>
            <w:pPr>
              <w:spacing w:line="400" w:lineRule="exact"/>
              <w:jc w:val="center"/>
              <w:rPr>
                <w:rFonts w:eastAsia="方正仿宋简体"/>
                <w:sz w:val="24"/>
              </w:rPr>
            </w:pPr>
            <w:r>
              <w:rPr>
                <w:rFonts w:hint="eastAsia" w:eastAsia="方正仿宋简体"/>
                <w:sz w:val="24"/>
              </w:rPr>
              <w:t>其他结果</w:t>
            </w:r>
          </w:p>
        </w:tc>
        <w:tc>
          <w:tcPr>
            <w:tcW w:w="614" w:type="dxa"/>
            <w:vAlign w:val="center"/>
          </w:tcPr>
          <w:p>
            <w:pPr>
              <w:spacing w:line="400" w:lineRule="exact"/>
              <w:jc w:val="center"/>
              <w:rPr>
                <w:rFonts w:eastAsia="方正仿宋简体"/>
                <w:sz w:val="24"/>
              </w:rPr>
            </w:pPr>
            <w:r>
              <w:rPr>
                <w:rFonts w:hint="eastAsia" w:eastAsia="方正仿宋简体"/>
                <w:sz w:val="24"/>
              </w:rPr>
              <w:t>尚未审结</w:t>
            </w:r>
          </w:p>
        </w:tc>
        <w:tc>
          <w:tcPr>
            <w:tcW w:w="615" w:type="dxa"/>
            <w:vAlign w:val="center"/>
          </w:tcPr>
          <w:p>
            <w:pPr>
              <w:spacing w:line="400" w:lineRule="exact"/>
              <w:jc w:val="center"/>
              <w:rPr>
                <w:rFonts w:eastAsia="方正仿宋简体"/>
                <w:sz w:val="24"/>
              </w:rPr>
            </w:pPr>
            <w:r>
              <w:rPr>
                <w:rFonts w:hint="eastAsia" w:eastAsia="方正仿宋简体"/>
                <w:sz w:val="24"/>
              </w:rPr>
              <w:t>总计</w:t>
            </w:r>
          </w:p>
        </w:tc>
        <w:tc>
          <w:tcPr>
            <w:tcW w:w="614" w:type="dxa"/>
            <w:vAlign w:val="center"/>
          </w:tcPr>
          <w:p>
            <w:pPr>
              <w:spacing w:line="400" w:lineRule="exact"/>
              <w:jc w:val="center"/>
              <w:rPr>
                <w:rFonts w:eastAsia="方正仿宋简体"/>
                <w:sz w:val="24"/>
              </w:rPr>
            </w:pPr>
            <w:r>
              <w:rPr>
                <w:rFonts w:hint="eastAsia" w:eastAsia="方正仿宋简体"/>
                <w:sz w:val="24"/>
              </w:rPr>
              <w:t>结果维持</w:t>
            </w:r>
          </w:p>
        </w:tc>
        <w:tc>
          <w:tcPr>
            <w:tcW w:w="614" w:type="dxa"/>
            <w:vAlign w:val="center"/>
          </w:tcPr>
          <w:p>
            <w:pPr>
              <w:spacing w:line="400" w:lineRule="exact"/>
              <w:jc w:val="center"/>
              <w:rPr>
                <w:rFonts w:eastAsia="方正仿宋简体"/>
                <w:sz w:val="24"/>
              </w:rPr>
            </w:pPr>
            <w:r>
              <w:rPr>
                <w:rFonts w:hint="eastAsia" w:eastAsia="方正仿宋简体"/>
                <w:sz w:val="24"/>
              </w:rPr>
              <w:t>结果纠正</w:t>
            </w:r>
          </w:p>
        </w:tc>
        <w:tc>
          <w:tcPr>
            <w:tcW w:w="614" w:type="dxa"/>
            <w:vAlign w:val="center"/>
          </w:tcPr>
          <w:p>
            <w:pPr>
              <w:spacing w:line="400" w:lineRule="exact"/>
              <w:jc w:val="center"/>
              <w:rPr>
                <w:rFonts w:eastAsia="方正仿宋简体"/>
                <w:sz w:val="24"/>
              </w:rPr>
            </w:pPr>
            <w:r>
              <w:rPr>
                <w:rFonts w:hint="eastAsia" w:eastAsia="方正仿宋简体"/>
                <w:sz w:val="24"/>
              </w:rPr>
              <w:t>其他结果</w:t>
            </w:r>
          </w:p>
        </w:tc>
        <w:tc>
          <w:tcPr>
            <w:tcW w:w="614" w:type="dxa"/>
            <w:vAlign w:val="center"/>
          </w:tcPr>
          <w:p>
            <w:pPr>
              <w:spacing w:line="400" w:lineRule="exact"/>
              <w:jc w:val="center"/>
              <w:rPr>
                <w:rFonts w:eastAsia="方正仿宋简体"/>
                <w:sz w:val="24"/>
              </w:rPr>
            </w:pPr>
            <w:r>
              <w:rPr>
                <w:rFonts w:hint="eastAsia" w:eastAsia="方正仿宋简体"/>
                <w:sz w:val="24"/>
              </w:rPr>
              <w:t>尚未审结</w:t>
            </w:r>
          </w:p>
        </w:tc>
        <w:tc>
          <w:tcPr>
            <w:tcW w:w="616" w:type="dxa"/>
            <w:vAlign w:val="center"/>
          </w:tcPr>
          <w:p>
            <w:pPr>
              <w:spacing w:line="400" w:lineRule="exact"/>
              <w:jc w:val="center"/>
              <w:rPr>
                <w:rFonts w:eastAsia="方正仿宋简体"/>
                <w:sz w:val="24"/>
              </w:rPr>
            </w:pPr>
            <w:r>
              <w:rPr>
                <w:rFonts w:hint="default" w:eastAsia="方正仿宋简体"/>
                <w:sz w:val="24"/>
              </w:rPr>
              <w:t>总</w:t>
            </w:r>
            <w:r>
              <w:rPr>
                <w:rFonts w:hint="eastAsia" w:eastAsia="方正仿宋简体"/>
                <w:sz w:val="24"/>
              </w:rPr>
              <w:t>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47" w:hRule="atLeast"/>
        </w:trPr>
        <w:tc>
          <w:tcPr>
            <w:tcW w:w="616" w:type="dxa"/>
            <w:vAlign w:val="center"/>
          </w:tcPr>
          <w:p>
            <w:pPr>
              <w:spacing w:line="400" w:lineRule="exact"/>
              <w:jc w:val="center"/>
              <w:rPr>
                <w:rFonts w:hint="default" w:eastAsia="方正仿宋简体"/>
                <w:sz w:val="24"/>
              </w:rPr>
            </w:pPr>
            <w:r>
              <w:rPr>
                <w:rFonts w:hint="default" w:eastAsia="方正仿宋简体"/>
                <w:sz w:val="24"/>
              </w:rPr>
              <w:t>1</w:t>
            </w:r>
          </w:p>
        </w:tc>
        <w:tc>
          <w:tcPr>
            <w:tcW w:w="616" w:type="dxa"/>
            <w:vAlign w:val="center"/>
          </w:tcPr>
          <w:p>
            <w:pPr>
              <w:spacing w:line="400" w:lineRule="exact"/>
              <w:jc w:val="center"/>
              <w:rPr>
                <w:rFonts w:eastAsia="方正仿宋简体"/>
                <w:sz w:val="24"/>
              </w:rPr>
            </w:pPr>
            <w:r>
              <w:rPr>
                <w:rFonts w:eastAsia="方正仿宋简体"/>
                <w:sz w:val="24"/>
              </w:rPr>
              <w:t>0</w:t>
            </w:r>
          </w:p>
        </w:tc>
        <w:tc>
          <w:tcPr>
            <w:tcW w:w="616" w:type="dxa"/>
            <w:vAlign w:val="center"/>
          </w:tcPr>
          <w:p>
            <w:pPr>
              <w:spacing w:line="400" w:lineRule="exact"/>
              <w:jc w:val="center"/>
              <w:rPr>
                <w:rFonts w:eastAsia="方正仿宋简体"/>
                <w:sz w:val="24"/>
              </w:rPr>
            </w:pPr>
            <w:r>
              <w:rPr>
                <w:rFonts w:eastAsia="方正仿宋简体"/>
                <w:sz w:val="24"/>
              </w:rPr>
              <w:t>0</w:t>
            </w:r>
          </w:p>
        </w:tc>
        <w:tc>
          <w:tcPr>
            <w:tcW w:w="616" w:type="dxa"/>
            <w:vAlign w:val="center"/>
          </w:tcPr>
          <w:p>
            <w:pPr>
              <w:spacing w:line="400" w:lineRule="exact"/>
              <w:jc w:val="center"/>
              <w:rPr>
                <w:rFonts w:eastAsia="方正仿宋简体"/>
                <w:sz w:val="24"/>
              </w:rPr>
            </w:pPr>
            <w:r>
              <w:rPr>
                <w:rFonts w:eastAsia="方正仿宋简体"/>
                <w:sz w:val="24"/>
              </w:rPr>
              <w:t>0</w:t>
            </w:r>
          </w:p>
        </w:tc>
        <w:tc>
          <w:tcPr>
            <w:tcW w:w="616" w:type="dxa"/>
            <w:vAlign w:val="center"/>
          </w:tcPr>
          <w:p>
            <w:pPr>
              <w:spacing w:line="400" w:lineRule="exact"/>
              <w:jc w:val="center"/>
              <w:rPr>
                <w:rFonts w:hint="default" w:eastAsia="方正仿宋简体"/>
                <w:sz w:val="24"/>
              </w:rPr>
            </w:pPr>
            <w:r>
              <w:rPr>
                <w:rFonts w:hint="default" w:eastAsia="方正仿宋简体"/>
                <w:sz w:val="24"/>
              </w:rPr>
              <w:t>1</w:t>
            </w:r>
          </w:p>
        </w:tc>
        <w:tc>
          <w:tcPr>
            <w:tcW w:w="616" w:type="dxa"/>
            <w:vAlign w:val="center"/>
          </w:tcPr>
          <w:p>
            <w:pPr>
              <w:spacing w:line="400" w:lineRule="exact"/>
              <w:jc w:val="center"/>
              <w:rPr>
                <w:rFonts w:hint="default" w:eastAsia="方正仿宋简体"/>
                <w:sz w:val="24"/>
              </w:rPr>
            </w:pPr>
            <w:r>
              <w:rPr>
                <w:rFonts w:hint="default" w:eastAsia="方正仿宋简体"/>
                <w:sz w:val="24"/>
              </w:rPr>
              <w:t>1</w:t>
            </w:r>
          </w:p>
        </w:tc>
        <w:tc>
          <w:tcPr>
            <w:tcW w:w="614" w:type="dxa"/>
            <w:vAlign w:val="center"/>
          </w:tcPr>
          <w:p>
            <w:pPr>
              <w:spacing w:line="400" w:lineRule="exact"/>
              <w:jc w:val="center"/>
              <w:rPr>
                <w:rFonts w:eastAsia="方正仿宋简体"/>
                <w:sz w:val="24"/>
              </w:rPr>
            </w:pPr>
            <w:r>
              <w:rPr>
                <w:rFonts w:eastAsia="方正仿宋简体"/>
                <w:sz w:val="24"/>
              </w:rPr>
              <w:t>0</w:t>
            </w:r>
          </w:p>
        </w:tc>
        <w:tc>
          <w:tcPr>
            <w:tcW w:w="614" w:type="dxa"/>
            <w:vAlign w:val="center"/>
          </w:tcPr>
          <w:p>
            <w:pPr>
              <w:spacing w:line="400" w:lineRule="exact"/>
              <w:jc w:val="center"/>
              <w:rPr>
                <w:rFonts w:eastAsia="方正仿宋简体"/>
                <w:sz w:val="24"/>
              </w:rPr>
            </w:pPr>
            <w:r>
              <w:rPr>
                <w:rFonts w:eastAsia="方正仿宋简体"/>
                <w:sz w:val="24"/>
              </w:rPr>
              <w:t>0</w:t>
            </w:r>
          </w:p>
        </w:tc>
        <w:tc>
          <w:tcPr>
            <w:tcW w:w="614" w:type="dxa"/>
            <w:vAlign w:val="center"/>
          </w:tcPr>
          <w:p>
            <w:pPr>
              <w:spacing w:line="400" w:lineRule="exact"/>
              <w:jc w:val="center"/>
              <w:rPr>
                <w:rFonts w:eastAsia="方正仿宋简体"/>
                <w:sz w:val="24"/>
              </w:rPr>
            </w:pPr>
            <w:r>
              <w:rPr>
                <w:rFonts w:eastAsia="方正仿宋简体"/>
                <w:sz w:val="24"/>
              </w:rPr>
              <w:t>0</w:t>
            </w:r>
          </w:p>
        </w:tc>
        <w:tc>
          <w:tcPr>
            <w:tcW w:w="615" w:type="dxa"/>
            <w:vAlign w:val="center"/>
          </w:tcPr>
          <w:p>
            <w:pPr>
              <w:spacing w:line="400" w:lineRule="exact"/>
              <w:jc w:val="center"/>
              <w:rPr>
                <w:rFonts w:hint="default" w:eastAsia="方正仿宋简体"/>
                <w:sz w:val="24"/>
              </w:rPr>
            </w:pPr>
            <w:r>
              <w:rPr>
                <w:rFonts w:hint="default" w:eastAsia="方正仿宋简体"/>
                <w:sz w:val="24"/>
              </w:rPr>
              <w:t>1</w:t>
            </w:r>
          </w:p>
        </w:tc>
        <w:tc>
          <w:tcPr>
            <w:tcW w:w="614" w:type="dxa"/>
            <w:vAlign w:val="center"/>
          </w:tcPr>
          <w:p>
            <w:pPr>
              <w:spacing w:line="400" w:lineRule="exact"/>
              <w:jc w:val="center"/>
              <w:rPr>
                <w:rFonts w:hint="default" w:eastAsia="方正仿宋简体"/>
                <w:sz w:val="24"/>
              </w:rPr>
            </w:pPr>
            <w:r>
              <w:rPr>
                <w:rFonts w:hint="default" w:eastAsia="方正仿宋简体"/>
                <w:sz w:val="24"/>
              </w:rPr>
              <w:t>4</w:t>
            </w:r>
          </w:p>
        </w:tc>
        <w:tc>
          <w:tcPr>
            <w:tcW w:w="614" w:type="dxa"/>
            <w:vAlign w:val="center"/>
          </w:tcPr>
          <w:p>
            <w:pPr>
              <w:spacing w:line="400" w:lineRule="exact"/>
              <w:jc w:val="center"/>
              <w:rPr>
                <w:rFonts w:eastAsia="方正仿宋简体"/>
                <w:sz w:val="24"/>
              </w:rPr>
            </w:pPr>
            <w:r>
              <w:rPr>
                <w:rFonts w:eastAsia="方正仿宋简体"/>
                <w:sz w:val="24"/>
              </w:rPr>
              <w:t>0</w:t>
            </w:r>
          </w:p>
        </w:tc>
        <w:tc>
          <w:tcPr>
            <w:tcW w:w="614" w:type="dxa"/>
            <w:vAlign w:val="center"/>
          </w:tcPr>
          <w:p>
            <w:pPr>
              <w:spacing w:line="400" w:lineRule="exact"/>
              <w:jc w:val="center"/>
              <w:rPr>
                <w:rFonts w:eastAsia="方正仿宋简体"/>
                <w:sz w:val="24"/>
              </w:rPr>
            </w:pPr>
            <w:r>
              <w:rPr>
                <w:rFonts w:eastAsia="方正仿宋简体"/>
                <w:sz w:val="24"/>
              </w:rPr>
              <w:t>0</w:t>
            </w:r>
          </w:p>
        </w:tc>
        <w:tc>
          <w:tcPr>
            <w:tcW w:w="614" w:type="dxa"/>
            <w:vAlign w:val="center"/>
          </w:tcPr>
          <w:p>
            <w:pPr>
              <w:spacing w:line="400" w:lineRule="exact"/>
              <w:jc w:val="center"/>
              <w:rPr>
                <w:rFonts w:hint="default" w:eastAsia="方正仿宋简体"/>
                <w:sz w:val="24"/>
              </w:rPr>
            </w:pPr>
            <w:r>
              <w:rPr>
                <w:rFonts w:hint="default" w:eastAsia="方正仿宋简体"/>
                <w:sz w:val="24"/>
              </w:rPr>
              <w:t>0</w:t>
            </w:r>
          </w:p>
        </w:tc>
        <w:tc>
          <w:tcPr>
            <w:tcW w:w="616" w:type="dxa"/>
            <w:vAlign w:val="center"/>
          </w:tcPr>
          <w:p>
            <w:pPr>
              <w:spacing w:line="400" w:lineRule="exact"/>
              <w:jc w:val="center"/>
              <w:rPr>
                <w:rFonts w:hint="default" w:eastAsia="方正仿宋简体"/>
                <w:sz w:val="24"/>
              </w:rPr>
            </w:pPr>
            <w:r>
              <w:rPr>
                <w:rFonts w:hint="default" w:eastAsia="方正仿宋简体"/>
                <w:sz w:val="24"/>
              </w:rPr>
              <w:t>4</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五、存在的主要问题及改进情况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Mono]" w:hAnsi="Times New Roman [Mono]" w:eastAsia="方正仿宋简体" w:cs="Times New Roman [Mono]"/>
          <w:color w:val="auto"/>
          <w:sz w:val="32"/>
          <w:szCs w:val="32"/>
          <w:shd w:val="clear" w:color="auto" w:fill="FFFFFF"/>
          <w:lang w:eastAsia="zh-CN"/>
        </w:rPr>
      </w:pPr>
      <w:r>
        <w:rPr>
          <w:rFonts w:hint="default" w:ascii="Times New Roman [Mono]" w:hAnsi="Times New Roman [Mono]" w:eastAsia="方正仿宋简体" w:cs="Times New Roman [Mono]"/>
          <w:color w:val="auto"/>
          <w:sz w:val="32"/>
          <w:szCs w:val="32"/>
          <w:shd w:val="clear" w:color="auto" w:fill="FFFFFF"/>
          <w:lang w:eastAsia="zh-CN"/>
        </w:rPr>
        <w:t>对标湖南省政务公开政务服务领导小组办公室《关于</w:t>
      </w:r>
      <w:r>
        <w:rPr>
          <w:rFonts w:hint="default" w:ascii="Times New Roman [Mono]" w:hAnsi="Times New Roman [Mono]" w:eastAsia="方正仿宋简体" w:cs="Times New Roman [Mono]"/>
          <w:color w:val="auto"/>
          <w:sz w:val="32"/>
          <w:szCs w:val="32"/>
          <w:shd w:val="clear" w:color="auto" w:fill="FFFFFF"/>
          <w:lang w:val="en" w:eastAsia="zh-CN"/>
        </w:rPr>
        <w:t>全省</w:t>
      </w:r>
      <w:r>
        <w:rPr>
          <w:rFonts w:hint="default" w:ascii="Times New Roman [Mono]" w:hAnsi="Times New Roman [Mono]" w:eastAsia="方正仿宋简体" w:cs="Times New Roman [Mono]"/>
          <w:color w:val="auto"/>
          <w:sz w:val="32"/>
          <w:szCs w:val="32"/>
          <w:shd w:val="clear" w:color="auto" w:fill="FFFFFF"/>
          <w:lang w:val="en-US" w:eastAsia="zh-CN"/>
        </w:rPr>
        <w:t>2022年政务公开</w:t>
      </w:r>
      <w:r>
        <w:rPr>
          <w:rFonts w:hint="default" w:ascii="Times New Roman [Mono]" w:hAnsi="Times New Roman [Mono]" w:eastAsia="方正仿宋简体" w:cs="Times New Roman [Mono]"/>
          <w:color w:val="auto"/>
          <w:sz w:val="32"/>
          <w:szCs w:val="32"/>
          <w:shd w:val="clear" w:color="auto" w:fill="FFFFFF"/>
          <w:lang w:eastAsia="zh-CN"/>
        </w:rPr>
        <w:t>第三方评估情况的通报》（</w:t>
      </w:r>
      <w:r>
        <w:rPr>
          <w:rFonts w:hint="default" w:ascii="Times New Roman [Mono]" w:hAnsi="Times New Roman [Mono]" w:eastAsia="方正仿宋简体" w:cs="Times New Roman [Mono]"/>
          <w:color w:val="auto"/>
          <w:sz w:val="32"/>
          <w:szCs w:val="32"/>
          <w:shd w:val="clear" w:color="auto" w:fill="FFFFFF"/>
          <w:lang w:val="en" w:eastAsia="zh-CN"/>
        </w:rPr>
        <w:t>湘</w:t>
      </w:r>
      <w:r>
        <w:rPr>
          <w:rFonts w:hint="default" w:ascii="Times New Roman [Mono]" w:hAnsi="Times New Roman [Mono]" w:eastAsia="方正仿宋简体" w:cs="Times New Roman [Mono]"/>
          <w:color w:val="auto"/>
          <w:sz w:val="32"/>
          <w:szCs w:val="32"/>
          <w:shd w:val="clear" w:color="auto" w:fill="FFFFFF"/>
          <w:lang w:eastAsia="zh-CN"/>
        </w:rPr>
        <w:t>政务</w:t>
      </w:r>
      <w:r>
        <w:rPr>
          <w:rFonts w:hint="default" w:ascii="Times New Roman [Mono]" w:hAnsi="Times New Roman [Mono]" w:eastAsia="方正仿宋简体" w:cs="Times New Roman [Mono]"/>
          <w:color w:val="auto"/>
          <w:sz w:val="32"/>
          <w:szCs w:val="32"/>
          <w:shd w:val="clear" w:color="auto" w:fill="FFFFFF"/>
          <w:lang w:val="en" w:eastAsia="zh-CN"/>
        </w:rPr>
        <w:t>公开</w:t>
      </w:r>
      <w:r>
        <w:rPr>
          <w:rFonts w:hint="default" w:ascii="Times New Roman [Mono]" w:hAnsi="Times New Roman [Mono]" w:eastAsia="方正仿宋简体" w:cs="Times New Roman [Mono]"/>
          <w:color w:val="auto"/>
          <w:sz w:val="32"/>
          <w:szCs w:val="32"/>
          <w:shd w:val="clear" w:color="auto" w:fill="FFFFFF"/>
          <w:lang w:eastAsia="zh-CN"/>
        </w:rPr>
        <w:t>办发</w:t>
      </w:r>
      <w:r>
        <w:rPr>
          <w:rFonts w:hint="default" w:ascii="Times New Roman [Mono]" w:hAnsi="Times New Roman [Mono]" w:eastAsia="方正仿宋简体" w:cs="Times New Roman [Mono]"/>
          <w:color w:val="auto"/>
          <w:sz w:val="32"/>
          <w:szCs w:val="32"/>
          <w:shd w:val="clear" w:color="auto" w:fill="FFFFFF"/>
          <w:lang w:val="en-US" w:eastAsia="zh-CN"/>
        </w:rPr>
        <w:t>〔2023〕</w:t>
      </w:r>
      <w:r>
        <w:rPr>
          <w:rFonts w:hint="default" w:ascii="Times New Roman [Mono]" w:hAnsi="Times New Roman [Mono]" w:eastAsia="方正仿宋简体" w:cs="Times New Roman [Mono]"/>
          <w:color w:val="auto"/>
          <w:sz w:val="32"/>
          <w:szCs w:val="32"/>
          <w:shd w:val="clear" w:color="auto" w:fill="FFFFFF"/>
          <w:lang w:val="en" w:eastAsia="zh-CN"/>
        </w:rPr>
        <w:t>1</w:t>
      </w:r>
      <w:r>
        <w:rPr>
          <w:rFonts w:hint="default" w:ascii="Times New Roman [Mono]" w:hAnsi="Times New Roman [Mono]" w:eastAsia="方正仿宋简体" w:cs="Times New Roman [Mono]"/>
          <w:color w:val="auto"/>
          <w:sz w:val="32"/>
          <w:szCs w:val="32"/>
          <w:shd w:val="clear" w:color="auto" w:fill="FFFFFF"/>
          <w:lang w:val="en-US" w:eastAsia="zh-CN"/>
        </w:rPr>
        <w:t>号）</w:t>
      </w:r>
      <w:r>
        <w:rPr>
          <w:rFonts w:hint="default" w:ascii="Times New Roman [Mono]" w:hAnsi="Times New Roman [Mono]" w:eastAsia="方正仿宋简体" w:cs="Times New Roman [Mono]"/>
          <w:color w:val="auto"/>
          <w:sz w:val="32"/>
          <w:szCs w:val="32"/>
          <w:shd w:val="clear" w:color="auto" w:fill="FFFFFF"/>
          <w:lang w:eastAsia="zh-CN"/>
        </w:rPr>
        <w:t>所列问题清单，主要存在公开渠道指引性不强、未公开本级政府2022年度重大行政决策事项目录、重大决策草案解读文件或起草说明等问题。这些问题已经与市直相关部门研究解决，并整改到位：一是进一步明确网站公开渠道的登录网址，明确政务微博、微信、手机APP等便于公众知晓的新媒体的公开渠道名称、二维码，明确政务公开专区政府信息查阅场所地址，以及新闻发布会、报刊、广播、电视、发放便民资料等公开渠道；二是指导督促起草部门依法依规向社会公开了本级政府年度重大行政决策事项目录、重大决策草案解读文件或起草说明和立法依据对照表，在审查修改阶段对送审稿及其说明做到应公开尽公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六、其他需要报告的事项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方正仿宋简体"/>
          <w:sz w:val="32"/>
          <w:szCs w:val="32"/>
        </w:rPr>
      </w:pPr>
      <w:r>
        <w:rPr>
          <w:rFonts w:hint="eastAsia" w:eastAsia="方正仿宋简体"/>
          <w:sz w:val="32"/>
          <w:szCs w:val="32"/>
          <w:lang w:val="en-US" w:eastAsia="zh-CN"/>
        </w:rPr>
        <w:t>202</w:t>
      </w:r>
      <w:r>
        <w:rPr>
          <w:rFonts w:hint="default" w:eastAsia="方正仿宋简体"/>
          <w:sz w:val="32"/>
          <w:szCs w:val="32"/>
          <w:lang w:eastAsia="zh-CN"/>
        </w:rPr>
        <w:t>3</w:t>
      </w:r>
      <w:r>
        <w:rPr>
          <w:rFonts w:hint="eastAsia" w:eastAsia="方正仿宋简体"/>
          <w:sz w:val="32"/>
          <w:szCs w:val="32"/>
          <w:lang w:val="en-US" w:eastAsia="zh-CN"/>
        </w:rPr>
        <w:t>年未向申请人收取信息处理费</w:t>
      </w:r>
      <w:r>
        <w:rPr>
          <w:rFonts w:hint="eastAsia" w:eastAsia="方正仿宋简体"/>
          <w:sz w:val="32"/>
          <w:szCs w:val="32"/>
        </w:rPr>
        <w:t>。</w:t>
      </w:r>
      <w:r>
        <w:rPr>
          <w:rFonts w:eastAsia="方正仿宋简体"/>
          <w:color w:val="000000" w:themeColor="text1"/>
          <w:sz w:val="32"/>
          <w:szCs w:val="32"/>
          <w14:textFill>
            <w14:solidFill>
              <w14:schemeClr w14:val="tx1"/>
            </w14:solidFill>
          </w14:textFill>
        </w:rPr>
        <w:t>报告中所列数据时间为202</w:t>
      </w:r>
      <w:r>
        <w:rPr>
          <w:rFonts w:hint="default" w:eastAsia="方正仿宋简体"/>
          <w:color w:val="000000" w:themeColor="text1"/>
          <w:sz w:val="32"/>
          <w:szCs w:val="32"/>
          <w14:textFill>
            <w14:solidFill>
              <w14:schemeClr w14:val="tx1"/>
            </w14:solidFill>
          </w14:textFill>
        </w:rPr>
        <w:t>3</w:t>
      </w:r>
      <w:r>
        <w:rPr>
          <w:rFonts w:eastAsia="方正仿宋简体"/>
          <w:color w:val="000000" w:themeColor="text1"/>
          <w:sz w:val="32"/>
          <w:szCs w:val="32"/>
          <w14:textFill>
            <w14:solidFill>
              <w14:schemeClr w14:val="tx1"/>
            </w14:solidFill>
          </w14:textFill>
        </w:rPr>
        <w:t>年1月1日至202</w:t>
      </w:r>
      <w:r>
        <w:rPr>
          <w:rFonts w:hint="default" w:eastAsia="方正仿宋简体"/>
          <w:color w:val="000000" w:themeColor="text1"/>
          <w:sz w:val="32"/>
          <w:szCs w:val="32"/>
          <w14:textFill>
            <w14:solidFill>
              <w14:schemeClr w14:val="tx1"/>
            </w14:solidFill>
          </w14:textFill>
        </w:rPr>
        <w:t>3</w:t>
      </w:r>
      <w:r>
        <w:rPr>
          <w:rFonts w:eastAsia="方正仿宋简体"/>
          <w:color w:val="000000" w:themeColor="text1"/>
          <w:sz w:val="32"/>
          <w:szCs w:val="32"/>
          <w14:textFill>
            <w14:solidFill>
              <w14:schemeClr w14:val="tx1"/>
            </w14:solidFill>
          </w14:textFill>
        </w:rPr>
        <w:t>年12月31日。</w:t>
      </w:r>
      <w:r>
        <w:rPr>
          <w:rFonts w:hint="eastAsia" w:eastAsia="方正仿宋简体"/>
          <w:sz w:val="32"/>
          <w:szCs w:val="32"/>
          <w:lang w:val="en-US" w:eastAsia="zh-CN"/>
        </w:rPr>
        <w:t>如对本报告有疑问，请与市人民政府办公室（市政务公开办）联系（地址：益阳市梓山路1号，邮编：413000，电话：0737－4113658）</w:t>
      </w:r>
      <w:r>
        <w:rPr>
          <w:rFonts w:hint="eastAsia" w:eastAsia="方正仿宋简体"/>
          <w:sz w:val="32"/>
          <w:szCs w:val="32"/>
        </w:rPr>
        <w:t>。</w:t>
      </w:r>
    </w:p>
    <w:sectPr>
      <w:footerReference r:id="rId3" w:type="default"/>
      <w:pgSz w:w="11906" w:h="16838"/>
      <w:pgMar w:top="1701" w:right="1418" w:bottom="1701" w:left="141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Times New Roman [Mono]">
    <w:panose1 w:val="02020603050405020304"/>
    <w:charset w:val="00"/>
    <w:family w:val="auto"/>
    <w:pitch w:val="default"/>
    <w:sig w:usb0="00007A87" w:usb1="80000000" w:usb2="00000008" w:usb3="00000000" w:csb0="400001FF" w:csb1="FFFF0000"/>
  </w:font>
  <w:font w:name="方正楷体_GBK">
    <w:panose1 w:val="02000000000000000000"/>
    <w:charset w:val="86"/>
    <w:family w:val="script"/>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2</w:t>
    </w:r>
    <w:r>
      <w:rPr>
        <w:rFonts w:asciiTheme="minorEastAsia" w:hAnsiTheme="minorEastAsia"/>
        <w:sz w:val="24"/>
        <w:szCs w:val="24"/>
      </w:rPr>
      <w:fldChar w:fldCharType="end"/>
    </w:r>
    <w:r>
      <w:rPr>
        <w:rFonts w:hint="eastAsia" w:asciiTheme="minorEastAsia" w:hAnsiTheme="minorEastAsia"/>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44"/>
    <w:rsid w:val="00007CFC"/>
    <w:rsid w:val="00016283"/>
    <w:rsid w:val="0003343F"/>
    <w:rsid w:val="00053109"/>
    <w:rsid w:val="00060827"/>
    <w:rsid w:val="00076EDE"/>
    <w:rsid w:val="00084938"/>
    <w:rsid w:val="00097707"/>
    <w:rsid w:val="000D07C6"/>
    <w:rsid w:val="000E359C"/>
    <w:rsid w:val="00115518"/>
    <w:rsid w:val="0011611D"/>
    <w:rsid w:val="00124AD5"/>
    <w:rsid w:val="00130659"/>
    <w:rsid w:val="00161928"/>
    <w:rsid w:val="00161DF2"/>
    <w:rsid w:val="00165E19"/>
    <w:rsid w:val="001C4CA8"/>
    <w:rsid w:val="001C5BE6"/>
    <w:rsid w:val="001E51B8"/>
    <w:rsid w:val="001F5C6D"/>
    <w:rsid w:val="00234154"/>
    <w:rsid w:val="00291A2B"/>
    <w:rsid w:val="002D536D"/>
    <w:rsid w:val="002F1DA3"/>
    <w:rsid w:val="003055FD"/>
    <w:rsid w:val="00343783"/>
    <w:rsid w:val="003535E6"/>
    <w:rsid w:val="00381039"/>
    <w:rsid w:val="003A0928"/>
    <w:rsid w:val="003D00BD"/>
    <w:rsid w:val="003D4F72"/>
    <w:rsid w:val="00401BF1"/>
    <w:rsid w:val="00403D19"/>
    <w:rsid w:val="00426D6F"/>
    <w:rsid w:val="00451E0F"/>
    <w:rsid w:val="0046441E"/>
    <w:rsid w:val="00464A93"/>
    <w:rsid w:val="0048498B"/>
    <w:rsid w:val="00511F1D"/>
    <w:rsid w:val="00570DFA"/>
    <w:rsid w:val="005A369B"/>
    <w:rsid w:val="005F3933"/>
    <w:rsid w:val="006308F1"/>
    <w:rsid w:val="006504F4"/>
    <w:rsid w:val="00651953"/>
    <w:rsid w:val="006900B0"/>
    <w:rsid w:val="006F0B60"/>
    <w:rsid w:val="007033FA"/>
    <w:rsid w:val="00704141"/>
    <w:rsid w:val="0074231E"/>
    <w:rsid w:val="007A6AF2"/>
    <w:rsid w:val="007E1E0A"/>
    <w:rsid w:val="007F69D0"/>
    <w:rsid w:val="008124A7"/>
    <w:rsid w:val="00856F67"/>
    <w:rsid w:val="008824E5"/>
    <w:rsid w:val="008832EF"/>
    <w:rsid w:val="00890803"/>
    <w:rsid w:val="008C07F2"/>
    <w:rsid w:val="008C3851"/>
    <w:rsid w:val="008E74F3"/>
    <w:rsid w:val="008F0BB8"/>
    <w:rsid w:val="008F5729"/>
    <w:rsid w:val="0091433D"/>
    <w:rsid w:val="009346DE"/>
    <w:rsid w:val="00981634"/>
    <w:rsid w:val="009A1701"/>
    <w:rsid w:val="009B1476"/>
    <w:rsid w:val="00A04C42"/>
    <w:rsid w:val="00A11678"/>
    <w:rsid w:val="00A119BD"/>
    <w:rsid w:val="00A261A0"/>
    <w:rsid w:val="00A42AB5"/>
    <w:rsid w:val="00A956ED"/>
    <w:rsid w:val="00AA38D1"/>
    <w:rsid w:val="00AA674F"/>
    <w:rsid w:val="00AC63C8"/>
    <w:rsid w:val="00B3693C"/>
    <w:rsid w:val="00C0523A"/>
    <w:rsid w:val="00C11E8D"/>
    <w:rsid w:val="00C27F70"/>
    <w:rsid w:val="00C80B2A"/>
    <w:rsid w:val="00C96565"/>
    <w:rsid w:val="00C965D5"/>
    <w:rsid w:val="00CA6F2C"/>
    <w:rsid w:val="00CB0AA5"/>
    <w:rsid w:val="00D2643D"/>
    <w:rsid w:val="00D442C4"/>
    <w:rsid w:val="00D456C0"/>
    <w:rsid w:val="00D54571"/>
    <w:rsid w:val="00DC4E87"/>
    <w:rsid w:val="00DE18D0"/>
    <w:rsid w:val="00DE32AA"/>
    <w:rsid w:val="00DE52A1"/>
    <w:rsid w:val="00DF1106"/>
    <w:rsid w:val="00E12FCF"/>
    <w:rsid w:val="00E161BB"/>
    <w:rsid w:val="00E36AB8"/>
    <w:rsid w:val="00E97B33"/>
    <w:rsid w:val="00ED2548"/>
    <w:rsid w:val="00EF22B7"/>
    <w:rsid w:val="00F07069"/>
    <w:rsid w:val="00F12534"/>
    <w:rsid w:val="00F34C44"/>
    <w:rsid w:val="00F375B4"/>
    <w:rsid w:val="00F84E56"/>
    <w:rsid w:val="00F96867"/>
    <w:rsid w:val="00FC000C"/>
    <w:rsid w:val="00FE3689"/>
    <w:rsid w:val="00FE7229"/>
    <w:rsid w:val="00FF6288"/>
    <w:rsid w:val="1DEEB7E0"/>
    <w:rsid w:val="1ED3D4D2"/>
    <w:rsid w:val="2FB60CE2"/>
    <w:rsid w:val="2FFB6633"/>
    <w:rsid w:val="39BF5942"/>
    <w:rsid w:val="3DEF9B0E"/>
    <w:rsid w:val="3EBFE966"/>
    <w:rsid w:val="3FB93E0F"/>
    <w:rsid w:val="5CF61F3E"/>
    <w:rsid w:val="5DF3D040"/>
    <w:rsid w:val="5F7E5A2B"/>
    <w:rsid w:val="5FDF386F"/>
    <w:rsid w:val="5FEECFCB"/>
    <w:rsid w:val="61FA2E30"/>
    <w:rsid w:val="6FDB346E"/>
    <w:rsid w:val="73DDE31E"/>
    <w:rsid w:val="7ADDD2E3"/>
    <w:rsid w:val="7AE3E029"/>
    <w:rsid w:val="7BBFD7D9"/>
    <w:rsid w:val="7D7F5527"/>
    <w:rsid w:val="7DB7DB10"/>
    <w:rsid w:val="7F3947AE"/>
    <w:rsid w:val="7FFA9640"/>
    <w:rsid w:val="8BFA7C00"/>
    <w:rsid w:val="A7D7DC75"/>
    <w:rsid w:val="AFBB6B5B"/>
    <w:rsid w:val="B43F8A1F"/>
    <w:rsid w:val="BB37F479"/>
    <w:rsid w:val="BDFF5FDB"/>
    <w:rsid w:val="BE75940E"/>
    <w:rsid w:val="BFBF7B4D"/>
    <w:rsid w:val="D1DF6BAD"/>
    <w:rsid w:val="D1F5B1D1"/>
    <w:rsid w:val="D7EDD267"/>
    <w:rsid w:val="DFFDB98D"/>
    <w:rsid w:val="EB3F864F"/>
    <w:rsid w:val="EBDE1C57"/>
    <w:rsid w:val="F09FFCD8"/>
    <w:rsid w:val="F579B7FA"/>
    <w:rsid w:val="F63F7D4D"/>
    <w:rsid w:val="F7CF05C5"/>
    <w:rsid w:val="F7FEC84D"/>
    <w:rsid w:val="FBEFC0F3"/>
    <w:rsid w:val="FE8DF5FE"/>
    <w:rsid w:val="FF3F978D"/>
    <w:rsid w:val="FFBF44C9"/>
    <w:rsid w:val="FFBF7E43"/>
    <w:rsid w:val="FFF37029"/>
    <w:rsid w:val="FFFDA18A"/>
    <w:rsid w:val="FFFDA888"/>
    <w:rsid w:val="FFFF9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_Style 3"/>
    <w:basedOn w:val="1"/>
    <w:qFormat/>
    <w:uiPriority w:val="0"/>
    <w:pPr>
      <w:adjustRightInd w:val="0"/>
      <w:spacing w:line="360" w:lineRule="atLeast"/>
      <w:jc w:val="left"/>
      <w:textAlignment w:val="baseline"/>
    </w:pPr>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509</Words>
  <Characters>2902</Characters>
  <Lines>24</Lines>
  <Paragraphs>6</Paragraphs>
  <TotalTime>70</TotalTime>
  <ScaleCrop>false</ScaleCrop>
  <LinksUpToDate>false</LinksUpToDate>
  <CharactersWithSpaces>3405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2020-01-11T14:30:00Z</dcterms:created>
  <dc:creator>L-8</dc:creator>
  <cp:lastModifiedBy>xjkp</cp:lastModifiedBy>
  <cp:lastPrinted>2024-01-09T11:09:43Z</cp:lastPrinted>
  <dcterms:modified xsi:type="dcterms:W3CDTF">2024-01-09T15:41:47Z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