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黑体" w:cs="Times New Roman"/>
          <w:sz w:val="36"/>
          <w:szCs w:val="32"/>
        </w:rPr>
      </w:pPr>
      <w:bookmarkStart w:id="0" w:name="_GoBack"/>
      <w:bookmarkEnd w:id="0"/>
      <w:r>
        <w:rPr>
          <w:rFonts w:hint="eastAsia" w:ascii="Arial" w:hAnsi="Arial" w:eastAsia="黑体" w:cs="Arial"/>
          <w:sz w:val="36"/>
          <w:szCs w:val="32"/>
          <w:lang w:eastAsia="zh-CN"/>
        </w:rPr>
        <w:t>益阳市</w:t>
      </w:r>
      <w:r>
        <w:rPr>
          <w:rFonts w:hint="eastAsia" w:ascii="Arial" w:hAnsi="Arial" w:eastAsia="黑体" w:cs="Arial"/>
          <w:sz w:val="36"/>
          <w:szCs w:val="32"/>
        </w:rPr>
        <w:t>水利局</w:t>
      </w:r>
      <w:r>
        <w:rPr>
          <w:rFonts w:eastAsia="黑体" w:cs="Times New Roman"/>
          <w:sz w:val="36"/>
          <w:szCs w:val="32"/>
        </w:rPr>
        <w:t>202</w:t>
      </w:r>
      <w:r>
        <w:rPr>
          <w:rFonts w:hint="eastAsia" w:eastAsia="黑体" w:cs="Times New Roman"/>
          <w:sz w:val="36"/>
          <w:szCs w:val="32"/>
        </w:rPr>
        <w:t>1</w:t>
      </w:r>
      <w:r>
        <w:rPr>
          <w:rFonts w:eastAsia="黑体" w:cs="Times New Roman"/>
          <w:sz w:val="36"/>
          <w:szCs w:val="32"/>
        </w:rPr>
        <w:t>年度水利发展资金</w:t>
      </w:r>
    </w:p>
    <w:p>
      <w:pPr>
        <w:ind w:firstLine="0" w:firstLineChars="0"/>
        <w:jc w:val="center"/>
        <w:rPr>
          <w:rFonts w:eastAsia="华文楷体" w:cs="Times New Roman"/>
          <w:sz w:val="36"/>
          <w:szCs w:val="32"/>
        </w:rPr>
      </w:pPr>
      <w:r>
        <w:rPr>
          <w:rFonts w:hint="eastAsia" w:eastAsia="黑体" w:cs="Times New Roman"/>
          <w:sz w:val="36"/>
          <w:szCs w:val="32"/>
          <w:lang w:eastAsia="zh-CN"/>
        </w:rPr>
        <w:t>（山洪灾害防治项目）</w:t>
      </w:r>
      <w:r>
        <w:rPr>
          <w:rFonts w:eastAsia="黑体" w:cs="Times New Roman"/>
          <w:sz w:val="36"/>
          <w:szCs w:val="32"/>
        </w:rPr>
        <w:t>绩效自评报告</w:t>
      </w:r>
    </w:p>
    <w:p>
      <w:pPr>
        <w:pStyle w:val="3"/>
        <w:spacing w:line="560" w:lineRule="exact"/>
        <w:ind w:firstLine="640"/>
        <w:rPr>
          <w:rFonts w:eastAsia="黑体" w:cs="Times New Roman"/>
          <w:b w:val="0"/>
          <w:bCs w:val="0"/>
        </w:rPr>
      </w:pPr>
      <w:r>
        <w:rPr>
          <w:rFonts w:eastAsia="黑体" w:cs="Times New Roman"/>
          <w:b w:val="0"/>
          <w:bCs w:val="0"/>
        </w:rPr>
        <w:t>一、概述</w:t>
      </w:r>
    </w:p>
    <w:p>
      <w:pPr>
        <w:pStyle w:val="4"/>
        <w:spacing w:line="560" w:lineRule="exact"/>
        <w:ind w:firstLine="643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（一）本省下达水利发展资金预算和绩效目标情况</w:t>
      </w:r>
    </w:p>
    <w:p>
      <w:pPr>
        <w:spacing w:line="560" w:lineRule="exact"/>
        <w:ind w:firstLine="640"/>
      </w:pPr>
      <w:r>
        <w:rPr>
          <w:rFonts w:hint="eastAsia"/>
        </w:rPr>
        <w:t>1、本省下达水利发展资金预算情况</w:t>
      </w:r>
    </w:p>
    <w:p>
      <w:pPr>
        <w:pStyle w:val="4"/>
        <w:spacing w:line="560" w:lineRule="exact"/>
        <w:ind w:firstLine="640"/>
        <w:rPr>
          <w:rFonts w:ascii="仿宋_GB2312" w:hAnsi="仿宋_GB2312" w:cs="仿宋_GB2312"/>
          <w:color w:val="000000"/>
        </w:rPr>
      </w:pPr>
      <w:r>
        <w:rPr>
          <w:rFonts w:hint="eastAsia" w:ascii="仿宋_GB2312" w:hAnsi="仿宋_GB2312" w:cs="仿宋_GB2312"/>
          <w:color w:val="000000"/>
        </w:rPr>
        <w:t>《湖南省财政厅关于提前下达2021年第一批中央水利发展资金的通知》（湘财预〔2020〕306号）下达我</w:t>
      </w:r>
      <w:r>
        <w:rPr>
          <w:rFonts w:hint="eastAsia" w:ascii="仿宋_GB2312" w:hAnsi="仿宋_GB2312" w:cs="仿宋_GB2312"/>
          <w:color w:val="000000"/>
          <w:lang w:eastAsia="zh-CN"/>
        </w:rPr>
        <w:t>市市本级</w:t>
      </w:r>
      <w:r>
        <w:rPr>
          <w:rFonts w:hint="eastAsia" w:ascii="仿宋_GB2312" w:hAnsi="仿宋_GB2312" w:cs="仿宋_GB2312"/>
          <w:color w:val="000000"/>
        </w:rPr>
        <w:t>山洪灾害</w:t>
      </w:r>
      <w:r>
        <w:rPr>
          <w:rFonts w:hint="eastAsia" w:ascii="仿宋_GB2312" w:hAnsi="仿宋_GB2312" w:cs="仿宋_GB2312"/>
          <w:color w:val="000000"/>
          <w:lang w:eastAsia="zh-CN"/>
        </w:rPr>
        <w:t>防治资金</w:t>
      </w:r>
      <w:r>
        <w:rPr>
          <w:rFonts w:hint="eastAsia" w:ascii="仿宋_GB2312" w:hAnsi="仿宋_GB2312" w:cs="仿宋_GB2312"/>
          <w:color w:val="000000"/>
          <w:lang w:val="en-US" w:eastAsia="zh-CN"/>
        </w:rPr>
        <w:t>525</w:t>
      </w:r>
      <w:r>
        <w:rPr>
          <w:rFonts w:hint="eastAsia" w:ascii="仿宋_GB2312" w:hAnsi="仿宋_GB2312" w:cs="仿宋_GB2312"/>
          <w:color w:val="000000"/>
        </w:rPr>
        <w:t>万元。</w:t>
      </w:r>
    </w:p>
    <w:p>
      <w:pPr>
        <w:spacing w:line="560" w:lineRule="exact"/>
        <w:ind w:firstLine="800" w:firstLineChars="250"/>
        <w:rPr>
          <w:color w:val="000000"/>
        </w:rPr>
      </w:pPr>
      <w:r>
        <w:rPr>
          <w:rFonts w:hint="eastAsia"/>
          <w:color w:val="000000"/>
        </w:rPr>
        <w:t>2、绩效目标</w:t>
      </w:r>
    </w:p>
    <w:p>
      <w:pPr>
        <w:spacing w:line="600" w:lineRule="exact"/>
        <w:ind w:firstLine="640" w:firstLineChars="200"/>
        <w:rPr>
          <w:rFonts w:cs="Times New Roman"/>
          <w:color w:val="000000"/>
          <w:szCs w:val="32"/>
        </w:rPr>
      </w:pPr>
      <w:r>
        <w:rPr>
          <w:rFonts w:hint="eastAsia"/>
          <w:color w:val="000000"/>
          <w:lang w:eastAsia="zh-CN"/>
        </w:rPr>
        <w:t>山洪灾害防治非工程措施</w:t>
      </w:r>
      <w:r>
        <w:rPr>
          <w:rFonts w:hint="eastAsia"/>
          <w:color w:val="000000"/>
          <w:lang w:val="en-US" w:eastAsia="zh-CN"/>
        </w:rPr>
        <w:t>525</w:t>
      </w:r>
      <w:r>
        <w:rPr>
          <w:rFonts w:hint="eastAsia"/>
          <w:color w:val="000000"/>
        </w:rPr>
        <w:t>万元的绩效目标</w:t>
      </w:r>
      <w:r>
        <w:rPr>
          <w:rFonts w:hint="eastAsia"/>
          <w:color w:val="000000"/>
          <w:lang w:eastAsia="zh-CN"/>
        </w:rPr>
        <w:t>为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通过山洪灾害非工程措施提质改造建设，进一步提升基层灾害防治能力。</w:t>
      </w:r>
      <w:r>
        <w:rPr>
          <w:rFonts w:hint="eastAsia"/>
          <w:color w:val="000000"/>
          <w:lang w:eastAsia="zh-CN"/>
        </w:rPr>
        <w:t>实施山洪灾害防治县数</w:t>
      </w:r>
      <w:r>
        <w:rPr>
          <w:rFonts w:hint="eastAsia"/>
          <w:color w:val="000000"/>
          <w:lang w:val="en-US" w:eastAsia="zh-CN"/>
        </w:rPr>
        <w:t>4个，</w:t>
      </w:r>
      <w:r>
        <w:rPr>
          <w:rFonts w:hint="eastAsia"/>
          <w:color w:val="000000"/>
          <w:lang w:eastAsia="zh-CN"/>
        </w:rPr>
        <w:t>保护人口数量</w:t>
      </w:r>
      <w:r>
        <w:rPr>
          <w:rFonts w:hint="eastAsia"/>
          <w:color w:val="000000"/>
          <w:lang w:val="en-US" w:eastAsia="zh-CN"/>
        </w:rPr>
        <w:t>99.17万人</w:t>
      </w:r>
      <w:r>
        <w:rPr>
          <w:rFonts w:hint="eastAsia" w:ascii="仿宋" w:hAnsi="仿宋" w:eastAsia="仿宋"/>
          <w:color w:val="000000"/>
          <w:szCs w:val="32"/>
        </w:rPr>
        <w:t>。</w:t>
      </w:r>
    </w:p>
    <w:p>
      <w:pPr>
        <w:spacing w:line="560" w:lineRule="exact"/>
        <w:ind w:firstLine="640"/>
        <w:rPr>
          <w:rFonts w:eastAsia="楷体_GB2312" w:cs="Times New Roman"/>
          <w:b/>
          <w:bCs/>
          <w:color w:val="000000"/>
        </w:rPr>
      </w:pPr>
      <w:r>
        <w:rPr>
          <w:rFonts w:hint="eastAsia" w:ascii="仿宋" w:hAnsi="仿宋" w:eastAsia="仿宋"/>
          <w:color w:val="000000"/>
          <w:szCs w:val="32"/>
        </w:rPr>
        <w:t>（二）</w:t>
      </w:r>
      <w:r>
        <w:rPr>
          <w:rFonts w:eastAsia="楷体_GB2312" w:cs="Times New Roman"/>
          <w:b/>
          <w:color w:val="000000"/>
        </w:rPr>
        <w:t>实施项目情况</w:t>
      </w:r>
    </w:p>
    <w:p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根据省水利厅《湖南省2021年度山洪灾害防治项目实施方案》(湘水办[2021]12号）文件要求，益阳市水利局承担2021年度山洪灾害防治项目建设实施工作任务，在坚决落实省厅下达建设任务的前提下，前后7次调整修改实施方案，于9月15日，组织专家及相关区县市对实施方案进行审查并下达批复。建设内容包括桃江县、赫山区、资阳区、沅江市4个城镇，16个集镇等重点城(集)镇调查评价工作；4个区县市防治区范围内45个雨量站、25个自动水位站、16个图像视频站等外设测站的山洪灾害监测预警能力巩固提升；4个区县市防治区范围内村镇130套简易雨量站、800套手摇警报器、1200面铜锣的群策群防体系建设。</w:t>
      </w:r>
    </w:p>
    <w:p>
      <w:pPr>
        <w:pStyle w:val="3"/>
        <w:spacing w:line="560" w:lineRule="exact"/>
        <w:ind w:firstLine="640"/>
        <w:rPr>
          <w:rFonts w:eastAsia="黑体" w:cs="Times New Roman"/>
          <w:b w:val="0"/>
          <w:bCs w:val="0"/>
        </w:rPr>
      </w:pPr>
      <w:r>
        <w:rPr>
          <w:rFonts w:eastAsia="黑体" w:cs="Times New Roman"/>
          <w:b w:val="0"/>
          <w:bCs w:val="0"/>
        </w:rPr>
        <w:t>二、绩效自评工作开展情况</w:t>
      </w:r>
    </w:p>
    <w:p>
      <w:pPr>
        <w:pStyle w:val="4"/>
        <w:spacing w:line="560" w:lineRule="exact"/>
        <w:ind w:firstLine="643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（一）自评依据</w:t>
      </w:r>
    </w:p>
    <w:p>
      <w:pPr>
        <w:spacing w:line="560" w:lineRule="exact"/>
        <w:ind w:firstLine="640"/>
      </w:pPr>
      <w:r>
        <w:rPr>
          <w:rFonts w:hint="eastAsia"/>
        </w:rPr>
        <w:t>1、</w:t>
      </w:r>
      <w:r>
        <w:rPr>
          <w:rFonts w:hint="eastAsia" w:ascii="仿宋_GB2312" w:hAnsi="仿宋_GB2312" w:cs="仿宋_GB2312"/>
          <w:color w:val="000000"/>
        </w:rPr>
        <w:t>《湖南省财政厅关于提前下达2021年第一批中央水利发展资金的通知》（湘财预〔2020〕306号）</w:t>
      </w:r>
    </w:p>
    <w:p>
      <w:pPr>
        <w:spacing w:line="560" w:lineRule="exact"/>
        <w:ind w:firstLine="640"/>
        <w:rPr>
          <w:rFonts w:ascii="仿宋_GB2312" w:hAnsi="仿宋_GB2312" w:cs="仿宋_GB2312"/>
          <w:color w:val="000000"/>
          <w:szCs w:val="32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 w:ascii="仿宋_GB2312" w:hAnsi="仿宋_GB2312" w:cs="仿宋_GB2312"/>
          <w:color w:val="000000"/>
          <w:szCs w:val="32"/>
        </w:rPr>
        <w:t>《湖南省财政厅关于下达2021年第三批省级新增水利预算资金的通知》（湘财农指〔2021〕78号）</w:t>
      </w:r>
    </w:p>
    <w:p>
      <w:pPr>
        <w:spacing w:line="560" w:lineRule="exact"/>
        <w:ind w:firstLine="64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、水利行业标准及技术规范，水利相关规划、实施方案，项目可行性研究报告、初步设计等批复文件，项目建设管理有关资料和数据等。</w:t>
      </w:r>
    </w:p>
    <w:p>
      <w:pPr>
        <w:spacing w:line="560" w:lineRule="exact"/>
        <w:ind w:firstLine="640"/>
        <w:rPr>
          <w:rFonts w:cs="Times New Roman"/>
          <w:color w:val="000000"/>
        </w:rPr>
      </w:pPr>
      <w:r>
        <w:rPr>
          <w:rFonts w:hint="eastAsia" w:cs="Times New Roman"/>
          <w:color w:val="000000"/>
          <w:lang w:val="en-US" w:eastAsia="zh-CN"/>
        </w:rPr>
        <w:t>4</w:t>
      </w:r>
      <w:r>
        <w:rPr>
          <w:rFonts w:hint="eastAsia" w:cs="Times New Roman"/>
          <w:color w:val="000000"/>
        </w:rPr>
        <w:t>、截至评价时，已形成的验收、审计、决算、稽察、检查报告等。</w:t>
      </w:r>
    </w:p>
    <w:p>
      <w:pPr>
        <w:pStyle w:val="4"/>
        <w:spacing w:line="560" w:lineRule="exact"/>
        <w:ind w:firstLine="481" w:firstLineChars="150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（二）自评方式</w:t>
      </w:r>
    </w:p>
    <w:p>
      <w:pPr>
        <w:spacing w:line="560" w:lineRule="exact"/>
        <w:ind w:firstLine="640"/>
      </w:pPr>
      <w:r>
        <w:rPr>
          <w:rFonts w:hint="eastAsia" w:cs="Times New Roman"/>
          <w:color w:val="000000"/>
        </w:rPr>
        <w:t>我局结合项目实施情况展开评价，从项目组织、项目管理、资金管理、实施效果等方面通过翻阅资料、现场查看等方法</w:t>
      </w:r>
      <w:r>
        <w:rPr>
          <w:rFonts w:hint="eastAsia"/>
        </w:rPr>
        <w:t>归纳问题，分析原因，提出建议，形成最终自评价报告。</w:t>
      </w:r>
    </w:p>
    <w:p>
      <w:pPr>
        <w:pStyle w:val="3"/>
        <w:spacing w:line="560" w:lineRule="exact"/>
        <w:ind w:firstLine="640"/>
        <w:rPr>
          <w:rFonts w:eastAsia="黑体" w:cs="Times New Roman"/>
          <w:b w:val="0"/>
          <w:bCs w:val="0"/>
        </w:rPr>
      </w:pPr>
      <w:r>
        <w:rPr>
          <w:rFonts w:eastAsia="黑体" w:cs="Times New Roman"/>
          <w:b w:val="0"/>
          <w:bCs w:val="0"/>
        </w:rPr>
        <w:t>三、绩效自评分析</w:t>
      </w:r>
    </w:p>
    <w:p>
      <w:pPr>
        <w:pStyle w:val="4"/>
        <w:spacing w:line="560" w:lineRule="exact"/>
        <w:ind w:firstLine="643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（一）项目资金情况分析</w:t>
      </w:r>
    </w:p>
    <w:p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1.资金到位情况</w:t>
      </w:r>
    </w:p>
    <w:p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202</w:t>
      </w:r>
      <w:r>
        <w:rPr>
          <w:rFonts w:hint="eastAsia" w:cs="Times New Roman"/>
        </w:rPr>
        <w:t>1</w:t>
      </w:r>
      <w:r>
        <w:rPr>
          <w:rFonts w:cs="Times New Roman"/>
        </w:rPr>
        <w:t>年度中央和省级财政资金</w:t>
      </w:r>
      <w:r>
        <w:rPr>
          <w:rFonts w:hint="eastAsia" w:cs="Times New Roman"/>
        </w:rPr>
        <w:t>均已到位，具体情况见下表。</w:t>
      </w:r>
    </w:p>
    <w:p>
      <w:pPr>
        <w:ind w:firstLine="0" w:firstLineChars="0"/>
        <w:jc w:val="center"/>
        <w:rPr>
          <w:rFonts w:cs="Times New Roman"/>
        </w:rPr>
      </w:pPr>
      <w:r>
        <w:rPr>
          <w:rFonts w:cs="Times New Roman"/>
        </w:rPr>
        <w:t>表3-1 202</w:t>
      </w:r>
      <w:r>
        <w:rPr>
          <w:rFonts w:hint="eastAsia" w:cs="Times New Roman"/>
        </w:rPr>
        <w:t>1</w:t>
      </w:r>
      <w:r>
        <w:rPr>
          <w:rFonts w:cs="Times New Roman"/>
        </w:rPr>
        <w:t>年度中央和省级财政资金到位情况表</w:t>
      </w:r>
    </w:p>
    <w:p>
      <w:pPr>
        <w:pStyle w:val="2"/>
      </w:pPr>
    </w:p>
    <w:tbl>
      <w:tblPr>
        <w:tblStyle w:val="11"/>
        <w:tblW w:w="8556" w:type="dxa"/>
        <w:tblInd w:w="0" w:type="dxa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2348"/>
        <w:gridCol w:w="551"/>
        <w:gridCol w:w="702"/>
        <w:gridCol w:w="821"/>
        <w:gridCol w:w="730"/>
        <w:gridCol w:w="711"/>
        <w:gridCol w:w="851"/>
        <w:gridCol w:w="848"/>
        <w:gridCol w:w="994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0" w:hRule="atLeast"/>
          <w:tblHeader/>
        </w:trPr>
        <w:tc>
          <w:tcPr>
            <w:tcW w:w="2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批复预算数（万元）</w:t>
            </w:r>
          </w:p>
        </w:tc>
        <w:tc>
          <w:tcPr>
            <w:tcW w:w="5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扣除脱贫县资金后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1" w:hRule="atLeast"/>
          <w:tblHeader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预算数（万元）</w:t>
            </w:r>
          </w:p>
        </w:tc>
        <w:tc>
          <w:tcPr>
            <w:tcW w:w="241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财政到位资金（万元）</w:t>
            </w:r>
          </w:p>
        </w:tc>
        <w:tc>
          <w:tcPr>
            <w:tcW w:w="9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中央和省级财政资金到位率（%）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57" w:hRule="atLeast"/>
          <w:tblHeader/>
        </w:trPr>
        <w:tc>
          <w:tcPr>
            <w:tcW w:w="2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其中</w:t>
            </w:r>
          </w:p>
        </w:tc>
        <w:tc>
          <w:tcPr>
            <w:tcW w:w="9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75" w:hRule="atLeast"/>
          <w:tblHeader/>
        </w:trPr>
        <w:tc>
          <w:tcPr>
            <w:tcW w:w="2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9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" w:hRule="atLeast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00" w:firstLineChars="50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100</w:t>
            </w:r>
          </w:p>
        </w:tc>
      </w:tr>
    </w:tbl>
    <w:p>
      <w:pPr>
        <w:ind w:firstLine="0" w:firstLineChars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注：财政资金到位率=(中央+省级财政到位资金)/（中央+省级资金预算数）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2.资金执行情况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项目资金严格按程序进行管理，建立健全了财务管理制度，资金做到了专款专用，无挪用和截留现象。我</w:t>
      </w:r>
      <w:r>
        <w:rPr>
          <w:rFonts w:hint="eastAsia" w:cs="Times New Roman"/>
          <w:szCs w:val="32"/>
          <w:lang w:eastAsia="zh-CN"/>
        </w:rPr>
        <w:t>市</w:t>
      </w:r>
      <w:r>
        <w:rPr>
          <w:rFonts w:hint="eastAsia" w:cs="Times New Roman"/>
          <w:szCs w:val="32"/>
        </w:rPr>
        <w:t>财政、水利部门按职责分工积极参与项目实施监督，各项目达到了预期治理目标。</w:t>
      </w:r>
      <w:r>
        <w:rPr>
          <w:rFonts w:cs="Times New Roman"/>
          <w:szCs w:val="32"/>
        </w:rPr>
        <w:t>截至202</w:t>
      </w:r>
      <w:r>
        <w:rPr>
          <w:rFonts w:hint="eastAsia" w:cs="Times New Roman"/>
          <w:szCs w:val="32"/>
        </w:rPr>
        <w:t>1</w:t>
      </w:r>
      <w:r>
        <w:rPr>
          <w:rFonts w:cs="Times New Roman"/>
          <w:szCs w:val="32"/>
        </w:rPr>
        <w:t>年12月底、202</w:t>
      </w:r>
      <w:r>
        <w:rPr>
          <w:rFonts w:hint="eastAsia" w:cs="Times New Roman"/>
          <w:szCs w:val="32"/>
        </w:rPr>
        <w:t>2</w:t>
      </w:r>
      <w:r>
        <w:rPr>
          <w:rFonts w:cs="Times New Roman"/>
          <w:szCs w:val="32"/>
        </w:rPr>
        <w:t>年6月底预算资金完成情况</w:t>
      </w:r>
      <w:r>
        <w:rPr>
          <w:rFonts w:hint="eastAsia" w:cs="Times New Roman"/>
          <w:szCs w:val="32"/>
        </w:rPr>
        <w:t>如下。</w:t>
      </w:r>
    </w:p>
    <w:p>
      <w:pPr>
        <w:ind w:firstLine="0" w:firstLineChars="0"/>
        <w:jc w:val="center"/>
        <w:rPr>
          <w:rFonts w:cs="Times New Roman"/>
        </w:rPr>
      </w:pPr>
      <w:r>
        <w:rPr>
          <w:rFonts w:cs="Times New Roman"/>
        </w:rPr>
        <w:t>表3-2 202</w:t>
      </w:r>
      <w:r>
        <w:rPr>
          <w:rFonts w:hint="eastAsia" w:cs="Times New Roman"/>
        </w:rPr>
        <w:t>1</w:t>
      </w:r>
      <w:r>
        <w:rPr>
          <w:rFonts w:cs="Times New Roman"/>
        </w:rPr>
        <w:t>年度水利发展资金执行情况表</w:t>
      </w:r>
    </w:p>
    <w:tbl>
      <w:tblPr>
        <w:tblStyle w:val="11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2481"/>
        <w:gridCol w:w="1339"/>
        <w:gridCol w:w="1147"/>
        <w:gridCol w:w="1149"/>
        <w:gridCol w:w="1147"/>
        <w:gridCol w:w="1145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1" w:hRule="atLeast"/>
          <w:tblHeader/>
        </w:trPr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分  类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投资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完成投资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2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投资完成率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15" w:hRule="atLeast"/>
          <w:tblHeader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tblHeader/>
        </w:trPr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截至202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年12月底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截至202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年6月底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截至202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年12月底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截至202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年6月底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92.38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4" w:hRule="atLeast"/>
        </w:trPr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kern w:val="0"/>
                <w:sz w:val="20"/>
                <w:szCs w:val="20"/>
              </w:rPr>
              <w:t>小计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525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92.38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</w:tr>
    </w:tbl>
    <w:p>
      <w:pPr>
        <w:spacing w:line="260" w:lineRule="exact"/>
        <w:ind w:firstLine="0"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注：1、根据</w:t>
      </w:r>
      <w:r>
        <w:rPr>
          <w:rFonts w:cs="Times New Roman"/>
          <w:color w:val="000000"/>
          <w:kern w:val="0"/>
          <w:sz w:val="20"/>
          <w:szCs w:val="20"/>
        </w:rPr>
        <w:t>扣除</w:t>
      </w:r>
      <w:r>
        <w:rPr>
          <w:rFonts w:hint="eastAsia" w:cs="Times New Roman"/>
          <w:color w:val="000000"/>
          <w:kern w:val="0"/>
          <w:sz w:val="20"/>
          <w:szCs w:val="20"/>
        </w:rPr>
        <w:t>国家级</w:t>
      </w:r>
      <w:r>
        <w:rPr>
          <w:rFonts w:cs="Times New Roman"/>
          <w:color w:val="000000"/>
          <w:kern w:val="0"/>
          <w:sz w:val="20"/>
          <w:szCs w:val="20"/>
        </w:rPr>
        <w:t>脱贫县资金</w:t>
      </w:r>
      <w:r>
        <w:rPr>
          <w:rFonts w:cs="Times New Roman"/>
          <w:sz w:val="20"/>
          <w:szCs w:val="20"/>
        </w:rPr>
        <w:t>后的投资（A）、完成投资（B）（包括中央财政资金、地方财政资金和其他资金）计算投资完成率（B/A）；2、表中数据不含</w:t>
      </w:r>
      <w:r>
        <w:rPr>
          <w:rFonts w:hint="eastAsia" w:cs="Times New Roman"/>
          <w:sz w:val="20"/>
          <w:szCs w:val="20"/>
        </w:rPr>
        <w:t>国家级</w:t>
      </w:r>
      <w:r>
        <w:rPr>
          <w:rFonts w:cs="Times New Roman"/>
          <w:sz w:val="20"/>
          <w:szCs w:val="20"/>
        </w:rPr>
        <w:t>脱贫县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3.资金管理情况</w:t>
      </w:r>
    </w:p>
    <w:p>
      <w:pPr>
        <w:widowControl w:val="0"/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资金管理</w:t>
      </w:r>
      <w:r>
        <w:rPr>
          <w:rFonts w:hint="eastAsia" w:cs="Times New Roman"/>
          <w:szCs w:val="32"/>
        </w:rPr>
        <w:t>严格按下达的资金预算文件、《湖南省水利发展资金管理办法》执行，所有项目没有违规使用资金的行为。</w:t>
      </w:r>
    </w:p>
    <w:p>
      <w:pPr>
        <w:pStyle w:val="4"/>
        <w:spacing w:line="560" w:lineRule="exact"/>
        <w:ind w:firstLine="643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（二）项目管理情况分析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1.组织实施</w:t>
      </w:r>
    </w:p>
    <w:p>
      <w:pPr>
        <w:widowControl w:val="0"/>
        <w:spacing w:line="560" w:lineRule="exact"/>
        <w:ind w:firstLine="640"/>
      </w:pPr>
      <w:r>
        <w:rPr>
          <w:rFonts w:hint="eastAsia"/>
        </w:rPr>
        <w:t>为切实加强领导，确保绩效评价工作落实到位，我局成立了绩效评价工作领导小组，及时布置绩效评价工作任务、开展绩效评价工作。</w:t>
      </w:r>
    </w:p>
    <w:p>
      <w:pPr>
        <w:widowControl w:val="0"/>
        <w:spacing w:line="56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在工程实施中，项目法人严格按照项目法人责任制、招标投标制、建设监理制和合同管理制及批复的设计文件，完善了项目建设相关手续，加强工程建设管理，严格控制建设标准，精心组织施工，确保工程质量。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2.绩效管理</w:t>
      </w:r>
    </w:p>
    <w:p>
      <w:pPr>
        <w:spacing w:line="560" w:lineRule="exact"/>
        <w:ind w:firstLine="640"/>
      </w:pPr>
      <w:r>
        <w:rPr>
          <w:rFonts w:hint="eastAsia"/>
        </w:rPr>
        <w:t>为确保绩效评价工作落实到位，我局制定了绩效管理办法，要求项目法人及时向上级单位申报绩效目标，并不定期的对项目实施的进度和资金拨付情况进行抽查，检查绩效目标情况。</w:t>
      </w:r>
      <w:r>
        <w:rPr>
          <w:rFonts w:hint="eastAsia"/>
          <w:szCs w:val="32"/>
        </w:rPr>
        <w:t>制定了相关规定，科学认真地分析影响项目实施成效的各个方面的因素，确保自评材料填报结果真实可靠，并及时形成、上报绩效自评报告。</w:t>
      </w:r>
    </w:p>
    <w:p>
      <w:pPr>
        <w:pStyle w:val="2"/>
        <w:spacing w:line="560" w:lineRule="exact"/>
        <w:ind w:left="298" w:leftChars="31" w:hanging="199" w:hangingChars="62"/>
        <w:rPr>
          <w:rFonts w:eastAsia="楷体_GB2312" w:cs="Times New Roman"/>
          <w:b/>
          <w:bCs/>
        </w:rPr>
      </w:pPr>
      <w:r>
        <w:rPr>
          <w:rFonts w:eastAsia="楷体_GB2312" w:cs="Times New Roman"/>
          <w:b/>
        </w:rPr>
        <w:t>（三）产出指标完成情况分析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1.项目数量指标</w:t>
      </w:r>
    </w:p>
    <w:p>
      <w:pPr>
        <w:widowControl w:val="0"/>
        <w:spacing w:line="56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对项目实施进度、完成数量与质量、项目实施的成本（预算）控制情况与节约情况等进行了分析，数量指标实际完成情况如下</w:t>
      </w:r>
      <w:r>
        <w:rPr>
          <w:rFonts w:cs="Times New Roman"/>
          <w:szCs w:val="32"/>
        </w:rPr>
        <w:t>。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表</w:t>
      </w:r>
      <w:r>
        <w:rPr>
          <w:rFonts w:cs="Times New Roman"/>
          <w:szCs w:val="32"/>
          <w:lang w:val="zh-CN"/>
        </w:rPr>
        <w:t>3</w:t>
      </w:r>
      <w:r>
        <w:rPr>
          <w:rFonts w:hint="eastAsia" w:cs="Times New Roman"/>
          <w:szCs w:val="32"/>
        </w:rPr>
        <w:t>-</w:t>
      </w:r>
      <w:r>
        <w:rPr>
          <w:rFonts w:cs="Times New Roman"/>
          <w:szCs w:val="32"/>
          <w:lang w:val="zh-CN"/>
        </w:rPr>
        <w:t xml:space="preserve">3 </w:t>
      </w:r>
      <w:r>
        <w:rPr>
          <w:rFonts w:hint="eastAsia" w:cs="Times New Roman"/>
          <w:szCs w:val="32"/>
        </w:rPr>
        <w:t>2021</w:t>
      </w:r>
      <w:r>
        <w:rPr>
          <w:rFonts w:cs="Times New Roman"/>
          <w:szCs w:val="32"/>
        </w:rPr>
        <w:t>年度水利发展资金项目数量指标情况表</w:t>
      </w:r>
    </w:p>
    <w:tbl>
      <w:tblPr>
        <w:tblStyle w:val="11"/>
        <w:tblW w:w="4998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7"/>
        <w:gridCol w:w="4008"/>
        <w:gridCol w:w="596"/>
        <w:gridCol w:w="748"/>
        <w:gridCol w:w="8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40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24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12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预期</w:t>
            </w:r>
          </w:p>
          <w:p>
            <w:pPr>
              <w:pStyle w:val="30"/>
              <w:spacing w:line="12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120" w:lineRule="auto"/>
              <w:ind w:firstLine="0" w:firstLineChars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实际完成</w:t>
            </w:r>
          </w:p>
          <w:p>
            <w:pPr>
              <w:pStyle w:val="30"/>
              <w:spacing w:line="12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240" w:lineRule="auto"/>
              <w:ind w:firstLine="0" w:firstLineChars="0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山洪灾害防治</w:t>
            </w:r>
          </w:p>
        </w:tc>
        <w:tc>
          <w:tcPr>
            <w:tcW w:w="24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实施</w:t>
            </w:r>
            <w:r>
              <w:rPr>
                <w:rFonts w:hint="eastAsia"/>
                <w:color w:val="000000"/>
                <w:sz w:val="18"/>
                <w:szCs w:val="18"/>
              </w:rPr>
              <w:t>山洪灾害防治非工程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措施县数</w:t>
            </w:r>
          </w:p>
        </w:tc>
        <w:tc>
          <w:tcPr>
            <w:tcW w:w="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0"/>
              <w:spacing w:line="240" w:lineRule="auto"/>
              <w:ind w:firstLine="0" w:firstLineChars="0"/>
              <w:jc w:val="center"/>
              <w:rPr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 w:val="0"/>
              <w:ind w:firstLine="0" w:firstLineChars="0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2.项目质量指标</w:t>
      </w:r>
    </w:p>
    <w:p>
      <w:pPr>
        <w:widowControl w:val="0"/>
        <w:spacing w:line="560" w:lineRule="exact"/>
        <w:ind w:firstLine="640"/>
        <w:rPr>
          <w:rFonts w:cs="Times New Roman"/>
          <w:szCs w:val="32"/>
        </w:rPr>
      </w:pPr>
      <w:r>
        <w:rPr>
          <w:rFonts w:hint="eastAsia" w:cs="Times New Roman"/>
          <w:szCs w:val="32"/>
        </w:rPr>
        <w:t>工程建设均符合设计、国家和行业技术标准以及合同约定的标准要求，工程建设不存在质量问题等</w:t>
      </w:r>
      <w:r>
        <w:rPr>
          <w:rFonts w:cs="Times New Roman"/>
          <w:szCs w:val="32"/>
        </w:rPr>
        <w:t>。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3.项目时效指标</w:t>
      </w:r>
    </w:p>
    <w:p>
      <w:pPr>
        <w:spacing w:line="5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截至202</w:t>
      </w:r>
      <w:r>
        <w:rPr>
          <w:rFonts w:hint="eastAsia" w:cs="Times New Roman"/>
          <w:szCs w:val="32"/>
        </w:rPr>
        <w:t>2</w:t>
      </w:r>
      <w:r>
        <w:rPr>
          <w:rFonts w:cs="Times New Roman"/>
          <w:szCs w:val="32"/>
        </w:rPr>
        <w:t>年6月底，项目开工、完工及验收情况</w:t>
      </w:r>
      <w:r>
        <w:rPr>
          <w:rFonts w:hint="eastAsia" w:cs="Times New Roman"/>
          <w:szCs w:val="32"/>
        </w:rPr>
        <w:t>如下。</w:t>
      </w:r>
    </w:p>
    <w:p>
      <w:pPr>
        <w:spacing w:line="560" w:lineRule="exact"/>
        <w:ind w:firstLine="0" w:firstLineChars="0"/>
        <w:jc w:val="center"/>
        <w:rPr>
          <w:rFonts w:cs="Times New Roman"/>
        </w:rPr>
      </w:pPr>
      <w:r>
        <w:rPr>
          <w:rFonts w:cs="Times New Roman"/>
        </w:rPr>
        <w:t>表3-</w:t>
      </w:r>
      <w:r>
        <w:rPr>
          <w:rFonts w:hint="eastAsia" w:cs="Times New Roman"/>
        </w:rPr>
        <w:t>4</w:t>
      </w:r>
      <w:r>
        <w:rPr>
          <w:rFonts w:cs="Times New Roman"/>
        </w:rPr>
        <w:t xml:space="preserve"> 202</w:t>
      </w:r>
      <w:r>
        <w:rPr>
          <w:rFonts w:hint="eastAsia" w:cs="Times New Roman"/>
        </w:rPr>
        <w:t>1</w:t>
      </w:r>
      <w:r>
        <w:rPr>
          <w:rFonts w:cs="Times New Roman"/>
        </w:rPr>
        <w:t>年度水利发展资金项目实施情况表</w:t>
      </w:r>
    </w:p>
    <w:tbl>
      <w:tblPr>
        <w:tblStyle w:val="11"/>
        <w:tblW w:w="8408" w:type="dxa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412"/>
        <w:gridCol w:w="713"/>
        <w:gridCol w:w="713"/>
        <w:gridCol w:w="713"/>
        <w:gridCol w:w="713"/>
        <w:gridCol w:w="718"/>
        <w:gridCol w:w="713"/>
        <w:gridCol w:w="713"/>
      </w:tblGrid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36" w:hRule="atLeast"/>
          <w:tblHeader/>
        </w:trPr>
        <w:tc>
          <w:tcPr>
            <w:tcW w:w="3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分  类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实施项目数（个）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完工率（%）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验收率（%）</w:t>
            </w: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tblHeader/>
        </w:trPr>
        <w:tc>
          <w:tcPr>
            <w:tcW w:w="3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总数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开工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完工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完工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验收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验收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</w:trPr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山洪灾害防治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hint="eastAsia" w:cs="Times New Roman"/>
                <w:color w:val="000000"/>
                <w:kern w:val="0"/>
                <w:sz w:val="22"/>
              </w:rPr>
              <w:t>100</w:t>
            </w:r>
          </w:p>
        </w:tc>
      </w:tr>
    </w:tbl>
    <w:p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4.项目成本指标</w:t>
      </w:r>
    </w:p>
    <w:p>
      <w:pPr>
        <w:widowControl w:val="0"/>
        <w:spacing w:line="560" w:lineRule="exact"/>
        <w:ind w:firstLine="640"/>
        <w:rPr>
          <w:rFonts w:cs="Times New Roman"/>
        </w:rPr>
      </w:pPr>
      <w:r>
        <w:rPr>
          <w:rFonts w:hint="eastAsia" w:cs="Times New Roman"/>
          <w:lang w:eastAsia="zh-CN"/>
        </w:rPr>
        <w:t>山洪灾害防治</w:t>
      </w:r>
      <w:r>
        <w:rPr>
          <w:rFonts w:hint="eastAsia" w:cs="Times New Roman"/>
        </w:rPr>
        <w:t>项目的实施成本控制在概算内。</w:t>
      </w:r>
    </w:p>
    <w:p>
      <w:pPr>
        <w:pStyle w:val="4"/>
        <w:spacing w:line="560" w:lineRule="exact"/>
        <w:ind w:firstLine="643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（四）效益指标完成情况分析</w:t>
      </w:r>
    </w:p>
    <w:p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对照</w:t>
      </w:r>
      <w:r>
        <w:rPr>
          <w:rFonts w:cs="Times New Roman"/>
          <w:szCs w:val="32"/>
        </w:rPr>
        <w:t>批复绩效目标及调整报备或报批后的绩效目标</w:t>
      </w:r>
      <w:r>
        <w:rPr>
          <w:rFonts w:cs="Times New Roman"/>
        </w:rPr>
        <w:t>，各效益指标实际完成情况</w:t>
      </w:r>
      <w:r>
        <w:rPr>
          <w:rFonts w:hint="eastAsia" w:cs="Times New Roman"/>
        </w:rPr>
        <w:t>分析如下。</w:t>
      </w:r>
    </w:p>
    <w:p>
      <w:pPr>
        <w:pStyle w:val="31"/>
        <w:numPr>
          <w:ilvl w:val="0"/>
          <w:numId w:val="1"/>
        </w:numPr>
        <w:spacing w:line="560" w:lineRule="exact"/>
        <w:ind w:firstLineChars="0"/>
        <w:rPr>
          <w:rFonts w:cs="Times New Roman"/>
          <w:color w:val="000000"/>
        </w:rPr>
      </w:pPr>
      <w:r>
        <w:rPr>
          <w:rFonts w:cs="Times New Roman"/>
          <w:color w:val="000000"/>
        </w:rPr>
        <w:t>项目实施的经济效益分析</w:t>
      </w:r>
    </w:p>
    <w:p>
      <w:pPr>
        <w:spacing w:line="600" w:lineRule="exact"/>
        <w:ind w:firstLine="640" w:firstLineChars="200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</w:rPr>
        <w:t>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完成了4个区县市防治区范围内45个雨量站、25个自动水位站、16个图像视频站等外设测站，4个区县市防治区的群策群防体系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建设。</w:t>
      </w:r>
    </w:p>
    <w:p>
      <w:pPr>
        <w:spacing w:line="560" w:lineRule="exact"/>
        <w:ind w:firstLine="640" w:firstLineChars="0"/>
        <w:rPr>
          <w:rFonts w:cs="Times New Roman"/>
          <w:color w:val="000000"/>
        </w:rPr>
      </w:pPr>
      <w:r>
        <w:rPr>
          <w:rFonts w:hint="eastAsia" w:cs="Times New Roman"/>
          <w:color w:val="000000"/>
        </w:rPr>
        <w:t>2.</w:t>
      </w:r>
      <w:r>
        <w:rPr>
          <w:rFonts w:cs="Times New Roman"/>
          <w:color w:val="000000"/>
        </w:rPr>
        <w:t>项目实施的社会效益分析</w:t>
      </w:r>
    </w:p>
    <w:p>
      <w:pPr>
        <w:widowControl w:val="0"/>
        <w:spacing w:line="560" w:lineRule="exact"/>
        <w:ind w:firstLine="640"/>
        <w:outlineLvl w:val="0"/>
        <w:rPr>
          <w:rFonts w:cs="Times New Roman"/>
          <w:color w:val="000000"/>
        </w:rPr>
      </w:pPr>
      <w:r>
        <w:rPr>
          <w:rFonts w:hint="eastAsia" w:cs="Times New Roman"/>
          <w:color w:val="000000"/>
          <w:lang w:eastAsia="zh-CN"/>
        </w:rPr>
        <w:t>项目完成了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包括桃江县、赫山区、资阳区、沅江市4个城镇，16个集镇等重点城(集)镇调查评价工作。</w:t>
      </w:r>
      <w:r>
        <w:rPr>
          <w:rFonts w:hint="eastAsia" w:cs="Times New Roman"/>
          <w:color w:val="000000"/>
          <w:lang w:eastAsia="zh-CN"/>
        </w:rPr>
        <w:t>山洪灾害防治惠及</w:t>
      </w:r>
      <w:r>
        <w:rPr>
          <w:rFonts w:hint="eastAsia" w:cs="Times New Roman"/>
          <w:color w:val="000000"/>
          <w:lang w:val="en-US" w:eastAsia="zh-CN"/>
        </w:rPr>
        <w:t>4区县，</w:t>
      </w:r>
      <w:r>
        <w:rPr>
          <w:rFonts w:hint="eastAsia" w:cs="Times New Roman"/>
          <w:color w:val="000000"/>
          <w:lang w:eastAsia="zh-CN"/>
        </w:rPr>
        <w:t>保护人口</w:t>
      </w:r>
      <w:r>
        <w:rPr>
          <w:rFonts w:hint="eastAsia" w:cs="Times New Roman"/>
          <w:color w:val="000000"/>
          <w:lang w:val="en-US" w:eastAsia="zh-CN"/>
        </w:rPr>
        <w:t>99.17万人</w:t>
      </w:r>
      <w:r>
        <w:rPr>
          <w:rFonts w:hint="eastAsia" w:cs="Times New Roman"/>
          <w:color w:val="000000"/>
          <w:lang w:eastAsia="zh-CN"/>
        </w:rPr>
        <w:t>，</w:t>
      </w:r>
      <w:r>
        <w:rPr>
          <w:rFonts w:hint="eastAsia" w:cs="Times New Roman"/>
          <w:color w:val="000000"/>
        </w:rPr>
        <w:t>确保了水利工程完整及安全运行。</w:t>
      </w:r>
    </w:p>
    <w:p>
      <w:pPr>
        <w:spacing w:line="560" w:lineRule="exact"/>
        <w:ind w:firstLine="640" w:firstLineChars="0"/>
        <w:rPr>
          <w:rFonts w:cs="Times New Roman"/>
        </w:rPr>
      </w:pPr>
      <w:r>
        <w:rPr>
          <w:rFonts w:cs="Times New Roman"/>
        </w:rPr>
        <w:t>3.项目实施的生态效益分析</w:t>
      </w:r>
    </w:p>
    <w:p>
      <w:pPr>
        <w:widowControl w:val="0"/>
        <w:spacing w:line="560" w:lineRule="exact"/>
        <w:ind w:firstLine="640"/>
        <w:outlineLvl w:val="0"/>
        <w:rPr>
          <w:rFonts w:cs="Times New Roman"/>
        </w:rPr>
      </w:pPr>
      <w:r>
        <w:rPr>
          <w:rFonts w:hint="eastAsia" w:cs="Times New Roman"/>
        </w:rPr>
        <w:t>工程实施后，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山洪灾害监测预警能力巩固提升，</w:t>
      </w:r>
      <w:r>
        <w:rPr>
          <w:rFonts w:hint="eastAsia" w:cs="Times New Roman"/>
        </w:rPr>
        <w:t>生态</w:t>
      </w:r>
      <w:r>
        <w:rPr>
          <w:rFonts w:hint="eastAsia" w:cs="Times New Roman"/>
          <w:lang w:eastAsia="zh-CN"/>
        </w:rPr>
        <w:t>环境得以改善</w:t>
      </w:r>
      <w:r>
        <w:rPr>
          <w:rFonts w:hint="eastAsia" w:cs="Times New Roman"/>
        </w:rPr>
        <w:t>。</w:t>
      </w:r>
    </w:p>
    <w:p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4.项目实施的可持续影响分析</w:t>
      </w:r>
    </w:p>
    <w:p>
      <w:pPr>
        <w:widowControl w:val="0"/>
        <w:spacing w:line="560" w:lineRule="exact"/>
        <w:ind w:firstLine="640"/>
        <w:outlineLvl w:val="0"/>
        <w:rPr>
          <w:rFonts w:cs="Times New Roman"/>
        </w:rPr>
      </w:pPr>
      <w:r>
        <w:rPr>
          <w:rFonts w:hint="eastAsia" w:cs="Times New Roman"/>
        </w:rPr>
        <w:t>到目前为止，所有项目已基本完成，工程运行良好，能达到</w:t>
      </w:r>
      <w:r>
        <w:rPr>
          <w:rFonts w:hint="eastAsia" w:cs="Times New Roman"/>
          <w:lang w:eastAsia="zh-CN"/>
        </w:rPr>
        <w:t>设计</w:t>
      </w:r>
      <w:r>
        <w:rPr>
          <w:rFonts w:hint="eastAsia" w:cs="Times New Roman"/>
        </w:rPr>
        <w:t>使用年限。</w:t>
      </w:r>
    </w:p>
    <w:p>
      <w:pPr>
        <w:pStyle w:val="4"/>
        <w:spacing w:line="560" w:lineRule="exact"/>
        <w:ind w:firstLine="481" w:firstLineChars="150"/>
        <w:rPr>
          <w:rFonts w:eastAsia="楷体_GB2312" w:cs="Times New Roman"/>
          <w:b/>
          <w:bCs w:val="0"/>
        </w:rPr>
      </w:pPr>
      <w:r>
        <w:rPr>
          <w:rFonts w:eastAsia="楷体_GB2312" w:cs="Times New Roman"/>
          <w:b/>
          <w:bCs w:val="0"/>
        </w:rPr>
        <w:t>（五）满意度指标完成情况分析</w:t>
      </w:r>
    </w:p>
    <w:p>
      <w:pPr>
        <w:widowControl w:val="0"/>
        <w:spacing w:line="560" w:lineRule="exact"/>
        <w:ind w:firstLine="640"/>
        <w:rPr>
          <w:rFonts w:cs="Times New Roman"/>
        </w:rPr>
      </w:pPr>
      <w:r>
        <w:rPr>
          <w:rFonts w:hint="eastAsia" w:cs="Times New Roman"/>
        </w:rPr>
        <w:t>项目完工后，我局向受益周边群众发放调查问卷</w:t>
      </w:r>
      <w:r>
        <w:rPr>
          <w:rFonts w:hint="eastAsia" w:cs="Times New Roman"/>
          <w:lang w:val="en-US" w:eastAsia="zh-CN"/>
        </w:rPr>
        <w:t>100</w:t>
      </w:r>
      <w:r>
        <w:rPr>
          <w:rFonts w:hint="eastAsia" w:cs="Times New Roman"/>
        </w:rPr>
        <w:t>份，回收</w:t>
      </w:r>
      <w:r>
        <w:rPr>
          <w:rFonts w:hint="eastAsia" w:cs="Times New Roman"/>
          <w:lang w:val="en-US" w:eastAsia="zh-CN"/>
        </w:rPr>
        <w:t>100</w:t>
      </w:r>
      <w:r>
        <w:rPr>
          <w:rFonts w:hint="eastAsia" w:cs="Times New Roman"/>
        </w:rPr>
        <w:t>份，</w:t>
      </w:r>
      <w:r>
        <w:rPr>
          <w:rFonts w:cs="Times New Roman"/>
        </w:rPr>
        <w:t>满意度调查结果</w:t>
      </w:r>
      <w:r>
        <w:rPr>
          <w:rFonts w:hint="eastAsia" w:cs="Times New Roman"/>
        </w:rPr>
        <w:t>统计如下</w:t>
      </w:r>
      <w:r>
        <w:rPr>
          <w:rFonts w:cs="Times New Roman"/>
        </w:rPr>
        <w:t>。</w:t>
      </w:r>
    </w:p>
    <w:p>
      <w:pPr>
        <w:spacing w:line="560" w:lineRule="exact"/>
        <w:ind w:firstLine="0" w:firstLineChars="0"/>
        <w:jc w:val="center"/>
        <w:rPr>
          <w:rFonts w:cs="Times New Roman"/>
        </w:rPr>
      </w:pPr>
      <w:r>
        <w:rPr>
          <w:rFonts w:cs="Times New Roman"/>
        </w:rPr>
        <w:t>表3-</w:t>
      </w:r>
      <w:r>
        <w:rPr>
          <w:rFonts w:hint="eastAsia" w:cs="Times New Roman"/>
        </w:rPr>
        <w:t>5</w:t>
      </w:r>
      <w:r>
        <w:rPr>
          <w:rFonts w:cs="Times New Roman"/>
        </w:rPr>
        <w:t xml:space="preserve"> 2020年度水利发展资金项目实施满意度调查情况表</w:t>
      </w:r>
    </w:p>
    <w:tbl>
      <w:tblPr>
        <w:tblStyle w:val="11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609"/>
        <w:gridCol w:w="1998"/>
        <w:gridCol w:w="15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2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调查问卷数（份）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平均满意度（分）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eastAsia="zh-CN"/>
              </w:rPr>
              <w:t>市本级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default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eastAsia="仿宋_GB2312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ind w:firstLine="0" w:firstLineChars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注：表中数据不含脱贫县</w:t>
      </w:r>
    </w:p>
    <w:p>
      <w:pPr>
        <w:spacing w:line="560" w:lineRule="exact"/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四、偏离绩效目标原因和下一步改进措施</w:t>
      </w:r>
    </w:p>
    <w:p>
      <w:pPr>
        <w:pStyle w:val="2"/>
        <w:spacing w:line="560" w:lineRule="exact"/>
        <w:ind w:left="1280" w:hanging="640"/>
      </w:pPr>
      <w:r>
        <w:rPr>
          <w:rFonts w:hint="eastAsia"/>
        </w:rPr>
        <w:t>无</w:t>
      </w:r>
    </w:p>
    <w:p>
      <w:pPr>
        <w:pStyle w:val="3"/>
        <w:spacing w:line="560" w:lineRule="exact"/>
        <w:ind w:firstLine="640"/>
        <w:rPr>
          <w:rFonts w:eastAsia="黑体" w:cs="Times New Roman"/>
          <w:b w:val="0"/>
          <w:bCs w:val="0"/>
          <w:szCs w:val="32"/>
        </w:rPr>
      </w:pPr>
      <w:r>
        <w:rPr>
          <w:rFonts w:hint="eastAsia" w:eastAsia="黑体" w:cs="Times New Roman"/>
          <w:b w:val="0"/>
          <w:bCs w:val="0"/>
          <w:szCs w:val="32"/>
        </w:rPr>
        <w:t>五</w:t>
      </w:r>
      <w:r>
        <w:rPr>
          <w:rFonts w:eastAsia="黑体" w:cs="Times New Roman"/>
          <w:b w:val="0"/>
          <w:bCs w:val="0"/>
          <w:szCs w:val="32"/>
        </w:rPr>
        <w:t>、综合评价结论</w:t>
      </w:r>
    </w:p>
    <w:p>
      <w:pPr>
        <w:widowControl w:val="0"/>
        <w:spacing w:line="560" w:lineRule="exact"/>
        <w:ind w:firstLine="640"/>
        <w:outlineLvl w:val="0"/>
      </w:pPr>
      <w:r>
        <w:rPr>
          <w:rFonts w:hint="eastAsia" w:ascii="仿宋" w:hAnsi="仿宋" w:eastAsia="仿宋" w:cs="仿宋"/>
          <w:szCs w:val="32"/>
        </w:rPr>
        <w:t>为切实加强领导，确保完成全年总体目标落实到位，我局成立了绩效评价领导小组，并对各项目实施进度和资金拨付情况进行检查，截止到目前为止，各项目总体目标基本完成。所有项目在决策、管理、绩效等方面的控制上都取得了一定的成效，群众满意度也很高。2021度水利发展资金</w:t>
      </w:r>
      <w:r>
        <w:rPr>
          <w:rFonts w:hint="eastAsia" w:ascii="仿宋" w:hAnsi="仿宋" w:eastAsia="仿宋" w:cs="仿宋"/>
          <w:szCs w:val="32"/>
          <w:lang w:eastAsia="zh-CN"/>
        </w:rPr>
        <w:t>山洪灾害防治项目</w:t>
      </w:r>
      <w:r>
        <w:rPr>
          <w:rFonts w:hint="eastAsia" w:ascii="仿宋" w:hAnsi="仿宋" w:eastAsia="仿宋" w:cs="仿宋"/>
          <w:color w:val="000000"/>
          <w:szCs w:val="32"/>
        </w:rPr>
        <w:t>绩效自评</w:t>
      </w:r>
      <w:r>
        <w:rPr>
          <w:rFonts w:hint="eastAsia" w:ascii="仿宋" w:hAnsi="仿宋" w:eastAsia="仿宋" w:cs="仿宋"/>
          <w:color w:val="000000"/>
          <w:szCs w:val="32"/>
          <w:lang w:val="en-US" w:eastAsia="zh-CN"/>
        </w:rPr>
        <w:t>92</w:t>
      </w:r>
      <w:r>
        <w:rPr>
          <w:rFonts w:hint="eastAsia" w:ascii="仿宋" w:hAnsi="仿宋" w:eastAsia="仿宋" w:cs="仿宋"/>
          <w:color w:val="000000"/>
          <w:szCs w:val="32"/>
        </w:rPr>
        <w:t>分。</w:t>
      </w:r>
    </w:p>
    <w:p>
      <w:pPr>
        <w:pStyle w:val="3"/>
        <w:spacing w:line="560" w:lineRule="exact"/>
        <w:ind w:firstLine="640"/>
        <w:rPr>
          <w:rFonts w:eastAsia="黑体" w:cs="Times New Roman"/>
          <w:b w:val="0"/>
          <w:bCs w:val="0"/>
          <w:szCs w:val="32"/>
        </w:rPr>
      </w:pPr>
      <w:r>
        <w:rPr>
          <w:rFonts w:hint="eastAsia" w:eastAsia="黑体" w:cs="Times New Roman"/>
          <w:b w:val="0"/>
          <w:bCs w:val="0"/>
          <w:szCs w:val="32"/>
        </w:rPr>
        <w:t>六</w:t>
      </w:r>
      <w:r>
        <w:rPr>
          <w:rFonts w:eastAsia="黑体" w:cs="Times New Roman"/>
          <w:b w:val="0"/>
          <w:bCs w:val="0"/>
          <w:szCs w:val="32"/>
        </w:rPr>
        <w:t>、绩效评价结果拟应用和公开情况</w:t>
      </w:r>
    </w:p>
    <w:p>
      <w:pPr>
        <w:spacing w:line="560" w:lineRule="exact"/>
        <w:ind w:firstLine="600"/>
        <w:rPr>
          <w:rFonts w:ascii="仿宋_GB2312" w:hAnsi="宋体"/>
          <w:sz w:val="30"/>
          <w:szCs w:val="30"/>
        </w:rPr>
      </w:pPr>
      <w:r>
        <w:rPr>
          <w:rFonts w:hint="eastAsia" w:ascii="仿宋_GB2312" w:hAnsi="宋体"/>
          <w:sz w:val="30"/>
          <w:szCs w:val="30"/>
        </w:rPr>
        <w:t>建立健全评价结果与资金分配挂钩的奖惩机制，并在一定范围内公开绩效评价结果。</w:t>
      </w:r>
    </w:p>
    <w:p>
      <w:pPr>
        <w:pStyle w:val="3"/>
        <w:spacing w:line="560" w:lineRule="exact"/>
        <w:ind w:firstLine="640"/>
        <w:rPr>
          <w:rFonts w:eastAsia="黑体" w:cs="Times New Roman"/>
          <w:b w:val="0"/>
          <w:bCs w:val="0"/>
          <w:szCs w:val="32"/>
        </w:rPr>
      </w:pPr>
      <w:r>
        <w:rPr>
          <w:rFonts w:hint="eastAsia" w:eastAsia="黑体" w:cs="Times New Roman"/>
          <w:b w:val="0"/>
          <w:bCs w:val="0"/>
          <w:szCs w:val="32"/>
        </w:rPr>
        <w:t>七</w:t>
      </w:r>
      <w:r>
        <w:rPr>
          <w:rFonts w:eastAsia="黑体" w:cs="Times New Roman"/>
          <w:b w:val="0"/>
          <w:bCs w:val="0"/>
          <w:szCs w:val="32"/>
        </w:rPr>
        <w:t>、其他需说明的问题</w:t>
      </w:r>
    </w:p>
    <w:p>
      <w:pPr>
        <w:spacing w:line="560" w:lineRule="exact"/>
        <w:ind w:firstLine="640"/>
        <w:rPr>
          <w:rFonts w:cs="Times New Roman"/>
          <w:color w:val="000000"/>
          <w:szCs w:val="32"/>
        </w:rPr>
      </w:pPr>
      <w:r>
        <w:rPr>
          <w:rFonts w:hint="eastAsia" w:cs="Times New Roman"/>
          <w:color w:val="000000"/>
          <w:szCs w:val="32"/>
        </w:rPr>
        <w:t>无</w:t>
      </w:r>
    </w:p>
    <w:p>
      <w:pPr>
        <w:tabs>
          <w:tab w:val="left" w:pos="312"/>
        </w:tabs>
        <w:spacing w:line="560" w:lineRule="exact"/>
        <w:ind w:left="64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微软雅黑"/>
    <w:panose1 w:val="00000000000000000000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 xml:space="preserve">PAGE   \* MERGEFORMAT</w:instrText>
    </w:r>
    <w:r>
      <w:rPr>
        <w:rFonts w:cs="Times New Roman"/>
        <w:sz w:val="20"/>
        <w:szCs w:val="20"/>
      </w:rPr>
      <w:fldChar w:fldCharType="separate"/>
    </w:r>
    <w:r>
      <w:rPr>
        <w:rFonts w:cs="Times New Roman"/>
        <w:sz w:val="20"/>
        <w:szCs w:val="20"/>
        <w:lang w:val="zh-CN"/>
      </w:rPr>
      <w:t>4</w:t>
    </w:r>
    <w:r>
      <w:rPr>
        <w:rFonts w:cs="Times New Roman"/>
        <w:sz w:val="20"/>
        <w:szCs w:val="20"/>
      </w:rPr>
      <w:fldChar w:fldCharType="end"/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5431AD"/>
    <w:multiLevelType w:val="multilevel"/>
    <w:tmpl w:val="5D5431AD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HorizontalSpacing w:val="140"/>
  <w:drawingGridVerticalSpacing w:val="381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8"/>
    <w:rsid w:val="00002D8A"/>
    <w:rsid w:val="00012364"/>
    <w:rsid w:val="00013465"/>
    <w:rsid w:val="00014CAD"/>
    <w:rsid w:val="00020CF5"/>
    <w:rsid w:val="00027DF4"/>
    <w:rsid w:val="0003365D"/>
    <w:rsid w:val="00053432"/>
    <w:rsid w:val="0005405E"/>
    <w:rsid w:val="00055853"/>
    <w:rsid w:val="0005654E"/>
    <w:rsid w:val="000575FB"/>
    <w:rsid w:val="000579CF"/>
    <w:rsid w:val="000601F2"/>
    <w:rsid w:val="00064AA3"/>
    <w:rsid w:val="000723A3"/>
    <w:rsid w:val="00085210"/>
    <w:rsid w:val="00086883"/>
    <w:rsid w:val="00090FC7"/>
    <w:rsid w:val="000A7DB9"/>
    <w:rsid w:val="000B2959"/>
    <w:rsid w:val="000C5C46"/>
    <w:rsid w:val="000E37FA"/>
    <w:rsid w:val="000E4C6C"/>
    <w:rsid w:val="00103444"/>
    <w:rsid w:val="0012057E"/>
    <w:rsid w:val="00123A17"/>
    <w:rsid w:val="0013498A"/>
    <w:rsid w:val="00135D86"/>
    <w:rsid w:val="001373DF"/>
    <w:rsid w:val="00140681"/>
    <w:rsid w:val="00145CCF"/>
    <w:rsid w:val="00147044"/>
    <w:rsid w:val="001500D2"/>
    <w:rsid w:val="00170459"/>
    <w:rsid w:val="0018340E"/>
    <w:rsid w:val="001859AF"/>
    <w:rsid w:val="001876C3"/>
    <w:rsid w:val="001A647E"/>
    <w:rsid w:val="001B4882"/>
    <w:rsid w:val="001B6CC5"/>
    <w:rsid w:val="001D0AF8"/>
    <w:rsid w:val="001F1307"/>
    <w:rsid w:val="00200B6E"/>
    <w:rsid w:val="00201719"/>
    <w:rsid w:val="002060E8"/>
    <w:rsid w:val="00220EF5"/>
    <w:rsid w:val="00231EF9"/>
    <w:rsid w:val="00240DE9"/>
    <w:rsid w:val="0026291A"/>
    <w:rsid w:val="002633FB"/>
    <w:rsid w:val="00285F0C"/>
    <w:rsid w:val="002867FC"/>
    <w:rsid w:val="00287D33"/>
    <w:rsid w:val="00290900"/>
    <w:rsid w:val="00293FF6"/>
    <w:rsid w:val="002C1F1F"/>
    <w:rsid w:val="002C2938"/>
    <w:rsid w:val="002C4D7B"/>
    <w:rsid w:val="002C750C"/>
    <w:rsid w:val="002D27DE"/>
    <w:rsid w:val="002D2F44"/>
    <w:rsid w:val="002D40FB"/>
    <w:rsid w:val="002E70F3"/>
    <w:rsid w:val="002E76AF"/>
    <w:rsid w:val="002F32E7"/>
    <w:rsid w:val="00301D60"/>
    <w:rsid w:val="00320AD9"/>
    <w:rsid w:val="0032648B"/>
    <w:rsid w:val="00332111"/>
    <w:rsid w:val="0034512A"/>
    <w:rsid w:val="00357073"/>
    <w:rsid w:val="00361597"/>
    <w:rsid w:val="00380F8A"/>
    <w:rsid w:val="003824AF"/>
    <w:rsid w:val="003B1C56"/>
    <w:rsid w:val="003B77D6"/>
    <w:rsid w:val="003E01F1"/>
    <w:rsid w:val="003E578A"/>
    <w:rsid w:val="003F3FF5"/>
    <w:rsid w:val="00423224"/>
    <w:rsid w:val="00445B20"/>
    <w:rsid w:val="0047288E"/>
    <w:rsid w:val="00480286"/>
    <w:rsid w:val="00480D9A"/>
    <w:rsid w:val="00496A7D"/>
    <w:rsid w:val="004A0BFA"/>
    <w:rsid w:val="004A3DCD"/>
    <w:rsid w:val="004C0C46"/>
    <w:rsid w:val="004C51DE"/>
    <w:rsid w:val="0050753F"/>
    <w:rsid w:val="00511077"/>
    <w:rsid w:val="0051714F"/>
    <w:rsid w:val="0053068F"/>
    <w:rsid w:val="00535F81"/>
    <w:rsid w:val="005420C7"/>
    <w:rsid w:val="00544610"/>
    <w:rsid w:val="0054672D"/>
    <w:rsid w:val="00550698"/>
    <w:rsid w:val="00551F0F"/>
    <w:rsid w:val="00564C56"/>
    <w:rsid w:val="0057769E"/>
    <w:rsid w:val="00584ADC"/>
    <w:rsid w:val="005A47D9"/>
    <w:rsid w:val="005D1171"/>
    <w:rsid w:val="005D2092"/>
    <w:rsid w:val="005D7D1C"/>
    <w:rsid w:val="005E6875"/>
    <w:rsid w:val="005F36F6"/>
    <w:rsid w:val="00616078"/>
    <w:rsid w:val="006201A8"/>
    <w:rsid w:val="00622CC1"/>
    <w:rsid w:val="00624AE3"/>
    <w:rsid w:val="0065316A"/>
    <w:rsid w:val="00653819"/>
    <w:rsid w:val="00661C6A"/>
    <w:rsid w:val="00665CA8"/>
    <w:rsid w:val="0069117D"/>
    <w:rsid w:val="006967D9"/>
    <w:rsid w:val="006A7F09"/>
    <w:rsid w:val="006B4EEE"/>
    <w:rsid w:val="006C2B9E"/>
    <w:rsid w:val="006D4D92"/>
    <w:rsid w:val="006D62D8"/>
    <w:rsid w:val="006F5E54"/>
    <w:rsid w:val="006F62BD"/>
    <w:rsid w:val="00704C48"/>
    <w:rsid w:val="007141A8"/>
    <w:rsid w:val="007145BC"/>
    <w:rsid w:val="00720B2B"/>
    <w:rsid w:val="00725800"/>
    <w:rsid w:val="007455E6"/>
    <w:rsid w:val="007470F9"/>
    <w:rsid w:val="00753B8B"/>
    <w:rsid w:val="007678F7"/>
    <w:rsid w:val="007724CA"/>
    <w:rsid w:val="00773CE5"/>
    <w:rsid w:val="0079311F"/>
    <w:rsid w:val="007B013A"/>
    <w:rsid w:val="007B0ABB"/>
    <w:rsid w:val="007B3836"/>
    <w:rsid w:val="007B7137"/>
    <w:rsid w:val="007C7E66"/>
    <w:rsid w:val="007D5885"/>
    <w:rsid w:val="007E1987"/>
    <w:rsid w:val="007E3104"/>
    <w:rsid w:val="007F0808"/>
    <w:rsid w:val="007F191A"/>
    <w:rsid w:val="007F3550"/>
    <w:rsid w:val="007F4374"/>
    <w:rsid w:val="007F7064"/>
    <w:rsid w:val="00802AAE"/>
    <w:rsid w:val="008410A9"/>
    <w:rsid w:val="008462F8"/>
    <w:rsid w:val="00863BE8"/>
    <w:rsid w:val="00863E87"/>
    <w:rsid w:val="00877B7F"/>
    <w:rsid w:val="008804D7"/>
    <w:rsid w:val="008839E5"/>
    <w:rsid w:val="0088423B"/>
    <w:rsid w:val="008857EB"/>
    <w:rsid w:val="00895CDF"/>
    <w:rsid w:val="008A1303"/>
    <w:rsid w:val="008A4A31"/>
    <w:rsid w:val="008C2580"/>
    <w:rsid w:val="008D020F"/>
    <w:rsid w:val="008D3C72"/>
    <w:rsid w:val="008F6BA1"/>
    <w:rsid w:val="009071A1"/>
    <w:rsid w:val="00924E67"/>
    <w:rsid w:val="009373C7"/>
    <w:rsid w:val="0094041F"/>
    <w:rsid w:val="00943161"/>
    <w:rsid w:val="00944EC1"/>
    <w:rsid w:val="00961799"/>
    <w:rsid w:val="009700E5"/>
    <w:rsid w:val="00980EEE"/>
    <w:rsid w:val="00986426"/>
    <w:rsid w:val="00992822"/>
    <w:rsid w:val="009A0E7B"/>
    <w:rsid w:val="009A1AF2"/>
    <w:rsid w:val="009A2B21"/>
    <w:rsid w:val="009A6E08"/>
    <w:rsid w:val="009E5135"/>
    <w:rsid w:val="009E543F"/>
    <w:rsid w:val="009F3904"/>
    <w:rsid w:val="00A021BD"/>
    <w:rsid w:val="00A101DB"/>
    <w:rsid w:val="00A13C49"/>
    <w:rsid w:val="00A249B8"/>
    <w:rsid w:val="00A35312"/>
    <w:rsid w:val="00A3771F"/>
    <w:rsid w:val="00A405B4"/>
    <w:rsid w:val="00A411D4"/>
    <w:rsid w:val="00A53250"/>
    <w:rsid w:val="00A839F6"/>
    <w:rsid w:val="00A86C6C"/>
    <w:rsid w:val="00A93110"/>
    <w:rsid w:val="00A9324C"/>
    <w:rsid w:val="00AA5432"/>
    <w:rsid w:val="00AA6E5F"/>
    <w:rsid w:val="00AB3D78"/>
    <w:rsid w:val="00AD6CF4"/>
    <w:rsid w:val="00AE6DAE"/>
    <w:rsid w:val="00AF39A7"/>
    <w:rsid w:val="00B00E06"/>
    <w:rsid w:val="00B00FB1"/>
    <w:rsid w:val="00B01FF2"/>
    <w:rsid w:val="00B04388"/>
    <w:rsid w:val="00B07DAB"/>
    <w:rsid w:val="00B33A0E"/>
    <w:rsid w:val="00B35FD0"/>
    <w:rsid w:val="00B37457"/>
    <w:rsid w:val="00B420FA"/>
    <w:rsid w:val="00B42BB4"/>
    <w:rsid w:val="00B477E8"/>
    <w:rsid w:val="00B53C28"/>
    <w:rsid w:val="00B5681B"/>
    <w:rsid w:val="00B8383C"/>
    <w:rsid w:val="00B97A4A"/>
    <w:rsid w:val="00BA1AD8"/>
    <w:rsid w:val="00BA2FDB"/>
    <w:rsid w:val="00BB2BB9"/>
    <w:rsid w:val="00BC02B7"/>
    <w:rsid w:val="00BC16B7"/>
    <w:rsid w:val="00BD0B3A"/>
    <w:rsid w:val="00BF3C9D"/>
    <w:rsid w:val="00BF781C"/>
    <w:rsid w:val="00C00315"/>
    <w:rsid w:val="00C17E66"/>
    <w:rsid w:val="00C21900"/>
    <w:rsid w:val="00C36626"/>
    <w:rsid w:val="00C41FE0"/>
    <w:rsid w:val="00C513CE"/>
    <w:rsid w:val="00C570C4"/>
    <w:rsid w:val="00C70424"/>
    <w:rsid w:val="00C71256"/>
    <w:rsid w:val="00C717FA"/>
    <w:rsid w:val="00C82E25"/>
    <w:rsid w:val="00C852F3"/>
    <w:rsid w:val="00C90674"/>
    <w:rsid w:val="00C92DA1"/>
    <w:rsid w:val="00CA0337"/>
    <w:rsid w:val="00CA635E"/>
    <w:rsid w:val="00CC295C"/>
    <w:rsid w:val="00CC5028"/>
    <w:rsid w:val="00CD5277"/>
    <w:rsid w:val="00CD62EB"/>
    <w:rsid w:val="00CE6EB8"/>
    <w:rsid w:val="00CF52F0"/>
    <w:rsid w:val="00D04052"/>
    <w:rsid w:val="00D1438F"/>
    <w:rsid w:val="00D25CF8"/>
    <w:rsid w:val="00D36C99"/>
    <w:rsid w:val="00D67CB3"/>
    <w:rsid w:val="00D74B44"/>
    <w:rsid w:val="00D814D9"/>
    <w:rsid w:val="00D851BC"/>
    <w:rsid w:val="00D85338"/>
    <w:rsid w:val="00D86267"/>
    <w:rsid w:val="00D90A4F"/>
    <w:rsid w:val="00D9111D"/>
    <w:rsid w:val="00D93C25"/>
    <w:rsid w:val="00D979D1"/>
    <w:rsid w:val="00DA256F"/>
    <w:rsid w:val="00DB35F2"/>
    <w:rsid w:val="00DB4DCB"/>
    <w:rsid w:val="00DC3D04"/>
    <w:rsid w:val="00DC6435"/>
    <w:rsid w:val="00DD476D"/>
    <w:rsid w:val="00DF0146"/>
    <w:rsid w:val="00DF419F"/>
    <w:rsid w:val="00DF5A11"/>
    <w:rsid w:val="00DF7239"/>
    <w:rsid w:val="00E016A9"/>
    <w:rsid w:val="00E061F7"/>
    <w:rsid w:val="00E12F40"/>
    <w:rsid w:val="00E25971"/>
    <w:rsid w:val="00E47A9F"/>
    <w:rsid w:val="00E5507C"/>
    <w:rsid w:val="00E62C8B"/>
    <w:rsid w:val="00E661E0"/>
    <w:rsid w:val="00E747D2"/>
    <w:rsid w:val="00E94640"/>
    <w:rsid w:val="00E94D32"/>
    <w:rsid w:val="00EA099F"/>
    <w:rsid w:val="00EA3DD1"/>
    <w:rsid w:val="00EA6591"/>
    <w:rsid w:val="00EA7515"/>
    <w:rsid w:val="00EB285E"/>
    <w:rsid w:val="00EC3DB7"/>
    <w:rsid w:val="00ED1286"/>
    <w:rsid w:val="00ED1F1A"/>
    <w:rsid w:val="00ED20AA"/>
    <w:rsid w:val="00EE1BBD"/>
    <w:rsid w:val="00EF3CE9"/>
    <w:rsid w:val="00F010AB"/>
    <w:rsid w:val="00F03039"/>
    <w:rsid w:val="00F0409D"/>
    <w:rsid w:val="00F057BF"/>
    <w:rsid w:val="00F06591"/>
    <w:rsid w:val="00F10363"/>
    <w:rsid w:val="00F13170"/>
    <w:rsid w:val="00F1566D"/>
    <w:rsid w:val="00F22DF1"/>
    <w:rsid w:val="00F301CE"/>
    <w:rsid w:val="00F404AA"/>
    <w:rsid w:val="00F43A4A"/>
    <w:rsid w:val="00F5028C"/>
    <w:rsid w:val="00F76FB4"/>
    <w:rsid w:val="00FC00DB"/>
    <w:rsid w:val="00FC15FE"/>
    <w:rsid w:val="00FF46FB"/>
    <w:rsid w:val="00FF4CC7"/>
    <w:rsid w:val="048A5AB1"/>
    <w:rsid w:val="0561520D"/>
    <w:rsid w:val="0C4A6663"/>
    <w:rsid w:val="138B7B78"/>
    <w:rsid w:val="18F00522"/>
    <w:rsid w:val="1A0330F7"/>
    <w:rsid w:val="1E843B74"/>
    <w:rsid w:val="22237DDB"/>
    <w:rsid w:val="2FA27421"/>
    <w:rsid w:val="302C5BBC"/>
    <w:rsid w:val="3A23680A"/>
    <w:rsid w:val="3ADA503E"/>
    <w:rsid w:val="5842234E"/>
    <w:rsid w:val="5A9B5077"/>
    <w:rsid w:val="5B4D56CB"/>
    <w:rsid w:val="628273A3"/>
    <w:rsid w:val="62B31A84"/>
    <w:rsid w:val="64BF295A"/>
    <w:rsid w:val="69052D36"/>
    <w:rsid w:val="71F57E24"/>
    <w:rsid w:val="7A6B1CE8"/>
    <w:rsid w:val="BF79FA82"/>
    <w:rsid w:val="E6A90BCD"/>
    <w:rsid w:val="FA3E8FB7"/>
    <w:rsid w:val="FFBF88C8"/>
    <w:rsid w:val="FFFF4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outlineLvl w:val="0"/>
    </w:pPr>
    <w:rPr>
      <w:b/>
      <w:bCs/>
      <w:kern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outlineLvl w:val="1"/>
    </w:pPr>
    <w:rPr>
      <w:rFonts w:cs="Times New Roman"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5">
    <w:name w:val="Document Map"/>
    <w:basedOn w:val="1"/>
    <w:link w:val="16"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17"/>
    <w:unhideWhenUsed/>
    <w:qFormat/>
    <w:uiPriority w:val="99"/>
    <w:pPr>
      <w:jc w:val="left"/>
    </w:pPr>
  </w:style>
  <w:style w:type="paragraph" w:styleId="7">
    <w:name w:val="Balloon Text"/>
    <w:basedOn w:val="1"/>
    <w:link w:val="18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21"/>
    <w:unhideWhenUsed/>
    <w:qFormat/>
    <w:uiPriority w:val="99"/>
    <w:rPr>
      <w:b/>
      <w:bCs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2"/>
    <w:link w:val="3"/>
    <w:qFormat/>
    <w:uiPriority w:val="9"/>
    <w:rPr>
      <w:rFonts w:ascii="Times New Roman" w:hAnsi="Times New Roman" w:eastAsia="仿宋_GB2312"/>
      <w:b/>
      <w:bCs/>
      <w:kern w:val="44"/>
      <w:sz w:val="28"/>
      <w:szCs w:val="44"/>
    </w:rPr>
  </w:style>
  <w:style w:type="character" w:customStyle="1" w:styleId="15">
    <w:name w:val="标题 2 Char"/>
    <w:basedOn w:val="12"/>
    <w:link w:val="4"/>
    <w:qFormat/>
    <w:uiPriority w:val="9"/>
    <w:rPr>
      <w:rFonts w:ascii="Times New Roman" w:hAnsi="Times New Roman" w:eastAsia="仿宋_GB2312" w:cs="Times New Roman"/>
      <w:bCs/>
      <w:sz w:val="28"/>
      <w:szCs w:val="32"/>
    </w:rPr>
  </w:style>
  <w:style w:type="character" w:customStyle="1" w:styleId="16">
    <w:name w:val="文档结构图 Char"/>
    <w:basedOn w:val="12"/>
    <w:link w:val="5"/>
    <w:semiHidden/>
    <w:qFormat/>
    <w:uiPriority w:val="99"/>
    <w:rPr>
      <w:rFonts w:ascii="宋体" w:cs="Times New Roman"/>
      <w:kern w:val="2"/>
      <w:sz w:val="18"/>
      <w:szCs w:val="18"/>
    </w:rPr>
  </w:style>
  <w:style w:type="character" w:customStyle="1" w:styleId="17">
    <w:name w:val="批注文字 Char"/>
    <w:basedOn w:val="12"/>
    <w:link w:val="6"/>
    <w:semiHidden/>
    <w:qFormat/>
    <w:uiPriority w:val="99"/>
    <w:rPr>
      <w:rFonts w:eastAsia="仿宋_GB2312" w:cs="Times New Roman"/>
      <w:kern w:val="2"/>
      <w:sz w:val="28"/>
      <w:szCs w:val="22"/>
    </w:rPr>
  </w:style>
  <w:style w:type="character" w:customStyle="1" w:styleId="18">
    <w:name w:val="批注框文本 Char"/>
    <w:basedOn w:val="12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9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20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主题 Char"/>
    <w:basedOn w:val="17"/>
    <w:link w:val="10"/>
    <w:semiHidden/>
    <w:qFormat/>
    <w:uiPriority w:val="99"/>
    <w:rPr>
      <w:rFonts w:eastAsia="仿宋_GB2312" w:cs="Times New Roman"/>
      <w:b/>
      <w:bCs/>
      <w:kern w:val="2"/>
      <w:sz w:val="28"/>
      <w:szCs w:val="22"/>
    </w:rPr>
  </w:style>
  <w:style w:type="paragraph" w:customStyle="1" w:styleId="22">
    <w:name w:val="正文1"/>
    <w:basedOn w:val="1"/>
    <w:link w:val="23"/>
    <w:qFormat/>
    <w:uiPriority w:val="0"/>
    <w:pPr>
      <w:widowControl w:val="0"/>
      <w:adjustRightInd w:val="0"/>
      <w:snapToGrid w:val="0"/>
      <w:ind w:firstLine="640"/>
    </w:pPr>
    <w:rPr>
      <w:rFonts w:cs="Times New Roman"/>
      <w:szCs w:val="32"/>
    </w:rPr>
  </w:style>
  <w:style w:type="character" w:customStyle="1" w:styleId="23">
    <w:name w:val="正文1 Char"/>
    <w:basedOn w:val="12"/>
    <w:link w:val="22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paragraph" w:customStyle="1" w:styleId="24">
    <w:name w:val="表名"/>
    <w:basedOn w:val="1"/>
    <w:link w:val="25"/>
    <w:qFormat/>
    <w:uiPriority w:val="0"/>
    <w:pPr>
      <w:widowControl w:val="0"/>
      <w:adjustRightInd w:val="0"/>
      <w:snapToGrid w:val="0"/>
      <w:spacing w:afterLines="50" w:line="240" w:lineRule="auto"/>
      <w:ind w:firstLine="0" w:firstLineChars="0"/>
    </w:pPr>
    <w:rPr>
      <w:rFonts w:cs="Times New Roman"/>
      <w:b/>
      <w:kern w:val="0"/>
      <w:szCs w:val="32"/>
    </w:rPr>
  </w:style>
  <w:style w:type="character" w:customStyle="1" w:styleId="25">
    <w:name w:val="表名 Char"/>
    <w:basedOn w:val="12"/>
    <w:link w:val="24"/>
    <w:qFormat/>
    <w:uiPriority w:val="0"/>
    <w:rPr>
      <w:rFonts w:ascii="Times New Roman" w:hAnsi="Times New Roman" w:eastAsia="仿宋_GB2312" w:cs="Times New Roman"/>
      <w:b/>
      <w:kern w:val="0"/>
      <w:sz w:val="32"/>
      <w:szCs w:val="32"/>
    </w:rPr>
  </w:style>
  <w:style w:type="paragraph" w:customStyle="1" w:styleId="26">
    <w:name w:val="列表段落1"/>
    <w:basedOn w:val="1"/>
    <w:qFormat/>
    <w:uiPriority w:val="34"/>
    <w:pPr>
      <w:ind w:firstLine="420"/>
    </w:pPr>
  </w:style>
  <w:style w:type="paragraph" w:customStyle="1" w:styleId="27">
    <w:name w:val="修订1"/>
    <w:semiHidden/>
    <w:qFormat/>
    <w:uiPriority w:val="99"/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28">
    <w:name w:val="Body text|2"/>
    <w:basedOn w:val="1"/>
    <w:qFormat/>
    <w:uiPriority w:val="0"/>
    <w:pPr>
      <w:widowControl w:val="0"/>
      <w:spacing w:after="270"/>
      <w:jc w:val="center"/>
    </w:pPr>
    <w:rPr>
      <w:rFonts w:ascii="MingLiU" w:hAnsi="MingLiU" w:eastAsia="MingLiU" w:cs="MingLiU"/>
      <w:sz w:val="20"/>
      <w:szCs w:val="20"/>
      <w:lang w:val="zh-TW" w:eastAsia="zh-TW" w:bidi="zh-TW"/>
    </w:rPr>
  </w:style>
  <w:style w:type="paragraph" w:customStyle="1" w:styleId="29">
    <w:name w:val="Body text|1"/>
    <w:basedOn w:val="1"/>
    <w:qFormat/>
    <w:uiPriority w:val="0"/>
    <w:pPr>
      <w:widowControl w:val="0"/>
      <w:spacing w:after="100" w:line="480" w:lineRule="auto"/>
      <w:ind w:firstLine="360"/>
    </w:pPr>
    <w:rPr>
      <w:rFonts w:ascii="MingLiU" w:hAnsi="MingLiU" w:eastAsia="MingLiU" w:cs="MingLiU"/>
      <w:sz w:val="18"/>
      <w:szCs w:val="18"/>
      <w:lang w:val="zh-TW" w:eastAsia="zh-TW" w:bidi="zh-TW"/>
    </w:rPr>
  </w:style>
  <w:style w:type="paragraph" w:customStyle="1" w:styleId="30">
    <w:name w:val="Other|1"/>
    <w:basedOn w:val="1"/>
    <w:qFormat/>
    <w:uiPriority w:val="0"/>
    <w:pPr>
      <w:widowControl w:val="0"/>
      <w:spacing w:line="41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styleId="31">
    <w:name w:val="List Paragraph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780</Words>
  <Characters>4450</Characters>
  <Lines>37</Lines>
  <Paragraphs>10</Paragraphs>
  <TotalTime>4.66666666666667</TotalTime>
  <ScaleCrop>false</ScaleCrop>
  <LinksUpToDate>false</LinksUpToDate>
  <CharactersWithSpaces>5220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2019-04-19T16:50:00Z</dcterms:created>
  <dc:creator>张三</dc:creator>
  <cp:lastModifiedBy>kylin</cp:lastModifiedBy>
  <cp:lastPrinted>2022-06-09T15:49:00Z</cp:lastPrinted>
  <dcterms:modified xsi:type="dcterms:W3CDTF">2022-10-21T08:38:15Z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