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方正小标宋简体" w:hAnsi="方正小标宋简体" w:eastAsia="方正小标宋简体"/>
          <w:sz w:val="56"/>
          <w:szCs w:val="56"/>
        </w:rPr>
      </w:pPr>
    </w:p>
    <w:p>
      <w:pPr>
        <w:spacing w:line="900" w:lineRule="exact"/>
        <w:jc w:val="center"/>
        <w:rPr>
          <w:rFonts w:ascii="方正小标宋简体" w:hAnsi="方正小标宋简体" w:eastAsia="方正小标宋简体"/>
          <w:sz w:val="56"/>
          <w:szCs w:val="56"/>
        </w:rPr>
      </w:pPr>
      <w:r>
        <w:rPr>
          <w:rFonts w:hint="eastAsia" w:ascii="方正小标宋简体" w:hAnsi="方正小标宋简体" w:eastAsia="方正小标宋简体"/>
          <w:sz w:val="56"/>
          <w:szCs w:val="56"/>
        </w:rPr>
        <w:t>2024</w:t>
      </w:r>
      <w:r>
        <w:rPr>
          <w:rFonts w:ascii="方正小标宋简体" w:hAnsi="方正小标宋简体" w:eastAsia="方正小标宋简体"/>
          <w:sz w:val="56"/>
          <w:szCs w:val="56"/>
        </w:rPr>
        <w:t>年度</w:t>
      </w:r>
      <w:r>
        <w:rPr>
          <w:rFonts w:hint="eastAsia" w:ascii="方正小标宋简体" w:hAnsi="方正小标宋简体" w:eastAsia="方正小标宋简体"/>
          <w:sz w:val="56"/>
          <w:szCs w:val="56"/>
        </w:rPr>
        <w:t>益阳市商务局</w:t>
      </w:r>
    </w:p>
    <w:p>
      <w:pPr>
        <w:spacing w:line="900" w:lineRule="exact"/>
        <w:jc w:val="center"/>
        <w:rPr>
          <w:rFonts w:ascii="方正小标宋简体" w:hAnsi="方正小标宋简体" w:eastAsia="方正小标宋简体"/>
          <w:sz w:val="56"/>
          <w:szCs w:val="56"/>
        </w:rPr>
      </w:pPr>
      <w:r>
        <w:rPr>
          <w:rFonts w:ascii="方正小标宋简体" w:hAnsi="方正小标宋简体" w:eastAsia="方正小标宋简体"/>
          <w:sz w:val="56"/>
          <w:szCs w:val="56"/>
        </w:rPr>
        <w:t>部门（单位）整体支出绩效自评报告</w:t>
      </w: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ind w:firstLine="872" w:firstLineChars="200"/>
        <w:jc w:val="center"/>
        <w:rPr>
          <w:rFonts w:eastAsia="黑体"/>
          <w:sz w:val="44"/>
          <w:szCs w:val="44"/>
        </w:rPr>
      </w:pPr>
    </w:p>
    <w:p>
      <w:pPr>
        <w:ind w:firstLine="872" w:firstLineChars="200"/>
        <w:jc w:val="center"/>
        <w:rPr>
          <w:rFonts w:eastAsia="黑体"/>
          <w:sz w:val="44"/>
          <w:szCs w:val="44"/>
        </w:rPr>
      </w:pPr>
    </w:p>
    <w:p>
      <w:pPr>
        <w:ind w:firstLine="872" w:firstLineChars="200"/>
        <w:jc w:val="center"/>
        <w:rPr>
          <w:rFonts w:eastAsia="黑体"/>
          <w:sz w:val="44"/>
          <w:szCs w:val="44"/>
        </w:rPr>
      </w:pPr>
    </w:p>
    <w:p>
      <w:pPr>
        <w:ind w:firstLine="872" w:firstLineChars="200"/>
        <w:jc w:val="center"/>
        <w:rPr>
          <w:rFonts w:eastAsia="黑体"/>
          <w:sz w:val="44"/>
          <w:szCs w:val="44"/>
        </w:rPr>
      </w:pPr>
    </w:p>
    <w:p>
      <w:pPr>
        <w:ind w:firstLine="872" w:firstLineChars="200"/>
        <w:jc w:val="center"/>
        <w:rPr>
          <w:rFonts w:eastAsia="黑体"/>
          <w:sz w:val="44"/>
          <w:szCs w:val="44"/>
        </w:rPr>
      </w:pPr>
    </w:p>
    <w:p>
      <w:pPr>
        <w:ind w:firstLine="712" w:firstLineChars="200"/>
        <w:rPr>
          <w:rFonts w:eastAsia="黑体"/>
          <w:sz w:val="36"/>
          <w:szCs w:val="36"/>
        </w:rPr>
      </w:pPr>
    </w:p>
    <w:p>
      <w:pPr>
        <w:ind w:firstLine="712" w:firstLineChars="200"/>
        <w:rPr>
          <w:rFonts w:eastAsia="黑体"/>
          <w:sz w:val="36"/>
          <w:szCs w:val="36"/>
        </w:rPr>
      </w:pPr>
    </w:p>
    <w:p>
      <w:pPr>
        <w:ind w:firstLine="712" w:firstLineChars="200"/>
        <w:rPr>
          <w:rFonts w:eastAsia="黑体"/>
          <w:sz w:val="36"/>
          <w:szCs w:val="36"/>
        </w:rPr>
      </w:pPr>
      <w:r>
        <w:rPr>
          <w:rFonts w:hint="eastAsia" w:eastAsia="黑体"/>
          <w:sz w:val="36"/>
          <w:szCs w:val="36"/>
        </w:rPr>
        <w:t>部门（</w:t>
      </w:r>
      <w:r>
        <w:rPr>
          <w:rFonts w:eastAsia="黑体"/>
          <w:sz w:val="36"/>
          <w:szCs w:val="36"/>
        </w:rPr>
        <w:t>单位</w:t>
      </w:r>
      <w:r>
        <w:rPr>
          <w:rFonts w:hint="eastAsia" w:eastAsia="黑体"/>
          <w:sz w:val="36"/>
          <w:szCs w:val="36"/>
        </w:rPr>
        <w:t>）</w:t>
      </w:r>
      <w:r>
        <w:rPr>
          <w:rFonts w:eastAsia="黑体"/>
          <w:sz w:val="36"/>
          <w:szCs w:val="36"/>
        </w:rPr>
        <w:t>名称：</w:t>
      </w:r>
      <w:r>
        <w:rPr>
          <w:rFonts w:eastAsia="黑体"/>
          <w:sz w:val="36"/>
          <w:szCs w:val="36"/>
          <w:u w:val="single"/>
        </w:rPr>
        <w:t>（盖章）</w:t>
      </w:r>
      <w:r>
        <w:rPr>
          <w:rFonts w:hint="eastAsia" w:eastAsia="黑体"/>
          <w:sz w:val="36"/>
          <w:szCs w:val="36"/>
          <w:u w:val="single"/>
        </w:rPr>
        <w:t xml:space="preserve">       </w:t>
      </w:r>
    </w:p>
    <w:p>
      <w:pPr>
        <w:ind w:firstLine="3204" w:firstLineChars="900"/>
        <w:rPr>
          <w:rFonts w:eastAsia="黑体"/>
          <w:szCs w:val="32"/>
        </w:rPr>
      </w:pPr>
      <w:r>
        <w:rPr>
          <w:rFonts w:hint="eastAsia" w:eastAsia="黑体"/>
          <w:sz w:val="36"/>
          <w:szCs w:val="36"/>
        </w:rPr>
        <w:t>年   月   日</w:t>
      </w:r>
    </w:p>
    <w:p>
      <w:pPr>
        <w:jc w:val="center"/>
        <w:rPr>
          <w:szCs w:val="32"/>
        </w:rPr>
      </w:pPr>
      <w:r>
        <w:rPr>
          <w:rFonts w:hint="eastAsia"/>
          <w:szCs w:val="32"/>
        </w:rPr>
        <w:t xml:space="preserve">  </w:t>
      </w:r>
    </w:p>
    <w:p>
      <w:pPr>
        <w:overflowPunct w:val="0"/>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2024年度益阳市商务局</w:t>
      </w:r>
    </w:p>
    <w:p>
      <w:pPr>
        <w:overflowPunct w:val="0"/>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部门整体支出绩效自评报告</w:t>
      </w:r>
    </w:p>
    <w:p>
      <w:pPr>
        <w:overflowPunct w:val="0"/>
        <w:spacing w:line="570" w:lineRule="exact"/>
        <w:ind w:firstLine="872" w:firstLineChars="200"/>
        <w:jc w:val="center"/>
        <w:rPr>
          <w:rFonts w:ascii="Times New Roman" w:hAnsi="Times New Roman" w:eastAsia="方正小标宋简体"/>
          <w:sz w:val="44"/>
          <w:szCs w:val="44"/>
        </w:rPr>
      </w:pP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一、部门基本情况</w:t>
      </w:r>
    </w:p>
    <w:p>
      <w:pPr>
        <w:overflowPunct w:val="0"/>
        <w:autoSpaceDE w:val="0"/>
        <w:autoSpaceDN w:val="0"/>
        <w:adjustRightInd w:val="0"/>
        <w:spacing w:line="570" w:lineRule="exact"/>
        <w:ind w:firstLine="632" w:firstLineChars="200"/>
        <w:rPr>
          <w:rFonts w:ascii="Times New Roman" w:hAnsi="Times New Roman" w:eastAsia="方正楷体简体"/>
          <w:bCs/>
          <w:szCs w:val="32"/>
        </w:rPr>
      </w:pPr>
      <w:r>
        <w:rPr>
          <w:rFonts w:ascii="Times New Roman" w:hAnsi="Times New Roman" w:eastAsia="方正楷体简体"/>
          <w:bCs/>
          <w:szCs w:val="32"/>
        </w:rPr>
        <w:t>（一）主要职能</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1.贯彻执行有关内外贸易、经济合作的方针、政策和法律、法规，起草我市国内外贸易、招商引资、承接产业转移、对外援助、对外投资和对外经济合作的政策措施和实施办法，研究经济全球化、区域经济合作、现代流通方式的发展趋势和流通体制改革并提出建议。</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2.负责推进流通产业结构调整，指导流通企业改革，促进商贸服务业和社区商业发展，提出促进商贸中小企业发展的政策建议，推动流通标准化和连锁经营、商业特许经营、物流配送、电子商务等现代流通方式的发展。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3.拟订全市国内贸易发展规划，促进城乡市场发展，研究提出引导国内外资金投向市场体系建设的政策建议，指导大宗产品批发市场规划和城市商业网点规划、商业体系建设工作，推进农村市场体系建设，组织实施农村现代流通网络工程。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4.承担牵头协调整顿和规范市场经济秩序工作的责任，拟订规范市场秩序的政策；协调全市消除地区封锁、打破行业垄断的有关工作，规范商贸企业交易行为；推动商务领域信用建设，指导商业信用销售，建立市场诚信公共服务平台；按有关规定对特殊流通行业进行监督管理；负责全市商务行政综合执法工作。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5.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6.贯彻执行国家进出口商品、加工贸易管理办法和进出口管理商品、技术目录，拟订促进外贸增长方式转变的政策措施，组织实施重要工业品、原材料和重要农产品进出口总量计划，会同有关部门协调大宗进出口商品，指导贸易促进活动和外贸促进体系建设。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7.贯彻执行国家对外技术贸易、出口管制以及鼓励技术和成套设备进出口的贸易政策，推进进出口贸易标准化工作；依法监督技术引进、设备进口、国家限制出口技术的工作。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8.牵头拟订服务贸易发展规划并开展相关工作；会同有关部门制定促进服务出口、服务外包的规划、政策并组织实施，推动服务外包平台建设。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9.贯彻执行我国多双边</w:t>
      </w:r>
      <w:r>
        <w:rPr>
          <w:rFonts w:hint="eastAsia" w:ascii="Times New Roman" w:hAnsi="Times New Roman" w:eastAsia="仿宋"/>
          <w:szCs w:val="32"/>
        </w:rPr>
        <w:t>（</w:t>
      </w:r>
      <w:r>
        <w:rPr>
          <w:rFonts w:ascii="Times New Roman" w:hAnsi="Times New Roman" w:eastAsia="仿宋"/>
          <w:szCs w:val="32"/>
        </w:rPr>
        <w:t>含区域、自由贸易区</w:t>
      </w:r>
      <w:r>
        <w:rPr>
          <w:rFonts w:hint="eastAsia" w:ascii="Times New Roman" w:hAnsi="Times New Roman" w:eastAsia="仿宋"/>
          <w:szCs w:val="32"/>
        </w:rPr>
        <w:t>）</w:t>
      </w:r>
      <w:r>
        <w:rPr>
          <w:rFonts w:ascii="Times New Roman" w:hAnsi="Times New Roman" w:eastAsia="仿宋"/>
          <w:szCs w:val="32"/>
        </w:rPr>
        <w:t>经贸合作战略和政策，推进我市与其他国家</w:t>
      </w:r>
      <w:r>
        <w:rPr>
          <w:rFonts w:hint="eastAsia" w:ascii="Times New Roman" w:hAnsi="Times New Roman" w:eastAsia="仿宋"/>
          <w:szCs w:val="32"/>
        </w:rPr>
        <w:t>（</w:t>
      </w:r>
      <w:r>
        <w:rPr>
          <w:rFonts w:ascii="Times New Roman" w:hAnsi="Times New Roman" w:eastAsia="仿宋"/>
          <w:szCs w:val="32"/>
        </w:rPr>
        <w:t>地区</w:t>
      </w:r>
      <w:r>
        <w:rPr>
          <w:rFonts w:hint="eastAsia" w:ascii="Times New Roman" w:hAnsi="Times New Roman" w:eastAsia="仿宋"/>
          <w:szCs w:val="32"/>
        </w:rPr>
        <w:t>）</w:t>
      </w:r>
      <w:r>
        <w:rPr>
          <w:rFonts w:ascii="Times New Roman" w:hAnsi="Times New Roman" w:eastAsia="仿宋"/>
          <w:szCs w:val="32"/>
        </w:rPr>
        <w:t>的经贸往来与投资贸易合作；承担全市商务领域涉及世界贸易组织事务的相关工作，负责对外经济贸易协调工作。指导我市对港、澳、台地区贸易和经贸合作活动，协调港、澳、台投资管理工作。</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10.负责组织协调反倾销、反补贴、保障措施及其他与进出口公平贸易相关的工作，协助开展对外贸易调查和产业损害调查，指导协调产业安全应对工作。</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11.宏观指导全市招商引资和承接产业转移工作，拟订并组织实施招商引资和承接产业转移政策；依法监督管理外商投资企业和重大外商投资项目，检查外商投资企业执行有关法律法规规章、合同章程的情况并协调解决有关问题；指导投资促进及全市外商投资企业审批工作，规范招商引资活动；指导市域内经济技术开发区的开放型经济工作。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 xml:space="preserve">12.拟订并组织实施对外经济合作政策；依法管理和监督对外承包工程、对外劳务合作等；拟订市内人员出境就业管理政策并组织实施，负责牵头外派劳务和境外就业人员的权益保护工作；拟订境外投资的管理办法和具体政策。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13.贯彻执行国家对外援助政策和方案，协调管理全市承担的对外援助项目；协调管理多双边对我市的无偿援助和赠款（不含财政合作项下外国政府及国际金融组织的赠款</w:t>
      </w:r>
      <w:r>
        <w:rPr>
          <w:rFonts w:hint="eastAsia" w:ascii="Times New Roman" w:hAnsi="Times New Roman" w:eastAsia="仿宋"/>
          <w:szCs w:val="32"/>
        </w:rPr>
        <w:t>）</w:t>
      </w:r>
      <w:r>
        <w:rPr>
          <w:rFonts w:ascii="Times New Roman" w:hAnsi="Times New Roman" w:eastAsia="仿宋"/>
          <w:szCs w:val="32"/>
        </w:rPr>
        <w:t xml:space="preserve">等发展合作业务。 </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14.负责全市对外开放口岸的规划、申报及有关审批工作；协调管理全市口岸工作，推动建立大通关机制。</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15.承担全市商务系统统计及其信息发布工作，提供信息咨询服务，指导全市流通领域信息网络和电子商务建设。</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16.承担会展业促进与管理有关工作，依法监督管理在益阳境内举办的对外经济技术展览会。</w:t>
      </w:r>
    </w:p>
    <w:p>
      <w:pPr>
        <w:overflowPunct w:val="0"/>
        <w:snapToGrid w:val="0"/>
        <w:spacing w:line="570" w:lineRule="exact"/>
        <w:ind w:firstLine="632" w:firstLineChars="200"/>
        <w:rPr>
          <w:rFonts w:ascii="Times New Roman" w:hAnsi="Times New Roman" w:eastAsia="仿宋"/>
          <w:szCs w:val="32"/>
        </w:rPr>
      </w:pPr>
      <w:r>
        <w:rPr>
          <w:rFonts w:ascii="Times New Roman" w:hAnsi="Times New Roman" w:eastAsia="仿宋"/>
          <w:szCs w:val="32"/>
        </w:rPr>
        <w:t>17.承办市人民政府交办的其他事项。</w:t>
      </w:r>
    </w:p>
    <w:p>
      <w:pPr>
        <w:overflowPunct w:val="0"/>
        <w:autoSpaceDE w:val="0"/>
        <w:autoSpaceDN w:val="0"/>
        <w:adjustRightInd w:val="0"/>
        <w:spacing w:line="570" w:lineRule="exact"/>
        <w:ind w:firstLine="632" w:firstLineChars="200"/>
        <w:rPr>
          <w:rFonts w:ascii="Times New Roman" w:hAnsi="Times New Roman" w:eastAsia="方正楷体简体"/>
          <w:bCs/>
          <w:szCs w:val="32"/>
        </w:rPr>
      </w:pPr>
      <w:r>
        <w:rPr>
          <w:rFonts w:ascii="Times New Roman" w:hAnsi="Times New Roman" w:eastAsia="方正楷体简体"/>
          <w:bCs/>
          <w:szCs w:val="32"/>
        </w:rPr>
        <w:t>（二）机构情况</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本单位是益阳市人民政府工作部门，内设18个职能科室：办公室、法规科、市场运行调节和消费促进科（市成品油流通管理办公室）、市场体系建设科、流通业发展科、市场秩序科、电子商务科、服务贸易和商贸服务业科、对外贸易科、承接产业转移和加工贸易科、投资管理科、对外投资和经济合作科、口岸科、行政审批改革科、财务科、人事科（离退休人员管理科）、机关党委（机关纪委）、商务工会。</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局直属独立核算事业单位3个：市商务局离退休干部管理服务中心、市市场服务中心、市投资促进事务中心。</w:t>
      </w:r>
    </w:p>
    <w:p>
      <w:pPr>
        <w:overflowPunct w:val="0"/>
        <w:autoSpaceDE w:val="0"/>
        <w:autoSpaceDN w:val="0"/>
        <w:adjustRightInd w:val="0"/>
        <w:spacing w:line="570" w:lineRule="exact"/>
        <w:ind w:firstLine="632" w:firstLineChars="200"/>
        <w:rPr>
          <w:rFonts w:ascii="Times New Roman" w:hAnsi="Times New Roman" w:eastAsia="方正楷体简体"/>
          <w:bCs/>
          <w:szCs w:val="32"/>
        </w:rPr>
      </w:pPr>
      <w:r>
        <w:rPr>
          <w:rFonts w:ascii="Times New Roman" w:hAnsi="Times New Roman" w:eastAsia="方正楷体简体"/>
          <w:bCs/>
          <w:szCs w:val="32"/>
        </w:rPr>
        <w:t>（三）人员情况</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202</w:t>
      </w:r>
      <w:r>
        <w:rPr>
          <w:rFonts w:hint="eastAsia" w:ascii="Times New Roman" w:hAnsi="Times New Roman" w:eastAsia="仿宋"/>
          <w:szCs w:val="32"/>
        </w:rPr>
        <w:t>4</w:t>
      </w:r>
      <w:r>
        <w:rPr>
          <w:rFonts w:ascii="Times New Roman" w:hAnsi="Times New Roman" w:eastAsia="仿宋"/>
          <w:szCs w:val="32"/>
        </w:rPr>
        <w:t>年本单位年末编制数4</w:t>
      </w:r>
      <w:r>
        <w:rPr>
          <w:rFonts w:hint="eastAsia" w:ascii="Times New Roman" w:hAnsi="Times New Roman" w:eastAsia="仿宋"/>
          <w:szCs w:val="32"/>
        </w:rPr>
        <w:t>5</w:t>
      </w:r>
      <w:r>
        <w:rPr>
          <w:rFonts w:ascii="Times New Roman" w:hAnsi="Times New Roman" w:eastAsia="仿宋"/>
          <w:szCs w:val="32"/>
        </w:rPr>
        <w:t>人，在职实有人数</w:t>
      </w:r>
      <w:r>
        <w:rPr>
          <w:rFonts w:hint="eastAsia" w:ascii="Times New Roman" w:hAnsi="Times New Roman" w:eastAsia="仿宋"/>
          <w:szCs w:val="32"/>
        </w:rPr>
        <w:t>46</w:t>
      </w:r>
      <w:r>
        <w:rPr>
          <w:rFonts w:ascii="Times New Roman" w:hAnsi="Times New Roman" w:eastAsia="仿宋"/>
          <w:szCs w:val="32"/>
        </w:rPr>
        <w:t>人，</w:t>
      </w:r>
      <w:r>
        <w:rPr>
          <w:rFonts w:ascii="Nimbus Roman" w:hAnsi="Nimbus Roman" w:eastAsia="仿宋" w:cs="Nimbus Roman"/>
          <w:szCs w:val="32"/>
        </w:rPr>
        <w:t>与上年一致。</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二、一般公共预算支出情况</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202</w:t>
      </w:r>
      <w:r>
        <w:rPr>
          <w:rFonts w:hint="eastAsia" w:ascii="Times New Roman" w:hAnsi="Times New Roman" w:eastAsia="仿宋"/>
          <w:szCs w:val="32"/>
        </w:rPr>
        <w:t>4</w:t>
      </w:r>
      <w:r>
        <w:rPr>
          <w:rFonts w:ascii="Times New Roman" w:hAnsi="Times New Roman" w:eastAsia="仿宋"/>
          <w:szCs w:val="32"/>
        </w:rPr>
        <w:t>年本单位一般公共预算财政拨款支出</w:t>
      </w:r>
      <w:r>
        <w:rPr>
          <w:rFonts w:hint="eastAsia" w:ascii="Times New Roman" w:hAnsi="Times New Roman" w:eastAsia="仿宋"/>
          <w:szCs w:val="32"/>
        </w:rPr>
        <w:t>4260.67</w:t>
      </w:r>
      <w:r>
        <w:rPr>
          <w:rFonts w:ascii="Times New Roman" w:hAnsi="Times New Roman" w:eastAsia="仿宋"/>
          <w:szCs w:val="32"/>
        </w:rPr>
        <w:t>万元，占总支出的</w:t>
      </w:r>
      <w:r>
        <w:rPr>
          <w:rFonts w:hint="eastAsia" w:ascii="Times New Roman" w:hAnsi="Times New Roman" w:eastAsia="仿宋"/>
          <w:szCs w:val="32"/>
        </w:rPr>
        <w:t>17.03</w:t>
      </w:r>
      <w:r>
        <w:rPr>
          <w:rFonts w:ascii="Times New Roman" w:hAnsi="Times New Roman" w:eastAsia="仿宋"/>
          <w:szCs w:val="32"/>
        </w:rPr>
        <w:t>%，比上年增加</w:t>
      </w:r>
      <w:r>
        <w:rPr>
          <w:rFonts w:hint="eastAsia" w:ascii="Times New Roman" w:hAnsi="Times New Roman" w:eastAsia="仿宋"/>
          <w:szCs w:val="32"/>
        </w:rPr>
        <w:t>1619.42</w:t>
      </w:r>
      <w:r>
        <w:rPr>
          <w:rFonts w:ascii="Times New Roman" w:hAnsi="Times New Roman" w:eastAsia="仿宋"/>
          <w:szCs w:val="32"/>
        </w:rPr>
        <w:t>万元，增长</w:t>
      </w:r>
      <w:r>
        <w:rPr>
          <w:rFonts w:hint="eastAsia" w:ascii="Times New Roman" w:hAnsi="Times New Roman" w:eastAsia="仿宋"/>
          <w:szCs w:val="32"/>
        </w:rPr>
        <w:t>61.31</w:t>
      </w:r>
      <w:r>
        <w:rPr>
          <w:rFonts w:ascii="Times New Roman" w:hAnsi="Times New Roman" w:eastAsia="仿宋"/>
          <w:szCs w:val="32"/>
        </w:rPr>
        <w:t>%。变化的主要原因：本年度</w:t>
      </w:r>
      <w:r>
        <w:rPr>
          <w:rFonts w:hint="eastAsia" w:ascii="Times New Roman" w:hAnsi="Times New Roman" w:eastAsia="仿宋"/>
          <w:szCs w:val="32"/>
        </w:rPr>
        <w:t>开展</w:t>
      </w:r>
      <w:r>
        <w:rPr>
          <w:rFonts w:ascii="Times New Roman" w:hAnsi="Times New Roman" w:eastAsia="仿宋"/>
          <w:szCs w:val="32"/>
        </w:rPr>
        <w:t>消费品以旧换新</w:t>
      </w:r>
      <w:r>
        <w:rPr>
          <w:rFonts w:hint="eastAsia" w:ascii="Times New Roman" w:hAnsi="Times New Roman" w:eastAsia="仿宋"/>
          <w:szCs w:val="32"/>
        </w:rPr>
        <w:t>活动，新增</w:t>
      </w:r>
      <w:r>
        <w:rPr>
          <w:rFonts w:ascii="Times New Roman" w:hAnsi="Times New Roman" w:eastAsia="仿宋"/>
          <w:szCs w:val="32"/>
        </w:rPr>
        <w:t>消费品以旧换新及惠民购车节资金等支出2323万元。</w:t>
      </w:r>
    </w:p>
    <w:p>
      <w:pPr>
        <w:overflowPunct w:val="0"/>
        <w:autoSpaceDE w:val="0"/>
        <w:autoSpaceDN w:val="0"/>
        <w:adjustRightInd w:val="0"/>
        <w:spacing w:line="570" w:lineRule="exact"/>
        <w:ind w:firstLine="632" w:firstLineChars="200"/>
        <w:rPr>
          <w:rFonts w:ascii="Times New Roman" w:hAnsi="Times New Roman" w:eastAsia="方正楷体简体"/>
          <w:bCs/>
          <w:szCs w:val="32"/>
        </w:rPr>
      </w:pPr>
      <w:r>
        <w:rPr>
          <w:rFonts w:ascii="Times New Roman" w:hAnsi="Times New Roman" w:eastAsia="方正楷体简体"/>
          <w:bCs/>
          <w:szCs w:val="32"/>
        </w:rPr>
        <w:t>（一）一般公共预算财政拨款基本支出情况</w:t>
      </w:r>
    </w:p>
    <w:p>
      <w:pPr>
        <w:overflowPunct w:val="0"/>
        <w:autoSpaceDE w:val="0"/>
        <w:autoSpaceDN w:val="0"/>
        <w:adjustRightInd w:val="0"/>
        <w:spacing w:line="570" w:lineRule="exact"/>
        <w:ind w:firstLine="632" w:firstLineChars="200"/>
        <w:rPr>
          <w:rFonts w:ascii="Times New Roman" w:hAnsi="Times New Roman" w:eastAsia="仿宋"/>
          <w:szCs w:val="32"/>
          <w:highlight w:val="yellow"/>
        </w:rPr>
      </w:pPr>
      <w:r>
        <w:rPr>
          <w:rFonts w:ascii="Times New Roman" w:hAnsi="Times New Roman" w:eastAsia="仿宋"/>
          <w:szCs w:val="32"/>
        </w:rPr>
        <w:t>202</w:t>
      </w:r>
      <w:r>
        <w:rPr>
          <w:rFonts w:hint="eastAsia" w:ascii="Times New Roman" w:hAnsi="Times New Roman" w:eastAsia="仿宋"/>
          <w:szCs w:val="32"/>
        </w:rPr>
        <w:t>4</w:t>
      </w:r>
      <w:r>
        <w:rPr>
          <w:rFonts w:ascii="Times New Roman" w:hAnsi="Times New Roman" w:eastAsia="仿宋"/>
          <w:szCs w:val="32"/>
        </w:rPr>
        <w:t>年本单位一般公共预算财政拨款基本支出</w:t>
      </w:r>
      <w:r>
        <w:rPr>
          <w:rFonts w:hint="eastAsia" w:ascii="Times New Roman" w:hAnsi="Times New Roman" w:eastAsia="仿宋"/>
          <w:szCs w:val="32"/>
        </w:rPr>
        <w:t>1184</w:t>
      </w:r>
      <w:r>
        <w:rPr>
          <w:rFonts w:ascii="Times New Roman" w:hAnsi="Times New Roman" w:eastAsia="仿宋"/>
          <w:szCs w:val="32"/>
        </w:rPr>
        <w:t>万元，占总支出的</w:t>
      </w:r>
      <w:r>
        <w:rPr>
          <w:rFonts w:hint="eastAsia" w:ascii="Times New Roman" w:hAnsi="Times New Roman" w:eastAsia="仿宋"/>
          <w:szCs w:val="32"/>
        </w:rPr>
        <w:t>27.79</w:t>
      </w:r>
      <w:r>
        <w:rPr>
          <w:rFonts w:ascii="Times New Roman" w:hAnsi="Times New Roman" w:eastAsia="仿宋"/>
          <w:szCs w:val="32"/>
        </w:rPr>
        <w:t>%，比上年减少</w:t>
      </w:r>
      <w:r>
        <w:rPr>
          <w:rFonts w:hint="eastAsia" w:ascii="Times New Roman" w:hAnsi="Times New Roman" w:eastAsia="仿宋"/>
          <w:szCs w:val="32"/>
        </w:rPr>
        <w:t>13.02</w:t>
      </w:r>
      <w:r>
        <w:rPr>
          <w:rFonts w:ascii="Times New Roman" w:hAnsi="Times New Roman" w:eastAsia="仿宋"/>
          <w:szCs w:val="32"/>
        </w:rPr>
        <w:t>万元，减少</w:t>
      </w:r>
      <w:r>
        <w:rPr>
          <w:rFonts w:hint="eastAsia" w:ascii="Times New Roman" w:hAnsi="Times New Roman" w:eastAsia="仿宋"/>
          <w:szCs w:val="32"/>
        </w:rPr>
        <w:t>1.09</w:t>
      </w:r>
      <w:r>
        <w:rPr>
          <w:rFonts w:ascii="Times New Roman" w:hAnsi="Times New Roman" w:eastAsia="仿宋"/>
          <w:szCs w:val="32"/>
        </w:rPr>
        <w:t>%。变化的主要原因：</w:t>
      </w:r>
      <w:r>
        <w:rPr>
          <w:rFonts w:ascii="Nimbus Roman" w:hAnsi="Nimbus Roman" w:eastAsia="仿宋" w:cs="Nimbus Roman"/>
          <w:szCs w:val="32"/>
        </w:rPr>
        <w:t>按厉行节约原则压减经费</w:t>
      </w:r>
      <w:r>
        <w:rPr>
          <w:rFonts w:ascii="Times New Roman" w:hAnsi="Times New Roman" w:eastAsia="仿宋"/>
          <w:szCs w:val="32"/>
        </w:rPr>
        <w:t>。</w:t>
      </w:r>
    </w:p>
    <w:p>
      <w:pPr>
        <w:overflowPunct w:val="0"/>
        <w:autoSpaceDE w:val="0"/>
        <w:autoSpaceDN w:val="0"/>
        <w:adjustRightInd w:val="0"/>
        <w:spacing w:line="570" w:lineRule="exact"/>
        <w:ind w:firstLine="632" w:firstLineChars="200"/>
        <w:rPr>
          <w:rFonts w:ascii="Times New Roman" w:hAnsi="Times New Roman" w:eastAsia="方正楷体简体"/>
          <w:bCs/>
          <w:szCs w:val="32"/>
        </w:rPr>
      </w:pPr>
      <w:r>
        <w:rPr>
          <w:rFonts w:ascii="Times New Roman" w:hAnsi="Times New Roman" w:eastAsia="方正楷体简体"/>
          <w:bCs/>
          <w:szCs w:val="32"/>
        </w:rPr>
        <w:t>（二）一般公共预算财政拨款项目支出情况</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202</w:t>
      </w:r>
      <w:r>
        <w:rPr>
          <w:rFonts w:hint="eastAsia" w:ascii="Times New Roman" w:hAnsi="Times New Roman" w:eastAsia="仿宋"/>
          <w:szCs w:val="32"/>
        </w:rPr>
        <w:t>4</w:t>
      </w:r>
      <w:r>
        <w:rPr>
          <w:rFonts w:ascii="Times New Roman" w:hAnsi="Times New Roman" w:eastAsia="仿宋"/>
          <w:szCs w:val="32"/>
        </w:rPr>
        <w:t>年本单位一般公共预算财政拨款项目支出</w:t>
      </w:r>
      <w:r>
        <w:rPr>
          <w:rFonts w:hint="eastAsia" w:ascii="Times New Roman" w:hAnsi="Times New Roman" w:eastAsia="仿宋"/>
          <w:szCs w:val="32"/>
        </w:rPr>
        <w:t>3076.67</w:t>
      </w:r>
      <w:r>
        <w:rPr>
          <w:rFonts w:ascii="Times New Roman" w:hAnsi="Times New Roman" w:eastAsia="仿宋"/>
          <w:szCs w:val="32"/>
        </w:rPr>
        <w:t>万元，占总支出的</w:t>
      </w:r>
      <w:r>
        <w:rPr>
          <w:rFonts w:hint="eastAsia" w:ascii="Times New Roman" w:hAnsi="Times New Roman" w:eastAsia="仿宋"/>
          <w:szCs w:val="32"/>
        </w:rPr>
        <w:t>72.21</w:t>
      </w:r>
      <w:r>
        <w:rPr>
          <w:rFonts w:ascii="Times New Roman" w:hAnsi="Times New Roman" w:eastAsia="仿宋"/>
          <w:szCs w:val="32"/>
        </w:rPr>
        <w:t>%，比上年增加</w:t>
      </w:r>
      <w:r>
        <w:rPr>
          <w:rFonts w:hint="eastAsia" w:ascii="Times New Roman" w:hAnsi="Times New Roman" w:eastAsia="仿宋"/>
          <w:szCs w:val="32"/>
        </w:rPr>
        <w:t>1632.44</w:t>
      </w:r>
      <w:r>
        <w:rPr>
          <w:rFonts w:ascii="Times New Roman" w:hAnsi="Times New Roman" w:eastAsia="仿宋"/>
          <w:szCs w:val="32"/>
        </w:rPr>
        <w:t>万元，增长</w:t>
      </w:r>
      <w:r>
        <w:rPr>
          <w:rFonts w:hint="eastAsia" w:ascii="Times New Roman" w:hAnsi="Times New Roman" w:eastAsia="仿宋"/>
          <w:szCs w:val="32"/>
        </w:rPr>
        <w:t>113.03</w:t>
      </w:r>
      <w:r>
        <w:rPr>
          <w:rFonts w:ascii="Times New Roman" w:hAnsi="Times New Roman" w:eastAsia="仿宋"/>
          <w:szCs w:val="32"/>
        </w:rPr>
        <w:t>%。变化的主要原因：本年度</w:t>
      </w:r>
      <w:r>
        <w:rPr>
          <w:rFonts w:hint="eastAsia" w:ascii="Times New Roman" w:hAnsi="Times New Roman" w:eastAsia="仿宋"/>
          <w:szCs w:val="32"/>
        </w:rPr>
        <w:t>开展</w:t>
      </w:r>
      <w:r>
        <w:rPr>
          <w:rFonts w:ascii="Times New Roman" w:hAnsi="Times New Roman" w:eastAsia="仿宋"/>
          <w:szCs w:val="32"/>
        </w:rPr>
        <w:t>消费品以旧换新</w:t>
      </w:r>
      <w:r>
        <w:rPr>
          <w:rFonts w:hint="eastAsia" w:ascii="Times New Roman" w:hAnsi="Times New Roman" w:eastAsia="仿宋"/>
          <w:szCs w:val="32"/>
        </w:rPr>
        <w:t>活动，新增</w:t>
      </w:r>
      <w:r>
        <w:rPr>
          <w:rFonts w:ascii="Times New Roman" w:hAnsi="Times New Roman" w:eastAsia="仿宋"/>
          <w:szCs w:val="32"/>
        </w:rPr>
        <w:t>消费品以旧换新及惠民购车节资金等支出2323万元。</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三、政府性基金预算支出</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hint="eastAsia" w:ascii="Times New Roman" w:hAnsi="Times New Roman" w:eastAsia="仿宋"/>
          <w:szCs w:val="32"/>
        </w:rPr>
        <w:t>2024年</w:t>
      </w:r>
      <w:r>
        <w:rPr>
          <w:rFonts w:ascii="Times New Roman" w:hAnsi="Times New Roman" w:eastAsia="仿宋"/>
          <w:szCs w:val="32"/>
        </w:rPr>
        <w:t>政府性基金预算</w:t>
      </w:r>
      <w:r>
        <w:rPr>
          <w:rFonts w:hint="eastAsia" w:ascii="Times New Roman" w:hAnsi="Times New Roman" w:eastAsia="仿宋"/>
          <w:szCs w:val="32"/>
        </w:rPr>
        <w:t>支出</w:t>
      </w:r>
      <w:r>
        <w:rPr>
          <w:rFonts w:ascii="Times New Roman" w:hAnsi="Times New Roman" w:eastAsia="仿宋"/>
          <w:szCs w:val="32"/>
        </w:rPr>
        <w:t>本年度20751万元，上年度0万元，比上年度增加20751万元，主要是因为本年度</w:t>
      </w:r>
      <w:r>
        <w:rPr>
          <w:rFonts w:hint="eastAsia" w:ascii="Times New Roman" w:hAnsi="Times New Roman" w:eastAsia="仿宋"/>
          <w:szCs w:val="32"/>
        </w:rPr>
        <w:t>开展消费品以旧换新活动，</w:t>
      </w:r>
      <w:r>
        <w:rPr>
          <w:rFonts w:ascii="Times New Roman" w:hAnsi="Times New Roman" w:eastAsia="仿宋"/>
          <w:szCs w:val="32"/>
        </w:rPr>
        <w:t>新增中央超长期特别国债支持消费品以旧换新资金20750万元</w:t>
      </w:r>
      <w:r>
        <w:rPr>
          <w:rFonts w:hint="eastAsia" w:ascii="Times New Roman" w:hAnsi="Times New Roman" w:eastAsia="仿宋"/>
          <w:szCs w:val="32"/>
        </w:rPr>
        <w:t>，另外，新增</w:t>
      </w:r>
      <w:r>
        <w:rPr>
          <w:rFonts w:ascii="Times New Roman" w:hAnsi="Times New Roman" w:eastAsia="仿宋"/>
          <w:szCs w:val="32"/>
        </w:rPr>
        <w:t>农贸市场奖补资金</w:t>
      </w:r>
      <w:r>
        <w:rPr>
          <w:rFonts w:hint="eastAsia" w:ascii="Times New Roman" w:hAnsi="Times New Roman" w:eastAsia="仿宋"/>
          <w:szCs w:val="32"/>
        </w:rPr>
        <w:t>1万元。</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四、国有资本经营预算支出</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本单位202</w:t>
      </w:r>
      <w:r>
        <w:rPr>
          <w:rFonts w:hint="eastAsia" w:ascii="Times New Roman" w:hAnsi="Times New Roman" w:eastAsia="仿宋"/>
          <w:szCs w:val="32"/>
          <w:lang w:val="en-US" w:eastAsia="zh-CN"/>
        </w:rPr>
        <w:t>4</w:t>
      </w:r>
      <w:r>
        <w:rPr>
          <w:rFonts w:ascii="Times New Roman" w:hAnsi="Times New Roman" w:eastAsia="仿宋"/>
          <w:szCs w:val="32"/>
        </w:rPr>
        <w:t>年度无国有资本经营预算支出。</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五、社会保险基金预算支出</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本单位202</w:t>
      </w:r>
      <w:r>
        <w:rPr>
          <w:rFonts w:hint="eastAsia" w:ascii="Times New Roman" w:hAnsi="Times New Roman" w:eastAsia="仿宋"/>
          <w:szCs w:val="32"/>
          <w:lang w:val="en-US" w:eastAsia="zh-CN"/>
        </w:rPr>
        <w:t>4</w:t>
      </w:r>
      <w:bookmarkStart w:id="0" w:name="_GoBack"/>
      <w:bookmarkEnd w:id="0"/>
      <w:r>
        <w:rPr>
          <w:rFonts w:ascii="Times New Roman" w:hAnsi="Times New Roman" w:eastAsia="仿宋"/>
          <w:szCs w:val="32"/>
        </w:rPr>
        <w:t>年度无社会保险基金预算支出。</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六、部门整体支出绩效情况</w:t>
      </w:r>
    </w:p>
    <w:p>
      <w:pPr>
        <w:overflowPunct w:val="0"/>
        <w:autoSpaceDE w:val="0"/>
        <w:autoSpaceDN w:val="0"/>
        <w:adjustRightInd w:val="0"/>
        <w:spacing w:line="570" w:lineRule="exact"/>
        <w:ind w:firstLine="632" w:firstLineChars="200"/>
        <w:rPr>
          <w:rFonts w:ascii="Times New Roman" w:hAnsi="Times New Roman" w:eastAsia="仿宋"/>
          <w:szCs w:val="32"/>
        </w:rPr>
      </w:pPr>
      <w:r>
        <w:rPr>
          <w:rFonts w:ascii="Times New Roman" w:hAnsi="Times New Roman" w:eastAsia="仿宋"/>
          <w:szCs w:val="32"/>
        </w:rPr>
        <w:t>根据《益阳市财政局关于开展202</w:t>
      </w:r>
      <w:r>
        <w:rPr>
          <w:rFonts w:hint="eastAsia" w:ascii="Times New Roman" w:hAnsi="Times New Roman" w:eastAsia="仿宋"/>
          <w:szCs w:val="32"/>
        </w:rPr>
        <w:t>4</w:t>
      </w:r>
      <w:r>
        <w:rPr>
          <w:rFonts w:ascii="Times New Roman" w:hAnsi="Times New Roman" w:eastAsia="仿宋"/>
          <w:szCs w:val="32"/>
        </w:rPr>
        <w:t>年度部门绩效自评工作的通知》文件要求，我单位组织财务负责人及各科室经办人组成绩效自评工作小组，本着实事求是的原则，通过核实数据、收集资料、归纳汇总、认真分析和客观评价，对本部门的整体支出进行了绩效自评。绩效评价结果显示，我单位在预算配置、预算执行、预算管理等方面工作推进扎实，较好地实现了年度绩效目标。主要成效如下：</w:t>
      </w:r>
    </w:p>
    <w:p>
      <w:pPr>
        <w:spacing w:line="570" w:lineRule="exact"/>
        <w:ind w:firstLine="632"/>
        <w:rPr>
          <w:rFonts w:ascii="Times New Roman" w:hAnsi="Times New Roman" w:eastAsia="仿宋"/>
          <w:szCs w:val="32"/>
        </w:rPr>
      </w:pPr>
      <w:r>
        <w:rPr>
          <w:rFonts w:ascii="Times New Roman" w:hAnsi="Times New Roman" w:eastAsia="仿宋"/>
          <w:szCs w:val="32"/>
        </w:rPr>
        <w:t>2024年，外部形势复杂严峻、内部发展矛盾交织，在市委、市政府坚强领导下，全市商务系统讲政治、比奉献，讲担当、比作为，讲纪律、比作风，扎实推动“八大行动”在商务领域落地见效，商务和开放型经济呈现“回稳向好、结构优化、质量提升、韧性增强”的良好局面。省政府大抓落实激励中，我市获评推动“两新”（大规模设备更新和消费品以旧换新），实施激发需求行动，促消费成效明显的市；市商务局、安化县商务局、沅江市商务局被省政府评为实施“八大行动”表现优异单位并通报表扬。</w:t>
      </w:r>
    </w:p>
    <w:p>
      <w:pPr>
        <w:spacing w:line="570" w:lineRule="exact"/>
        <w:ind w:firstLine="632"/>
        <w:rPr>
          <w:rFonts w:ascii="Times New Roman" w:hAnsi="Times New Roman" w:eastAsia="仿宋"/>
          <w:szCs w:val="32"/>
        </w:rPr>
      </w:pPr>
      <w:r>
        <w:rPr>
          <w:rFonts w:ascii="Times New Roman" w:hAnsi="Times New Roman" w:eastAsia="方正楷体简体"/>
          <w:szCs w:val="32"/>
        </w:rPr>
        <w:t>（一）推动外贸起稳回升。</w:t>
      </w:r>
      <w:r>
        <w:rPr>
          <w:rFonts w:ascii="Times New Roman" w:hAnsi="Times New Roman" w:eastAsia="仿宋"/>
          <w:szCs w:val="32"/>
        </w:rPr>
        <w:t>全市外贸降幅从年初的90%收窄至15.4%（实际外贸业绩增长超20%），连续9个月单月正增长，累计增速排名从2023年全省第14位提升到第6位。</w:t>
      </w:r>
      <w:r>
        <w:rPr>
          <w:rFonts w:ascii="Times New Roman" w:hAnsi="Times New Roman" w:eastAsia="仿宋"/>
          <w:b/>
          <w:bCs/>
          <w:szCs w:val="32"/>
        </w:rPr>
        <w:t>一是充分激发企业活力</w:t>
      </w:r>
      <w:r>
        <w:rPr>
          <w:rFonts w:ascii="Times New Roman" w:hAnsi="Times New Roman" w:eastAsia="仿宋"/>
          <w:szCs w:val="32"/>
        </w:rPr>
        <w:t>，组建市级国贸公司益阳长盈贸易公司并开展外贸业务，有针对性组织全市200余家次企业参加重点境内外展会48场，举办全市对非贸易经验分享暨业务培训。净增生产型外贸实绩企业19家、进出口亿元以上企业4家，生产型外贸企业实现业绩增长23.3%，高于全省平均水平；超额完成培育外贸实绩企业目标任务，62家企业实现外贸“破零”。签订对非项目合作协议3个，首次实现非洲可可直接进口。</w:t>
      </w:r>
      <w:r>
        <w:rPr>
          <w:rFonts w:ascii="Times New Roman" w:hAnsi="Times New Roman" w:eastAsia="仿宋"/>
          <w:b/>
          <w:bCs/>
          <w:szCs w:val="32"/>
        </w:rPr>
        <w:t>二是积极推动业态创新</w:t>
      </w:r>
      <w:r>
        <w:rPr>
          <w:rFonts w:ascii="Times New Roman" w:hAnsi="Times New Roman" w:eastAsia="仿宋"/>
          <w:szCs w:val="32"/>
        </w:rPr>
        <w:t>，积极发展跨境电商，支持引导重点企业开展外贸供应链服务，跨境电商进出口比去年增长3.8倍，新增跨境电商实绩企业7家；通过供应链服务带动进口约3.5亿元。</w:t>
      </w:r>
      <w:r>
        <w:rPr>
          <w:rFonts w:ascii="Times New Roman" w:hAnsi="Times New Roman" w:eastAsia="仿宋"/>
          <w:b/>
          <w:bCs/>
          <w:szCs w:val="32"/>
        </w:rPr>
        <w:t>三是着力培强主导产业</w:t>
      </w:r>
      <w:r>
        <w:rPr>
          <w:rFonts w:ascii="Times New Roman" w:hAnsi="Times New Roman" w:eastAsia="仿宋"/>
          <w:szCs w:val="32"/>
        </w:rPr>
        <w:t>，重点提升重点外贸产业外向度，PCB、铝电解电容器出口额同比增长均超20%。</w:t>
      </w:r>
      <w:r>
        <w:rPr>
          <w:rFonts w:ascii="Times New Roman" w:hAnsi="Times New Roman" w:eastAsia="仿宋"/>
          <w:b/>
          <w:bCs/>
          <w:szCs w:val="32"/>
        </w:rPr>
        <w:t>四是深度用好开放平台</w:t>
      </w:r>
      <w:r>
        <w:rPr>
          <w:rFonts w:ascii="Times New Roman" w:hAnsi="Times New Roman" w:eastAsia="仿宋"/>
          <w:szCs w:val="32"/>
        </w:rPr>
        <w:t>，组织27家企业参加中非经贸博览会走进非洲（肯尼亚专场、尼日利亚专场）活动，签订对非项目合作协议3个、金额1350万美元。朝阳保税物流中心基础设施建设完成，正深入谋划开展项目运营工作并积极向上申报。</w:t>
      </w:r>
      <w:r>
        <w:rPr>
          <w:rFonts w:ascii="Times New Roman" w:hAnsi="Times New Roman" w:eastAsia="仿宋"/>
          <w:b/>
          <w:bCs/>
          <w:szCs w:val="32"/>
        </w:rPr>
        <w:t>五是有效提高外贸质量</w:t>
      </w:r>
      <w:r>
        <w:rPr>
          <w:rFonts w:ascii="Times New Roman" w:hAnsi="Times New Roman" w:eastAsia="仿宋"/>
          <w:szCs w:val="32"/>
        </w:rPr>
        <w:t>，精准做好涉企指导服务，出口收汇率、出口退税等匹配指标全省排名靠前。</w:t>
      </w:r>
      <w:r>
        <w:rPr>
          <w:rFonts w:ascii="Times New Roman" w:hAnsi="Times New Roman" w:eastAsia="仿宋"/>
          <w:b/>
          <w:bCs/>
          <w:szCs w:val="32"/>
        </w:rPr>
        <w:t>六是扎实做好外经促外贸工作</w:t>
      </w:r>
      <w:r>
        <w:rPr>
          <w:rFonts w:ascii="Times New Roman" w:hAnsi="Times New Roman" w:eastAsia="仿宋"/>
          <w:szCs w:val="32"/>
        </w:rPr>
        <w:t>，细化国别研究，优化指导服务，强化风险提醒，做好利益保障，兑现政策资金，企业海外投资信心更足。奥士康投资泰国森德科技项目基本建成，9家企业完成对外投资备案，创历史新高，备案投资地从传统欧美国家向RCEP等新兴国家拓展。</w:t>
      </w:r>
    </w:p>
    <w:p>
      <w:pPr>
        <w:spacing w:line="570" w:lineRule="exact"/>
        <w:ind w:firstLine="632"/>
        <w:rPr>
          <w:rFonts w:ascii="Times New Roman" w:hAnsi="Times New Roman" w:eastAsia="仿宋"/>
          <w:szCs w:val="32"/>
        </w:rPr>
      </w:pPr>
      <w:r>
        <w:rPr>
          <w:rFonts w:ascii="Times New Roman" w:hAnsi="Times New Roman" w:eastAsia="方正楷体简体"/>
          <w:szCs w:val="32"/>
        </w:rPr>
        <w:t>（</w:t>
      </w:r>
      <w:r>
        <w:rPr>
          <w:rFonts w:hint="eastAsia" w:ascii="Times New Roman" w:hAnsi="Times New Roman" w:eastAsia="方正楷体简体"/>
          <w:szCs w:val="32"/>
        </w:rPr>
        <w:t>二</w:t>
      </w:r>
      <w:r>
        <w:rPr>
          <w:rFonts w:ascii="Times New Roman" w:hAnsi="Times New Roman" w:eastAsia="方正楷体简体"/>
          <w:szCs w:val="32"/>
        </w:rPr>
        <w:t>）全力推进招商引资。</w:t>
      </w:r>
      <w:r>
        <w:rPr>
          <w:rFonts w:ascii="Times New Roman" w:hAnsi="Times New Roman" w:eastAsia="仿宋"/>
          <w:szCs w:val="32"/>
        </w:rPr>
        <w:t>全市湘商新注册企业100家，完成目标任务的143%；引进“三类500强”企业投资项目16个，完成目标任务的228%；引进外商直接投资541万美元，其中高技术产业利用外资87万美元，同比增长45%。</w:t>
      </w:r>
      <w:r>
        <w:rPr>
          <w:rFonts w:ascii="Times New Roman" w:hAnsi="Times New Roman" w:eastAsia="仿宋"/>
          <w:b/>
          <w:bCs/>
          <w:szCs w:val="32"/>
        </w:rPr>
        <w:t>一是高位推动招商。</w:t>
      </w:r>
      <w:r>
        <w:rPr>
          <w:rFonts w:ascii="Times New Roman" w:hAnsi="Times New Roman" w:eastAsia="仿宋"/>
          <w:szCs w:val="32"/>
        </w:rPr>
        <w:t>落实招商引资“一把手工程”机制，市委书记、市长带头先后带队赴大湾区、长三角“双招双引”，大湾区活动期间现场签约30个项目，总投资105.3亿元，引进博士创新站、专家工作站等9个。各县市区和园区主要领导用活异地商（协）会、乡情联络站等资源和平台，主动外出广泛考察对接项目。</w:t>
      </w:r>
      <w:r>
        <w:rPr>
          <w:rFonts w:ascii="Times New Roman" w:hAnsi="Times New Roman" w:eastAsia="仿宋"/>
          <w:b/>
          <w:bCs/>
          <w:szCs w:val="32"/>
        </w:rPr>
        <w:t>二是</w:t>
      </w:r>
      <w:r>
        <w:rPr>
          <w:rFonts w:ascii="Times New Roman" w:hAnsi="Times New Roman" w:eastAsia="仿宋"/>
          <w:b/>
          <w:szCs w:val="32"/>
        </w:rPr>
        <w:t>夯实招商基础。</w:t>
      </w:r>
      <w:r>
        <w:rPr>
          <w:rFonts w:ascii="Times New Roman" w:hAnsi="Times New Roman" w:eastAsia="仿宋"/>
          <w:szCs w:val="32"/>
        </w:rPr>
        <w:t>完善“两图五库”，开展大走访、大慰问，扩大以商招商“朋友圈”。升级益阳数字招商平台，举办全市高水平对外开放暨招商引资能力提升专题培训班，大力探索应用场景招商、基金招商、股权招商等新模式，“晶芯基金”成功引进京舟股份、金钨科技等项目。</w:t>
      </w:r>
      <w:r>
        <w:rPr>
          <w:rFonts w:ascii="Times New Roman" w:hAnsi="Times New Roman" w:eastAsia="仿宋"/>
          <w:b/>
          <w:bCs/>
          <w:szCs w:val="32"/>
        </w:rPr>
        <w:t>三是加快招商转型</w:t>
      </w:r>
      <w:r>
        <w:rPr>
          <w:rFonts w:ascii="Times New Roman" w:hAnsi="Times New Roman" w:eastAsia="仿宋"/>
          <w:szCs w:val="32"/>
        </w:rPr>
        <w:t>。加强驻点招商，设立重点区域招商联络站，建设“飞地产业孵化器”。构建大招商格局，落实对口联系国家招商机制，签订离岸经贸服务协议3份。</w:t>
      </w:r>
      <w:r>
        <w:rPr>
          <w:rFonts w:ascii="Times New Roman" w:hAnsi="Times New Roman" w:eastAsia="仿宋"/>
          <w:b/>
          <w:bCs/>
          <w:szCs w:val="32"/>
        </w:rPr>
        <w:t>四是破题政策兑现</w:t>
      </w:r>
      <w:r>
        <w:rPr>
          <w:rFonts w:ascii="Times New Roman" w:hAnsi="Times New Roman" w:eastAsia="仿宋"/>
          <w:szCs w:val="32"/>
        </w:rPr>
        <w:t>。解剖金博碳素案例，精细梳理合同条款，以2019年以前颁布且有效的法律法规条款为依据，分类提出可以追缴、不予追缴、三年逐步兑现的建议解决方案，为全市招商引资存量政策兑现提供范本。</w:t>
      </w:r>
    </w:p>
    <w:p>
      <w:pPr>
        <w:spacing w:line="570" w:lineRule="exact"/>
        <w:ind w:firstLine="632"/>
        <w:rPr>
          <w:rFonts w:ascii="Times New Roman" w:hAnsi="Times New Roman" w:eastAsia="仿宋"/>
          <w:szCs w:val="32"/>
        </w:rPr>
      </w:pPr>
      <w:r>
        <w:rPr>
          <w:rFonts w:ascii="Times New Roman" w:hAnsi="Times New Roman" w:eastAsia="方正楷体简体"/>
          <w:szCs w:val="32"/>
        </w:rPr>
        <w:t>（</w:t>
      </w:r>
      <w:r>
        <w:rPr>
          <w:rFonts w:hint="eastAsia" w:ascii="Times New Roman" w:hAnsi="Times New Roman" w:eastAsia="方正楷体简体"/>
          <w:szCs w:val="32"/>
          <w:lang w:eastAsia="zh-CN"/>
        </w:rPr>
        <w:t>三</w:t>
      </w:r>
      <w:r>
        <w:rPr>
          <w:rFonts w:ascii="Times New Roman" w:hAnsi="Times New Roman" w:eastAsia="方正楷体简体"/>
          <w:szCs w:val="32"/>
        </w:rPr>
        <w:t>）大力激发消费潜能。</w:t>
      </w:r>
      <w:r>
        <w:rPr>
          <w:rFonts w:ascii="Times New Roman" w:hAnsi="Times New Roman" w:eastAsia="仿宋"/>
          <w:szCs w:val="32"/>
        </w:rPr>
        <w:t>全市社会消费品零售总额953亿元，同比增长5.7%，增速排名全省第7位，高于全省平均0.3个百分点。</w:t>
      </w:r>
      <w:r>
        <w:rPr>
          <w:rFonts w:ascii="Times New Roman" w:hAnsi="Times New Roman" w:eastAsia="仿宋"/>
          <w:b/>
          <w:bCs/>
          <w:szCs w:val="32"/>
        </w:rPr>
        <w:t>一是全面实施换新政策</w:t>
      </w:r>
      <w:r>
        <w:rPr>
          <w:rFonts w:ascii="Times New Roman" w:hAnsi="Times New Roman" w:eastAsia="仿宋"/>
          <w:szCs w:val="32"/>
        </w:rPr>
        <w:t>。投入消费品以旧换新补贴2.27亿元，直接拉动消费17.57亿元，近15万人次受惠，群众好评如潮。资金支出进度、家电换新消费社零占比、拆解报废车数量指标分别排名全省第2位、第3位、第2位。</w:t>
      </w:r>
      <w:r>
        <w:rPr>
          <w:rFonts w:ascii="Times New Roman" w:hAnsi="Times New Roman" w:eastAsia="仿宋"/>
          <w:b/>
          <w:bCs/>
          <w:szCs w:val="32"/>
        </w:rPr>
        <w:t>二是持续丰富消费场景</w:t>
      </w:r>
      <w:r>
        <w:rPr>
          <w:rFonts w:ascii="Times New Roman" w:hAnsi="Times New Roman" w:eastAsia="仿宋"/>
          <w:szCs w:val="32"/>
        </w:rPr>
        <w:t>。桃江县获评全国县域商业“领跑县”。成功举办2024年湖南消费促进年（春季）启动仪式、2024“味道湖南”美食季启动仪式等。新打造3家省级夜间消费聚集示范区，23个品牌通过湖南老字号复核。建设省级“提升型、基础型”一刻钟便民生活圈8个。</w:t>
      </w:r>
      <w:r>
        <w:rPr>
          <w:rFonts w:ascii="Times New Roman" w:hAnsi="Times New Roman" w:eastAsia="仿宋"/>
          <w:b/>
          <w:bCs/>
          <w:szCs w:val="32"/>
        </w:rPr>
        <w:t>三是深入实施“数商兴农”</w:t>
      </w:r>
      <w:r>
        <w:rPr>
          <w:rFonts w:ascii="Times New Roman" w:hAnsi="Times New Roman" w:eastAsia="仿宋"/>
          <w:szCs w:val="32"/>
        </w:rPr>
        <w:t>。积极对接抖音、1688、东方甄选等电商平台，直播带货、社区电商等新业态成长迅速，全市电子商务活跃店铺数约1.6万个，参与直播农产品超过3000个，预计全年农产品网络零售额约25亿元，同比增长约10%。沅江市完成电子商务进农村示范县建设。</w:t>
      </w:r>
      <w:r>
        <w:rPr>
          <w:rFonts w:ascii="Times New Roman" w:hAnsi="Times New Roman" w:eastAsia="仿宋"/>
          <w:b/>
          <w:bCs/>
          <w:szCs w:val="32"/>
        </w:rPr>
        <w:t>四是升级完善商业体系</w:t>
      </w:r>
      <w:r>
        <w:rPr>
          <w:rFonts w:ascii="Times New Roman" w:hAnsi="Times New Roman" w:eastAsia="仿宋"/>
          <w:szCs w:val="32"/>
        </w:rPr>
        <w:t>。成功申报县域商业体系建设项目37个，争取上级项目资金3300万元，居全省第2位。引导社会资本投入约1.5亿元，改造升级县城商贸中心2个、乡镇商业中心17个、村级便利店161个、物流配送中心4个，培育县域龙头商贸流通企业15个，乡村快递覆盖率100%，物流整合率75%，乡镇商贸中心、县乡村三级物流等进一步提质。</w:t>
      </w:r>
      <w:r>
        <w:rPr>
          <w:rFonts w:ascii="Times New Roman" w:hAnsi="Times New Roman" w:eastAsia="仿宋"/>
          <w:b/>
          <w:bCs/>
          <w:szCs w:val="32"/>
        </w:rPr>
        <w:t>五是扎实推动限上企业入库</w:t>
      </w:r>
      <w:r>
        <w:rPr>
          <w:rFonts w:ascii="Times New Roman" w:hAnsi="Times New Roman" w:eastAsia="仿宋"/>
          <w:szCs w:val="32"/>
        </w:rPr>
        <w:t>。全力提升社零入库质量，通过加强指导服务，推动县市区全力挖潜，完成限上商贸企业入库87家，退库“僵尸”企业28家，在库企业质量明显提高。</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七、存在的问题及原因分析</w:t>
      </w:r>
    </w:p>
    <w:p>
      <w:pPr>
        <w:overflowPunct w:val="0"/>
        <w:spacing w:line="570" w:lineRule="exact"/>
        <w:ind w:firstLine="632" w:firstLineChars="200"/>
        <w:rPr>
          <w:rFonts w:ascii="Times New Roman" w:hAnsi="Times New Roman" w:eastAsia="仿宋"/>
          <w:szCs w:val="32"/>
        </w:rPr>
      </w:pPr>
      <w:r>
        <w:rPr>
          <w:rFonts w:ascii="Times New Roman" w:hAnsi="Times New Roman" w:eastAsia="仿宋"/>
          <w:szCs w:val="32"/>
        </w:rPr>
        <w:t>通过对本部门整体支出绩效完成情况进行分析，在绩效管理过程中还存在</w:t>
      </w:r>
      <w:r>
        <w:rPr>
          <w:rFonts w:hint="eastAsia" w:ascii="Times New Roman" w:hAnsi="Times New Roman" w:eastAsia="仿宋"/>
          <w:szCs w:val="32"/>
        </w:rPr>
        <w:t>以下</w:t>
      </w:r>
      <w:r>
        <w:rPr>
          <w:rFonts w:ascii="Times New Roman" w:hAnsi="Times New Roman" w:eastAsia="仿宋"/>
          <w:szCs w:val="32"/>
        </w:rPr>
        <w:t>问题：</w:t>
      </w:r>
      <w:r>
        <w:rPr>
          <w:rFonts w:hint="eastAsia" w:ascii="Times New Roman" w:hAnsi="Times New Roman" w:eastAsia="仿宋"/>
          <w:szCs w:val="32"/>
        </w:rPr>
        <w:t>在部门整体支出绩效自评表中，质量指标消费品零售总额增长实际完成情况出现偏差的原因是居民收入下降，以旧换新活动中汽车售价降低。项目支出运行维护经费绩效自评表中，经济效益指标税收收入实际完成情况出现偏差的原因是企业在属地申报的意愿度较低。经向企业调研了解，异地纳税的原因主要为以下四点：一是空运货物由运输公司向其目的地海关申报，无法在益阳申报；二是自口岸转关的水运整箱货物只能在转关目的地申报，益阳市暂无口岸，无法向益阳海关申报；三是肉类、水产品等需在指定口岸进境的商品，企业往往根据客户要求和申报方便程度，选择在进境地所在海关申报；四是根据客户签订的合同或货代要求，选择在口岸申报。</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八、下一步改进措施</w:t>
      </w:r>
    </w:p>
    <w:p>
      <w:pPr>
        <w:overflowPunct w:val="0"/>
        <w:spacing w:line="570" w:lineRule="exact"/>
        <w:ind w:firstLine="632" w:firstLineChars="200"/>
        <w:rPr>
          <w:rFonts w:ascii="Times New Roman" w:hAnsi="Times New Roman" w:eastAsia="仿宋"/>
          <w:szCs w:val="32"/>
        </w:rPr>
      </w:pPr>
      <w:r>
        <w:rPr>
          <w:rFonts w:hint="eastAsia" w:ascii="Times New Roman" w:hAnsi="Times New Roman" w:eastAsia="仿宋"/>
          <w:szCs w:val="32"/>
        </w:rPr>
        <w:t>针对部门整体支出绩效自评表中，质量指标消费品零售总额增长实际完成情况出现偏差的问题，我单位将采取以下改进措施：继续开展促消费活动，提高社会消费品零售总额增长。针对项目支出运行维护经费绩效自评表中，经济效益指标税收收入实际完成情况出现偏差的问题，资金被支持单位将采取以下改进措施：一是严格依法征管，二是加强属地纳税引导，三是强化对企业服务；四是结合辖区实际情况，进一步科学合理设置绩效指标。</w:t>
      </w:r>
    </w:p>
    <w:p>
      <w:pPr>
        <w:overflowPunct w:val="0"/>
        <w:spacing w:line="570" w:lineRule="exact"/>
        <w:ind w:firstLine="632" w:firstLineChars="200"/>
        <w:rPr>
          <w:rFonts w:ascii="Times New Roman" w:hAnsi="Times New Roman" w:eastAsia="黑体"/>
          <w:szCs w:val="32"/>
        </w:rPr>
      </w:pPr>
      <w:r>
        <w:rPr>
          <w:rFonts w:ascii="Times New Roman" w:hAnsi="Times New Roman" w:eastAsia="黑体"/>
          <w:szCs w:val="32"/>
        </w:rPr>
        <w:t>九、部门整体支出绩效自评结果拟应用和公开情况</w:t>
      </w:r>
    </w:p>
    <w:p>
      <w:pPr>
        <w:spacing w:line="570" w:lineRule="exact"/>
        <w:ind w:firstLine="632" w:firstLineChars="200"/>
        <w:rPr>
          <w:rFonts w:ascii="Times New Roman" w:hAnsi="Times New Roman" w:eastAsia="仿宋"/>
          <w:color w:val="000000"/>
          <w:szCs w:val="32"/>
        </w:rPr>
      </w:pPr>
      <w:r>
        <w:rPr>
          <w:rFonts w:ascii="Times New Roman" w:hAnsi="Times New Roman" w:eastAsia="仿宋"/>
          <w:color w:val="000000"/>
          <w:szCs w:val="32"/>
        </w:rPr>
        <w:t>（一）从预算配置、预算执行、预算管理、职责履行和履职效益等方面综合评价，202</w:t>
      </w:r>
      <w:r>
        <w:rPr>
          <w:rFonts w:hint="eastAsia" w:ascii="Times New Roman" w:hAnsi="Times New Roman" w:eastAsia="仿宋"/>
          <w:color w:val="000000"/>
          <w:szCs w:val="32"/>
        </w:rPr>
        <w:t>4</w:t>
      </w:r>
      <w:r>
        <w:rPr>
          <w:rFonts w:ascii="Times New Roman" w:hAnsi="Times New Roman" w:eastAsia="仿宋"/>
          <w:color w:val="000000"/>
          <w:szCs w:val="32"/>
        </w:rPr>
        <w:t>年部门整体支出资金项目绩效评价得分为</w:t>
      </w:r>
      <w:r>
        <w:rPr>
          <w:rFonts w:hint="eastAsia" w:ascii="Times New Roman" w:hAnsi="Times New Roman" w:eastAsia="仿宋"/>
          <w:color w:val="000000"/>
          <w:szCs w:val="32"/>
        </w:rPr>
        <w:t>99.5</w:t>
      </w:r>
      <w:r>
        <w:rPr>
          <w:rFonts w:ascii="Times New Roman" w:hAnsi="Times New Roman" w:eastAsia="仿宋"/>
          <w:color w:val="000000"/>
          <w:szCs w:val="32"/>
        </w:rPr>
        <w:t>分。</w:t>
      </w:r>
    </w:p>
    <w:p>
      <w:pPr>
        <w:spacing w:line="570" w:lineRule="exact"/>
        <w:ind w:firstLine="632" w:firstLineChars="200"/>
        <w:rPr>
          <w:rFonts w:ascii="Times New Roman" w:hAnsi="Times New Roman" w:eastAsia="仿宋"/>
          <w:color w:val="000000"/>
          <w:szCs w:val="32"/>
        </w:rPr>
      </w:pPr>
      <w:r>
        <w:rPr>
          <w:rFonts w:ascii="Times New Roman" w:hAnsi="Times New Roman" w:eastAsia="仿宋"/>
          <w:color w:val="000000"/>
          <w:szCs w:val="32"/>
        </w:rPr>
        <w:t>（二）将绩效自评结果作为下年度预算配置、预算执行和预算管理的重要参照依据，不断细化绩效评价指标，提高资金使用效益。绩效评价报告及相关表格将按规定在门户网站进行公开。</w:t>
      </w:r>
    </w:p>
    <w:p>
      <w:pPr>
        <w:spacing w:line="570" w:lineRule="exact"/>
        <w:ind w:firstLine="632" w:firstLineChars="200"/>
        <w:rPr>
          <w:rFonts w:ascii="Times New Roman" w:hAnsi="Times New Roman" w:eastAsia="黑体"/>
          <w:szCs w:val="32"/>
        </w:rPr>
      </w:pPr>
      <w:r>
        <w:rPr>
          <w:rFonts w:ascii="Times New Roman" w:hAnsi="Times New Roman" w:eastAsia="黑体"/>
          <w:szCs w:val="32"/>
        </w:rPr>
        <w:t>十、其他需要说明的情况</w:t>
      </w:r>
    </w:p>
    <w:p>
      <w:pPr>
        <w:spacing w:line="570" w:lineRule="exact"/>
        <w:ind w:firstLine="632" w:firstLineChars="200"/>
        <w:rPr>
          <w:rFonts w:ascii="Times New Roman" w:hAnsi="Times New Roman" w:eastAsia="仿宋"/>
          <w:color w:val="000000"/>
          <w:szCs w:val="32"/>
        </w:rPr>
      </w:pPr>
      <w:r>
        <w:rPr>
          <w:rFonts w:ascii="Times New Roman" w:hAnsi="Times New Roman" w:eastAsia="仿宋"/>
          <w:color w:val="000000"/>
          <w:szCs w:val="32"/>
        </w:rPr>
        <w:t>我单位没有新建楼堂馆所，无新建楼堂馆所投资概算。</w:t>
      </w:r>
    </w:p>
    <w:p>
      <w:pPr>
        <w:spacing w:line="570" w:lineRule="exact"/>
        <w:ind w:firstLine="632" w:firstLineChars="200"/>
        <w:rPr>
          <w:rFonts w:ascii="Times New Roman" w:hAnsi="Times New Roman" w:eastAsia="仿宋"/>
          <w:color w:val="000000"/>
          <w:szCs w:val="32"/>
        </w:rPr>
      </w:pPr>
    </w:p>
    <w:p>
      <w:pPr>
        <w:spacing w:line="570" w:lineRule="exact"/>
        <w:ind w:firstLine="632" w:firstLineChars="200"/>
        <w:rPr>
          <w:rFonts w:ascii="Times New Roman" w:hAnsi="Times New Roman" w:eastAsia="仿宋"/>
          <w:color w:val="000000"/>
          <w:szCs w:val="32"/>
        </w:rPr>
      </w:pPr>
      <w:r>
        <w:rPr>
          <w:rFonts w:ascii="Times New Roman" w:hAnsi="Times New Roman" w:eastAsia="仿宋"/>
          <w:color w:val="000000"/>
          <w:szCs w:val="32"/>
        </w:rPr>
        <w:t>报告附件：1.部门整体支出绩效评价基础数据表</w:t>
      </w:r>
    </w:p>
    <w:p>
      <w:pPr>
        <w:spacing w:line="570" w:lineRule="exact"/>
        <w:ind w:firstLine="2212" w:firstLineChars="700"/>
        <w:rPr>
          <w:rFonts w:ascii="Times New Roman" w:hAnsi="Times New Roman" w:eastAsia="仿宋"/>
          <w:color w:val="000000"/>
          <w:szCs w:val="32"/>
        </w:rPr>
      </w:pPr>
      <w:r>
        <w:rPr>
          <w:rFonts w:ascii="Times New Roman" w:hAnsi="Times New Roman" w:eastAsia="仿宋"/>
          <w:color w:val="000000"/>
          <w:szCs w:val="32"/>
        </w:rPr>
        <w:t>2.部门整体支出绩效自评表</w:t>
      </w:r>
    </w:p>
    <w:p>
      <w:pPr>
        <w:spacing w:line="570" w:lineRule="exact"/>
        <w:ind w:firstLine="2212" w:firstLineChars="700"/>
        <w:rPr>
          <w:rFonts w:ascii="Times New Roman" w:hAnsi="Times New Roman" w:eastAsia="仿宋"/>
          <w:color w:val="000000"/>
          <w:szCs w:val="32"/>
        </w:rPr>
      </w:pPr>
      <w:r>
        <w:rPr>
          <w:rFonts w:ascii="Times New Roman" w:hAnsi="Times New Roman" w:eastAsia="仿宋"/>
          <w:color w:val="000000"/>
          <w:szCs w:val="32"/>
        </w:rPr>
        <w:t>3.项目支出绩效自评表</w:t>
      </w:r>
    </w:p>
    <w:p>
      <w:pPr>
        <w:spacing w:line="570" w:lineRule="exact"/>
        <w:ind w:firstLine="2212" w:firstLineChars="700"/>
        <w:rPr>
          <w:rFonts w:ascii="Times New Roman" w:hAnsi="Times New Roman" w:eastAsia="仿宋"/>
          <w:color w:val="000000"/>
          <w:szCs w:val="32"/>
        </w:rPr>
        <w:sectPr>
          <w:footerReference r:id="rId3" w:type="default"/>
          <w:pgSz w:w="11907" w:h="16840"/>
          <w:pgMar w:top="2098" w:right="1531" w:bottom="1984" w:left="1531" w:header="851" w:footer="1247" w:gutter="0"/>
          <w:pgNumType w:start="1"/>
          <w:cols w:space="720" w:num="1"/>
          <w:docGrid w:type="linesAndChars" w:linePitch="587" w:charSpace="-842"/>
        </w:sectPr>
      </w:pPr>
      <w:r>
        <w:rPr>
          <w:rFonts w:hint="eastAsia" w:ascii="Times New Roman" w:hAnsi="Times New Roman" w:eastAsia="黑体"/>
          <w:szCs w:val="32"/>
        </w:rPr>
        <w:t>4</w:t>
      </w:r>
      <w:r>
        <w:rPr>
          <w:rFonts w:hint="eastAsia" w:ascii="Times New Roman" w:hAnsi="Times New Roman" w:eastAsia="仿宋"/>
          <w:color w:val="000000"/>
          <w:szCs w:val="32"/>
        </w:rPr>
        <w:t>.政府性基金预算支出情况表</w:t>
      </w:r>
    </w:p>
    <w:p>
      <w:pPr>
        <w:widowControl/>
        <w:spacing w:line="400" w:lineRule="exact"/>
        <w:jc w:val="left"/>
        <w:rPr>
          <w:rFonts w:ascii="Times New Roman" w:hAnsi="Times New Roman" w:eastAsia="黑体"/>
          <w:szCs w:val="32"/>
        </w:rPr>
      </w:pPr>
      <w:r>
        <w:rPr>
          <w:rFonts w:ascii="Times New Roman" w:hAnsi="Times New Roman" w:eastAsia="黑体"/>
          <w:szCs w:val="32"/>
        </w:rPr>
        <w:t>附件1</w:t>
      </w:r>
    </w:p>
    <w:p>
      <w:pPr>
        <w:pStyle w:val="2"/>
        <w:rPr>
          <w:rFonts w:hint="default"/>
        </w:rPr>
      </w:pPr>
      <w:r>
        <w:rPr>
          <w:rFonts w:hint="default"/>
        </w:rPr>
        <w:t>202</w:t>
      </w:r>
      <w:r>
        <w:t>4</w:t>
      </w:r>
      <w:r>
        <w:rPr>
          <w:rFonts w:hint="default"/>
        </w:rPr>
        <w:t>年度部门整体支出绩效评价基础数据表</w:t>
      </w:r>
    </w:p>
    <w:tbl>
      <w:tblPr>
        <w:tblStyle w:val="9"/>
        <w:tblW w:w="9630" w:type="dxa"/>
        <w:jc w:val="center"/>
        <w:tblLayout w:type="fixed"/>
        <w:tblCellMar>
          <w:top w:w="0" w:type="dxa"/>
          <w:left w:w="108" w:type="dxa"/>
          <w:bottom w:w="0" w:type="dxa"/>
          <w:right w:w="108" w:type="dxa"/>
        </w:tblCellMar>
      </w:tblPr>
      <w:tblGrid>
        <w:gridCol w:w="3214"/>
        <w:gridCol w:w="1200"/>
        <w:gridCol w:w="1125"/>
        <w:gridCol w:w="1080"/>
        <w:gridCol w:w="1064"/>
        <w:gridCol w:w="992"/>
        <w:gridCol w:w="955"/>
      </w:tblGrid>
      <w:tr>
        <w:tblPrEx>
          <w:tblCellMar>
            <w:top w:w="0" w:type="dxa"/>
            <w:left w:w="108" w:type="dxa"/>
            <w:bottom w:w="0" w:type="dxa"/>
            <w:right w:w="108" w:type="dxa"/>
          </w:tblCellMar>
        </w:tblPrEx>
        <w:trPr>
          <w:trHeight w:val="510" w:hRule="exact"/>
          <w:jc w:val="center"/>
        </w:trPr>
        <w:tc>
          <w:tcPr>
            <w:tcW w:w="321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财政供养人员情况（人）</w:t>
            </w:r>
          </w:p>
        </w:tc>
        <w:tc>
          <w:tcPr>
            <w:tcW w:w="2325" w:type="dxa"/>
            <w:gridSpan w:val="2"/>
            <w:tcBorders>
              <w:top w:val="single" w:color="auto" w:sz="4" w:space="0"/>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b/>
                <w:bCs/>
                <w:kern w:val="0"/>
                <w:sz w:val="21"/>
                <w:szCs w:val="21"/>
              </w:rPr>
            </w:pPr>
            <w:r>
              <w:rPr>
                <w:rFonts w:hint="eastAsia" w:ascii="Times New Roman" w:hAnsi="Times New Roman" w:eastAsia="仿宋"/>
                <w:b/>
                <w:bCs/>
                <w:kern w:val="0"/>
                <w:sz w:val="21"/>
                <w:szCs w:val="21"/>
              </w:rPr>
              <w:t>编制数</w:t>
            </w:r>
          </w:p>
        </w:tc>
        <w:tc>
          <w:tcPr>
            <w:tcW w:w="2144" w:type="dxa"/>
            <w:gridSpan w:val="2"/>
            <w:tcBorders>
              <w:top w:val="single" w:color="auto" w:sz="4" w:space="0"/>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b/>
                <w:bCs/>
                <w:kern w:val="0"/>
                <w:sz w:val="21"/>
                <w:szCs w:val="21"/>
              </w:rPr>
            </w:pPr>
            <w:r>
              <w:rPr>
                <w:rFonts w:hint="eastAsia" w:ascii="Times New Roman" w:hAnsi="Times New Roman" w:eastAsia="仿宋"/>
                <w:b/>
                <w:bCs/>
                <w:kern w:val="0"/>
                <w:sz w:val="21"/>
                <w:szCs w:val="21"/>
              </w:rPr>
              <w:t>2024年实际在职人数</w:t>
            </w:r>
          </w:p>
        </w:tc>
        <w:tc>
          <w:tcPr>
            <w:tcW w:w="1947" w:type="dxa"/>
            <w:gridSpan w:val="2"/>
            <w:tcBorders>
              <w:top w:val="single" w:color="auto" w:sz="4" w:space="0"/>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b/>
                <w:bCs/>
                <w:kern w:val="0"/>
                <w:sz w:val="21"/>
                <w:szCs w:val="21"/>
              </w:rPr>
            </w:pPr>
            <w:r>
              <w:rPr>
                <w:rFonts w:hint="eastAsia" w:ascii="Times New Roman" w:hAnsi="Times New Roman" w:eastAsia="仿宋"/>
                <w:b/>
                <w:bCs/>
                <w:kern w:val="0"/>
                <w:sz w:val="21"/>
                <w:szCs w:val="21"/>
              </w:rPr>
              <w:t>控制率</w:t>
            </w:r>
          </w:p>
        </w:tc>
      </w:tr>
      <w:tr>
        <w:tblPrEx>
          <w:tblCellMar>
            <w:top w:w="0" w:type="dxa"/>
            <w:left w:w="108" w:type="dxa"/>
            <w:bottom w:w="0" w:type="dxa"/>
            <w:right w:w="108" w:type="dxa"/>
          </w:tblCellMar>
        </w:tblPrEx>
        <w:trPr>
          <w:trHeight w:val="510" w:hRule="exact"/>
          <w:jc w:val="center"/>
        </w:trPr>
        <w:tc>
          <w:tcPr>
            <w:tcW w:w="32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20" w:right="-63" w:rightChars="-20"/>
              <w:jc w:val="left"/>
              <w:rPr>
                <w:rFonts w:ascii="Times New Roman" w:hAnsi="Times New Roman" w:eastAsia="仿宋"/>
                <w:kern w:val="0"/>
                <w:sz w:val="21"/>
                <w:szCs w:val="21"/>
              </w:rPr>
            </w:pPr>
          </w:p>
        </w:tc>
        <w:tc>
          <w:tcPr>
            <w:tcW w:w="2325" w:type="dxa"/>
            <w:gridSpan w:val="2"/>
            <w:tcBorders>
              <w:top w:val="single" w:color="auto" w:sz="4" w:space="0"/>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45</w:t>
            </w:r>
          </w:p>
        </w:tc>
        <w:tc>
          <w:tcPr>
            <w:tcW w:w="2144" w:type="dxa"/>
            <w:gridSpan w:val="2"/>
            <w:tcBorders>
              <w:top w:val="single" w:color="auto" w:sz="4" w:space="0"/>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45</w:t>
            </w:r>
          </w:p>
        </w:tc>
        <w:tc>
          <w:tcPr>
            <w:tcW w:w="1947" w:type="dxa"/>
            <w:gridSpan w:val="2"/>
            <w:tcBorders>
              <w:top w:val="single" w:color="auto" w:sz="4" w:space="0"/>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100.00%</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经费控制情况（万元）</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b/>
                <w:bCs/>
                <w:kern w:val="0"/>
                <w:sz w:val="21"/>
                <w:szCs w:val="21"/>
              </w:rPr>
            </w:pPr>
            <w:r>
              <w:rPr>
                <w:rFonts w:hint="eastAsia" w:ascii="Times New Roman" w:hAnsi="Times New Roman" w:eastAsia="仿宋"/>
                <w:b/>
                <w:bCs/>
                <w:kern w:val="0"/>
                <w:sz w:val="21"/>
                <w:szCs w:val="21"/>
              </w:rPr>
              <w:t>2023年决算数</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b/>
                <w:bCs/>
                <w:kern w:val="0"/>
                <w:sz w:val="21"/>
                <w:szCs w:val="21"/>
              </w:rPr>
            </w:pPr>
            <w:r>
              <w:rPr>
                <w:rFonts w:hint="eastAsia" w:ascii="Times New Roman" w:hAnsi="Times New Roman" w:eastAsia="仿宋"/>
                <w:b/>
                <w:bCs/>
                <w:kern w:val="0"/>
                <w:sz w:val="21"/>
                <w:szCs w:val="21"/>
              </w:rPr>
              <w:t>2024年预算数</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b/>
                <w:bCs/>
                <w:kern w:val="0"/>
                <w:sz w:val="21"/>
                <w:szCs w:val="21"/>
              </w:rPr>
            </w:pPr>
            <w:r>
              <w:rPr>
                <w:rFonts w:hint="eastAsia" w:ascii="Times New Roman" w:hAnsi="Times New Roman" w:eastAsia="仿宋"/>
                <w:b/>
                <w:bCs/>
                <w:kern w:val="0"/>
                <w:sz w:val="21"/>
                <w:szCs w:val="21"/>
              </w:rPr>
              <w:t>2024年决算数</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rPr>
                <w:rFonts w:ascii="Times New Roman" w:hAnsi="Times New Roman" w:eastAsia="仿宋"/>
                <w:kern w:val="0"/>
                <w:sz w:val="21"/>
                <w:szCs w:val="21"/>
              </w:rPr>
            </w:pPr>
            <w:r>
              <w:rPr>
                <w:rFonts w:ascii="Times New Roman" w:hAnsi="Times New Roman" w:eastAsia="仿宋"/>
                <w:kern w:val="0"/>
                <w:sz w:val="21"/>
                <w:szCs w:val="21"/>
              </w:rPr>
              <w:t>三公经费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95.49</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33</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87.73</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412" w:firstLineChars="200"/>
              <w:rPr>
                <w:rFonts w:ascii="Times New Roman" w:hAnsi="Times New Roman" w:eastAsia="仿宋"/>
                <w:kern w:val="0"/>
                <w:sz w:val="21"/>
                <w:szCs w:val="21"/>
              </w:rPr>
            </w:pPr>
            <w:r>
              <w:rPr>
                <w:rFonts w:ascii="Times New Roman" w:hAnsi="Times New Roman" w:eastAsia="仿宋"/>
                <w:kern w:val="0"/>
                <w:sz w:val="21"/>
                <w:szCs w:val="21"/>
              </w:rPr>
              <w:t>1、公务用车购置和维护经费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11.17</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21</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6.58</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其中：公车购置</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0</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0</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0</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 xml:space="preserve">          公车运行维护</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11.17</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21</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6.58</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412" w:firstLineChars="200"/>
              <w:rPr>
                <w:rFonts w:ascii="Times New Roman" w:hAnsi="Times New Roman" w:eastAsia="仿宋"/>
                <w:kern w:val="0"/>
                <w:sz w:val="21"/>
                <w:szCs w:val="21"/>
              </w:rPr>
            </w:pPr>
            <w:r>
              <w:rPr>
                <w:rFonts w:ascii="Times New Roman" w:hAnsi="Times New Roman" w:eastAsia="仿宋"/>
                <w:kern w:val="0"/>
                <w:sz w:val="21"/>
                <w:szCs w:val="21"/>
              </w:rPr>
              <w:t>2、出国经费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69.91</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0</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71.93</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412" w:firstLineChars="200"/>
              <w:rPr>
                <w:rFonts w:ascii="Times New Roman" w:hAnsi="Times New Roman" w:eastAsia="仿宋"/>
                <w:kern w:val="0"/>
                <w:sz w:val="21"/>
                <w:szCs w:val="21"/>
              </w:rPr>
            </w:pPr>
            <w:r>
              <w:rPr>
                <w:rFonts w:ascii="Times New Roman" w:hAnsi="Times New Roman" w:eastAsia="仿宋"/>
                <w:kern w:val="0"/>
                <w:sz w:val="21"/>
                <w:szCs w:val="21"/>
              </w:rPr>
              <w:t>3、公务接待</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14.41</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12</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9.22</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rPr>
                <w:rFonts w:ascii="Times New Roman" w:hAnsi="Times New Roman" w:eastAsia="仿宋"/>
                <w:kern w:val="0"/>
                <w:sz w:val="21"/>
                <w:szCs w:val="21"/>
              </w:rPr>
            </w:pPr>
            <w:r>
              <w:rPr>
                <w:rFonts w:ascii="Times New Roman" w:hAnsi="Times New Roman" w:eastAsia="仿宋"/>
                <w:kern w:val="0"/>
                <w:sz w:val="21"/>
                <w:szCs w:val="21"/>
              </w:rPr>
              <w:t>项目支出：</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868.56</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23827.67</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23827.67</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412" w:firstLineChars="200"/>
              <w:rPr>
                <w:rFonts w:ascii="Times New Roman" w:hAnsi="Times New Roman" w:eastAsia="仿宋"/>
                <w:kern w:val="0"/>
                <w:sz w:val="21"/>
                <w:szCs w:val="21"/>
              </w:rPr>
            </w:pPr>
            <w:r>
              <w:rPr>
                <w:rFonts w:ascii="Times New Roman" w:hAnsi="Times New Roman" w:eastAsia="仿宋"/>
                <w:kern w:val="0"/>
                <w:sz w:val="21"/>
                <w:szCs w:val="21"/>
              </w:rPr>
              <w:t>1、业务工作经费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518.56</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hint="default" w:ascii="Times New Roman" w:hAnsi="Times New Roman" w:eastAsia="仿宋"/>
                <w:kern w:val="0"/>
                <w:sz w:val="21"/>
                <w:szCs w:val="21"/>
                <w:lang w:val="en-US" w:eastAsia="zh-CN"/>
              </w:rPr>
            </w:pPr>
            <w:r>
              <w:rPr>
                <w:rFonts w:hint="eastAsia" w:ascii="Times New Roman" w:hAnsi="Times New Roman" w:eastAsia="仿宋"/>
                <w:kern w:val="0"/>
                <w:sz w:val="21"/>
                <w:szCs w:val="21"/>
                <w:lang w:val="en-US" w:eastAsia="zh-CN"/>
              </w:rPr>
              <w:t>504.67</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hint="default" w:ascii="Times New Roman" w:hAnsi="Times New Roman" w:eastAsia="仿宋"/>
                <w:kern w:val="0"/>
                <w:sz w:val="21"/>
                <w:szCs w:val="21"/>
                <w:lang w:val="en-US" w:eastAsia="zh-CN"/>
              </w:rPr>
            </w:pPr>
            <w:r>
              <w:rPr>
                <w:rFonts w:hint="eastAsia" w:ascii="Times New Roman" w:hAnsi="Times New Roman" w:eastAsia="仿宋"/>
                <w:kern w:val="0"/>
                <w:sz w:val="21"/>
                <w:szCs w:val="21"/>
                <w:lang w:val="en-US" w:eastAsia="zh-CN"/>
              </w:rPr>
              <w:t>504.67</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412" w:firstLineChars="200"/>
              <w:rPr>
                <w:rFonts w:ascii="Times New Roman" w:hAnsi="Times New Roman" w:eastAsia="仿宋"/>
                <w:kern w:val="0"/>
                <w:sz w:val="21"/>
                <w:szCs w:val="21"/>
              </w:rPr>
            </w:pPr>
            <w:r>
              <w:rPr>
                <w:rFonts w:ascii="Times New Roman" w:hAnsi="Times New Roman" w:eastAsia="仿宋"/>
                <w:kern w:val="0"/>
                <w:sz w:val="21"/>
                <w:szCs w:val="21"/>
              </w:rPr>
              <w:t>2、运行维护经费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350</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350</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350</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412" w:firstLineChars="200"/>
              <w:rPr>
                <w:rFonts w:ascii="Times New Roman" w:hAnsi="Times New Roman" w:eastAsia="仿宋"/>
                <w:kern w:val="0"/>
                <w:sz w:val="21"/>
                <w:szCs w:val="21"/>
              </w:rPr>
            </w:pPr>
            <w:r>
              <w:rPr>
                <w:rFonts w:ascii="Times New Roman" w:hAnsi="Times New Roman" w:eastAsia="仿宋"/>
                <w:kern w:val="0"/>
                <w:sz w:val="21"/>
                <w:szCs w:val="21"/>
              </w:rPr>
              <w:t>3</w:t>
            </w:r>
            <w:r>
              <w:rPr>
                <w:rFonts w:ascii="Times New Roman" w:hAnsi="Times New Roman" w:eastAsia="仿宋"/>
                <w:spacing w:val="-11"/>
                <w:kern w:val="0"/>
                <w:sz w:val="21"/>
                <w:szCs w:val="21"/>
              </w:rPr>
              <w:t>、</w:t>
            </w:r>
            <w:r>
              <w:rPr>
                <w:rFonts w:hint="eastAsia" w:ascii="Times New Roman" w:hAnsi="Times New Roman" w:eastAsia="仿宋"/>
                <w:spacing w:val="-11"/>
                <w:kern w:val="0"/>
                <w:sz w:val="21"/>
                <w:szCs w:val="21"/>
              </w:rPr>
              <w:t>消费品以旧换新资金</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0</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hint="default" w:ascii="Times New Roman" w:hAnsi="Times New Roman" w:eastAsia="仿宋"/>
                <w:kern w:val="0"/>
                <w:sz w:val="21"/>
                <w:szCs w:val="21"/>
                <w:lang w:val="en-US" w:eastAsia="zh-CN"/>
              </w:rPr>
            </w:pPr>
            <w:r>
              <w:rPr>
                <w:rFonts w:hint="eastAsia" w:ascii="Times New Roman" w:hAnsi="Times New Roman" w:eastAsia="仿宋"/>
                <w:kern w:val="0"/>
                <w:sz w:val="21"/>
                <w:szCs w:val="21"/>
                <w:lang w:val="en-US" w:eastAsia="zh-CN"/>
              </w:rPr>
              <w:t>22973</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hint="default" w:ascii="Times New Roman" w:hAnsi="Times New Roman" w:eastAsia="仿宋"/>
                <w:kern w:val="0"/>
                <w:sz w:val="21"/>
                <w:szCs w:val="21"/>
                <w:lang w:val="en-US" w:eastAsia="zh-CN"/>
              </w:rPr>
            </w:pPr>
            <w:r>
              <w:rPr>
                <w:rFonts w:hint="eastAsia" w:ascii="Times New Roman" w:hAnsi="Times New Roman" w:eastAsia="仿宋"/>
                <w:kern w:val="0"/>
                <w:sz w:val="21"/>
                <w:szCs w:val="21"/>
                <w:lang w:val="en-US" w:eastAsia="zh-CN"/>
              </w:rPr>
              <w:t>22973</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rPr>
                <w:rFonts w:ascii="Times New Roman" w:hAnsi="Times New Roman" w:eastAsia="仿宋"/>
                <w:kern w:val="0"/>
                <w:sz w:val="21"/>
                <w:szCs w:val="21"/>
              </w:rPr>
            </w:pPr>
            <w:r>
              <w:rPr>
                <w:rFonts w:ascii="Times New Roman" w:hAnsi="Times New Roman" w:eastAsia="仿宋"/>
                <w:kern w:val="0"/>
                <w:sz w:val="21"/>
                <w:szCs w:val="21"/>
              </w:rPr>
              <w:t>公用经费：</w:t>
            </w:r>
          </w:p>
        </w:tc>
        <w:tc>
          <w:tcPr>
            <w:tcW w:w="2325" w:type="dxa"/>
            <w:gridSpan w:val="2"/>
            <w:tcBorders>
              <w:top w:val="single" w:color="auto" w:sz="4" w:space="0"/>
              <w:left w:val="nil"/>
              <w:bottom w:val="single" w:color="auto" w:sz="4" w:space="0"/>
              <w:right w:val="single" w:color="000000" w:sz="4" w:space="0"/>
            </w:tcBorders>
            <w:vAlign w:val="center"/>
          </w:tcPr>
          <w:p>
            <w:pPr>
              <w:jc w:val="center"/>
              <w:rPr>
                <w:rFonts w:ascii="Times New Roman" w:hAnsi="Times New Roman" w:eastAsia="仿宋"/>
                <w:kern w:val="0"/>
                <w:sz w:val="21"/>
                <w:szCs w:val="21"/>
              </w:rPr>
            </w:pPr>
          </w:p>
        </w:tc>
        <w:tc>
          <w:tcPr>
            <w:tcW w:w="2144" w:type="dxa"/>
            <w:gridSpan w:val="2"/>
            <w:tcBorders>
              <w:top w:val="single" w:color="auto" w:sz="4" w:space="0"/>
              <w:left w:val="nil"/>
              <w:bottom w:val="single" w:color="auto" w:sz="4" w:space="0"/>
              <w:right w:val="single" w:color="000000" w:sz="4" w:space="0"/>
            </w:tcBorders>
            <w:vAlign w:val="center"/>
          </w:tcPr>
          <w:p>
            <w:pPr>
              <w:jc w:val="center"/>
              <w:rPr>
                <w:rFonts w:ascii="Times New Roman" w:hAnsi="Times New Roman" w:eastAsia="仿宋"/>
                <w:kern w:val="0"/>
                <w:sz w:val="21"/>
                <w:szCs w:val="21"/>
              </w:rPr>
            </w:pPr>
          </w:p>
        </w:tc>
        <w:tc>
          <w:tcPr>
            <w:tcW w:w="1947" w:type="dxa"/>
            <w:gridSpan w:val="2"/>
            <w:tcBorders>
              <w:top w:val="single" w:color="auto" w:sz="4" w:space="0"/>
              <w:left w:val="nil"/>
              <w:bottom w:val="single" w:color="auto" w:sz="4" w:space="0"/>
              <w:right w:val="single" w:color="000000" w:sz="4" w:space="0"/>
            </w:tcBorders>
            <w:vAlign w:val="center"/>
          </w:tcPr>
          <w:p>
            <w:pPr>
              <w:jc w:val="center"/>
              <w:rPr>
                <w:rFonts w:ascii="Times New Roman" w:hAnsi="Times New Roman" w:eastAsia="仿宋"/>
                <w:kern w:val="0"/>
                <w:sz w:val="21"/>
                <w:szCs w:val="21"/>
              </w:rPr>
            </w:pP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412" w:firstLineChars="200"/>
              <w:rPr>
                <w:rFonts w:ascii="Times New Roman" w:hAnsi="Times New Roman" w:eastAsia="仿宋"/>
                <w:kern w:val="0"/>
                <w:sz w:val="21"/>
                <w:szCs w:val="21"/>
              </w:rPr>
            </w:pPr>
            <w:r>
              <w:rPr>
                <w:rFonts w:ascii="Times New Roman" w:hAnsi="Times New Roman" w:eastAsia="仿宋"/>
                <w:kern w:val="0"/>
                <w:sz w:val="21"/>
                <w:szCs w:val="21"/>
              </w:rPr>
              <w:t>其中：办公经费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73.15</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45.29</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45.29</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firstLine="1030" w:firstLineChars="500"/>
              <w:rPr>
                <w:rFonts w:ascii="Times New Roman" w:hAnsi="Times New Roman" w:eastAsia="仿宋"/>
                <w:kern w:val="0"/>
                <w:sz w:val="21"/>
                <w:szCs w:val="21"/>
              </w:rPr>
            </w:pPr>
            <w:r>
              <w:rPr>
                <w:rFonts w:ascii="Times New Roman" w:hAnsi="Times New Roman" w:eastAsia="仿宋"/>
                <w:kern w:val="0"/>
                <w:sz w:val="21"/>
                <w:szCs w:val="21"/>
              </w:rPr>
              <w:t>水费、电费、差旅费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44.95</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45.09</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45.09</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right="-63" w:rightChars="-20" w:firstLine="1030" w:firstLineChars="500"/>
              <w:rPr>
                <w:rFonts w:ascii="Times New Roman" w:hAnsi="Times New Roman" w:eastAsia="仿宋"/>
                <w:kern w:val="0"/>
                <w:sz w:val="21"/>
                <w:szCs w:val="21"/>
              </w:rPr>
            </w:pPr>
            <w:r>
              <w:rPr>
                <w:rFonts w:ascii="Times New Roman" w:hAnsi="Times New Roman" w:eastAsia="仿宋"/>
                <w:kern w:val="0"/>
                <w:sz w:val="21"/>
                <w:szCs w:val="21"/>
              </w:rPr>
              <w:t>会议费、培训费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14.61</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6.70</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hint="eastAsia" w:ascii="Times New Roman" w:hAnsi="Times New Roman" w:eastAsia="仿宋"/>
                <w:kern w:val="0"/>
                <w:sz w:val="21"/>
                <w:szCs w:val="21"/>
              </w:rPr>
              <w:t>6.70</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rPr>
                <w:rFonts w:ascii="Times New Roman" w:hAnsi="Times New Roman" w:eastAsia="仿宋"/>
                <w:kern w:val="0"/>
                <w:sz w:val="21"/>
                <w:szCs w:val="21"/>
              </w:rPr>
            </w:pPr>
            <w:r>
              <w:rPr>
                <w:rFonts w:ascii="Times New Roman" w:hAnsi="Times New Roman" w:eastAsia="仿宋"/>
                <w:kern w:val="0"/>
                <w:sz w:val="21"/>
                <w:szCs w:val="21"/>
              </w:rPr>
              <w:t>政府采购金额</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0</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0</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0</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rPr>
                <w:rFonts w:ascii="Times New Roman" w:hAnsi="Times New Roman" w:eastAsia="仿宋"/>
                <w:kern w:val="0"/>
                <w:sz w:val="21"/>
                <w:szCs w:val="21"/>
              </w:rPr>
            </w:pPr>
            <w:r>
              <w:rPr>
                <w:rFonts w:ascii="Times New Roman" w:hAnsi="Times New Roman" w:eastAsia="仿宋"/>
                <w:kern w:val="0"/>
                <w:sz w:val="21"/>
                <w:szCs w:val="21"/>
              </w:rPr>
              <w:t xml:space="preserve">部门基本支出预算调整 </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0</w:t>
            </w:r>
          </w:p>
        </w:tc>
        <w:tc>
          <w:tcPr>
            <w:tcW w:w="2144"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0</w:t>
            </w:r>
          </w:p>
        </w:tc>
        <w:tc>
          <w:tcPr>
            <w:tcW w:w="1947" w:type="dxa"/>
            <w:gridSpan w:val="2"/>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0</w:t>
            </w:r>
          </w:p>
        </w:tc>
      </w:tr>
      <w:tr>
        <w:tblPrEx>
          <w:tblCellMar>
            <w:top w:w="0" w:type="dxa"/>
            <w:left w:w="108" w:type="dxa"/>
            <w:bottom w:w="0" w:type="dxa"/>
            <w:right w:w="108" w:type="dxa"/>
          </w:tblCellMar>
        </w:tblPrEx>
        <w:trPr>
          <w:trHeight w:val="510" w:hRule="exact"/>
          <w:jc w:val="center"/>
        </w:trPr>
        <w:tc>
          <w:tcPr>
            <w:tcW w:w="3214" w:type="dxa"/>
            <w:vMerge w:val="restart"/>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楼堂馆所控制情况</w:t>
            </w:r>
          </w:p>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（202</w:t>
            </w:r>
            <w:r>
              <w:rPr>
                <w:rFonts w:hint="eastAsia" w:ascii="Times New Roman" w:hAnsi="Times New Roman" w:eastAsia="仿宋"/>
                <w:kern w:val="0"/>
                <w:sz w:val="21"/>
                <w:szCs w:val="21"/>
              </w:rPr>
              <w:t>4</w:t>
            </w:r>
            <w:r>
              <w:rPr>
                <w:rFonts w:ascii="Times New Roman" w:hAnsi="Times New Roman" w:eastAsia="仿宋"/>
                <w:kern w:val="0"/>
                <w:sz w:val="21"/>
                <w:szCs w:val="21"/>
              </w:rPr>
              <w:t>年完工项目）</w:t>
            </w:r>
          </w:p>
        </w:tc>
        <w:tc>
          <w:tcPr>
            <w:tcW w:w="1200"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批复规模</w:t>
            </w:r>
          </w:p>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w:t>
            </w:r>
          </w:p>
        </w:tc>
        <w:tc>
          <w:tcPr>
            <w:tcW w:w="1125"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实际规模（㎡）</w:t>
            </w:r>
          </w:p>
        </w:tc>
        <w:tc>
          <w:tcPr>
            <w:tcW w:w="1080"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规模控制率</w:t>
            </w:r>
          </w:p>
        </w:tc>
        <w:tc>
          <w:tcPr>
            <w:tcW w:w="1064"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预算投资（万元）</w:t>
            </w:r>
          </w:p>
        </w:tc>
        <w:tc>
          <w:tcPr>
            <w:tcW w:w="992"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实际投资（万元）</w:t>
            </w:r>
          </w:p>
        </w:tc>
        <w:tc>
          <w:tcPr>
            <w:tcW w:w="955"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投资概算控制率</w:t>
            </w:r>
          </w:p>
        </w:tc>
      </w:tr>
      <w:tr>
        <w:tblPrEx>
          <w:tblCellMar>
            <w:top w:w="0" w:type="dxa"/>
            <w:left w:w="108" w:type="dxa"/>
            <w:bottom w:w="0" w:type="dxa"/>
            <w:right w:w="108" w:type="dxa"/>
          </w:tblCellMar>
        </w:tblPrEx>
        <w:trPr>
          <w:trHeight w:val="510" w:hRule="exact"/>
          <w:jc w:val="center"/>
        </w:trPr>
        <w:tc>
          <w:tcPr>
            <w:tcW w:w="3214" w:type="dxa"/>
            <w:vMerge w:val="continue"/>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jc w:val="left"/>
              <w:rPr>
                <w:rFonts w:ascii="Times New Roman" w:hAnsi="Times New Roman" w:eastAsia="仿宋"/>
                <w:kern w:val="0"/>
                <w:sz w:val="21"/>
                <w:szCs w:val="21"/>
              </w:rPr>
            </w:pPr>
          </w:p>
        </w:tc>
        <w:tc>
          <w:tcPr>
            <w:tcW w:w="1200"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无</w:t>
            </w:r>
          </w:p>
        </w:tc>
        <w:tc>
          <w:tcPr>
            <w:tcW w:w="1125"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无</w:t>
            </w:r>
          </w:p>
        </w:tc>
        <w:tc>
          <w:tcPr>
            <w:tcW w:w="1080"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无</w:t>
            </w:r>
          </w:p>
        </w:tc>
        <w:tc>
          <w:tcPr>
            <w:tcW w:w="1064"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无</w:t>
            </w:r>
          </w:p>
        </w:tc>
        <w:tc>
          <w:tcPr>
            <w:tcW w:w="992"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无</w:t>
            </w:r>
          </w:p>
        </w:tc>
        <w:tc>
          <w:tcPr>
            <w:tcW w:w="955" w:type="dxa"/>
            <w:tcBorders>
              <w:top w:val="nil"/>
              <w:left w:val="nil"/>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无</w:t>
            </w:r>
          </w:p>
        </w:tc>
      </w:tr>
      <w:tr>
        <w:tblPrEx>
          <w:tblCellMar>
            <w:top w:w="0" w:type="dxa"/>
            <w:left w:w="108" w:type="dxa"/>
            <w:bottom w:w="0" w:type="dxa"/>
            <w:right w:w="108" w:type="dxa"/>
          </w:tblCellMar>
        </w:tblPrEx>
        <w:trPr>
          <w:trHeight w:val="510" w:hRule="exact"/>
          <w:jc w:val="center"/>
        </w:trPr>
        <w:tc>
          <w:tcPr>
            <w:tcW w:w="3214" w:type="dxa"/>
            <w:tcBorders>
              <w:top w:val="nil"/>
              <w:left w:val="single" w:color="auto" w:sz="4" w:space="0"/>
              <w:bottom w:val="single" w:color="auto" w:sz="4" w:space="0"/>
              <w:right w:val="single" w:color="auto"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厉行节约保障措施</w:t>
            </w:r>
          </w:p>
        </w:tc>
        <w:tc>
          <w:tcPr>
            <w:tcW w:w="6416" w:type="dxa"/>
            <w:gridSpan w:val="6"/>
            <w:tcBorders>
              <w:top w:val="single" w:color="auto" w:sz="4" w:space="0"/>
              <w:left w:val="nil"/>
              <w:bottom w:val="single" w:color="auto" w:sz="4" w:space="0"/>
              <w:right w:val="single" w:color="000000" w:sz="4" w:space="0"/>
            </w:tcBorders>
            <w:vAlign w:val="center"/>
          </w:tcPr>
          <w:p>
            <w:pPr>
              <w:widowControl/>
              <w:spacing w:line="240" w:lineRule="exact"/>
              <w:ind w:left="-63" w:leftChars="-20" w:right="-63" w:rightChars="-20"/>
              <w:jc w:val="center"/>
              <w:rPr>
                <w:rFonts w:ascii="Times New Roman" w:hAnsi="Times New Roman" w:eastAsia="仿宋"/>
                <w:kern w:val="0"/>
                <w:sz w:val="21"/>
                <w:szCs w:val="21"/>
              </w:rPr>
            </w:pPr>
            <w:r>
              <w:rPr>
                <w:rFonts w:ascii="Times New Roman" w:hAnsi="Times New Roman" w:eastAsia="仿宋"/>
                <w:kern w:val="0"/>
                <w:sz w:val="21"/>
                <w:szCs w:val="21"/>
              </w:rPr>
              <w:t>　</w:t>
            </w:r>
          </w:p>
        </w:tc>
      </w:tr>
    </w:tbl>
    <w:p>
      <w:pPr>
        <w:widowControl/>
        <w:spacing w:line="320" w:lineRule="exact"/>
        <w:ind w:left="-63" w:leftChars="-20" w:right="-63" w:rightChars="-20"/>
        <w:rPr>
          <w:rFonts w:ascii="仿宋" w:hAnsi="仿宋" w:eastAsia="仿宋" w:cs="仿宋"/>
          <w:kern w:val="0"/>
          <w:sz w:val="22"/>
          <w:szCs w:val="24"/>
        </w:rPr>
      </w:pPr>
      <w:r>
        <w:rPr>
          <w:rFonts w:hint="eastAsia" w:ascii="仿宋" w:hAnsi="仿宋" w:eastAsia="仿宋" w:cs="仿宋"/>
          <w:kern w:val="0"/>
          <w:sz w:val="22"/>
          <w:szCs w:val="24"/>
        </w:rPr>
        <w:t>说明：“项目支出”需要填报基本支出以外的所有项目支出情况，“运行维护经费”填报项目支出中用于人员类和公用运转类的支出。“公用经费”填报基本支出中的一般商品和服务支出。</w:t>
      </w:r>
    </w:p>
    <w:p>
      <w:pPr>
        <w:widowControl/>
        <w:spacing w:line="320" w:lineRule="exact"/>
        <w:ind w:left="-63" w:leftChars="-20" w:right="-63" w:rightChars="-20"/>
        <w:rPr>
          <w:rFonts w:ascii="仿宋" w:hAnsi="仿宋" w:eastAsia="仿宋" w:cs="仿宋"/>
          <w:kern w:val="0"/>
          <w:sz w:val="22"/>
          <w:szCs w:val="24"/>
        </w:rPr>
      </w:pPr>
      <w:r>
        <w:rPr>
          <w:rFonts w:hint="eastAsia" w:ascii="仿宋" w:hAnsi="仿宋" w:eastAsia="仿宋" w:cs="仿宋"/>
          <w:kern w:val="0"/>
          <w:sz w:val="22"/>
          <w:szCs w:val="24"/>
        </w:rPr>
        <w:t>填表人：贺家悦  填报日期： 2025年4月21日  联系电话：4245709  单位负责人签字：</w:t>
      </w:r>
    </w:p>
    <w:p>
      <w:pPr>
        <w:widowControl/>
        <w:jc w:val="left"/>
        <w:rPr>
          <w:rFonts w:ascii="Times New Roman" w:hAnsi="Times New Roman" w:eastAsia="黑体"/>
          <w:szCs w:val="32"/>
        </w:rPr>
      </w:pPr>
      <w:r>
        <w:rPr>
          <w:rFonts w:ascii="Times New Roman" w:hAnsi="Times New Roman" w:eastAsia="黑体"/>
          <w:szCs w:val="32"/>
        </w:rPr>
        <w:t>附件2</w:t>
      </w:r>
    </w:p>
    <w:p>
      <w:pPr>
        <w:pStyle w:val="2"/>
        <w:rPr>
          <w:rFonts w:hint="default"/>
        </w:rPr>
      </w:pPr>
      <w:r>
        <w:rPr>
          <w:rFonts w:hint="default"/>
        </w:rPr>
        <w:t>202</w:t>
      </w:r>
      <w:r>
        <w:t>4</w:t>
      </w:r>
      <w:r>
        <w:rPr>
          <w:rFonts w:hint="default"/>
        </w:rPr>
        <w:t>年度部门整体支出绩效自评表</w:t>
      </w:r>
    </w:p>
    <w:tbl>
      <w:tblPr>
        <w:tblStyle w:val="9"/>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
        <w:gridCol w:w="633"/>
        <w:gridCol w:w="748"/>
        <w:gridCol w:w="872"/>
        <w:gridCol w:w="338"/>
        <w:gridCol w:w="337"/>
        <w:gridCol w:w="291"/>
        <w:gridCol w:w="1301"/>
        <w:gridCol w:w="389"/>
        <w:gridCol w:w="374"/>
        <w:gridCol w:w="1376"/>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0" w:type="auto"/>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预算部门</w:t>
            </w:r>
          </w:p>
        </w:tc>
        <w:tc>
          <w:tcPr>
            <w:tcW w:w="9130" w:type="dxa"/>
            <w:gridSpan w:val="11"/>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益阳市商务局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restart"/>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年度预</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算申请</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（万元）</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sz w:val="18"/>
                <w:szCs w:val="18"/>
              </w:rPr>
              <w:t>年初</w:t>
            </w:r>
          </w:p>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sz w:val="18"/>
                <w:szCs w:val="18"/>
              </w:rPr>
              <w:t>预算数</w:t>
            </w:r>
          </w:p>
        </w:tc>
        <w:tc>
          <w:tcPr>
            <w:tcW w:w="0" w:type="auto"/>
            <w:gridSpan w:val="3"/>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sz w:val="18"/>
                <w:szCs w:val="18"/>
              </w:rPr>
              <w:t>全年预算数</w:t>
            </w:r>
          </w:p>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sz w:val="18"/>
                <w:szCs w:val="18"/>
              </w:rPr>
              <w:t>（万元）</w:t>
            </w:r>
          </w:p>
        </w:tc>
        <w:tc>
          <w:tcPr>
            <w:tcW w:w="1027" w:type="dxa"/>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spacing w:val="-6"/>
                <w:sz w:val="18"/>
                <w:szCs w:val="18"/>
              </w:rPr>
              <w:t>全年执行数</w:t>
            </w:r>
          </w:p>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spacing w:val="-6"/>
                <w:sz w:val="18"/>
                <w:szCs w:val="18"/>
              </w:rPr>
              <w:t>（万元）</w:t>
            </w:r>
          </w:p>
        </w:tc>
        <w:tc>
          <w:tcPr>
            <w:tcW w:w="740" w:type="dxa"/>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spacing w:val="-6"/>
                <w:sz w:val="18"/>
                <w:szCs w:val="18"/>
              </w:rPr>
              <w:t>分值</w:t>
            </w:r>
          </w:p>
        </w:tc>
        <w:tc>
          <w:tcPr>
            <w:tcW w:w="1082" w:type="dxa"/>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sz w:val="18"/>
                <w:szCs w:val="18"/>
              </w:rPr>
              <w:t>执行率</w:t>
            </w:r>
          </w:p>
        </w:tc>
        <w:tc>
          <w:tcPr>
            <w:tcW w:w="2455" w:type="dxa"/>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kern w:val="0"/>
                <w:sz w:val="18"/>
                <w:szCs w:val="18"/>
              </w:rPr>
              <w:t>年度资金总额</w:t>
            </w:r>
          </w:p>
        </w:tc>
        <w:tc>
          <w:tcPr>
            <w:tcW w:w="0" w:type="auto"/>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hint="eastAsia" w:ascii="Times New Roman" w:hAnsi="Times New Roman" w:eastAsia="仿宋"/>
                <w:kern w:val="0"/>
                <w:sz w:val="18"/>
                <w:szCs w:val="18"/>
              </w:rPr>
              <w:t>1384.07</w:t>
            </w:r>
          </w:p>
        </w:tc>
        <w:tc>
          <w:tcPr>
            <w:tcW w:w="0" w:type="auto"/>
            <w:gridSpan w:val="3"/>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hint="eastAsia" w:ascii="Times New Roman" w:hAnsi="Times New Roman" w:eastAsia="仿宋"/>
                <w:kern w:val="0"/>
                <w:sz w:val="18"/>
                <w:szCs w:val="18"/>
              </w:rPr>
              <w:t>25011.67</w:t>
            </w:r>
          </w:p>
        </w:tc>
        <w:tc>
          <w:tcPr>
            <w:tcW w:w="1027"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hint="eastAsia" w:ascii="Times New Roman" w:hAnsi="Times New Roman" w:eastAsia="仿宋"/>
                <w:kern w:val="0"/>
                <w:sz w:val="18"/>
                <w:szCs w:val="18"/>
              </w:rPr>
              <w:t>25011.67</w:t>
            </w:r>
          </w:p>
        </w:tc>
        <w:tc>
          <w:tcPr>
            <w:tcW w:w="740" w:type="dxa"/>
            <w:gridSpan w:val="2"/>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10</w:t>
            </w:r>
          </w:p>
        </w:tc>
        <w:tc>
          <w:tcPr>
            <w:tcW w:w="1082"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100%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0" w:type="auto"/>
            <w:vMerge w:val="continue"/>
            <w:vAlign w:val="center"/>
          </w:tcPr>
          <w:p>
            <w:pPr>
              <w:overflowPunct w:val="0"/>
              <w:spacing w:line="220" w:lineRule="exact"/>
              <w:ind w:left="-94" w:leftChars="-30" w:right="-94" w:rightChars="-30"/>
              <w:jc w:val="left"/>
              <w:rPr>
                <w:rFonts w:ascii="Times New Roman" w:hAnsi="Times New Roman" w:eastAsia="仿宋"/>
                <w:kern w:val="0"/>
                <w:sz w:val="18"/>
                <w:szCs w:val="18"/>
              </w:rPr>
            </w:pPr>
          </w:p>
        </w:tc>
        <w:tc>
          <w:tcPr>
            <w:tcW w:w="0" w:type="auto"/>
            <w:gridSpan w:val="5"/>
            <w:vAlign w:val="center"/>
          </w:tcPr>
          <w:p>
            <w:pPr>
              <w:overflowPunct w:val="0"/>
              <w:spacing w:line="220" w:lineRule="exact"/>
              <w:ind w:left="-94" w:leftChars="-30" w:right="-94" w:rightChars="-30"/>
              <w:jc w:val="left"/>
              <w:rPr>
                <w:rFonts w:ascii="Times New Roman" w:hAnsi="Times New Roman" w:eastAsia="仿宋"/>
                <w:kern w:val="0"/>
                <w:sz w:val="18"/>
                <w:szCs w:val="18"/>
              </w:rPr>
            </w:pPr>
            <w:r>
              <w:rPr>
                <w:rFonts w:ascii="Times New Roman" w:hAnsi="Times New Roman" w:eastAsia="仿宋"/>
                <w:kern w:val="0"/>
                <w:sz w:val="18"/>
                <w:szCs w:val="18"/>
              </w:rPr>
              <w:t>按收入性质分：</w:t>
            </w:r>
          </w:p>
        </w:tc>
        <w:tc>
          <w:tcPr>
            <w:tcW w:w="5559" w:type="dxa"/>
            <w:gridSpan w:val="6"/>
            <w:vAlign w:val="center"/>
          </w:tcPr>
          <w:p>
            <w:pPr>
              <w:overflowPunct w:val="0"/>
              <w:spacing w:line="220" w:lineRule="exact"/>
              <w:ind w:left="-94" w:leftChars="-30" w:right="-94" w:rightChars="-30"/>
              <w:jc w:val="left"/>
              <w:rPr>
                <w:rFonts w:ascii="Times New Roman" w:hAnsi="Times New Roman" w:eastAsia="仿宋"/>
                <w:kern w:val="0"/>
                <w:sz w:val="18"/>
                <w:szCs w:val="18"/>
              </w:rPr>
            </w:pPr>
            <w:r>
              <w:rPr>
                <w:rFonts w:ascii="Times New Roman" w:hAnsi="Times New Roman" w:eastAsia="仿宋"/>
                <w:kern w:val="0"/>
                <w:sz w:val="18"/>
                <w:szCs w:val="18"/>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0" w:type="auto"/>
            <w:vMerge w:val="continue"/>
            <w:vAlign w:val="center"/>
          </w:tcPr>
          <w:p>
            <w:pPr>
              <w:overflowPunct w:val="0"/>
              <w:spacing w:line="220" w:lineRule="exact"/>
              <w:ind w:left="-94" w:leftChars="-30" w:right="-94" w:rightChars="-30"/>
              <w:jc w:val="left"/>
              <w:rPr>
                <w:rFonts w:ascii="Times New Roman" w:hAnsi="Times New Roman" w:eastAsia="仿宋"/>
                <w:kern w:val="0"/>
                <w:sz w:val="18"/>
                <w:szCs w:val="18"/>
              </w:rPr>
            </w:pPr>
          </w:p>
        </w:tc>
        <w:tc>
          <w:tcPr>
            <w:tcW w:w="0" w:type="auto"/>
            <w:gridSpan w:val="5"/>
            <w:vAlign w:val="center"/>
          </w:tcPr>
          <w:p>
            <w:pPr>
              <w:overflowPunct w:val="0"/>
              <w:spacing w:line="220" w:lineRule="exact"/>
              <w:ind w:left="-94" w:leftChars="-30" w:right="-94" w:rightChars="-30"/>
              <w:jc w:val="left"/>
              <w:rPr>
                <w:rFonts w:ascii="Times New Roman" w:hAnsi="Times New Roman" w:eastAsia="仿宋"/>
                <w:kern w:val="0"/>
                <w:sz w:val="18"/>
                <w:szCs w:val="18"/>
              </w:rPr>
            </w:pPr>
            <w:r>
              <w:rPr>
                <w:rFonts w:ascii="Times New Roman" w:hAnsi="Times New Roman" w:eastAsia="仿宋"/>
                <w:kern w:val="0"/>
                <w:sz w:val="18"/>
                <w:szCs w:val="18"/>
              </w:rPr>
              <w:t xml:space="preserve">  其中：一般公共预算：</w:t>
            </w:r>
            <w:r>
              <w:rPr>
                <w:rFonts w:hint="eastAsia" w:ascii="Times New Roman" w:hAnsi="Times New Roman" w:eastAsia="仿宋"/>
                <w:kern w:val="0"/>
                <w:sz w:val="18"/>
                <w:szCs w:val="18"/>
              </w:rPr>
              <w:t>4260.67</w:t>
            </w:r>
          </w:p>
        </w:tc>
        <w:tc>
          <w:tcPr>
            <w:tcW w:w="5559" w:type="dxa"/>
            <w:gridSpan w:val="6"/>
            <w:vAlign w:val="center"/>
          </w:tcPr>
          <w:p>
            <w:pPr>
              <w:overflowPunct w:val="0"/>
              <w:spacing w:line="220" w:lineRule="exact"/>
              <w:ind w:left="-94" w:leftChars="-30" w:right="-94" w:rightChars="-30"/>
              <w:jc w:val="left"/>
              <w:rPr>
                <w:rFonts w:ascii="Times New Roman" w:hAnsi="Times New Roman" w:eastAsia="仿宋"/>
                <w:kern w:val="0"/>
                <w:sz w:val="18"/>
                <w:szCs w:val="18"/>
              </w:rPr>
            </w:pPr>
            <w:r>
              <w:rPr>
                <w:rFonts w:ascii="Times New Roman" w:hAnsi="Times New Roman" w:eastAsia="仿宋"/>
                <w:kern w:val="0"/>
                <w:sz w:val="18"/>
                <w:szCs w:val="18"/>
              </w:rPr>
              <w:t>其中：基本支出：</w:t>
            </w:r>
            <w:r>
              <w:rPr>
                <w:rFonts w:hint="eastAsia" w:ascii="Times New Roman" w:hAnsi="Times New Roman" w:eastAsia="仿宋"/>
                <w:kern w:val="0"/>
                <w:sz w:val="18"/>
                <w:szCs w:val="18"/>
              </w:rPr>
              <w:t>1184.00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0" w:type="auto"/>
            <w:vMerge w:val="continue"/>
            <w:vAlign w:val="center"/>
          </w:tcPr>
          <w:p>
            <w:pPr>
              <w:overflowPunct w:val="0"/>
              <w:spacing w:line="220" w:lineRule="exact"/>
              <w:ind w:left="-94" w:leftChars="-30" w:right="-94" w:rightChars="-30"/>
              <w:jc w:val="left"/>
              <w:rPr>
                <w:rFonts w:ascii="Times New Roman" w:hAnsi="Times New Roman" w:eastAsia="仿宋"/>
                <w:kern w:val="0"/>
                <w:sz w:val="18"/>
                <w:szCs w:val="18"/>
              </w:rPr>
            </w:pPr>
          </w:p>
        </w:tc>
        <w:tc>
          <w:tcPr>
            <w:tcW w:w="0" w:type="auto"/>
            <w:gridSpan w:val="5"/>
            <w:vAlign w:val="center"/>
          </w:tcPr>
          <w:p>
            <w:pPr>
              <w:overflowPunct w:val="0"/>
              <w:spacing w:line="220" w:lineRule="exact"/>
              <w:ind w:left="-94" w:leftChars="-30" w:right="-94" w:rightChars="-30" w:firstLine="704" w:firstLineChars="400"/>
              <w:jc w:val="left"/>
              <w:rPr>
                <w:rFonts w:ascii="Times New Roman" w:hAnsi="Times New Roman" w:eastAsia="仿宋"/>
                <w:kern w:val="0"/>
                <w:sz w:val="18"/>
                <w:szCs w:val="18"/>
              </w:rPr>
            </w:pPr>
            <w:r>
              <w:rPr>
                <w:rFonts w:ascii="Times New Roman" w:hAnsi="Times New Roman" w:eastAsia="仿宋"/>
                <w:kern w:val="0"/>
                <w:sz w:val="18"/>
                <w:szCs w:val="18"/>
              </w:rPr>
              <w:t>政府性基金拨款：</w:t>
            </w:r>
            <w:r>
              <w:rPr>
                <w:rFonts w:hint="eastAsia" w:ascii="Times New Roman" w:hAnsi="Times New Roman" w:eastAsia="仿宋"/>
                <w:kern w:val="0"/>
                <w:sz w:val="18"/>
                <w:szCs w:val="18"/>
              </w:rPr>
              <w:t>20751.00</w:t>
            </w:r>
          </w:p>
        </w:tc>
        <w:tc>
          <w:tcPr>
            <w:tcW w:w="5559" w:type="dxa"/>
            <w:gridSpan w:val="6"/>
            <w:vAlign w:val="center"/>
          </w:tcPr>
          <w:p>
            <w:pPr>
              <w:overflowPunct w:val="0"/>
              <w:spacing w:line="220" w:lineRule="exact"/>
              <w:ind w:left="-94" w:leftChars="-30" w:right="-94" w:rightChars="-30" w:firstLine="528" w:firstLineChars="300"/>
              <w:jc w:val="left"/>
              <w:rPr>
                <w:rFonts w:ascii="Times New Roman" w:hAnsi="Times New Roman" w:eastAsia="仿宋"/>
                <w:kern w:val="0"/>
                <w:sz w:val="18"/>
                <w:szCs w:val="18"/>
              </w:rPr>
            </w:pPr>
            <w:r>
              <w:rPr>
                <w:rFonts w:ascii="Times New Roman" w:hAnsi="Times New Roman" w:eastAsia="仿宋"/>
                <w:kern w:val="0"/>
                <w:sz w:val="18"/>
                <w:szCs w:val="18"/>
              </w:rPr>
              <w:t>项目支出：</w:t>
            </w:r>
            <w:r>
              <w:rPr>
                <w:rFonts w:hint="eastAsia" w:ascii="Times New Roman" w:hAnsi="Times New Roman" w:eastAsia="仿宋"/>
                <w:kern w:val="0"/>
                <w:sz w:val="18"/>
                <w:szCs w:val="18"/>
              </w:rPr>
              <w:t>23827.67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0" w:type="auto"/>
            <w:vMerge w:val="continue"/>
            <w:vAlign w:val="center"/>
          </w:tcPr>
          <w:p>
            <w:pPr>
              <w:overflowPunct w:val="0"/>
              <w:spacing w:line="220" w:lineRule="exact"/>
              <w:ind w:left="-94" w:leftChars="-30" w:right="-94" w:rightChars="-30"/>
              <w:jc w:val="left"/>
              <w:rPr>
                <w:rFonts w:ascii="Times New Roman" w:hAnsi="Times New Roman" w:eastAsia="仿宋"/>
                <w:kern w:val="0"/>
                <w:sz w:val="18"/>
                <w:szCs w:val="18"/>
              </w:rPr>
            </w:pPr>
          </w:p>
        </w:tc>
        <w:tc>
          <w:tcPr>
            <w:tcW w:w="0" w:type="auto"/>
            <w:gridSpan w:val="5"/>
            <w:vAlign w:val="center"/>
          </w:tcPr>
          <w:p>
            <w:pPr>
              <w:overflowPunct w:val="0"/>
              <w:spacing w:line="220" w:lineRule="exact"/>
              <w:ind w:left="-94" w:leftChars="-30" w:right="-94" w:rightChars="-30"/>
              <w:jc w:val="left"/>
              <w:rPr>
                <w:rFonts w:ascii="Times New Roman" w:hAnsi="Times New Roman" w:eastAsia="仿宋"/>
                <w:kern w:val="0"/>
                <w:sz w:val="18"/>
                <w:szCs w:val="18"/>
              </w:rPr>
            </w:pPr>
            <w:r>
              <w:rPr>
                <w:rFonts w:ascii="Times New Roman" w:hAnsi="Times New Roman" w:eastAsia="仿宋"/>
                <w:kern w:val="0"/>
                <w:sz w:val="18"/>
                <w:szCs w:val="18"/>
              </w:rPr>
              <w:t>纳入专户管理的非税收入拨款：0.0</w:t>
            </w:r>
          </w:p>
        </w:tc>
        <w:tc>
          <w:tcPr>
            <w:tcW w:w="5559" w:type="dxa"/>
            <w:gridSpan w:val="6"/>
            <w:vAlign w:val="center"/>
          </w:tcPr>
          <w:p>
            <w:pPr>
              <w:overflowPunct w:val="0"/>
              <w:spacing w:line="220" w:lineRule="exact"/>
              <w:ind w:left="-94" w:leftChars="-30" w:right="-94" w:rightChars="-30"/>
              <w:jc w:val="left"/>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0" w:type="auto"/>
            <w:vMerge w:val="continue"/>
            <w:vAlign w:val="center"/>
          </w:tcPr>
          <w:p>
            <w:pPr>
              <w:overflowPunct w:val="0"/>
              <w:spacing w:line="220" w:lineRule="exact"/>
              <w:ind w:left="-94" w:leftChars="-30" w:right="-94" w:rightChars="-30"/>
              <w:jc w:val="left"/>
              <w:rPr>
                <w:rFonts w:ascii="Times New Roman" w:hAnsi="Times New Roman" w:eastAsia="仿宋"/>
                <w:kern w:val="0"/>
                <w:sz w:val="18"/>
                <w:szCs w:val="18"/>
              </w:rPr>
            </w:pPr>
          </w:p>
        </w:tc>
        <w:tc>
          <w:tcPr>
            <w:tcW w:w="0" w:type="auto"/>
            <w:gridSpan w:val="5"/>
            <w:vAlign w:val="center"/>
          </w:tcPr>
          <w:p>
            <w:pPr>
              <w:overflowPunct w:val="0"/>
              <w:spacing w:line="220" w:lineRule="exact"/>
              <w:ind w:left="-94" w:leftChars="-30" w:right="-94" w:rightChars="-30" w:firstLine="1232" w:firstLineChars="700"/>
              <w:jc w:val="left"/>
              <w:rPr>
                <w:rFonts w:ascii="Times New Roman" w:hAnsi="Times New Roman" w:eastAsia="仿宋"/>
                <w:kern w:val="0"/>
                <w:sz w:val="18"/>
                <w:szCs w:val="18"/>
              </w:rPr>
            </w:pPr>
            <w:r>
              <w:rPr>
                <w:rFonts w:ascii="Times New Roman" w:hAnsi="Times New Roman" w:eastAsia="仿宋"/>
                <w:kern w:val="0"/>
                <w:sz w:val="18"/>
                <w:szCs w:val="18"/>
              </w:rPr>
              <w:t>其他资金：0.</w:t>
            </w:r>
            <w:r>
              <w:rPr>
                <w:rFonts w:hint="eastAsia" w:ascii="Times New Roman" w:hAnsi="Times New Roman" w:eastAsia="仿宋"/>
                <w:kern w:val="0"/>
                <w:sz w:val="18"/>
                <w:szCs w:val="18"/>
              </w:rPr>
              <w:t>0</w:t>
            </w:r>
            <w:r>
              <w:rPr>
                <w:rFonts w:ascii="Times New Roman" w:hAnsi="Times New Roman" w:eastAsia="仿宋"/>
                <w:kern w:val="0"/>
                <w:sz w:val="18"/>
                <w:szCs w:val="18"/>
              </w:rPr>
              <w:t>0</w:t>
            </w:r>
          </w:p>
        </w:tc>
        <w:tc>
          <w:tcPr>
            <w:tcW w:w="5559" w:type="dxa"/>
            <w:gridSpan w:val="6"/>
            <w:vAlign w:val="center"/>
          </w:tcPr>
          <w:p>
            <w:pPr>
              <w:overflowPunct w:val="0"/>
              <w:spacing w:line="220" w:lineRule="exact"/>
              <w:ind w:left="-94" w:leftChars="-30" w:right="-94" w:rightChars="-30"/>
              <w:jc w:val="left"/>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0" w:type="auto"/>
            <w:vMerge w:val="restart"/>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年度总体目标</w:t>
            </w:r>
          </w:p>
        </w:tc>
        <w:tc>
          <w:tcPr>
            <w:tcW w:w="0" w:type="auto"/>
            <w:gridSpan w:val="5"/>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预期目标</w:t>
            </w:r>
          </w:p>
        </w:tc>
        <w:tc>
          <w:tcPr>
            <w:tcW w:w="5559" w:type="dxa"/>
            <w:gridSpan w:val="6"/>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0" w:type="auto"/>
            <w:vMerge w:val="continue"/>
            <w:vAlign w:val="center"/>
          </w:tcPr>
          <w:p>
            <w:pPr>
              <w:overflowPunct w:val="0"/>
              <w:spacing w:line="220" w:lineRule="exact"/>
              <w:ind w:left="-94" w:leftChars="-30" w:right="-94" w:rightChars="-30"/>
              <w:jc w:val="left"/>
              <w:rPr>
                <w:rFonts w:ascii="Times New Roman" w:hAnsi="Times New Roman" w:eastAsia="仿宋"/>
                <w:kern w:val="0"/>
                <w:sz w:val="18"/>
                <w:szCs w:val="18"/>
              </w:rPr>
            </w:pPr>
          </w:p>
        </w:tc>
        <w:tc>
          <w:tcPr>
            <w:tcW w:w="0" w:type="auto"/>
            <w:gridSpan w:val="5"/>
            <w:vAlign w:val="center"/>
          </w:tcPr>
          <w:p>
            <w:pPr>
              <w:overflowPunct w:val="0"/>
              <w:spacing w:line="220" w:lineRule="exact"/>
              <w:ind w:left="-94" w:leftChars="-30" w:right="-94" w:rightChars="-30"/>
              <w:jc w:val="left"/>
              <w:rPr>
                <w:rFonts w:ascii="Times New Roman" w:hAnsi="Times New Roman" w:eastAsia="仿宋"/>
                <w:kern w:val="0"/>
                <w:sz w:val="18"/>
                <w:szCs w:val="18"/>
              </w:rPr>
            </w:pPr>
            <w:r>
              <w:rPr>
                <w:rFonts w:hint="eastAsia" w:ascii="Times New Roman" w:hAnsi="Times New Roman" w:eastAsia="仿宋"/>
                <w:sz w:val="18"/>
                <w:szCs w:val="18"/>
              </w:rPr>
              <w:t>招商引资方面突出产业链精准招商，抓好会节招商新机遇，提升外商投资新格局；外贸工作方面加大外贸龙头企业招引，加快发展外贸新型业态，千方百计挖掘增长潜力，多措并举优化外贸服务；有条不紊推进口岸功能提升；全力推动国际经贸合作；贯彻落实稳消费接续政策，全面实施展会促消费行动；大力推动电子商务产业新发展。</w:t>
            </w:r>
          </w:p>
        </w:tc>
        <w:tc>
          <w:tcPr>
            <w:tcW w:w="5559" w:type="dxa"/>
            <w:gridSpan w:val="6"/>
            <w:vAlign w:val="center"/>
          </w:tcPr>
          <w:p>
            <w:pPr>
              <w:overflowPunct w:val="0"/>
              <w:spacing w:line="220" w:lineRule="exact"/>
              <w:ind w:left="-94" w:leftChars="-30" w:right="-94" w:rightChars="-30"/>
              <w:jc w:val="left"/>
              <w:rPr>
                <w:rFonts w:ascii="Times New Roman" w:hAnsi="Times New Roman" w:eastAsia="仿宋"/>
                <w:kern w:val="0"/>
                <w:sz w:val="18"/>
                <w:szCs w:val="18"/>
              </w:rPr>
            </w:pPr>
            <w:r>
              <w:rPr>
                <w:rFonts w:hint="eastAsia" w:ascii="Times New Roman" w:hAnsi="Times New Roman" w:eastAsia="仿宋"/>
                <w:kern w:val="0"/>
                <w:sz w:val="18"/>
                <w:szCs w:val="18"/>
              </w:rPr>
              <w:t>全力推进招商引资，高位推动招商，夯实招商基础，加快招商转型，引进“三类500强”企业投资项目16个，完成目标任务的228%；推动外贸起稳回升，充分激发企业活力，积极推动业态创新，着力培强主导产业，深度用好开放平台，有效提高外贸质量，扎实做好外经促外贸工作，全市外贸累计增速排名从2023年全省第14位提升到第6位；大力激发消费潜能，全面实施换新政策，持续丰富消费场景，深入实施“数商兴农”，扎实推动限上企业入库，升级完善商业体系，换新活动资金支出进度、家电换新消费社零占比、拆解报废车数量指标分别排名全省第2位、第3位、第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Merge w:val="restart"/>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绩</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效</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指</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标</w:t>
            </w:r>
          </w:p>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一级指标</w:t>
            </w:r>
          </w:p>
        </w:tc>
        <w:tc>
          <w:tcPr>
            <w:tcW w:w="0" w:type="auto"/>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二级</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三级指标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年度</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指标值</w:t>
            </w:r>
          </w:p>
        </w:tc>
        <w:tc>
          <w:tcPr>
            <w:tcW w:w="0" w:type="auto"/>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实际完成值</w:t>
            </w:r>
          </w:p>
        </w:tc>
        <w:tc>
          <w:tcPr>
            <w:tcW w:w="0" w:type="auto"/>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分值</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得分</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偏差原因</w:t>
            </w:r>
          </w:p>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kern w:val="0"/>
                <w:sz w:val="18"/>
                <w:szCs w:val="18"/>
              </w:rPr>
              <w:t>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restart"/>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color w:val="000000"/>
                <w:kern w:val="0"/>
                <w:sz w:val="18"/>
                <w:szCs w:val="18"/>
              </w:rPr>
              <w:t>产出指标</w:t>
            </w:r>
          </w:p>
        </w:tc>
        <w:tc>
          <w:tcPr>
            <w:tcW w:w="0" w:type="auto"/>
            <w:vMerge w:val="restart"/>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数量指标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利用省外境内资金</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800亿元</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894.44亿元</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10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hint="eastAsia" w:ascii="Times New Roman" w:hAnsi="Times New Roman" w:eastAsia="仿宋"/>
                <w:spacing w:val="-6"/>
                <w:sz w:val="18"/>
                <w:szCs w:val="18"/>
              </w:rPr>
              <w:t>对外工程承包和劳务合作营业额增长</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8%</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8</w:t>
            </w:r>
            <w:r>
              <w:rPr>
                <w:rFonts w:hint="eastAsia" w:ascii="Times New Roman" w:hAnsi="Times New Roman" w:eastAsia="仿宋"/>
                <w:color w:val="000000"/>
                <w:kern w:val="0"/>
                <w:sz w:val="18"/>
                <w:szCs w:val="18"/>
              </w:rPr>
              <w:t>%</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10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hint="eastAsia" w:ascii="Times New Roman" w:hAnsi="Times New Roman" w:eastAsia="仿宋"/>
                <w:color w:val="000000"/>
                <w:kern w:val="0"/>
                <w:sz w:val="18"/>
                <w:szCs w:val="18"/>
              </w:rPr>
              <w:t>质量指标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color w:val="000000"/>
                <w:spacing w:val="-6"/>
                <w:kern w:val="0"/>
                <w:sz w:val="18"/>
                <w:szCs w:val="18"/>
              </w:rPr>
              <w:t>社会消费品零售总额增长</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6%</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5.7</w:t>
            </w:r>
            <w:r>
              <w:rPr>
                <w:rFonts w:ascii="Times New Roman" w:hAnsi="Times New Roman" w:eastAsia="仿宋"/>
                <w:color w:val="000000"/>
                <w:kern w:val="0"/>
                <w:sz w:val="18"/>
                <w:szCs w:val="18"/>
              </w:rPr>
              <w:t>%</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9.5</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hint="eastAsia" w:ascii="Times New Roman" w:hAnsi="Times New Roman" w:eastAsia="仿宋"/>
                <w:kern w:val="0"/>
                <w:sz w:val="18"/>
                <w:szCs w:val="18"/>
              </w:rPr>
              <w:t>偏差原因：居民收入下降，以旧换新活动中汽车售价降低。改进措施：继续开展促消费活动，提高社会消费品零售总额增长。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hint="eastAsia" w:ascii="Times New Roman" w:hAnsi="Times New Roman" w:eastAsia="仿宋"/>
                <w:color w:val="000000"/>
                <w:kern w:val="0"/>
                <w:sz w:val="18"/>
                <w:szCs w:val="18"/>
              </w:rPr>
              <w:t>时效指标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hint="eastAsia" w:ascii="Times New Roman" w:hAnsi="Times New Roman" w:eastAsia="仿宋"/>
                <w:color w:val="000000"/>
                <w:spacing w:val="-6"/>
                <w:kern w:val="0"/>
                <w:sz w:val="18"/>
                <w:szCs w:val="18"/>
              </w:rPr>
              <w:t>对执法执勤工作保障及时率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85%</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100%</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5</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5</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restart"/>
            <w:vAlign w:val="center"/>
          </w:tcPr>
          <w:p>
            <w:pPr>
              <w:overflowPunct w:val="0"/>
              <w:spacing w:line="220" w:lineRule="exact"/>
              <w:ind w:left="-94" w:leftChars="-30" w:right="-94" w:rightChars="-30"/>
              <w:jc w:val="center"/>
              <w:rPr>
                <w:rFonts w:ascii="Times New Roman" w:hAnsi="Times New Roman" w:eastAsia="仿宋"/>
                <w:kern w:val="0"/>
                <w:sz w:val="18"/>
                <w:szCs w:val="18"/>
              </w:rPr>
            </w:pPr>
            <w:r>
              <w:rPr>
                <w:rFonts w:ascii="Times New Roman" w:hAnsi="Times New Roman" w:eastAsia="仿宋"/>
                <w:color w:val="000000"/>
                <w:kern w:val="0"/>
                <w:sz w:val="18"/>
                <w:szCs w:val="18"/>
              </w:rPr>
              <w:t>效益指标</w:t>
            </w: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经济效益指标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color w:val="000000"/>
                <w:spacing w:val="-6"/>
                <w:kern w:val="0"/>
                <w:sz w:val="18"/>
                <w:szCs w:val="18"/>
              </w:rPr>
              <w:t>引进“三类500强”企业</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6家</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16</w:t>
            </w:r>
            <w:r>
              <w:rPr>
                <w:rFonts w:ascii="Times New Roman" w:hAnsi="Times New Roman" w:eastAsia="仿宋"/>
                <w:color w:val="000000"/>
                <w:kern w:val="0"/>
                <w:sz w:val="18"/>
                <w:szCs w:val="18"/>
              </w:rPr>
              <w:t>家</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2455" w:type="dxa"/>
            <w:vAlign w:val="center"/>
          </w:tcPr>
          <w:p>
            <w:pPr>
              <w:overflowPunct w:val="0"/>
              <w:spacing w:line="220" w:lineRule="exact"/>
              <w:ind w:left="-94" w:leftChars="-30" w:right="-94" w:rightChars="-30"/>
              <w:jc w:val="center"/>
              <w:rPr>
                <w:rFonts w:ascii="Times New Roman" w:hAnsi="Times New Roman"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社会效益指标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color w:val="000000"/>
                <w:spacing w:val="-6"/>
                <w:kern w:val="0"/>
                <w:sz w:val="18"/>
                <w:szCs w:val="18"/>
              </w:rPr>
              <w:t>全面实施展会促消费行动</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2次</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8</w:t>
            </w:r>
            <w:r>
              <w:rPr>
                <w:rFonts w:ascii="Times New Roman" w:hAnsi="Times New Roman" w:eastAsia="仿宋"/>
                <w:color w:val="000000"/>
                <w:kern w:val="0"/>
                <w:sz w:val="18"/>
                <w:szCs w:val="18"/>
              </w:rPr>
              <w:t>次</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生态效益指标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color w:val="000000"/>
                <w:spacing w:val="-6"/>
                <w:kern w:val="0"/>
                <w:sz w:val="18"/>
                <w:szCs w:val="18"/>
              </w:rPr>
              <w:t>帮助农村农特产品线上销售</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20</w:t>
            </w:r>
          </w:p>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亿元</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21</w:t>
            </w:r>
            <w:r>
              <w:rPr>
                <w:rFonts w:hint="eastAsia" w:ascii="Times New Roman" w:hAnsi="Times New Roman" w:eastAsia="仿宋"/>
                <w:color w:val="000000"/>
                <w:kern w:val="0"/>
                <w:sz w:val="18"/>
                <w:szCs w:val="18"/>
              </w:rPr>
              <w:t>.1</w:t>
            </w:r>
            <w:r>
              <w:rPr>
                <w:rFonts w:ascii="Times New Roman" w:hAnsi="Times New Roman" w:eastAsia="仿宋"/>
                <w:color w:val="000000"/>
                <w:kern w:val="0"/>
                <w:sz w:val="18"/>
                <w:szCs w:val="18"/>
              </w:rPr>
              <w:t>亿元</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可持续影响指标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pacing w:val="-6"/>
                <w:sz w:val="18"/>
                <w:szCs w:val="18"/>
              </w:rPr>
            </w:pPr>
            <w:r>
              <w:rPr>
                <w:rFonts w:ascii="Times New Roman" w:hAnsi="Times New Roman" w:eastAsia="仿宋"/>
                <w:color w:val="000000"/>
                <w:spacing w:val="-6"/>
                <w:kern w:val="0"/>
                <w:sz w:val="18"/>
                <w:szCs w:val="18"/>
              </w:rPr>
              <w:t>贯彻落实稳消费接续政策</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2次</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ascii="Times New Roman" w:hAnsi="Times New Roman" w:eastAsia="仿宋"/>
                <w:color w:val="000000"/>
                <w:kern w:val="0"/>
                <w:sz w:val="18"/>
                <w:szCs w:val="18"/>
              </w:rPr>
              <w:t>2次</w:t>
            </w:r>
          </w:p>
        </w:tc>
        <w:tc>
          <w:tcPr>
            <w:tcW w:w="0" w:type="auto"/>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sz w:val="18"/>
                <w:szCs w:val="18"/>
              </w:rPr>
            </w:pPr>
            <w:r>
              <w:rPr>
                <w:rFonts w:hint="eastAsia" w:ascii="Times New Roman" w:hAnsi="Times New Roman" w:eastAsia="仿宋"/>
                <w:color w:val="000000"/>
                <w:kern w:val="0"/>
                <w:sz w:val="18"/>
                <w:szCs w:val="18"/>
              </w:rPr>
              <w:t>10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满意度指标</w:t>
            </w: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r>
              <w:rPr>
                <w:rFonts w:hint="eastAsia" w:ascii="Times New Roman" w:hAnsi="Times New Roman" w:eastAsia="仿宋"/>
                <w:color w:val="000000"/>
                <w:spacing w:val="-11"/>
                <w:kern w:val="0"/>
                <w:sz w:val="18"/>
                <w:szCs w:val="18"/>
              </w:rPr>
              <w:t>服务对象满意度指标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r>
              <w:rPr>
                <w:rFonts w:hint="eastAsia" w:ascii="Times New Roman" w:hAnsi="Times New Roman" w:eastAsia="仿宋"/>
                <w:color w:val="000000"/>
                <w:spacing w:val="-11"/>
                <w:kern w:val="0"/>
                <w:sz w:val="18"/>
                <w:szCs w:val="18"/>
              </w:rPr>
              <w:t>群众满意度</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90%</w:t>
            </w: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9</w:t>
            </w:r>
            <w:r>
              <w:rPr>
                <w:rFonts w:hint="eastAsia" w:ascii="Times New Roman" w:hAnsi="Times New Roman" w:eastAsia="仿宋"/>
                <w:color w:val="000000"/>
                <w:kern w:val="0"/>
                <w:sz w:val="18"/>
                <w:szCs w:val="18"/>
              </w:rPr>
              <w:t>0</w:t>
            </w:r>
            <w:r>
              <w:rPr>
                <w:rFonts w:ascii="Times New Roman" w:hAnsi="Times New Roman" w:eastAsia="仿宋"/>
                <w:color w:val="000000"/>
                <w:kern w:val="0"/>
                <w:sz w:val="18"/>
                <w:szCs w:val="18"/>
              </w:rPr>
              <w:t>%</w:t>
            </w: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5</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5</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restart"/>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成本指标</w:t>
            </w: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r>
              <w:rPr>
                <w:rFonts w:hint="eastAsia" w:ascii="Times New Roman" w:hAnsi="Times New Roman" w:eastAsia="仿宋"/>
                <w:color w:val="000000"/>
                <w:spacing w:val="-11"/>
                <w:kern w:val="0"/>
                <w:sz w:val="18"/>
                <w:szCs w:val="18"/>
              </w:rPr>
              <w:t>经济成本指标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r>
              <w:rPr>
                <w:rFonts w:hint="eastAsia" w:ascii="Times New Roman" w:hAnsi="Times New Roman" w:eastAsia="仿宋"/>
                <w:color w:val="000000"/>
                <w:spacing w:val="-11"/>
                <w:kern w:val="0"/>
                <w:sz w:val="18"/>
                <w:szCs w:val="18"/>
              </w:rPr>
              <w:t>全年整体投入资金</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hint="eastAsia" w:ascii="Times New Roman" w:hAnsi="Times New Roman" w:eastAsia="仿宋"/>
                <w:color w:val="000000"/>
                <w:kern w:val="0"/>
                <w:sz w:val="18"/>
                <w:szCs w:val="18"/>
              </w:rPr>
              <w:t>年初预算</w:t>
            </w: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hint="eastAsia" w:ascii="Times New Roman" w:hAnsi="Times New Roman" w:eastAsia="仿宋"/>
                <w:color w:val="000000"/>
                <w:kern w:val="0"/>
                <w:sz w:val="18"/>
                <w:szCs w:val="18"/>
              </w:rPr>
              <w:t>25011.67万元</w:t>
            </w: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hint="eastAsia" w:ascii="Times New Roman" w:hAnsi="Times New Roman" w:eastAsia="仿宋"/>
                <w:color w:val="000000"/>
                <w:kern w:val="0"/>
                <w:sz w:val="18"/>
                <w:szCs w:val="18"/>
              </w:rPr>
              <w:t>10</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hint="eastAsia" w:ascii="Times New Roman" w:hAnsi="Times New Roman" w:eastAsia="仿宋"/>
                <w:color w:val="000000"/>
                <w:kern w:val="0"/>
                <w:sz w:val="18"/>
                <w:szCs w:val="18"/>
              </w:rPr>
              <w:t>10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r>
              <w:rPr>
                <w:rFonts w:hint="eastAsia" w:ascii="Times New Roman" w:hAnsi="Times New Roman" w:eastAsia="仿宋"/>
                <w:color w:val="000000"/>
                <w:spacing w:val="-11"/>
                <w:kern w:val="0"/>
                <w:sz w:val="18"/>
                <w:szCs w:val="18"/>
              </w:rPr>
              <w:t>社会成本指标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Merge w:val="continue"/>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r>
              <w:rPr>
                <w:rFonts w:hint="eastAsia" w:ascii="Times New Roman" w:hAnsi="Times New Roman" w:eastAsia="仿宋"/>
                <w:color w:val="000000"/>
                <w:spacing w:val="-11"/>
                <w:kern w:val="0"/>
                <w:sz w:val="18"/>
                <w:szCs w:val="18"/>
              </w:rPr>
              <w:t>生态环境成本指标</w:t>
            </w: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spacing w:val="-11"/>
                <w:kern w:val="0"/>
                <w:sz w:val="18"/>
                <w:szCs w:val="18"/>
              </w:rPr>
            </w:pP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0" w:type="auto"/>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0" w:type="auto"/>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048" w:type="dxa"/>
            <w:gridSpan w:val="8"/>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kern w:val="0"/>
                <w:sz w:val="18"/>
                <w:szCs w:val="18"/>
              </w:rPr>
              <w:t>总分</w:t>
            </w:r>
          </w:p>
        </w:tc>
        <w:tc>
          <w:tcPr>
            <w:tcW w:w="377" w:type="dxa"/>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ascii="Times New Roman" w:hAnsi="Times New Roman" w:eastAsia="仿宋"/>
                <w:sz w:val="18"/>
                <w:szCs w:val="18"/>
              </w:rPr>
              <w:t>100</w:t>
            </w:r>
          </w:p>
        </w:tc>
        <w:tc>
          <w:tcPr>
            <w:tcW w:w="1699" w:type="dxa"/>
            <w:gridSpan w:val="2"/>
            <w:vAlign w:val="center"/>
          </w:tcPr>
          <w:p>
            <w:pPr>
              <w:overflowPunct w:val="0"/>
              <w:spacing w:line="220" w:lineRule="exact"/>
              <w:ind w:left="-94" w:leftChars="-30" w:right="-94" w:rightChars="-30"/>
              <w:jc w:val="center"/>
              <w:rPr>
                <w:rFonts w:ascii="Times New Roman" w:hAnsi="Times New Roman" w:eastAsia="仿宋"/>
                <w:color w:val="000000"/>
                <w:kern w:val="0"/>
                <w:sz w:val="18"/>
                <w:szCs w:val="18"/>
              </w:rPr>
            </w:pPr>
            <w:r>
              <w:rPr>
                <w:rFonts w:hint="eastAsia" w:ascii="Times New Roman" w:hAnsi="Times New Roman" w:eastAsia="仿宋"/>
                <w:sz w:val="18"/>
                <w:szCs w:val="18"/>
              </w:rPr>
              <w:t>99.50</w:t>
            </w:r>
          </w:p>
        </w:tc>
        <w:tc>
          <w:tcPr>
            <w:tcW w:w="2455" w:type="dxa"/>
            <w:vAlign w:val="center"/>
          </w:tcPr>
          <w:p>
            <w:pPr>
              <w:overflowPunct w:val="0"/>
              <w:spacing w:line="220" w:lineRule="exact"/>
              <w:ind w:left="-94" w:leftChars="-30" w:right="-94" w:rightChars="-30"/>
              <w:jc w:val="center"/>
              <w:rPr>
                <w:rFonts w:ascii="Times New Roman" w:hAnsi="Times New Roman" w:eastAsia="仿宋"/>
                <w:kern w:val="0"/>
                <w:sz w:val="18"/>
                <w:szCs w:val="18"/>
              </w:rPr>
            </w:pPr>
          </w:p>
        </w:tc>
      </w:tr>
    </w:tbl>
    <w:p>
      <w:pPr>
        <w:widowControl/>
        <w:spacing w:line="320" w:lineRule="exact"/>
        <w:ind w:left="-63" w:leftChars="-20" w:right="-63" w:rightChars="-20"/>
        <w:rPr>
          <w:rFonts w:ascii="仿宋" w:hAnsi="仿宋" w:eastAsia="仿宋" w:cs="仿宋"/>
          <w:kern w:val="0"/>
          <w:sz w:val="20"/>
        </w:rPr>
      </w:pPr>
      <w:r>
        <w:rPr>
          <w:rFonts w:ascii="仿宋" w:hAnsi="仿宋" w:eastAsia="仿宋" w:cs="仿宋"/>
          <w:kern w:val="0"/>
          <w:sz w:val="20"/>
        </w:rPr>
        <w:t>填表人：</w:t>
      </w:r>
      <w:r>
        <w:rPr>
          <w:rFonts w:hint="eastAsia" w:ascii="仿宋" w:hAnsi="仿宋" w:eastAsia="仿宋" w:cs="仿宋"/>
          <w:kern w:val="0"/>
          <w:sz w:val="20"/>
        </w:rPr>
        <w:t>贺家悦</w:t>
      </w:r>
      <w:r>
        <w:rPr>
          <w:rFonts w:ascii="仿宋" w:hAnsi="仿宋" w:eastAsia="仿宋" w:cs="仿宋"/>
          <w:kern w:val="0"/>
          <w:sz w:val="20"/>
        </w:rPr>
        <w:t xml:space="preserve">  </w:t>
      </w:r>
      <w:r>
        <w:rPr>
          <w:rFonts w:hint="eastAsia" w:ascii="仿宋" w:hAnsi="仿宋" w:eastAsia="仿宋" w:cs="仿宋"/>
          <w:kern w:val="0"/>
          <w:sz w:val="20"/>
        </w:rPr>
        <w:t xml:space="preserve">   </w:t>
      </w:r>
      <w:r>
        <w:rPr>
          <w:rFonts w:ascii="仿宋" w:hAnsi="仿宋" w:eastAsia="仿宋" w:cs="仿宋"/>
          <w:kern w:val="0"/>
          <w:sz w:val="20"/>
        </w:rPr>
        <w:t>填报日期：20</w:t>
      </w:r>
      <w:r>
        <w:rPr>
          <w:rFonts w:hint="eastAsia" w:ascii="仿宋" w:hAnsi="仿宋" w:eastAsia="仿宋" w:cs="仿宋"/>
          <w:kern w:val="0"/>
          <w:sz w:val="20"/>
        </w:rPr>
        <w:t>25</w:t>
      </w:r>
      <w:r>
        <w:rPr>
          <w:rFonts w:ascii="仿宋" w:hAnsi="仿宋" w:eastAsia="仿宋" w:cs="仿宋"/>
          <w:kern w:val="0"/>
          <w:sz w:val="20"/>
        </w:rPr>
        <w:t>年</w:t>
      </w:r>
      <w:r>
        <w:rPr>
          <w:rFonts w:hint="eastAsia" w:ascii="仿宋" w:hAnsi="仿宋" w:eastAsia="仿宋" w:cs="仿宋"/>
          <w:kern w:val="0"/>
          <w:sz w:val="20"/>
        </w:rPr>
        <w:t>4</w:t>
      </w:r>
      <w:r>
        <w:rPr>
          <w:rFonts w:ascii="仿宋" w:hAnsi="仿宋" w:eastAsia="仿宋" w:cs="仿宋"/>
          <w:kern w:val="0"/>
          <w:sz w:val="20"/>
        </w:rPr>
        <w:t>月2</w:t>
      </w:r>
      <w:r>
        <w:rPr>
          <w:rFonts w:hint="eastAsia" w:ascii="仿宋" w:hAnsi="仿宋" w:eastAsia="仿宋" w:cs="仿宋"/>
          <w:kern w:val="0"/>
          <w:sz w:val="20"/>
        </w:rPr>
        <w:t>1</w:t>
      </w:r>
      <w:r>
        <w:rPr>
          <w:rFonts w:ascii="仿宋" w:hAnsi="仿宋" w:eastAsia="仿宋" w:cs="仿宋"/>
          <w:kern w:val="0"/>
          <w:sz w:val="20"/>
        </w:rPr>
        <w:t xml:space="preserve">日  </w:t>
      </w:r>
      <w:r>
        <w:rPr>
          <w:rFonts w:hint="eastAsia" w:ascii="仿宋" w:hAnsi="仿宋" w:eastAsia="仿宋" w:cs="仿宋"/>
          <w:kern w:val="0"/>
          <w:sz w:val="20"/>
        </w:rPr>
        <w:t xml:space="preserve">    </w:t>
      </w:r>
      <w:r>
        <w:rPr>
          <w:rFonts w:ascii="仿宋" w:hAnsi="仿宋" w:eastAsia="仿宋" w:cs="仿宋"/>
          <w:kern w:val="0"/>
          <w:sz w:val="20"/>
        </w:rPr>
        <w:t>联系电话：4245709</w:t>
      </w:r>
      <w:r>
        <w:rPr>
          <w:rFonts w:hint="eastAsia" w:ascii="仿宋" w:hAnsi="仿宋" w:eastAsia="仿宋" w:cs="仿宋"/>
          <w:kern w:val="0"/>
          <w:sz w:val="20"/>
        </w:rPr>
        <w:t xml:space="preserve">  </w:t>
      </w:r>
      <w:r>
        <w:rPr>
          <w:rFonts w:ascii="仿宋" w:hAnsi="仿宋" w:eastAsia="仿宋" w:cs="仿宋"/>
          <w:kern w:val="0"/>
          <w:sz w:val="20"/>
        </w:rPr>
        <w:t xml:space="preserve">  单位负责人签字：</w:t>
      </w:r>
    </w:p>
    <w:p>
      <w:pPr>
        <w:widowControl/>
        <w:jc w:val="left"/>
        <w:rPr>
          <w:rFonts w:ascii="Times New Roman" w:hAnsi="Times New Roman" w:eastAsia="黑体"/>
          <w:szCs w:val="32"/>
        </w:rPr>
      </w:pPr>
      <w:r>
        <w:rPr>
          <w:rFonts w:ascii="Times New Roman" w:hAnsi="Times New Roman" w:eastAsia="黑体"/>
          <w:szCs w:val="32"/>
        </w:rPr>
        <w:t>附件</w:t>
      </w:r>
      <w:r>
        <w:rPr>
          <w:rFonts w:hint="eastAsia" w:ascii="Times New Roman" w:hAnsi="Times New Roman" w:eastAsia="黑体"/>
          <w:szCs w:val="32"/>
        </w:rPr>
        <w:t>3</w:t>
      </w:r>
    </w:p>
    <w:p>
      <w:pPr>
        <w:pStyle w:val="2"/>
        <w:rPr>
          <w:rFonts w:hint="default"/>
        </w:rPr>
      </w:pPr>
      <w:r>
        <w:rPr>
          <w:rFonts w:hint="default"/>
        </w:rPr>
        <w:t>202</w:t>
      </w:r>
      <w:r>
        <w:t>4</w:t>
      </w:r>
      <w:r>
        <w:rPr>
          <w:rFonts w:hint="default"/>
        </w:rPr>
        <w:t>年度项目支出绩效自评表</w:t>
      </w:r>
    </w:p>
    <w:tbl>
      <w:tblPr>
        <w:tblStyle w:val="9"/>
        <w:tblW w:w="50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837"/>
        <w:gridCol w:w="407"/>
        <w:gridCol w:w="1140"/>
        <w:gridCol w:w="1517"/>
        <w:gridCol w:w="815"/>
        <w:gridCol w:w="1052"/>
        <w:gridCol w:w="688"/>
        <w:gridCol w:w="82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项目支出名称</w:t>
            </w:r>
          </w:p>
        </w:tc>
        <w:tc>
          <w:tcPr>
            <w:tcW w:w="3972" w:type="pct"/>
            <w:gridSpan w:val="7"/>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业务工作经费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主管部门</w:t>
            </w:r>
          </w:p>
        </w:tc>
        <w:tc>
          <w:tcPr>
            <w:tcW w:w="2576" w:type="pct"/>
            <w:gridSpan w:val="5"/>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益阳市商务局</w:t>
            </w:r>
          </w:p>
        </w:tc>
        <w:tc>
          <w:tcPr>
            <w:tcW w:w="574"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实施单位</w:t>
            </w:r>
          </w:p>
        </w:tc>
        <w:tc>
          <w:tcPr>
            <w:tcW w:w="1500"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益阳市商务局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restar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项目资金</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（万元）</w:t>
            </w:r>
          </w:p>
        </w:tc>
        <w:tc>
          <w:tcPr>
            <w:tcW w:w="1302"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资金来源</w:t>
            </w:r>
          </w:p>
        </w:tc>
        <w:tc>
          <w:tcPr>
            <w:tcW w:w="828"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年初预算数</w:t>
            </w:r>
          </w:p>
        </w:tc>
        <w:tc>
          <w:tcPr>
            <w:tcW w:w="44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全年预算数</w:t>
            </w:r>
          </w:p>
        </w:tc>
        <w:tc>
          <w:tcPr>
            <w:tcW w:w="574"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全年</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执行数</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分值</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执行率</w:t>
            </w:r>
          </w:p>
        </w:tc>
        <w:tc>
          <w:tcPr>
            <w:tcW w:w="672"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2"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其中:当年财政拨款</w:t>
            </w:r>
          </w:p>
        </w:tc>
        <w:tc>
          <w:tcPr>
            <w:tcW w:w="828"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hint="eastAsia" w:ascii="Times New Roman" w:hAnsi="Times New Roman" w:eastAsia="仿宋"/>
                <w:color w:val="000000"/>
                <w:kern w:val="0"/>
                <w:sz w:val="20"/>
              </w:rPr>
              <w:t>0</w:t>
            </w:r>
          </w:p>
        </w:tc>
        <w:tc>
          <w:tcPr>
            <w:tcW w:w="445"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504.67</w:t>
            </w:r>
          </w:p>
        </w:tc>
        <w:tc>
          <w:tcPr>
            <w:tcW w:w="574"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504.67</w:t>
            </w:r>
          </w:p>
        </w:tc>
        <w:tc>
          <w:tcPr>
            <w:tcW w:w="376" w:type="pct"/>
            <w:vAlign w:val="center"/>
          </w:tcPr>
          <w:p>
            <w:pPr>
              <w:overflowPunct w:val="0"/>
              <w:spacing w:line="240" w:lineRule="exact"/>
              <w:ind w:left="-63" w:leftChars="-20" w:right="-63" w:rightChars="-20"/>
              <w:rPr>
                <w:rFonts w:ascii="Times New Roman" w:hAnsi="Times New Roman" w:eastAsia="仿宋"/>
                <w:color w:val="000000"/>
                <w:kern w:val="0"/>
                <w:sz w:val="20"/>
              </w:rPr>
            </w:pP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2"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上年结转金额</w:t>
            </w:r>
          </w:p>
        </w:tc>
        <w:tc>
          <w:tcPr>
            <w:tcW w:w="828"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44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574"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2"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其它资金</w:t>
            </w:r>
          </w:p>
        </w:tc>
        <w:tc>
          <w:tcPr>
            <w:tcW w:w="828"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44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574"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2"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年度资金总额</w:t>
            </w:r>
          </w:p>
        </w:tc>
        <w:tc>
          <w:tcPr>
            <w:tcW w:w="828"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445"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504.67</w:t>
            </w:r>
          </w:p>
        </w:tc>
        <w:tc>
          <w:tcPr>
            <w:tcW w:w="574"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504.67</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672"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restar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年度总体目标</w:t>
            </w:r>
          </w:p>
        </w:tc>
        <w:tc>
          <w:tcPr>
            <w:tcW w:w="2131" w:type="pct"/>
            <w:gridSpan w:val="4"/>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预期目标</w:t>
            </w:r>
          </w:p>
        </w:tc>
        <w:tc>
          <w:tcPr>
            <w:tcW w:w="2520" w:type="pct"/>
            <w:gridSpan w:val="5"/>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2131" w:type="pct"/>
            <w:gridSpan w:val="4"/>
            <w:vAlign w:val="center"/>
          </w:tcPr>
          <w:p>
            <w:pPr>
              <w:overflowPunct w:val="0"/>
              <w:spacing w:line="240" w:lineRule="exact"/>
              <w:ind w:left="-63" w:leftChars="-20" w:right="-63" w:rightChars="-20"/>
              <w:jc w:val="left"/>
              <w:rPr>
                <w:rFonts w:ascii="Times New Roman" w:hAnsi="Times New Roman" w:eastAsia="仿宋"/>
                <w:color w:val="000000"/>
                <w:kern w:val="0"/>
                <w:sz w:val="20"/>
              </w:rPr>
            </w:pPr>
            <w:r>
              <w:rPr>
                <w:rFonts w:hint="eastAsia" w:ascii="Times New Roman" w:hAnsi="Times New Roman" w:eastAsia="仿宋"/>
                <w:color w:val="000000"/>
                <w:kern w:val="0"/>
                <w:sz w:val="20"/>
              </w:rPr>
              <w:t>消费支撑更加有力，外贸质量明显提升，外资结构不断改善，外经合作持续突破。</w:t>
            </w:r>
          </w:p>
        </w:tc>
        <w:tc>
          <w:tcPr>
            <w:tcW w:w="2520" w:type="pct"/>
            <w:gridSpan w:val="5"/>
            <w:vAlign w:val="center"/>
          </w:tcPr>
          <w:p>
            <w:pPr>
              <w:overflowPunct w:val="0"/>
              <w:spacing w:line="240" w:lineRule="exact"/>
              <w:ind w:left="-63" w:leftChars="-20" w:right="-63" w:rightChars="-20"/>
              <w:jc w:val="left"/>
              <w:rPr>
                <w:rFonts w:ascii="Times New Roman" w:hAnsi="Times New Roman" w:eastAsia="仿宋"/>
                <w:color w:val="000000"/>
                <w:kern w:val="0"/>
                <w:sz w:val="20"/>
              </w:rPr>
            </w:pPr>
            <w:r>
              <w:rPr>
                <w:rFonts w:hint="eastAsia" w:ascii="Times New Roman" w:hAnsi="Times New Roman" w:eastAsia="仿宋"/>
                <w:color w:val="000000"/>
                <w:kern w:val="0"/>
                <w:sz w:val="20"/>
              </w:rPr>
              <w:t>消费支撑更加有力，全市社会消费品零售总额953亿元，同比增长5.7%，增速排名全省第7位，高于全省平均0.3个百分点；外贸质量明显提升，外贸降幅从年初的90%收窄至15.4%，累计增速排名从2023年全省第14位大幅提升至第6位；外资结构不断改善，实际使用外资541万美元，虽然增速同比下降，但优于同类市州；外经合作持续突破，完成对外实际投资6691万美元，增长91.9%，总量、增速排名分别提升至全省第4位、第3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restar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绩</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效</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指</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标</w:t>
            </w:r>
          </w:p>
        </w:tc>
        <w:tc>
          <w:tcPr>
            <w:tcW w:w="457"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一级指标</w:t>
            </w:r>
          </w:p>
        </w:tc>
        <w:tc>
          <w:tcPr>
            <w:tcW w:w="845" w:type="pct"/>
            <w:gridSpan w:val="2"/>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二级指标</w:t>
            </w:r>
          </w:p>
        </w:tc>
        <w:tc>
          <w:tcPr>
            <w:tcW w:w="828"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三级指标</w:t>
            </w:r>
          </w:p>
        </w:tc>
        <w:tc>
          <w:tcPr>
            <w:tcW w:w="44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年度</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指标值</w:t>
            </w:r>
          </w:p>
        </w:tc>
        <w:tc>
          <w:tcPr>
            <w:tcW w:w="574"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实际</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完成值</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分值</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自评得分</w:t>
            </w:r>
          </w:p>
        </w:tc>
        <w:tc>
          <w:tcPr>
            <w:tcW w:w="672"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restart"/>
            <w:vAlign w:val="center"/>
          </w:tcPr>
          <w:p>
            <w:pPr>
              <w:overflowPunct w:val="0"/>
              <w:spacing w:line="240" w:lineRule="exact"/>
              <w:jc w:val="center"/>
              <w:rPr>
                <w:rFonts w:ascii="Times New Roman" w:hAnsi="Times New Roman" w:eastAsia="仿宋"/>
                <w:color w:val="000000"/>
                <w:kern w:val="0"/>
                <w:sz w:val="20"/>
              </w:rPr>
            </w:pPr>
            <w:r>
              <w:rPr>
                <w:rFonts w:hint="eastAsia" w:ascii="Times New Roman" w:hAnsi="Times New Roman" w:eastAsia="仿宋"/>
                <w:color w:val="000000"/>
                <w:kern w:val="0"/>
                <w:sz w:val="20"/>
              </w:rPr>
              <w:t>产出指标</w:t>
            </w:r>
          </w:p>
        </w:tc>
        <w:tc>
          <w:tcPr>
            <w:tcW w:w="845" w:type="pct"/>
            <w:gridSpan w:val="2"/>
            <w:vAlign w:val="center"/>
          </w:tcPr>
          <w:p>
            <w:pPr>
              <w:overflowPunct w:val="0"/>
              <w:spacing w:line="240" w:lineRule="exact"/>
              <w:jc w:val="center"/>
              <w:rPr>
                <w:rFonts w:ascii="Times New Roman" w:hAnsi="Times New Roman" w:eastAsia="仿宋"/>
                <w:color w:val="000000"/>
                <w:kern w:val="0"/>
                <w:sz w:val="20"/>
              </w:rPr>
            </w:pPr>
            <w:r>
              <w:rPr>
                <w:rFonts w:hint="eastAsia" w:ascii="Times New Roman" w:hAnsi="Times New Roman" w:eastAsia="仿宋"/>
                <w:color w:val="000000"/>
                <w:kern w:val="0"/>
                <w:sz w:val="20"/>
              </w:rPr>
              <w:t>数量指标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利用省外境内资金</w:t>
            </w: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800亿元</w:t>
            </w: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894.44亿元</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r>
              <w:rPr>
                <w:rFonts w:ascii="Times New Roman" w:hAnsi="Times New Roman" w:eastAsia="仿宋"/>
                <w:color w:val="000000"/>
                <w:kern w:val="0"/>
                <w:sz w:val="20"/>
              </w:rPr>
              <w:t>.00</w:t>
            </w: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rPr>
                <w:rFonts w:ascii="Times New Roman" w:hAnsi="Times New Roman" w:eastAsia="仿宋"/>
                <w:color w:val="000000"/>
                <w:kern w:val="0"/>
                <w:sz w:val="20"/>
              </w:rPr>
            </w:pPr>
            <w:r>
              <w:rPr>
                <w:rFonts w:hint="eastAsia" w:ascii="Times New Roman" w:hAnsi="Times New Roman" w:eastAsia="仿宋"/>
                <w:color w:val="000000"/>
                <w:kern w:val="0"/>
                <w:sz w:val="20"/>
              </w:rPr>
              <w:t>质量指标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社会消费品零售总额增速</w:t>
            </w: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超过全省平均水平</w:t>
            </w: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超过全省平均水平</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r>
              <w:rPr>
                <w:rFonts w:ascii="Times New Roman" w:hAnsi="Times New Roman" w:eastAsia="仿宋"/>
                <w:color w:val="000000"/>
                <w:kern w:val="0"/>
                <w:sz w:val="20"/>
              </w:rPr>
              <w:t>.00</w:t>
            </w: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时效指标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restar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效益指标</w:t>
            </w: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经济效益指标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湘商新注册企业</w:t>
            </w: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70</w:t>
            </w:r>
            <w:r>
              <w:rPr>
                <w:rFonts w:ascii="Times New Roman" w:hAnsi="Times New Roman" w:eastAsia="仿宋"/>
                <w:color w:val="000000"/>
                <w:kern w:val="0"/>
                <w:sz w:val="20"/>
              </w:rPr>
              <w:t>家</w:t>
            </w: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100</w:t>
            </w:r>
            <w:r>
              <w:rPr>
                <w:rFonts w:ascii="Times New Roman" w:hAnsi="Times New Roman" w:eastAsia="仿宋"/>
                <w:color w:val="000000"/>
                <w:kern w:val="0"/>
                <w:sz w:val="20"/>
              </w:rPr>
              <w:t>家</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r>
              <w:rPr>
                <w:rFonts w:ascii="Times New Roman" w:hAnsi="Times New Roman" w:eastAsia="仿宋"/>
                <w:color w:val="000000"/>
                <w:kern w:val="0"/>
                <w:sz w:val="20"/>
              </w:rPr>
              <w:t>.00</w:t>
            </w: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社会效益指标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签订离岸经贸服务协议</w:t>
            </w: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2份</w:t>
            </w: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3份</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r>
              <w:rPr>
                <w:rFonts w:ascii="Times New Roman" w:hAnsi="Times New Roman" w:eastAsia="仿宋"/>
                <w:color w:val="000000"/>
                <w:kern w:val="0"/>
                <w:sz w:val="20"/>
              </w:rPr>
              <w:t>.00</w:t>
            </w: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生态效益指标</w:t>
            </w:r>
          </w:p>
        </w:tc>
        <w:tc>
          <w:tcPr>
            <w:tcW w:w="828" w:type="pct"/>
            <w:vAlign w:val="center"/>
          </w:tcPr>
          <w:p>
            <w:pPr>
              <w:overflowPunct w:val="0"/>
              <w:spacing w:line="240" w:lineRule="exact"/>
              <w:rPr>
                <w:rFonts w:ascii="Times New Roman" w:hAnsi="Times New Roman" w:eastAsia="仿宋"/>
                <w:color w:val="000000"/>
                <w:kern w:val="0"/>
                <w:sz w:val="20"/>
              </w:rPr>
            </w:pPr>
          </w:p>
        </w:tc>
        <w:tc>
          <w:tcPr>
            <w:tcW w:w="445" w:type="pct"/>
            <w:vAlign w:val="center"/>
          </w:tcPr>
          <w:p>
            <w:pPr>
              <w:overflowPunct w:val="0"/>
              <w:spacing w:line="240" w:lineRule="exact"/>
              <w:jc w:val="center"/>
              <w:rPr>
                <w:rFonts w:ascii="Times New Roman" w:hAnsi="Times New Roman" w:eastAsia="仿宋"/>
                <w:color w:val="000000"/>
                <w:kern w:val="0"/>
                <w:sz w:val="20"/>
              </w:rPr>
            </w:pPr>
          </w:p>
        </w:tc>
        <w:tc>
          <w:tcPr>
            <w:tcW w:w="574" w:type="pct"/>
            <w:vAlign w:val="center"/>
          </w:tcPr>
          <w:p>
            <w:pPr>
              <w:overflowPunct w:val="0"/>
              <w:spacing w:line="240" w:lineRule="exact"/>
              <w:jc w:val="center"/>
              <w:rPr>
                <w:rFonts w:ascii="Times New Roman" w:hAnsi="Times New Roman" w:eastAsia="仿宋"/>
                <w:color w:val="000000"/>
                <w:kern w:val="0"/>
                <w:sz w:val="20"/>
              </w:rPr>
            </w:pPr>
          </w:p>
        </w:tc>
        <w:tc>
          <w:tcPr>
            <w:tcW w:w="376" w:type="pct"/>
            <w:vAlign w:val="center"/>
          </w:tcPr>
          <w:p>
            <w:pPr>
              <w:overflowPunct w:val="0"/>
              <w:spacing w:line="240" w:lineRule="exact"/>
              <w:jc w:val="center"/>
              <w:rPr>
                <w:rFonts w:ascii="Times New Roman" w:hAnsi="Times New Roman" w:eastAsia="仿宋"/>
                <w:color w:val="000000"/>
                <w:kern w:val="0"/>
                <w:sz w:val="20"/>
              </w:rPr>
            </w:pPr>
          </w:p>
        </w:tc>
        <w:tc>
          <w:tcPr>
            <w:tcW w:w="451" w:type="pct"/>
            <w:vAlign w:val="center"/>
          </w:tcPr>
          <w:p>
            <w:pPr>
              <w:overflowPunct w:val="0"/>
              <w:spacing w:line="240" w:lineRule="exact"/>
              <w:jc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可持续影响</w:t>
            </w:r>
          </w:p>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满意度指标</w:t>
            </w: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服务对象满意度指标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群众</w:t>
            </w:r>
            <w:r>
              <w:rPr>
                <w:rFonts w:ascii="Times New Roman" w:hAnsi="Times New Roman" w:eastAsia="仿宋"/>
                <w:color w:val="000000"/>
                <w:kern w:val="0"/>
                <w:sz w:val="20"/>
              </w:rPr>
              <w:t>满意度</w:t>
            </w: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90%</w:t>
            </w: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9</w:t>
            </w:r>
            <w:r>
              <w:rPr>
                <w:rFonts w:hint="eastAsia" w:ascii="Times New Roman" w:hAnsi="Times New Roman" w:eastAsia="仿宋"/>
                <w:color w:val="000000"/>
                <w:kern w:val="0"/>
                <w:sz w:val="20"/>
              </w:rPr>
              <w:t>5</w:t>
            </w:r>
            <w:r>
              <w:rPr>
                <w:rFonts w:ascii="Times New Roman" w:hAnsi="Times New Roman" w:eastAsia="仿宋"/>
                <w:color w:val="000000"/>
                <w:kern w:val="0"/>
                <w:sz w:val="20"/>
              </w:rPr>
              <w:t>%</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5</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5.00</w:t>
            </w: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restar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成本指标</w:t>
            </w: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经济成本指标</w:t>
            </w:r>
          </w:p>
        </w:tc>
        <w:tc>
          <w:tcPr>
            <w:tcW w:w="828" w:type="pct"/>
            <w:vAlign w:val="center"/>
          </w:tcPr>
          <w:p>
            <w:pPr>
              <w:overflowPunct w:val="0"/>
              <w:spacing w:line="240" w:lineRule="exact"/>
              <w:jc w:val="left"/>
              <w:textAlignment w:val="center"/>
              <w:rPr>
                <w:rFonts w:ascii="Times New Roman" w:hAnsi="Times New Roman" w:eastAsia="仿宋"/>
                <w:color w:val="000000"/>
                <w:kern w:val="0"/>
                <w:sz w:val="20"/>
              </w:rPr>
            </w:pPr>
            <w:r>
              <w:rPr>
                <w:rFonts w:ascii="Times New Roman" w:hAnsi="Times New Roman" w:eastAsia="仿宋"/>
                <w:color w:val="000000"/>
                <w:kern w:val="0"/>
                <w:sz w:val="20"/>
              </w:rPr>
              <w:t>预算执行率</w:t>
            </w:r>
          </w:p>
        </w:tc>
        <w:tc>
          <w:tcPr>
            <w:tcW w:w="44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90</w:t>
            </w:r>
            <w:r>
              <w:rPr>
                <w:rFonts w:ascii="Times New Roman" w:hAnsi="Times New Roman" w:eastAsia="仿宋"/>
                <w:color w:val="000000"/>
                <w:kern w:val="0"/>
                <w:sz w:val="20"/>
              </w:rPr>
              <w:t>%</w:t>
            </w:r>
          </w:p>
        </w:tc>
        <w:tc>
          <w:tcPr>
            <w:tcW w:w="574"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5</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5</w:t>
            </w:r>
            <w:r>
              <w:rPr>
                <w:rFonts w:ascii="Times New Roman" w:hAnsi="Times New Roman" w:eastAsia="仿宋"/>
                <w:color w:val="000000"/>
                <w:kern w:val="0"/>
                <w:sz w:val="20"/>
              </w:rPr>
              <w:t>.00</w:t>
            </w: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社会成本指标</w:t>
            </w:r>
          </w:p>
        </w:tc>
        <w:tc>
          <w:tcPr>
            <w:tcW w:w="828" w:type="pct"/>
            <w:vAlign w:val="center"/>
          </w:tcPr>
          <w:p>
            <w:pPr>
              <w:overflowPunct w:val="0"/>
              <w:spacing w:line="240" w:lineRule="exact"/>
              <w:rPr>
                <w:rFonts w:ascii="Times New Roman" w:hAnsi="Times New Roman" w:eastAsia="仿宋"/>
                <w:color w:val="000000"/>
                <w:kern w:val="0"/>
                <w:sz w:val="20"/>
              </w:rPr>
            </w:pPr>
          </w:p>
        </w:tc>
        <w:tc>
          <w:tcPr>
            <w:tcW w:w="445" w:type="pct"/>
            <w:vAlign w:val="center"/>
          </w:tcPr>
          <w:p>
            <w:pPr>
              <w:overflowPunct w:val="0"/>
              <w:spacing w:line="240" w:lineRule="exact"/>
              <w:jc w:val="center"/>
              <w:rPr>
                <w:rFonts w:ascii="Times New Roman" w:hAnsi="Times New Roman" w:eastAsia="仿宋"/>
                <w:color w:val="000000"/>
                <w:kern w:val="0"/>
                <w:sz w:val="20"/>
              </w:rPr>
            </w:pPr>
          </w:p>
        </w:tc>
        <w:tc>
          <w:tcPr>
            <w:tcW w:w="574" w:type="pct"/>
            <w:vAlign w:val="center"/>
          </w:tcPr>
          <w:p>
            <w:pPr>
              <w:overflowPunct w:val="0"/>
              <w:spacing w:line="240" w:lineRule="exact"/>
              <w:jc w:val="center"/>
              <w:rPr>
                <w:rFonts w:ascii="Times New Roman" w:hAnsi="Times New Roman" w:eastAsia="仿宋"/>
                <w:color w:val="000000"/>
                <w:kern w:val="0"/>
                <w:sz w:val="20"/>
              </w:rPr>
            </w:pPr>
          </w:p>
        </w:tc>
        <w:tc>
          <w:tcPr>
            <w:tcW w:w="376" w:type="pct"/>
            <w:vAlign w:val="center"/>
          </w:tcPr>
          <w:p>
            <w:pPr>
              <w:overflowPunct w:val="0"/>
              <w:spacing w:line="240" w:lineRule="exact"/>
              <w:jc w:val="center"/>
              <w:rPr>
                <w:rFonts w:ascii="Times New Roman" w:hAnsi="Times New Roman" w:eastAsia="仿宋"/>
                <w:color w:val="000000"/>
                <w:kern w:val="0"/>
                <w:sz w:val="20"/>
              </w:rPr>
            </w:pPr>
          </w:p>
        </w:tc>
        <w:tc>
          <w:tcPr>
            <w:tcW w:w="451" w:type="pct"/>
            <w:vAlign w:val="center"/>
          </w:tcPr>
          <w:p>
            <w:pPr>
              <w:overflowPunct w:val="0"/>
              <w:spacing w:line="240" w:lineRule="exact"/>
              <w:jc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生态环境成本指标</w:t>
            </w:r>
          </w:p>
        </w:tc>
        <w:tc>
          <w:tcPr>
            <w:tcW w:w="828" w:type="pct"/>
            <w:vAlign w:val="center"/>
          </w:tcPr>
          <w:p>
            <w:pPr>
              <w:overflowPunct w:val="0"/>
              <w:spacing w:line="240" w:lineRule="exact"/>
              <w:rPr>
                <w:rFonts w:ascii="Times New Roman" w:hAnsi="Times New Roman" w:eastAsia="仿宋"/>
                <w:color w:val="000000"/>
                <w:kern w:val="0"/>
                <w:sz w:val="20"/>
              </w:rPr>
            </w:pPr>
          </w:p>
        </w:tc>
        <w:tc>
          <w:tcPr>
            <w:tcW w:w="445" w:type="pct"/>
            <w:vAlign w:val="center"/>
          </w:tcPr>
          <w:p>
            <w:pPr>
              <w:overflowPunct w:val="0"/>
              <w:spacing w:line="240" w:lineRule="exact"/>
              <w:jc w:val="center"/>
              <w:rPr>
                <w:rFonts w:ascii="Times New Roman" w:hAnsi="Times New Roman" w:eastAsia="仿宋"/>
                <w:color w:val="000000"/>
                <w:kern w:val="0"/>
                <w:sz w:val="20"/>
              </w:rPr>
            </w:pPr>
          </w:p>
        </w:tc>
        <w:tc>
          <w:tcPr>
            <w:tcW w:w="574" w:type="pct"/>
            <w:vAlign w:val="center"/>
          </w:tcPr>
          <w:p>
            <w:pPr>
              <w:overflowPunct w:val="0"/>
              <w:spacing w:line="240" w:lineRule="exact"/>
              <w:jc w:val="center"/>
              <w:rPr>
                <w:rFonts w:ascii="Times New Roman" w:hAnsi="Times New Roman" w:eastAsia="仿宋"/>
                <w:color w:val="000000"/>
                <w:kern w:val="0"/>
                <w:sz w:val="20"/>
              </w:rPr>
            </w:pPr>
          </w:p>
        </w:tc>
        <w:tc>
          <w:tcPr>
            <w:tcW w:w="376" w:type="pct"/>
            <w:vAlign w:val="center"/>
          </w:tcPr>
          <w:p>
            <w:pPr>
              <w:overflowPunct w:val="0"/>
              <w:spacing w:line="240" w:lineRule="exact"/>
              <w:jc w:val="center"/>
              <w:rPr>
                <w:rFonts w:ascii="Times New Roman" w:hAnsi="Times New Roman" w:eastAsia="仿宋"/>
                <w:color w:val="000000"/>
                <w:kern w:val="0"/>
                <w:sz w:val="20"/>
              </w:rPr>
            </w:pPr>
          </w:p>
        </w:tc>
        <w:tc>
          <w:tcPr>
            <w:tcW w:w="451" w:type="pct"/>
            <w:vAlign w:val="center"/>
          </w:tcPr>
          <w:p>
            <w:pPr>
              <w:overflowPunct w:val="0"/>
              <w:spacing w:line="240" w:lineRule="exact"/>
              <w:jc w:val="center"/>
              <w:rPr>
                <w:rFonts w:ascii="Times New Roman" w:hAnsi="Times New Roman" w:eastAsia="仿宋"/>
                <w:color w:val="000000"/>
                <w:kern w:val="0"/>
                <w:sz w:val="20"/>
              </w:rPr>
            </w:pP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9" w:type="pct"/>
            <w:gridSpan w:val="7"/>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总分</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hint="eastAsia" w:ascii="Times New Roman" w:hAnsi="Times New Roman" w:eastAsia="仿宋"/>
                <w:color w:val="000000"/>
                <w:kern w:val="0"/>
                <w:sz w:val="20"/>
              </w:rPr>
              <w:t>100.00</w:t>
            </w:r>
          </w:p>
        </w:tc>
        <w:tc>
          <w:tcPr>
            <w:tcW w:w="672"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bl>
    <w:p>
      <w:pPr>
        <w:widowControl/>
        <w:spacing w:line="320" w:lineRule="exact"/>
        <w:ind w:left="-63" w:leftChars="-20" w:right="-63" w:rightChars="-20"/>
        <w:rPr>
          <w:rFonts w:ascii="仿宋" w:hAnsi="仿宋" w:eastAsia="仿宋" w:cs="仿宋"/>
          <w:kern w:val="0"/>
          <w:sz w:val="22"/>
          <w:szCs w:val="24"/>
        </w:rPr>
      </w:pPr>
      <w:r>
        <w:rPr>
          <w:rFonts w:hint="eastAsia" w:ascii="仿宋" w:hAnsi="仿宋" w:eastAsia="仿宋" w:cs="仿宋"/>
          <w:kern w:val="0"/>
          <w:sz w:val="22"/>
          <w:szCs w:val="24"/>
        </w:rPr>
        <w:t>备注：每个一级项目支出一张表。如：业务工作经费，运行维护经费，其他类资金...各一张表。</w:t>
      </w:r>
    </w:p>
    <w:p>
      <w:pPr>
        <w:widowControl/>
        <w:spacing w:line="320" w:lineRule="exact"/>
        <w:ind w:left="-63" w:leftChars="-20" w:right="-63" w:rightChars="-20"/>
        <w:rPr>
          <w:rFonts w:ascii="仿宋" w:hAnsi="仿宋" w:eastAsia="仿宋" w:cs="仿宋"/>
          <w:kern w:val="0"/>
          <w:sz w:val="22"/>
          <w:szCs w:val="24"/>
        </w:rPr>
      </w:pPr>
      <w:r>
        <w:rPr>
          <w:rFonts w:ascii="仿宋" w:hAnsi="仿宋" w:eastAsia="仿宋" w:cs="仿宋"/>
          <w:kern w:val="0"/>
          <w:sz w:val="22"/>
          <w:szCs w:val="24"/>
        </w:rPr>
        <w:t>填表人：</w:t>
      </w:r>
      <w:r>
        <w:rPr>
          <w:rFonts w:hint="eastAsia" w:ascii="仿宋" w:hAnsi="仿宋" w:eastAsia="仿宋" w:cs="仿宋"/>
          <w:kern w:val="0"/>
          <w:sz w:val="22"/>
          <w:szCs w:val="24"/>
        </w:rPr>
        <w:t>贺家悦</w:t>
      </w:r>
      <w:r>
        <w:rPr>
          <w:rFonts w:ascii="仿宋" w:hAnsi="仿宋" w:eastAsia="仿宋" w:cs="仿宋"/>
          <w:kern w:val="0"/>
          <w:sz w:val="22"/>
          <w:szCs w:val="24"/>
        </w:rPr>
        <w:t xml:space="preserve">  填报日期： 20</w:t>
      </w:r>
      <w:r>
        <w:rPr>
          <w:rFonts w:hint="eastAsia" w:ascii="仿宋" w:hAnsi="仿宋" w:eastAsia="仿宋" w:cs="仿宋"/>
          <w:kern w:val="0"/>
          <w:sz w:val="22"/>
          <w:szCs w:val="24"/>
        </w:rPr>
        <w:t>25</w:t>
      </w:r>
      <w:r>
        <w:rPr>
          <w:rFonts w:ascii="仿宋" w:hAnsi="仿宋" w:eastAsia="仿宋" w:cs="仿宋"/>
          <w:kern w:val="0"/>
          <w:sz w:val="22"/>
          <w:szCs w:val="24"/>
        </w:rPr>
        <w:t>年</w:t>
      </w:r>
      <w:r>
        <w:rPr>
          <w:rFonts w:hint="eastAsia" w:ascii="仿宋" w:hAnsi="仿宋" w:eastAsia="仿宋" w:cs="仿宋"/>
          <w:kern w:val="0"/>
          <w:sz w:val="22"/>
          <w:szCs w:val="24"/>
        </w:rPr>
        <w:t>4</w:t>
      </w:r>
      <w:r>
        <w:rPr>
          <w:rFonts w:ascii="仿宋" w:hAnsi="仿宋" w:eastAsia="仿宋" w:cs="仿宋"/>
          <w:kern w:val="0"/>
          <w:sz w:val="22"/>
          <w:szCs w:val="24"/>
        </w:rPr>
        <w:t>月2</w:t>
      </w:r>
      <w:r>
        <w:rPr>
          <w:rFonts w:hint="eastAsia" w:ascii="仿宋" w:hAnsi="仿宋" w:eastAsia="仿宋" w:cs="仿宋"/>
          <w:kern w:val="0"/>
          <w:sz w:val="22"/>
          <w:szCs w:val="24"/>
        </w:rPr>
        <w:t>1</w:t>
      </w:r>
      <w:r>
        <w:rPr>
          <w:rFonts w:ascii="仿宋" w:hAnsi="仿宋" w:eastAsia="仿宋" w:cs="仿宋"/>
          <w:kern w:val="0"/>
          <w:sz w:val="22"/>
          <w:szCs w:val="24"/>
        </w:rPr>
        <w:t>日  联系电话：4245709  单位负责人签字：</w:t>
      </w:r>
    </w:p>
    <w:p>
      <w:pPr>
        <w:pStyle w:val="2"/>
        <w:rPr>
          <w:rFonts w:hint="default"/>
        </w:rPr>
      </w:pPr>
      <w:r>
        <w:rPr>
          <w:rFonts w:hint="default"/>
        </w:rPr>
        <w:t>202</w:t>
      </w:r>
      <w:r>
        <w:t>4</w:t>
      </w:r>
      <w:r>
        <w:rPr>
          <w:rFonts w:hint="default"/>
        </w:rPr>
        <w:t>年度项目支出绩效自评表</w:t>
      </w:r>
    </w:p>
    <w:tbl>
      <w:tblPr>
        <w:tblStyle w:val="9"/>
        <w:tblW w:w="5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659"/>
        <w:gridCol w:w="557"/>
        <w:gridCol w:w="585"/>
        <w:gridCol w:w="1039"/>
        <w:gridCol w:w="881"/>
        <w:gridCol w:w="981"/>
        <w:gridCol w:w="700"/>
        <w:gridCol w:w="959"/>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5" w:type="pct"/>
            <w:gridSpan w:val="3"/>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项目支出名称</w:t>
            </w:r>
          </w:p>
        </w:tc>
        <w:tc>
          <w:tcPr>
            <w:tcW w:w="4054" w:type="pct"/>
            <w:gridSpan w:val="7"/>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运行维护经费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主管部门</w:t>
            </w:r>
          </w:p>
        </w:tc>
        <w:tc>
          <w:tcPr>
            <w:tcW w:w="1865" w:type="pct"/>
            <w:gridSpan w:val="5"/>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益阳市商务局</w:t>
            </w:r>
          </w:p>
        </w:tc>
        <w:tc>
          <w:tcPr>
            <w:tcW w:w="49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实施单位</w:t>
            </w:r>
          </w:p>
        </w:tc>
        <w:tc>
          <w:tcPr>
            <w:tcW w:w="2306" w:type="pct"/>
            <w:gridSpan w:val="3"/>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益阳市商务局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36" w:type="pct"/>
            <w:vMerge w:val="restar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项目资金</w:t>
            </w:r>
          </w:p>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（万元）</w:t>
            </w:r>
          </w:p>
        </w:tc>
        <w:tc>
          <w:tcPr>
            <w:tcW w:w="902" w:type="pct"/>
            <w:gridSpan w:val="3"/>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资金来源</w:t>
            </w:r>
          </w:p>
        </w:tc>
        <w:tc>
          <w:tcPr>
            <w:tcW w:w="52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年初预算数</w:t>
            </w:r>
          </w:p>
        </w:tc>
        <w:tc>
          <w:tcPr>
            <w:tcW w:w="44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全年预算数</w:t>
            </w:r>
          </w:p>
        </w:tc>
        <w:tc>
          <w:tcPr>
            <w:tcW w:w="49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全年</w:t>
            </w:r>
          </w:p>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执行数</w:t>
            </w:r>
          </w:p>
        </w:tc>
        <w:tc>
          <w:tcPr>
            <w:tcW w:w="35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分值</w:t>
            </w:r>
          </w:p>
        </w:tc>
        <w:tc>
          <w:tcPr>
            <w:tcW w:w="48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执行率</w:t>
            </w:r>
          </w:p>
        </w:tc>
        <w:tc>
          <w:tcPr>
            <w:tcW w:w="1473"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902" w:type="pct"/>
            <w:gridSpan w:val="3"/>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其中:当年财政拨款</w:t>
            </w:r>
          </w:p>
        </w:tc>
        <w:tc>
          <w:tcPr>
            <w:tcW w:w="52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350</w:t>
            </w:r>
          </w:p>
        </w:tc>
        <w:tc>
          <w:tcPr>
            <w:tcW w:w="44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350</w:t>
            </w:r>
          </w:p>
        </w:tc>
        <w:tc>
          <w:tcPr>
            <w:tcW w:w="49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350</w:t>
            </w:r>
          </w:p>
        </w:tc>
        <w:tc>
          <w:tcPr>
            <w:tcW w:w="35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1473"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902" w:type="pct"/>
            <w:gridSpan w:val="3"/>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上年结转金额</w:t>
            </w:r>
          </w:p>
        </w:tc>
        <w:tc>
          <w:tcPr>
            <w:tcW w:w="52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44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49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35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1473"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902" w:type="pct"/>
            <w:gridSpan w:val="3"/>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其它资金</w:t>
            </w:r>
          </w:p>
        </w:tc>
        <w:tc>
          <w:tcPr>
            <w:tcW w:w="52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44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49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35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1473" w:type="pct"/>
            <w:vAlign w:val="center"/>
          </w:tcPr>
          <w:p>
            <w:pPr>
              <w:widowControl/>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widowControl/>
              <w:spacing w:line="200" w:lineRule="exact"/>
              <w:ind w:left="-94" w:leftChars="-30" w:right="-94" w:rightChars="-30"/>
              <w:jc w:val="center"/>
              <w:rPr>
                <w:rFonts w:ascii="Times New Roman" w:hAnsi="Times New Roman" w:eastAsia="仿宋"/>
                <w:color w:val="000000"/>
                <w:kern w:val="0"/>
                <w:sz w:val="20"/>
              </w:rPr>
            </w:pPr>
          </w:p>
        </w:tc>
        <w:tc>
          <w:tcPr>
            <w:tcW w:w="902" w:type="pct"/>
            <w:gridSpan w:val="3"/>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年度资金总额</w:t>
            </w:r>
          </w:p>
        </w:tc>
        <w:tc>
          <w:tcPr>
            <w:tcW w:w="52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350</w:t>
            </w:r>
          </w:p>
        </w:tc>
        <w:tc>
          <w:tcPr>
            <w:tcW w:w="44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350</w:t>
            </w:r>
          </w:p>
        </w:tc>
        <w:tc>
          <w:tcPr>
            <w:tcW w:w="49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350</w:t>
            </w:r>
          </w:p>
        </w:tc>
        <w:tc>
          <w:tcPr>
            <w:tcW w:w="35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10</w:t>
            </w:r>
          </w:p>
        </w:tc>
        <w:tc>
          <w:tcPr>
            <w:tcW w:w="48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100.00%</w:t>
            </w:r>
          </w:p>
        </w:tc>
        <w:tc>
          <w:tcPr>
            <w:tcW w:w="1473"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restar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年度总体目标</w:t>
            </w:r>
          </w:p>
        </w:tc>
        <w:tc>
          <w:tcPr>
            <w:tcW w:w="1865" w:type="pct"/>
            <w:gridSpan w:val="5"/>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预期目标</w:t>
            </w:r>
          </w:p>
        </w:tc>
        <w:tc>
          <w:tcPr>
            <w:tcW w:w="2797" w:type="pct"/>
            <w:gridSpan w:val="4"/>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widowControl/>
              <w:spacing w:line="200" w:lineRule="exact"/>
              <w:ind w:left="-94" w:leftChars="-30" w:right="-94" w:rightChars="-30"/>
              <w:jc w:val="left"/>
              <w:rPr>
                <w:rFonts w:ascii="Times New Roman" w:hAnsi="Times New Roman" w:eastAsia="仿宋"/>
                <w:color w:val="000000"/>
                <w:kern w:val="0"/>
                <w:sz w:val="20"/>
              </w:rPr>
            </w:pPr>
          </w:p>
        </w:tc>
        <w:tc>
          <w:tcPr>
            <w:tcW w:w="1865" w:type="pct"/>
            <w:gridSpan w:val="5"/>
            <w:vAlign w:val="center"/>
          </w:tcPr>
          <w:p>
            <w:pPr>
              <w:widowControl/>
              <w:spacing w:line="200" w:lineRule="exact"/>
              <w:ind w:left="-94" w:leftChars="-30" w:right="-94" w:rightChars="-30"/>
              <w:jc w:val="left"/>
              <w:rPr>
                <w:rFonts w:ascii="Times New Roman" w:hAnsi="Times New Roman" w:eastAsia="仿宋"/>
                <w:color w:val="000000"/>
                <w:kern w:val="0"/>
                <w:sz w:val="20"/>
              </w:rPr>
            </w:pPr>
            <w:r>
              <w:rPr>
                <w:rFonts w:ascii="Times New Roman" w:hAnsi="Times New Roman" w:eastAsia="仿宋"/>
                <w:color w:val="000000"/>
                <w:kern w:val="0"/>
                <w:sz w:val="20"/>
              </w:rPr>
              <w:t>有效促进益阳外向型经济发展，打击走私，提升外贸服务便利化水平。</w:t>
            </w:r>
          </w:p>
        </w:tc>
        <w:tc>
          <w:tcPr>
            <w:tcW w:w="2797" w:type="pct"/>
            <w:gridSpan w:val="4"/>
            <w:vAlign w:val="center"/>
          </w:tcPr>
          <w:p>
            <w:pPr>
              <w:widowControl/>
              <w:spacing w:line="200" w:lineRule="exact"/>
              <w:ind w:left="-94" w:leftChars="-30" w:right="-94" w:rightChars="-30"/>
              <w:jc w:val="left"/>
              <w:rPr>
                <w:rFonts w:ascii="Times New Roman" w:hAnsi="Times New Roman" w:eastAsia="仿宋"/>
                <w:color w:val="000000"/>
                <w:kern w:val="0"/>
                <w:sz w:val="20"/>
              </w:rPr>
            </w:pPr>
            <w:r>
              <w:rPr>
                <w:rFonts w:ascii="Times New Roman" w:hAnsi="Times New Roman" w:eastAsia="仿宋"/>
                <w:color w:val="000000"/>
                <w:kern w:val="0"/>
                <w:sz w:val="20"/>
              </w:rPr>
              <w:t>有效促进益阳外向型经济发展，有效打击毒品、武器、普通货物、固体废物等走私，提高执法执勤工作保障及时率，进一步提升益阳地区进出口企业满意度。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restar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绩</w:t>
            </w:r>
          </w:p>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效</w:t>
            </w:r>
          </w:p>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指</w:t>
            </w:r>
          </w:p>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标</w:t>
            </w:r>
          </w:p>
        </w:tc>
        <w:tc>
          <w:tcPr>
            <w:tcW w:w="330"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一级指标</w:t>
            </w:r>
          </w:p>
        </w:tc>
        <w:tc>
          <w:tcPr>
            <w:tcW w:w="571" w:type="pct"/>
            <w:gridSpan w:val="2"/>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二级指标</w:t>
            </w:r>
          </w:p>
        </w:tc>
        <w:tc>
          <w:tcPr>
            <w:tcW w:w="52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三级指标</w:t>
            </w:r>
          </w:p>
        </w:tc>
        <w:tc>
          <w:tcPr>
            <w:tcW w:w="44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年度</w:t>
            </w:r>
          </w:p>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指标值</w:t>
            </w:r>
          </w:p>
        </w:tc>
        <w:tc>
          <w:tcPr>
            <w:tcW w:w="49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实际</w:t>
            </w:r>
          </w:p>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完成值</w:t>
            </w:r>
          </w:p>
        </w:tc>
        <w:tc>
          <w:tcPr>
            <w:tcW w:w="35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分值</w:t>
            </w:r>
          </w:p>
        </w:tc>
        <w:tc>
          <w:tcPr>
            <w:tcW w:w="48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自评得分</w:t>
            </w:r>
          </w:p>
        </w:tc>
        <w:tc>
          <w:tcPr>
            <w:tcW w:w="1473"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restar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产出指标</w:t>
            </w: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数量指标</w:t>
            </w:r>
          </w:p>
        </w:tc>
        <w:tc>
          <w:tcPr>
            <w:tcW w:w="521" w:type="pct"/>
            <w:vAlign w:val="center"/>
          </w:tcPr>
          <w:p>
            <w:pPr>
              <w:widowControl/>
              <w:spacing w:line="200" w:lineRule="exact"/>
              <w:ind w:left="-94" w:leftChars="-30" w:right="-94" w:rightChars="-30"/>
              <w:jc w:val="left"/>
              <w:textAlignment w:val="center"/>
              <w:rPr>
                <w:rFonts w:ascii="Times New Roman" w:hAnsi="Times New Roman" w:eastAsia="仿宋"/>
                <w:color w:val="000000"/>
                <w:kern w:val="0"/>
                <w:sz w:val="20"/>
              </w:rPr>
            </w:pPr>
            <w:r>
              <w:rPr>
                <w:rFonts w:ascii="Times New Roman" w:hAnsi="Times New Roman" w:eastAsia="仿宋"/>
                <w:color w:val="000000"/>
                <w:kern w:val="0"/>
                <w:sz w:val="20"/>
              </w:rPr>
              <w:t>服务重点企业数量</w:t>
            </w: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5家</w:t>
            </w: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8家</w:t>
            </w: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20</w:t>
            </w: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20.00</w:t>
            </w: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continue"/>
            <w:vAlign w:val="center"/>
          </w:tcPr>
          <w:p>
            <w:pPr>
              <w:spacing w:line="200" w:lineRule="exact"/>
              <w:ind w:left="-94" w:leftChars="-30" w:right="-94" w:rightChars="-30"/>
              <w:jc w:val="center"/>
              <w:rPr>
                <w:rFonts w:ascii="Times New Roman" w:hAnsi="Times New Roman" w:eastAsia="仿宋"/>
                <w:color w:val="000000"/>
                <w:kern w:val="0"/>
                <w:sz w:val="20"/>
              </w:rPr>
            </w:pP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质量指标</w:t>
            </w:r>
          </w:p>
        </w:tc>
        <w:tc>
          <w:tcPr>
            <w:tcW w:w="521" w:type="pct"/>
            <w:vAlign w:val="center"/>
          </w:tcPr>
          <w:p>
            <w:pPr>
              <w:widowControl/>
              <w:spacing w:line="200" w:lineRule="exact"/>
              <w:ind w:left="-94" w:leftChars="-30" w:right="-94" w:rightChars="-30"/>
              <w:jc w:val="left"/>
              <w:textAlignment w:val="center"/>
              <w:rPr>
                <w:rFonts w:ascii="Times New Roman" w:hAnsi="Times New Roman" w:eastAsia="仿宋"/>
                <w:color w:val="000000"/>
                <w:kern w:val="0"/>
                <w:sz w:val="20"/>
              </w:rPr>
            </w:pP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continue"/>
            <w:vAlign w:val="center"/>
          </w:tcPr>
          <w:p>
            <w:pPr>
              <w:spacing w:line="200" w:lineRule="exact"/>
              <w:ind w:left="-94" w:leftChars="-30" w:right="-94" w:rightChars="-30"/>
              <w:jc w:val="center"/>
              <w:rPr>
                <w:rFonts w:ascii="Times New Roman" w:hAnsi="Times New Roman" w:eastAsia="仿宋"/>
                <w:color w:val="000000"/>
                <w:kern w:val="0"/>
                <w:sz w:val="20"/>
              </w:rPr>
            </w:pP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时效指标</w:t>
            </w:r>
          </w:p>
        </w:tc>
        <w:tc>
          <w:tcPr>
            <w:tcW w:w="521" w:type="pct"/>
            <w:vAlign w:val="center"/>
          </w:tcPr>
          <w:p>
            <w:pPr>
              <w:widowControl/>
              <w:spacing w:line="200" w:lineRule="exact"/>
              <w:ind w:left="-94" w:leftChars="-30" w:right="-94" w:rightChars="-30"/>
              <w:jc w:val="left"/>
              <w:textAlignment w:val="center"/>
              <w:rPr>
                <w:rFonts w:ascii="Times New Roman" w:hAnsi="Times New Roman" w:eastAsia="仿宋"/>
                <w:color w:val="000000"/>
                <w:kern w:val="0"/>
                <w:sz w:val="20"/>
              </w:rPr>
            </w:pPr>
            <w:r>
              <w:rPr>
                <w:rFonts w:ascii="Times New Roman" w:hAnsi="Times New Roman" w:eastAsia="仿宋"/>
                <w:color w:val="000000"/>
                <w:kern w:val="0"/>
                <w:sz w:val="20"/>
              </w:rPr>
              <w:t>对执法执勤工作保障及时率</w:t>
            </w: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85%</w:t>
            </w: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20</w:t>
            </w: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20.00</w:t>
            </w: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restar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效益指标</w:t>
            </w: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经济效益指标</w:t>
            </w:r>
          </w:p>
        </w:tc>
        <w:tc>
          <w:tcPr>
            <w:tcW w:w="521" w:type="pct"/>
            <w:vAlign w:val="center"/>
          </w:tcPr>
          <w:p>
            <w:pPr>
              <w:widowControl/>
              <w:spacing w:line="200" w:lineRule="exact"/>
              <w:ind w:left="-94" w:leftChars="-30" w:right="-94" w:rightChars="-30"/>
              <w:jc w:val="left"/>
              <w:textAlignment w:val="center"/>
              <w:rPr>
                <w:rFonts w:ascii="Times New Roman" w:hAnsi="Times New Roman" w:eastAsia="仿宋"/>
                <w:color w:val="000000"/>
                <w:kern w:val="0"/>
                <w:sz w:val="20"/>
              </w:rPr>
            </w:pPr>
            <w:r>
              <w:rPr>
                <w:rFonts w:ascii="Times New Roman" w:hAnsi="Times New Roman" w:eastAsia="仿宋"/>
                <w:color w:val="000000"/>
                <w:kern w:val="0"/>
                <w:sz w:val="20"/>
              </w:rPr>
              <w:t>税收收入</w:t>
            </w: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2000万元</w:t>
            </w: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880.5万元</w:t>
            </w: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w:t>
            </w: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4.40</w:t>
            </w:r>
          </w:p>
        </w:tc>
        <w:tc>
          <w:tcPr>
            <w:tcW w:w="1473" w:type="pct"/>
            <w:vAlign w:val="center"/>
          </w:tcPr>
          <w:p>
            <w:pPr>
              <w:spacing w:line="200" w:lineRule="exact"/>
              <w:ind w:left="-94" w:leftChars="-30" w:right="-94" w:rightChars="-30"/>
              <w:rPr>
                <w:rFonts w:ascii="Times New Roman" w:hAnsi="Times New Roman" w:eastAsia="仿宋"/>
                <w:color w:val="000000"/>
                <w:kern w:val="0"/>
                <w:sz w:val="20"/>
              </w:rPr>
            </w:pPr>
            <w:r>
              <w:rPr>
                <w:rFonts w:ascii="Times New Roman" w:hAnsi="Times New Roman" w:eastAsia="仿宋"/>
                <w:color w:val="000000"/>
                <w:spacing w:val="-6"/>
                <w:kern w:val="0"/>
                <w:sz w:val="20"/>
              </w:rPr>
              <w:t>偏差原因分析：企业在属地申报的意愿度较低。经向企业调研了解，异地纳税的原因主要为以下四点：一是空运货物由运输公司向其目的地海关申报，无法在益阳申报；二是自口岸转关的水运整箱货物只能在转关目的地申报，益阳市暂无口岸，无法向益阳海关申报；三是肉类、水产品等需在指定口岸进境的商品，企业往往根据客户要求和申报方便程度，选择在进境地所在海关申报；四是根据客户签订的合同或货代要求，选择在口岸申报。改进措施：一是严格依法征管，二是加强属地纳税引导，三是强化对企业服务；四是结合辖区实际情况，进一步科学合理设置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continue"/>
            <w:vAlign w:val="center"/>
          </w:tcPr>
          <w:p>
            <w:pPr>
              <w:spacing w:line="200" w:lineRule="exact"/>
              <w:ind w:left="-94" w:leftChars="-30" w:right="-94" w:rightChars="-30"/>
              <w:jc w:val="center"/>
              <w:rPr>
                <w:rFonts w:ascii="Times New Roman" w:hAnsi="Times New Roman" w:eastAsia="仿宋"/>
                <w:color w:val="000000"/>
                <w:kern w:val="0"/>
                <w:sz w:val="20"/>
              </w:rPr>
            </w:pP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社会效益指标</w:t>
            </w:r>
          </w:p>
        </w:tc>
        <w:tc>
          <w:tcPr>
            <w:tcW w:w="521" w:type="pct"/>
            <w:vAlign w:val="center"/>
          </w:tcPr>
          <w:p>
            <w:pPr>
              <w:spacing w:line="200" w:lineRule="exact"/>
              <w:ind w:left="-94" w:leftChars="-30" w:right="-94" w:rightChars="-30"/>
              <w:rPr>
                <w:rFonts w:ascii="Times New Roman" w:hAnsi="Times New Roman" w:eastAsia="仿宋"/>
                <w:color w:val="000000"/>
                <w:kern w:val="0"/>
                <w:sz w:val="20"/>
              </w:rPr>
            </w:pPr>
            <w:r>
              <w:rPr>
                <w:rFonts w:ascii="Times New Roman" w:hAnsi="Times New Roman" w:eastAsia="仿宋"/>
                <w:color w:val="000000"/>
                <w:kern w:val="0"/>
                <w:sz w:val="20"/>
              </w:rPr>
              <w:t>打击毒品、武器、普通货物、固体废物等走私效果</w:t>
            </w: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有效</w:t>
            </w: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有效</w:t>
            </w: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w:t>
            </w: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10.00</w:t>
            </w: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continue"/>
            <w:vAlign w:val="center"/>
          </w:tcPr>
          <w:p>
            <w:pPr>
              <w:spacing w:line="200" w:lineRule="exact"/>
              <w:ind w:left="-94" w:leftChars="-30" w:right="-94" w:rightChars="-30"/>
              <w:jc w:val="center"/>
              <w:rPr>
                <w:rFonts w:ascii="Times New Roman" w:hAnsi="Times New Roman" w:eastAsia="仿宋"/>
                <w:color w:val="000000"/>
                <w:kern w:val="0"/>
                <w:sz w:val="20"/>
              </w:rPr>
            </w:pP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生态效益指标</w:t>
            </w:r>
          </w:p>
        </w:tc>
        <w:tc>
          <w:tcPr>
            <w:tcW w:w="521" w:type="pct"/>
            <w:vAlign w:val="center"/>
          </w:tcPr>
          <w:p>
            <w:pPr>
              <w:spacing w:line="200" w:lineRule="exact"/>
              <w:ind w:left="-94" w:leftChars="-30" w:right="-94" w:rightChars="-30"/>
              <w:rPr>
                <w:rFonts w:ascii="Times New Roman" w:hAnsi="Times New Roman" w:eastAsia="仿宋"/>
                <w:color w:val="000000"/>
                <w:kern w:val="0"/>
                <w:sz w:val="20"/>
              </w:rPr>
            </w:pP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continue"/>
            <w:vAlign w:val="center"/>
          </w:tcPr>
          <w:p>
            <w:pPr>
              <w:spacing w:line="200" w:lineRule="exact"/>
              <w:ind w:left="-94" w:leftChars="-30" w:right="-94" w:rightChars="-30"/>
              <w:jc w:val="center"/>
              <w:rPr>
                <w:rFonts w:ascii="Times New Roman" w:hAnsi="Times New Roman" w:eastAsia="仿宋"/>
                <w:color w:val="000000"/>
                <w:kern w:val="0"/>
                <w:sz w:val="20"/>
              </w:rPr>
            </w:pP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可持续影响指标</w:t>
            </w:r>
          </w:p>
        </w:tc>
        <w:tc>
          <w:tcPr>
            <w:tcW w:w="521" w:type="pct"/>
            <w:vAlign w:val="center"/>
          </w:tcPr>
          <w:p>
            <w:pPr>
              <w:spacing w:line="200" w:lineRule="exact"/>
              <w:ind w:left="-94" w:leftChars="-30" w:right="-94" w:rightChars="-30"/>
              <w:rPr>
                <w:rFonts w:ascii="Times New Roman" w:hAnsi="Times New Roman" w:eastAsia="仿宋"/>
                <w:color w:val="000000"/>
                <w:kern w:val="0"/>
                <w:sz w:val="20"/>
              </w:rPr>
            </w:pP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满意度指标</w:t>
            </w: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服务对象满意度指标</w:t>
            </w:r>
          </w:p>
        </w:tc>
        <w:tc>
          <w:tcPr>
            <w:tcW w:w="521" w:type="pct"/>
            <w:vAlign w:val="center"/>
          </w:tcPr>
          <w:p>
            <w:pPr>
              <w:widowControl/>
              <w:spacing w:line="200" w:lineRule="exact"/>
              <w:ind w:left="-94" w:leftChars="-30" w:right="-94" w:rightChars="-30"/>
              <w:jc w:val="left"/>
              <w:textAlignment w:val="center"/>
              <w:rPr>
                <w:rFonts w:ascii="Times New Roman" w:hAnsi="Times New Roman" w:eastAsia="仿宋"/>
                <w:color w:val="000000"/>
                <w:kern w:val="0"/>
                <w:sz w:val="20"/>
              </w:rPr>
            </w:pPr>
            <w:r>
              <w:rPr>
                <w:rFonts w:ascii="Times New Roman" w:hAnsi="Times New Roman" w:eastAsia="仿宋"/>
                <w:color w:val="000000"/>
                <w:kern w:val="0"/>
                <w:sz w:val="20"/>
              </w:rPr>
              <w:t>进出口企业满意度</w:t>
            </w: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90%</w:t>
            </w: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w:t>
            </w: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10.00</w:t>
            </w: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restar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成本指标</w:t>
            </w: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经济成本指标</w:t>
            </w:r>
          </w:p>
        </w:tc>
        <w:tc>
          <w:tcPr>
            <w:tcW w:w="521" w:type="pct"/>
            <w:vAlign w:val="center"/>
          </w:tcPr>
          <w:p>
            <w:pPr>
              <w:widowControl/>
              <w:spacing w:line="200" w:lineRule="exact"/>
              <w:ind w:left="-94" w:leftChars="-30" w:right="-94" w:rightChars="-30"/>
              <w:jc w:val="left"/>
              <w:textAlignment w:val="center"/>
              <w:rPr>
                <w:rFonts w:ascii="Times New Roman" w:hAnsi="Times New Roman" w:eastAsia="仿宋"/>
                <w:color w:val="000000"/>
                <w:kern w:val="0"/>
                <w:sz w:val="20"/>
              </w:rPr>
            </w:pPr>
            <w:r>
              <w:rPr>
                <w:rFonts w:ascii="Times New Roman" w:hAnsi="Times New Roman" w:eastAsia="仿宋"/>
                <w:color w:val="000000"/>
                <w:kern w:val="0"/>
                <w:sz w:val="20"/>
              </w:rPr>
              <w:t>海关运行维护经费</w:t>
            </w: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350万元</w:t>
            </w: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350万元</w:t>
            </w: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20</w:t>
            </w: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20.00</w:t>
            </w: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continue"/>
            <w:vAlign w:val="center"/>
          </w:tcPr>
          <w:p>
            <w:pPr>
              <w:spacing w:line="200" w:lineRule="exact"/>
              <w:ind w:left="-94" w:leftChars="-30" w:right="-94" w:rightChars="-30"/>
              <w:jc w:val="center"/>
              <w:rPr>
                <w:rFonts w:ascii="Times New Roman" w:hAnsi="Times New Roman" w:eastAsia="仿宋"/>
                <w:color w:val="000000"/>
                <w:kern w:val="0"/>
                <w:sz w:val="20"/>
              </w:rPr>
            </w:pP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社会成本指标</w:t>
            </w:r>
          </w:p>
        </w:tc>
        <w:tc>
          <w:tcPr>
            <w:tcW w:w="521" w:type="pct"/>
            <w:vAlign w:val="center"/>
          </w:tcPr>
          <w:p>
            <w:pPr>
              <w:spacing w:line="200" w:lineRule="exact"/>
              <w:ind w:left="-94" w:leftChars="-30" w:right="-94" w:rightChars="-30"/>
              <w:rPr>
                <w:rFonts w:ascii="Times New Roman" w:hAnsi="Times New Roman" w:eastAsia="仿宋"/>
                <w:color w:val="000000"/>
                <w:kern w:val="0"/>
                <w:sz w:val="20"/>
              </w:rPr>
            </w:pP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6" w:type="pct"/>
            <w:vMerge w:val="continue"/>
            <w:vAlign w:val="center"/>
          </w:tcPr>
          <w:p>
            <w:pPr>
              <w:spacing w:line="200" w:lineRule="exact"/>
              <w:ind w:left="-94" w:leftChars="-30" w:right="-94" w:rightChars="-30"/>
              <w:jc w:val="left"/>
              <w:rPr>
                <w:rFonts w:ascii="Times New Roman" w:hAnsi="Times New Roman" w:eastAsia="仿宋"/>
                <w:color w:val="000000"/>
                <w:kern w:val="0"/>
                <w:sz w:val="20"/>
              </w:rPr>
            </w:pPr>
          </w:p>
        </w:tc>
        <w:tc>
          <w:tcPr>
            <w:tcW w:w="330" w:type="pct"/>
            <w:vMerge w:val="continue"/>
            <w:vAlign w:val="center"/>
          </w:tcPr>
          <w:p>
            <w:pPr>
              <w:spacing w:line="200" w:lineRule="exact"/>
              <w:ind w:left="-94" w:leftChars="-30" w:right="-94" w:rightChars="-30"/>
              <w:jc w:val="center"/>
              <w:rPr>
                <w:rFonts w:ascii="Times New Roman" w:hAnsi="Times New Roman" w:eastAsia="仿宋"/>
                <w:color w:val="000000"/>
                <w:kern w:val="0"/>
                <w:sz w:val="20"/>
              </w:rPr>
            </w:pPr>
          </w:p>
        </w:tc>
        <w:tc>
          <w:tcPr>
            <w:tcW w:w="571" w:type="pct"/>
            <w:gridSpan w:val="2"/>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生态环境成本指标</w:t>
            </w:r>
          </w:p>
        </w:tc>
        <w:tc>
          <w:tcPr>
            <w:tcW w:w="521" w:type="pct"/>
            <w:vAlign w:val="center"/>
          </w:tcPr>
          <w:p>
            <w:pPr>
              <w:spacing w:line="200" w:lineRule="exact"/>
              <w:ind w:left="-94" w:leftChars="-30" w:right="-94" w:rightChars="-30"/>
              <w:rPr>
                <w:rFonts w:ascii="Times New Roman" w:hAnsi="Times New Roman" w:eastAsia="仿宋"/>
                <w:color w:val="000000"/>
                <w:kern w:val="0"/>
                <w:sz w:val="20"/>
              </w:rPr>
            </w:pPr>
          </w:p>
        </w:tc>
        <w:tc>
          <w:tcPr>
            <w:tcW w:w="44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9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35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481" w:type="pct"/>
            <w:vAlign w:val="center"/>
          </w:tcPr>
          <w:p>
            <w:pPr>
              <w:widowControl/>
              <w:spacing w:line="200" w:lineRule="exact"/>
              <w:ind w:left="-94" w:leftChars="-30" w:right="-94" w:rightChars="-30"/>
              <w:jc w:val="center"/>
              <w:textAlignment w:val="center"/>
              <w:rPr>
                <w:rFonts w:ascii="Times New Roman" w:hAnsi="Times New Roman" w:eastAsia="仿宋"/>
                <w:color w:val="000000"/>
                <w:kern w:val="0"/>
                <w:sz w:val="20"/>
              </w:rPr>
            </w:pPr>
          </w:p>
        </w:tc>
        <w:tc>
          <w:tcPr>
            <w:tcW w:w="1473" w:type="pct"/>
            <w:vAlign w:val="center"/>
          </w:tcPr>
          <w:p>
            <w:pPr>
              <w:spacing w:line="200" w:lineRule="exact"/>
              <w:ind w:left="-94" w:leftChars="-30" w:right="-94" w:rightChars="-3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93" w:type="pct"/>
            <w:gridSpan w:val="7"/>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总分</w:t>
            </w:r>
          </w:p>
        </w:tc>
        <w:tc>
          <w:tcPr>
            <w:tcW w:w="35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481" w:type="pct"/>
            <w:vAlign w:val="center"/>
          </w:tcPr>
          <w:p>
            <w:pPr>
              <w:widowControl/>
              <w:spacing w:line="200" w:lineRule="exact"/>
              <w:ind w:left="-94" w:leftChars="-30" w:right="-94" w:rightChars="-30"/>
              <w:jc w:val="center"/>
              <w:rPr>
                <w:rFonts w:ascii="Times New Roman" w:hAnsi="Times New Roman" w:eastAsia="仿宋"/>
                <w:color w:val="000000"/>
                <w:kern w:val="0"/>
                <w:sz w:val="20"/>
              </w:rPr>
            </w:pPr>
            <w:r>
              <w:rPr>
                <w:rFonts w:ascii="Times New Roman" w:hAnsi="Times New Roman" w:eastAsia="仿宋"/>
                <w:color w:val="000000"/>
                <w:kern w:val="0"/>
                <w:sz w:val="20"/>
              </w:rPr>
              <w:t>94.40</w:t>
            </w:r>
          </w:p>
        </w:tc>
        <w:tc>
          <w:tcPr>
            <w:tcW w:w="1473" w:type="pct"/>
            <w:vAlign w:val="center"/>
          </w:tcPr>
          <w:p>
            <w:pPr>
              <w:widowControl/>
              <w:spacing w:line="200" w:lineRule="exact"/>
              <w:ind w:left="-94" w:leftChars="-30" w:right="-94" w:rightChars="-30"/>
              <w:jc w:val="left"/>
              <w:rPr>
                <w:rFonts w:ascii="Times New Roman" w:hAnsi="Times New Roman" w:eastAsia="仿宋"/>
                <w:color w:val="000000"/>
                <w:kern w:val="0"/>
                <w:sz w:val="20"/>
              </w:rPr>
            </w:pPr>
          </w:p>
        </w:tc>
      </w:tr>
    </w:tbl>
    <w:p>
      <w:pPr>
        <w:widowControl/>
        <w:spacing w:line="320" w:lineRule="exact"/>
        <w:ind w:left="-63" w:leftChars="-20" w:right="-63" w:rightChars="-20"/>
        <w:rPr>
          <w:rFonts w:ascii="仿宋" w:hAnsi="仿宋" w:eastAsia="仿宋" w:cs="仿宋"/>
          <w:kern w:val="0"/>
          <w:sz w:val="22"/>
          <w:szCs w:val="24"/>
        </w:rPr>
      </w:pPr>
      <w:r>
        <w:rPr>
          <w:rFonts w:hint="eastAsia" w:ascii="仿宋" w:hAnsi="仿宋" w:eastAsia="仿宋" w:cs="仿宋"/>
          <w:kern w:val="0"/>
          <w:sz w:val="22"/>
          <w:szCs w:val="24"/>
        </w:rPr>
        <w:t>备注：每个一级项目支出一张表。如：业务工作经费，运行维护经费，其他类资金...各一张表。</w:t>
      </w:r>
    </w:p>
    <w:p>
      <w:pPr>
        <w:widowControl/>
        <w:spacing w:line="320" w:lineRule="exact"/>
        <w:ind w:left="-63" w:leftChars="-20" w:right="-63" w:rightChars="-20"/>
        <w:rPr>
          <w:rFonts w:ascii="仿宋" w:hAnsi="仿宋" w:eastAsia="仿宋" w:cs="仿宋"/>
          <w:kern w:val="0"/>
          <w:sz w:val="22"/>
          <w:szCs w:val="24"/>
        </w:rPr>
      </w:pPr>
      <w:r>
        <w:rPr>
          <w:rFonts w:ascii="仿宋" w:hAnsi="仿宋" w:eastAsia="仿宋" w:cs="仿宋"/>
          <w:kern w:val="0"/>
          <w:sz w:val="22"/>
          <w:szCs w:val="24"/>
        </w:rPr>
        <w:t>填表人：</w:t>
      </w:r>
      <w:r>
        <w:rPr>
          <w:rFonts w:hint="eastAsia" w:ascii="仿宋" w:hAnsi="仿宋" w:eastAsia="仿宋" w:cs="仿宋"/>
          <w:kern w:val="0"/>
          <w:sz w:val="22"/>
          <w:szCs w:val="24"/>
        </w:rPr>
        <w:t>贺家悦</w:t>
      </w:r>
      <w:r>
        <w:rPr>
          <w:rFonts w:ascii="仿宋" w:hAnsi="仿宋" w:eastAsia="仿宋" w:cs="仿宋"/>
          <w:kern w:val="0"/>
          <w:sz w:val="22"/>
          <w:szCs w:val="24"/>
        </w:rPr>
        <w:t xml:space="preserve">  </w:t>
      </w:r>
      <w:r>
        <w:rPr>
          <w:rFonts w:hint="eastAsia" w:ascii="仿宋" w:hAnsi="仿宋" w:eastAsia="仿宋" w:cs="仿宋"/>
          <w:kern w:val="0"/>
          <w:sz w:val="22"/>
          <w:szCs w:val="24"/>
        </w:rPr>
        <w:t xml:space="preserve"> </w:t>
      </w:r>
      <w:r>
        <w:rPr>
          <w:rFonts w:ascii="仿宋" w:hAnsi="仿宋" w:eastAsia="仿宋" w:cs="仿宋"/>
          <w:kern w:val="0"/>
          <w:sz w:val="22"/>
          <w:szCs w:val="24"/>
        </w:rPr>
        <w:t>填报日期：20</w:t>
      </w:r>
      <w:r>
        <w:rPr>
          <w:rFonts w:hint="eastAsia" w:ascii="仿宋" w:hAnsi="仿宋" w:eastAsia="仿宋" w:cs="仿宋"/>
          <w:kern w:val="0"/>
          <w:sz w:val="22"/>
          <w:szCs w:val="24"/>
        </w:rPr>
        <w:t>25</w:t>
      </w:r>
      <w:r>
        <w:rPr>
          <w:rFonts w:ascii="仿宋" w:hAnsi="仿宋" w:eastAsia="仿宋" w:cs="仿宋"/>
          <w:kern w:val="0"/>
          <w:sz w:val="22"/>
          <w:szCs w:val="24"/>
        </w:rPr>
        <w:t>年</w:t>
      </w:r>
      <w:r>
        <w:rPr>
          <w:rFonts w:hint="eastAsia" w:ascii="仿宋" w:hAnsi="仿宋" w:eastAsia="仿宋" w:cs="仿宋"/>
          <w:kern w:val="0"/>
          <w:sz w:val="22"/>
          <w:szCs w:val="24"/>
        </w:rPr>
        <w:t>4</w:t>
      </w:r>
      <w:r>
        <w:rPr>
          <w:rFonts w:ascii="仿宋" w:hAnsi="仿宋" w:eastAsia="仿宋" w:cs="仿宋"/>
          <w:kern w:val="0"/>
          <w:sz w:val="22"/>
          <w:szCs w:val="24"/>
        </w:rPr>
        <w:t>月2</w:t>
      </w:r>
      <w:r>
        <w:rPr>
          <w:rFonts w:hint="eastAsia" w:ascii="仿宋" w:hAnsi="仿宋" w:eastAsia="仿宋" w:cs="仿宋"/>
          <w:kern w:val="0"/>
          <w:sz w:val="22"/>
          <w:szCs w:val="24"/>
        </w:rPr>
        <w:t>1</w:t>
      </w:r>
      <w:r>
        <w:rPr>
          <w:rFonts w:ascii="仿宋" w:hAnsi="仿宋" w:eastAsia="仿宋" w:cs="仿宋"/>
          <w:kern w:val="0"/>
          <w:sz w:val="22"/>
          <w:szCs w:val="24"/>
        </w:rPr>
        <w:t>日  联系电话：4245709  单位负责人签字：</w:t>
      </w:r>
    </w:p>
    <w:p>
      <w:pPr>
        <w:pStyle w:val="2"/>
        <w:rPr>
          <w:rFonts w:hint="default"/>
        </w:rPr>
      </w:pPr>
      <w:r>
        <w:rPr>
          <w:rFonts w:hint="default"/>
        </w:rPr>
        <w:t>202</w:t>
      </w:r>
      <w:r>
        <w:t>4</w:t>
      </w:r>
      <w:r>
        <w:rPr>
          <w:rFonts w:hint="default"/>
        </w:rPr>
        <w:t>年度项目支出绩效自评表</w:t>
      </w:r>
    </w:p>
    <w:tbl>
      <w:tblPr>
        <w:tblStyle w:val="9"/>
        <w:tblW w:w="50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836"/>
        <w:gridCol w:w="405"/>
        <w:gridCol w:w="1142"/>
        <w:gridCol w:w="1243"/>
        <w:gridCol w:w="1089"/>
        <w:gridCol w:w="1052"/>
        <w:gridCol w:w="688"/>
        <w:gridCol w:w="826"/>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8"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项目支出名称</w:t>
            </w:r>
          </w:p>
        </w:tc>
        <w:tc>
          <w:tcPr>
            <w:tcW w:w="3972" w:type="pct"/>
            <w:gridSpan w:val="7"/>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hint="eastAsia" w:ascii="Times New Roman" w:hAnsi="Times New Roman" w:eastAsia="仿宋"/>
                <w:color w:val="000000"/>
                <w:kern w:val="0"/>
                <w:sz w:val="20"/>
              </w:rPr>
              <w:t>消费品以旧换新资金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主管部门</w:t>
            </w:r>
          </w:p>
        </w:tc>
        <w:tc>
          <w:tcPr>
            <w:tcW w:w="2575" w:type="pct"/>
            <w:gridSpan w:val="5"/>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益阳市商务局</w:t>
            </w:r>
          </w:p>
        </w:tc>
        <w:tc>
          <w:tcPr>
            <w:tcW w:w="57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实施单位</w:t>
            </w:r>
          </w:p>
        </w:tc>
        <w:tc>
          <w:tcPr>
            <w:tcW w:w="1500"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益阳市商务局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项目资金</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（万元）</w:t>
            </w:r>
          </w:p>
        </w:tc>
        <w:tc>
          <w:tcPr>
            <w:tcW w:w="1301"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资金来源</w:t>
            </w:r>
          </w:p>
        </w:tc>
        <w:tc>
          <w:tcPr>
            <w:tcW w:w="679"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年初预算数</w:t>
            </w:r>
          </w:p>
        </w:tc>
        <w:tc>
          <w:tcPr>
            <w:tcW w:w="59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全年预算数</w:t>
            </w:r>
          </w:p>
        </w:tc>
        <w:tc>
          <w:tcPr>
            <w:tcW w:w="57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全年</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执行数</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分值</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执行率</w:t>
            </w:r>
          </w:p>
        </w:tc>
        <w:tc>
          <w:tcPr>
            <w:tcW w:w="673"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1"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其中:当年财政拨款</w:t>
            </w:r>
          </w:p>
        </w:tc>
        <w:tc>
          <w:tcPr>
            <w:tcW w:w="679"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hint="eastAsia" w:ascii="Times New Roman" w:hAnsi="Times New Roman" w:eastAsia="仿宋"/>
                <w:color w:val="000000"/>
                <w:kern w:val="0"/>
                <w:sz w:val="20"/>
              </w:rPr>
              <w:t>0</w:t>
            </w:r>
          </w:p>
        </w:tc>
        <w:tc>
          <w:tcPr>
            <w:tcW w:w="595"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22973</w:t>
            </w:r>
          </w:p>
        </w:tc>
        <w:tc>
          <w:tcPr>
            <w:tcW w:w="575"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22973</w:t>
            </w:r>
          </w:p>
        </w:tc>
        <w:tc>
          <w:tcPr>
            <w:tcW w:w="376" w:type="pct"/>
            <w:vAlign w:val="center"/>
          </w:tcPr>
          <w:p>
            <w:pPr>
              <w:overflowPunct w:val="0"/>
              <w:spacing w:line="240" w:lineRule="exact"/>
              <w:ind w:left="-63" w:leftChars="-20" w:right="-63" w:rightChars="-20"/>
              <w:rPr>
                <w:rFonts w:ascii="Times New Roman" w:hAnsi="Times New Roman" w:eastAsia="仿宋"/>
                <w:color w:val="000000"/>
                <w:kern w:val="0"/>
                <w:sz w:val="20"/>
              </w:rPr>
            </w:pP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1"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上年结转金额</w:t>
            </w:r>
          </w:p>
        </w:tc>
        <w:tc>
          <w:tcPr>
            <w:tcW w:w="679"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59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57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1"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其它资金</w:t>
            </w:r>
          </w:p>
        </w:tc>
        <w:tc>
          <w:tcPr>
            <w:tcW w:w="679"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59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57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center"/>
              <w:rPr>
                <w:rFonts w:ascii="Times New Roman" w:hAnsi="Times New Roman" w:eastAsia="仿宋"/>
                <w:color w:val="000000"/>
                <w:kern w:val="0"/>
                <w:sz w:val="20"/>
              </w:rPr>
            </w:pPr>
          </w:p>
        </w:tc>
        <w:tc>
          <w:tcPr>
            <w:tcW w:w="1301" w:type="pct"/>
            <w:gridSpan w:val="3"/>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年度资金总额</w:t>
            </w:r>
          </w:p>
        </w:tc>
        <w:tc>
          <w:tcPr>
            <w:tcW w:w="679"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0</w:t>
            </w:r>
          </w:p>
        </w:tc>
        <w:tc>
          <w:tcPr>
            <w:tcW w:w="595"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22973</w:t>
            </w:r>
          </w:p>
        </w:tc>
        <w:tc>
          <w:tcPr>
            <w:tcW w:w="575" w:type="pct"/>
            <w:vAlign w:val="center"/>
          </w:tcPr>
          <w:p>
            <w:pPr>
              <w:overflowPunct w:val="0"/>
              <w:spacing w:line="240" w:lineRule="exact"/>
              <w:ind w:left="-63" w:leftChars="-20" w:right="-63" w:rightChars="-20"/>
              <w:jc w:val="center"/>
              <w:rPr>
                <w:rFonts w:hint="default"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22973</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673"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年度总体目标</w:t>
            </w:r>
          </w:p>
        </w:tc>
        <w:tc>
          <w:tcPr>
            <w:tcW w:w="1980" w:type="pct"/>
            <w:gridSpan w:val="4"/>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预期目标</w:t>
            </w:r>
          </w:p>
        </w:tc>
        <w:tc>
          <w:tcPr>
            <w:tcW w:w="2670" w:type="pct"/>
            <w:gridSpan w:val="5"/>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1980" w:type="pct"/>
            <w:gridSpan w:val="4"/>
            <w:vAlign w:val="center"/>
          </w:tcPr>
          <w:p>
            <w:pPr>
              <w:overflowPunct w:val="0"/>
              <w:spacing w:line="240" w:lineRule="exact"/>
              <w:ind w:left="-63" w:leftChars="-20" w:right="-63" w:rightChars="-20"/>
              <w:jc w:val="left"/>
              <w:rPr>
                <w:rFonts w:ascii="Times New Roman" w:hAnsi="Times New Roman" w:eastAsia="仿宋"/>
                <w:color w:val="000000"/>
                <w:kern w:val="0"/>
                <w:sz w:val="20"/>
              </w:rPr>
            </w:pPr>
            <w:r>
              <w:rPr>
                <w:rFonts w:hint="eastAsia" w:ascii="Times New Roman" w:hAnsi="Times New Roman" w:eastAsia="仿宋"/>
                <w:color w:val="000000"/>
                <w:kern w:val="0"/>
                <w:sz w:val="20"/>
              </w:rPr>
              <w:t>消费支撑更加有力，外贸质量明显提升，外资结构不断改善，外经合作持续突破。</w:t>
            </w:r>
          </w:p>
        </w:tc>
        <w:tc>
          <w:tcPr>
            <w:tcW w:w="2670" w:type="pct"/>
            <w:gridSpan w:val="5"/>
            <w:vAlign w:val="center"/>
          </w:tcPr>
          <w:p>
            <w:pPr>
              <w:overflowPunct w:val="0"/>
              <w:spacing w:line="240" w:lineRule="exact"/>
              <w:ind w:left="-63" w:leftChars="-20" w:right="-63" w:rightChars="-20"/>
              <w:jc w:val="left"/>
              <w:rPr>
                <w:rFonts w:ascii="Times New Roman" w:hAnsi="Times New Roman" w:eastAsia="仿宋"/>
                <w:color w:val="000000"/>
                <w:kern w:val="0"/>
                <w:sz w:val="20"/>
              </w:rPr>
            </w:pPr>
            <w:r>
              <w:rPr>
                <w:rFonts w:hint="eastAsia" w:ascii="Times New Roman" w:hAnsi="Times New Roman" w:eastAsia="仿宋"/>
                <w:color w:val="000000"/>
                <w:kern w:val="0"/>
                <w:sz w:val="20"/>
              </w:rPr>
              <w:t>消费支撑更加有力，全市社会消费品零售总额953亿元，同比增长5.7%，增速排名全省第7位，高于全省平均0.3个百分点；外贸质量明显提升，外贸降幅从年初的90%收窄至15.4%，累计增速排名从2023年全省第14位大幅提升至第6位；外资结构不断改善，实际使用外资541万美元，虽然增速同比下降，但优于同类市州；外经合作持续突破，完成对外实际投资6691万美元，增长91.9%，总量、增速排名分别提升至全省第4位、第3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绩</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效</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指</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标</w:t>
            </w:r>
          </w:p>
        </w:tc>
        <w:tc>
          <w:tcPr>
            <w:tcW w:w="457"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一级指标</w:t>
            </w:r>
          </w:p>
        </w:tc>
        <w:tc>
          <w:tcPr>
            <w:tcW w:w="845" w:type="pct"/>
            <w:gridSpan w:val="2"/>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二级指标</w:t>
            </w:r>
          </w:p>
        </w:tc>
        <w:tc>
          <w:tcPr>
            <w:tcW w:w="679"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三级指标</w:t>
            </w:r>
          </w:p>
        </w:tc>
        <w:tc>
          <w:tcPr>
            <w:tcW w:w="59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年度</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指标值</w:t>
            </w:r>
          </w:p>
        </w:tc>
        <w:tc>
          <w:tcPr>
            <w:tcW w:w="575"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实际</w:t>
            </w:r>
          </w:p>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完成值</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分值</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自评得分</w:t>
            </w:r>
          </w:p>
        </w:tc>
        <w:tc>
          <w:tcPr>
            <w:tcW w:w="673"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restart"/>
            <w:vAlign w:val="center"/>
          </w:tcPr>
          <w:p>
            <w:pPr>
              <w:overflowPunct w:val="0"/>
              <w:spacing w:line="240" w:lineRule="exact"/>
              <w:jc w:val="center"/>
              <w:rPr>
                <w:rFonts w:ascii="Times New Roman" w:hAnsi="Times New Roman" w:eastAsia="仿宋"/>
                <w:color w:val="000000"/>
                <w:kern w:val="0"/>
                <w:sz w:val="20"/>
              </w:rPr>
            </w:pPr>
            <w:r>
              <w:rPr>
                <w:rFonts w:hint="eastAsia" w:ascii="Times New Roman" w:hAnsi="Times New Roman" w:eastAsia="仿宋"/>
                <w:color w:val="000000"/>
                <w:kern w:val="0"/>
                <w:sz w:val="20"/>
              </w:rPr>
              <w:t>产出指标</w:t>
            </w:r>
          </w:p>
        </w:tc>
        <w:tc>
          <w:tcPr>
            <w:tcW w:w="845" w:type="pct"/>
            <w:gridSpan w:val="2"/>
            <w:vAlign w:val="center"/>
          </w:tcPr>
          <w:p>
            <w:pPr>
              <w:overflowPunct w:val="0"/>
              <w:spacing w:line="240" w:lineRule="exact"/>
              <w:jc w:val="center"/>
              <w:rPr>
                <w:rFonts w:ascii="Times New Roman" w:hAnsi="Times New Roman" w:eastAsia="仿宋"/>
                <w:color w:val="000000"/>
                <w:kern w:val="0"/>
                <w:sz w:val="20"/>
              </w:rPr>
            </w:pPr>
            <w:r>
              <w:rPr>
                <w:rFonts w:hint="eastAsia" w:ascii="Times New Roman" w:hAnsi="Times New Roman" w:eastAsia="仿宋"/>
                <w:color w:val="000000"/>
                <w:kern w:val="0"/>
                <w:sz w:val="20"/>
              </w:rPr>
              <w:t>数量指标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全面实施展会促消费行动</w:t>
            </w:r>
          </w:p>
        </w:tc>
        <w:tc>
          <w:tcPr>
            <w:tcW w:w="59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2次</w:t>
            </w:r>
          </w:p>
        </w:tc>
        <w:tc>
          <w:tcPr>
            <w:tcW w:w="57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8次</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r>
              <w:rPr>
                <w:rFonts w:ascii="Times New Roman" w:hAnsi="Times New Roman" w:eastAsia="仿宋"/>
                <w:color w:val="000000"/>
                <w:kern w:val="0"/>
                <w:sz w:val="20"/>
              </w:rPr>
              <w:t>.00</w:t>
            </w: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rPr>
                <w:rFonts w:ascii="Times New Roman" w:hAnsi="Times New Roman" w:eastAsia="仿宋"/>
                <w:color w:val="000000"/>
                <w:kern w:val="0"/>
                <w:sz w:val="20"/>
              </w:rPr>
            </w:pPr>
            <w:r>
              <w:rPr>
                <w:rFonts w:hint="eastAsia" w:ascii="Times New Roman" w:hAnsi="Times New Roman" w:eastAsia="仿宋"/>
                <w:color w:val="000000"/>
                <w:kern w:val="0"/>
                <w:sz w:val="20"/>
              </w:rPr>
              <w:t>质量指标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p>
        </w:tc>
        <w:tc>
          <w:tcPr>
            <w:tcW w:w="59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57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时效指标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p>
        </w:tc>
        <w:tc>
          <w:tcPr>
            <w:tcW w:w="59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57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restar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效益指标</w:t>
            </w: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经济效益指标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社会消费品零售总额增速超全省平均水平</w:t>
            </w:r>
          </w:p>
        </w:tc>
        <w:tc>
          <w:tcPr>
            <w:tcW w:w="59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5.4%</w:t>
            </w:r>
          </w:p>
        </w:tc>
        <w:tc>
          <w:tcPr>
            <w:tcW w:w="57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5.7%</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r>
              <w:rPr>
                <w:rFonts w:ascii="Times New Roman" w:hAnsi="Times New Roman" w:eastAsia="仿宋"/>
                <w:color w:val="000000"/>
                <w:kern w:val="0"/>
                <w:sz w:val="20"/>
              </w:rPr>
              <w:t>.00</w:t>
            </w: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社会效益指标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p>
        </w:tc>
        <w:tc>
          <w:tcPr>
            <w:tcW w:w="59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575"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p>
        </w:tc>
        <w:tc>
          <w:tcPr>
            <w:tcW w:w="451" w:type="pct"/>
            <w:vAlign w:val="center"/>
          </w:tcPr>
          <w:p>
            <w:pPr>
              <w:overflowPunct w:val="0"/>
              <w:spacing w:line="240" w:lineRule="exact"/>
              <w:textAlignment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生态效益指标</w:t>
            </w:r>
          </w:p>
        </w:tc>
        <w:tc>
          <w:tcPr>
            <w:tcW w:w="679" w:type="pct"/>
            <w:vAlign w:val="center"/>
          </w:tcPr>
          <w:p>
            <w:pPr>
              <w:overflowPunct w:val="0"/>
              <w:spacing w:line="240" w:lineRule="exact"/>
              <w:rPr>
                <w:rFonts w:ascii="Times New Roman" w:hAnsi="Times New Roman" w:eastAsia="仿宋"/>
                <w:color w:val="000000"/>
                <w:kern w:val="0"/>
                <w:sz w:val="20"/>
              </w:rPr>
            </w:pPr>
          </w:p>
        </w:tc>
        <w:tc>
          <w:tcPr>
            <w:tcW w:w="595" w:type="pct"/>
            <w:vAlign w:val="center"/>
          </w:tcPr>
          <w:p>
            <w:pPr>
              <w:overflowPunct w:val="0"/>
              <w:spacing w:line="240" w:lineRule="exact"/>
              <w:jc w:val="center"/>
              <w:rPr>
                <w:rFonts w:ascii="Times New Roman" w:hAnsi="Times New Roman" w:eastAsia="仿宋"/>
                <w:color w:val="000000"/>
                <w:kern w:val="0"/>
                <w:sz w:val="20"/>
              </w:rPr>
            </w:pPr>
          </w:p>
        </w:tc>
        <w:tc>
          <w:tcPr>
            <w:tcW w:w="575" w:type="pct"/>
            <w:vAlign w:val="center"/>
          </w:tcPr>
          <w:p>
            <w:pPr>
              <w:overflowPunct w:val="0"/>
              <w:spacing w:line="240" w:lineRule="exact"/>
              <w:jc w:val="center"/>
              <w:rPr>
                <w:rFonts w:ascii="Times New Roman" w:hAnsi="Times New Roman" w:eastAsia="仿宋"/>
                <w:color w:val="000000"/>
                <w:kern w:val="0"/>
                <w:sz w:val="20"/>
              </w:rPr>
            </w:pPr>
          </w:p>
        </w:tc>
        <w:tc>
          <w:tcPr>
            <w:tcW w:w="376" w:type="pct"/>
            <w:vAlign w:val="center"/>
          </w:tcPr>
          <w:p>
            <w:pPr>
              <w:overflowPunct w:val="0"/>
              <w:spacing w:line="240" w:lineRule="exact"/>
              <w:jc w:val="center"/>
              <w:rPr>
                <w:rFonts w:ascii="Times New Roman" w:hAnsi="Times New Roman" w:eastAsia="仿宋"/>
                <w:color w:val="000000"/>
                <w:kern w:val="0"/>
                <w:sz w:val="20"/>
              </w:rPr>
            </w:pPr>
          </w:p>
        </w:tc>
        <w:tc>
          <w:tcPr>
            <w:tcW w:w="451" w:type="pct"/>
            <w:vAlign w:val="center"/>
          </w:tcPr>
          <w:p>
            <w:pPr>
              <w:overflowPunct w:val="0"/>
              <w:spacing w:line="240" w:lineRule="exact"/>
              <w:jc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可持续影响</w:t>
            </w:r>
          </w:p>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贯彻落实稳消费接续政策</w:t>
            </w:r>
          </w:p>
        </w:tc>
        <w:tc>
          <w:tcPr>
            <w:tcW w:w="59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2次</w:t>
            </w:r>
          </w:p>
        </w:tc>
        <w:tc>
          <w:tcPr>
            <w:tcW w:w="57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2次</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20.00</w:t>
            </w: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满意度指标</w:t>
            </w: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服务对象满意度指标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消费者</w:t>
            </w:r>
            <w:r>
              <w:rPr>
                <w:rFonts w:ascii="Times New Roman" w:hAnsi="Times New Roman" w:eastAsia="仿宋"/>
                <w:color w:val="000000"/>
                <w:kern w:val="0"/>
                <w:sz w:val="20"/>
              </w:rPr>
              <w:t>满意度</w:t>
            </w:r>
          </w:p>
        </w:tc>
        <w:tc>
          <w:tcPr>
            <w:tcW w:w="59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90%</w:t>
            </w:r>
          </w:p>
        </w:tc>
        <w:tc>
          <w:tcPr>
            <w:tcW w:w="575" w:type="pc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9</w:t>
            </w:r>
            <w:r>
              <w:rPr>
                <w:rFonts w:hint="eastAsia" w:ascii="Times New Roman" w:hAnsi="Times New Roman" w:eastAsia="仿宋"/>
                <w:color w:val="000000"/>
                <w:kern w:val="0"/>
                <w:sz w:val="20"/>
              </w:rPr>
              <w:t>0</w:t>
            </w:r>
            <w:r>
              <w:rPr>
                <w:rFonts w:ascii="Times New Roman" w:hAnsi="Times New Roman" w:eastAsia="仿宋"/>
                <w:color w:val="000000"/>
                <w:kern w:val="0"/>
                <w:sz w:val="20"/>
              </w:rPr>
              <w:t>%</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1</w:t>
            </w:r>
            <w:r>
              <w:rPr>
                <w:rFonts w:ascii="Times New Roman" w:hAnsi="Times New Roman" w:eastAsia="仿宋"/>
                <w:color w:val="000000"/>
                <w:kern w:val="0"/>
                <w:sz w:val="20"/>
              </w:rPr>
              <w:t>5</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15</w:t>
            </w:r>
            <w:r>
              <w:rPr>
                <w:rFonts w:ascii="Times New Roman" w:hAnsi="Times New Roman" w:eastAsia="仿宋"/>
                <w:color w:val="000000"/>
                <w:kern w:val="0"/>
                <w:sz w:val="20"/>
              </w:rPr>
              <w:t>.00</w:t>
            </w: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restart"/>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成本指标</w:t>
            </w: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经济成本指标</w:t>
            </w:r>
          </w:p>
        </w:tc>
        <w:tc>
          <w:tcPr>
            <w:tcW w:w="679" w:type="pct"/>
            <w:vAlign w:val="center"/>
          </w:tcPr>
          <w:p>
            <w:pPr>
              <w:overflowPunct w:val="0"/>
              <w:spacing w:line="240" w:lineRule="exact"/>
              <w:jc w:val="left"/>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全年整体投入资金</w:t>
            </w:r>
          </w:p>
        </w:tc>
        <w:tc>
          <w:tcPr>
            <w:tcW w:w="595" w:type="pct"/>
            <w:vAlign w:val="center"/>
          </w:tcPr>
          <w:p>
            <w:pPr>
              <w:overflowPunct w:val="0"/>
              <w:spacing w:line="240" w:lineRule="exact"/>
              <w:jc w:val="center"/>
              <w:textAlignment w:val="center"/>
              <w:rPr>
                <w:rFonts w:hint="eastAsia"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22973</w:t>
            </w:r>
          </w:p>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万元</w:t>
            </w:r>
          </w:p>
        </w:tc>
        <w:tc>
          <w:tcPr>
            <w:tcW w:w="575" w:type="pct"/>
            <w:vAlign w:val="center"/>
          </w:tcPr>
          <w:p>
            <w:pPr>
              <w:overflowPunct w:val="0"/>
              <w:spacing w:line="240" w:lineRule="exact"/>
              <w:jc w:val="center"/>
              <w:textAlignment w:val="center"/>
              <w:rPr>
                <w:rFonts w:hint="eastAsia" w:ascii="Times New Roman" w:hAnsi="Times New Roman" w:eastAsia="仿宋"/>
                <w:color w:val="000000"/>
                <w:kern w:val="0"/>
                <w:sz w:val="20"/>
                <w:lang w:val="en-US" w:eastAsia="zh-CN"/>
              </w:rPr>
            </w:pPr>
            <w:r>
              <w:rPr>
                <w:rFonts w:hint="eastAsia" w:ascii="Times New Roman" w:hAnsi="Times New Roman" w:eastAsia="仿宋"/>
                <w:color w:val="000000"/>
                <w:kern w:val="0"/>
                <w:sz w:val="20"/>
                <w:lang w:val="en-US" w:eastAsia="zh-CN"/>
              </w:rPr>
              <w:t>22973</w:t>
            </w:r>
          </w:p>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万元</w:t>
            </w:r>
          </w:p>
        </w:tc>
        <w:tc>
          <w:tcPr>
            <w:tcW w:w="376"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15</w:t>
            </w:r>
          </w:p>
        </w:tc>
        <w:tc>
          <w:tcPr>
            <w:tcW w:w="451" w:type="pct"/>
            <w:vAlign w:val="center"/>
          </w:tcPr>
          <w:p>
            <w:pPr>
              <w:overflowPunct w:val="0"/>
              <w:spacing w:line="240" w:lineRule="exact"/>
              <w:jc w:val="center"/>
              <w:textAlignment w:val="center"/>
              <w:rPr>
                <w:rFonts w:ascii="Times New Roman" w:hAnsi="Times New Roman" w:eastAsia="仿宋"/>
                <w:color w:val="000000"/>
                <w:kern w:val="0"/>
                <w:sz w:val="20"/>
              </w:rPr>
            </w:pPr>
            <w:r>
              <w:rPr>
                <w:rFonts w:hint="eastAsia" w:ascii="Times New Roman" w:hAnsi="Times New Roman" w:eastAsia="仿宋"/>
                <w:color w:val="000000"/>
                <w:kern w:val="0"/>
                <w:sz w:val="20"/>
              </w:rPr>
              <w:t>15.00</w:t>
            </w: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社会成本指标</w:t>
            </w:r>
          </w:p>
        </w:tc>
        <w:tc>
          <w:tcPr>
            <w:tcW w:w="679" w:type="pct"/>
            <w:vAlign w:val="center"/>
          </w:tcPr>
          <w:p>
            <w:pPr>
              <w:overflowPunct w:val="0"/>
              <w:spacing w:line="240" w:lineRule="exact"/>
              <w:rPr>
                <w:rFonts w:ascii="Times New Roman" w:hAnsi="Times New Roman" w:eastAsia="仿宋"/>
                <w:color w:val="000000"/>
                <w:kern w:val="0"/>
                <w:sz w:val="20"/>
              </w:rPr>
            </w:pPr>
          </w:p>
        </w:tc>
        <w:tc>
          <w:tcPr>
            <w:tcW w:w="595" w:type="pct"/>
            <w:vAlign w:val="center"/>
          </w:tcPr>
          <w:p>
            <w:pPr>
              <w:overflowPunct w:val="0"/>
              <w:spacing w:line="240" w:lineRule="exact"/>
              <w:jc w:val="center"/>
              <w:rPr>
                <w:rFonts w:ascii="Times New Roman" w:hAnsi="Times New Roman" w:eastAsia="仿宋"/>
                <w:color w:val="000000"/>
                <w:kern w:val="0"/>
                <w:sz w:val="20"/>
              </w:rPr>
            </w:pPr>
          </w:p>
        </w:tc>
        <w:tc>
          <w:tcPr>
            <w:tcW w:w="575" w:type="pct"/>
            <w:vAlign w:val="center"/>
          </w:tcPr>
          <w:p>
            <w:pPr>
              <w:overflowPunct w:val="0"/>
              <w:spacing w:line="240" w:lineRule="exact"/>
              <w:jc w:val="center"/>
              <w:rPr>
                <w:rFonts w:ascii="Times New Roman" w:hAnsi="Times New Roman" w:eastAsia="仿宋"/>
                <w:color w:val="000000"/>
                <w:kern w:val="0"/>
                <w:sz w:val="20"/>
              </w:rPr>
            </w:pPr>
          </w:p>
        </w:tc>
        <w:tc>
          <w:tcPr>
            <w:tcW w:w="376" w:type="pct"/>
            <w:vAlign w:val="center"/>
          </w:tcPr>
          <w:p>
            <w:pPr>
              <w:overflowPunct w:val="0"/>
              <w:spacing w:line="240" w:lineRule="exact"/>
              <w:jc w:val="center"/>
              <w:rPr>
                <w:rFonts w:ascii="Times New Roman" w:hAnsi="Times New Roman" w:eastAsia="仿宋"/>
                <w:color w:val="000000"/>
                <w:kern w:val="0"/>
                <w:sz w:val="20"/>
              </w:rPr>
            </w:pPr>
          </w:p>
        </w:tc>
        <w:tc>
          <w:tcPr>
            <w:tcW w:w="451" w:type="pct"/>
            <w:vAlign w:val="center"/>
          </w:tcPr>
          <w:p>
            <w:pPr>
              <w:overflowPunct w:val="0"/>
              <w:spacing w:line="240" w:lineRule="exact"/>
              <w:jc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c>
          <w:tcPr>
            <w:tcW w:w="457" w:type="pct"/>
            <w:vMerge w:val="continue"/>
            <w:vAlign w:val="center"/>
          </w:tcPr>
          <w:p>
            <w:pPr>
              <w:overflowPunct w:val="0"/>
              <w:spacing w:line="240" w:lineRule="exact"/>
              <w:jc w:val="center"/>
              <w:rPr>
                <w:rFonts w:ascii="Times New Roman" w:hAnsi="Times New Roman" w:eastAsia="仿宋"/>
                <w:color w:val="000000"/>
                <w:kern w:val="0"/>
                <w:sz w:val="20"/>
              </w:rPr>
            </w:pPr>
          </w:p>
        </w:tc>
        <w:tc>
          <w:tcPr>
            <w:tcW w:w="845" w:type="pct"/>
            <w:gridSpan w:val="2"/>
            <w:vAlign w:val="center"/>
          </w:tcPr>
          <w:p>
            <w:pPr>
              <w:overflowPunct w:val="0"/>
              <w:spacing w:line="240" w:lineRule="exact"/>
              <w:jc w:val="center"/>
              <w:textAlignment w:val="center"/>
              <w:rPr>
                <w:rFonts w:ascii="Times New Roman" w:hAnsi="Times New Roman" w:eastAsia="仿宋"/>
                <w:color w:val="000000"/>
                <w:kern w:val="0"/>
                <w:sz w:val="20"/>
              </w:rPr>
            </w:pPr>
            <w:r>
              <w:rPr>
                <w:rFonts w:ascii="Times New Roman" w:hAnsi="Times New Roman" w:eastAsia="仿宋"/>
                <w:color w:val="000000"/>
                <w:kern w:val="0"/>
                <w:sz w:val="20"/>
              </w:rPr>
              <w:t>生态环境成本指标</w:t>
            </w:r>
          </w:p>
        </w:tc>
        <w:tc>
          <w:tcPr>
            <w:tcW w:w="679" w:type="pct"/>
            <w:vAlign w:val="center"/>
          </w:tcPr>
          <w:p>
            <w:pPr>
              <w:overflowPunct w:val="0"/>
              <w:spacing w:line="240" w:lineRule="exact"/>
              <w:rPr>
                <w:rFonts w:ascii="Times New Roman" w:hAnsi="Times New Roman" w:eastAsia="仿宋"/>
                <w:color w:val="000000"/>
                <w:kern w:val="0"/>
                <w:sz w:val="20"/>
              </w:rPr>
            </w:pPr>
          </w:p>
        </w:tc>
        <w:tc>
          <w:tcPr>
            <w:tcW w:w="595" w:type="pct"/>
            <w:vAlign w:val="center"/>
          </w:tcPr>
          <w:p>
            <w:pPr>
              <w:overflowPunct w:val="0"/>
              <w:spacing w:line="240" w:lineRule="exact"/>
              <w:jc w:val="center"/>
              <w:rPr>
                <w:rFonts w:ascii="Times New Roman" w:hAnsi="Times New Roman" w:eastAsia="仿宋"/>
                <w:color w:val="000000"/>
                <w:kern w:val="0"/>
                <w:sz w:val="20"/>
              </w:rPr>
            </w:pPr>
          </w:p>
        </w:tc>
        <w:tc>
          <w:tcPr>
            <w:tcW w:w="575" w:type="pct"/>
            <w:vAlign w:val="center"/>
          </w:tcPr>
          <w:p>
            <w:pPr>
              <w:overflowPunct w:val="0"/>
              <w:spacing w:line="240" w:lineRule="exact"/>
              <w:jc w:val="center"/>
              <w:rPr>
                <w:rFonts w:ascii="Times New Roman" w:hAnsi="Times New Roman" w:eastAsia="仿宋"/>
                <w:color w:val="000000"/>
                <w:kern w:val="0"/>
                <w:sz w:val="20"/>
              </w:rPr>
            </w:pPr>
          </w:p>
        </w:tc>
        <w:tc>
          <w:tcPr>
            <w:tcW w:w="376" w:type="pct"/>
            <w:vAlign w:val="center"/>
          </w:tcPr>
          <w:p>
            <w:pPr>
              <w:overflowPunct w:val="0"/>
              <w:spacing w:line="240" w:lineRule="exact"/>
              <w:jc w:val="center"/>
              <w:rPr>
                <w:rFonts w:ascii="Times New Roman" w:hAnsi="Times New Roman" w:eastAsia="仿宋"/>
                <w:color w:val="000000"/>
                <w:kern w:val="0"/>
                <w:sz w:val="20"/>
              </w:rPr>
            </w:pPr>
          </w:p>
        </w:tc>
        <w:tc>
          <w:tcPr>
            <w:tcW w:w="451" w:type="pct"/>
            <w:vAlign w:val="center"/>
          </w:tcPr>
          <w:p>
            <w:pPr>
              <w:overflowPunct w:val="0"/>
              <w:spacing w:line="240" w:lineRule="exact"/>
              <w:jc w:val="center"/>
              <w:rPr>
                <w:rFonts w:ascii="Times New Roman" w:hAnsi="Times New Roman" w:eastAsia="仿宋"/>
                <w:color w:val="000000"/>
                <w:kern w:val="0"/>
                <w:sz w:val="20"/>
              </w:rPr>
            </w:pP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0" w:type="pct"/>
            <w:gridSpan w:val="7"/>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总分</w:t>
            </w:r>
          </w:p>
        </w:tc>
        <w:tc>
          <w:tcPr>
            <w:tcW w:w="376"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ascii="Times New Roman" w:hAnsi="Times New Roman" w:eastAsia="仿宋"/>
                <w:color w:val="000000"/>
                <w:kern w:val="0"/>
                <w:sz w:val="20"/>
              </w:rPr>
              <w:t>100</w:t>
            </w:r>
          </w:p>
        </w:tc>
        <w:tc>
          <w:tcPr>
            <w:tcW w:w="451" w:type="pct"/>
            <w:vAlign w:val="center"/>
          </w:tcPr>
          <w:p>
            <w:pPr>
              <w:overflowPunct w:val="0"/>
              <w:spacing w:line="240" w:lineRule="exact"/>
              <w:ind w:left="-63" w:leftChars="-20" w:right="-63" w:rightChars="-20"/>
              <w:jc w:val="center"/>
              <w:rPr>
                <w:rFonts w:ascii="Times New Roman" w:hAnsi="Times New Roman" w:eastAsia="仿宋"/>
                <w:color w:val="000000"/>
                <w:kern w:val="0"/>
                <w:sz w:val="20"/>
              </w:rPr>
            </w:pPr>
            <w:r>
              <w:rPr>
                <w:rFonts w:hint="eastAsia" w:ascii="Times New Roman" w:hAnsi="Times New Roman" w:eastAsia="仿宋"/>
                <w:color w:val="000000"/>
                <w:kern w:val="0"/>
                <w:sz w:val="20"/>
              </w:rPr>
              <w:t>100.00</w:t>
            </w:r>
          </w:p>
        </w:tc>
        <w:tc>
          <w:tcPr>
            <w:tcW w:w="673" w:type="pct"/>
            <w:vAlign w:val="center"/>
          </w:tcPr>
          <w:p>
            <w:pPr>
              <w:overflowPunct w:val="0"/>
              <w:spacing w:line="240" w:lineRule="exact"/>
              <w:ind w:left="-63" w:leftChars="-20" w:right="-63" w:rightChars="-20"/>
              <w:jc w:val="left"/>
              <w:rPr>
                <w:rFonts w:ascii="Times New Roman" w:hAnsi="Times New Roman" w:eastAsia="仿宋"/>
                <w:color w:val="000000"/>
                <w:kern w:val="0"/>
                <w:sz w:val="20"/>
              </w:rPr>
            </w:pPr>
          </w:p>
        </w:tc>
      </w:tr>
    </w:tbl>
    <w:p>
      <w:pPr>
        <w:widowControl/>
        <w:spacing w:line="320" w:lineRule="exact"/>
        <w:ind w:left="-63" w:leftChars="-20" w:right="-63" w:rightChars="-20"/>
        <w:rPr>
          <w:rFonts w:ascii="仿宋" w:hAnsi="仿宋" w:eastAsia="仿宋" w:cs="仿宋"/>
          <w:kern w:val="0"/>
          <w:sz w:val="22"/>
          <w:szCs w:val="24"/>
        </w:rPr>
      </w:pPr>
      <w:r>
        <w:rPr>
          <w:rFonts w:hint="eastAsia" w:ascii="仿宋" w:hAnsi="仿宋" w:eastAsia="仿宋" w:cs="仿宋"/>
          <w:kern w:val="0"/>
          <w:sz w:val="22"/>
          <w:szCs w:val="24"/>
        </w:rPr>
        <w:t>备注：每个一级项目支出一张表。如：业务工作经费，运行维护经费，其他类资金...各一张表。</w:t>
      </w:r>
    </w:p>
    <w:p>
      <w:pPr>
        <w:widowControl/>
        <w:spacing w:line="320" w:lineRule="exact"/>
        <w:ind w:left="-63" w:leftChars="-20" w:right="-63" w:rightChars="-20"/>
        <w:rPr>
          <w:rFonts w:ascii="仿宋" w:hAnsi="仿宋" w:eastAsia="仿宋" w:cs="仿宋"/>
          <w:kern w:val="0"/>
          <w:sz w:val="22"/>
          <w:szCs w:val="24"/>
        </w:rPr>
      </w:pPr>
      <w:r>
        <w:rPr>
          <w:rFonts w:ascii="仿宋" w:hAnsi="仿宋" w:eastAsia="仿宋" w:cs="仿宋"/>
          <w:kern w:val="0"/>
          <w:sz w:val="22"/>
          <w:szCs w:val="24"/>
        </w:rPr>
        <w:t>填表人：</w:t>
      </w:r>
      <w:r>
        <w:rPr>
          <w:rFonts w:hint="eastAsia" w:ascii="仿宋" w:hAnsi="仿宋" w:eastAsia="仿宋" w:cs="仿宋"/>
          <w:kern w:val="0"/>
          <w:sz w:val="22"/>
          <w:szCs w:val="24"/>
        </w:rPr>
        <w:t>贺家悦</w:t>
      </w:r>
      <w:r>
        <w:rPr>
          <w:rFonts w:ascii="仿宋" w:hAnsi="仿宋" w:eastAsia="仿宋" w:cs="仿宋"/>
          <w:kern w:val="0"/>
          <w:sz w:val="22"/>
          <w:szCs w:val="24"/>
        </w:rPr>
        <w:t xml:space="preserve">  填报日期： 20</w:t>
      </w:r>
      <w:r>
        <w:rPr>
          <w:rFonts w:hint="eastAsia" w:ascii="仿宋" w:hAnsi="仿宋" w:eastAsia="仿宋" w:cs="仿宋"/>
          <w:kern w:val="0"/>
          <w:sz w:val="22"/>
          <w:szCs w:val="24"/>
        </w:rPr>
        <w:t>25</w:t>
      </w:r>
      <w:r>
        <w:rPr>
          <w:rFonts w:ascii="仿宋" w:hAnsi="仿宋" w:eastAsia="仿宋" w:cs="仿宋"/>
          <w:kern w:val="0"/>
          <w:sz w:val="22"/>
          <w:szCs w:val="24"/>
        </w:rPr>
        <w:t>年</w:t>
      </w:r>
      <w:r>
        <w:rPr>
          <w:rFonts w:hint="eastAsia" w:ascii="仿宋" w:hAnsi="仿宋" w:eastAsia="仿宋" w:cs="仿宋"/>
          <w:kern w:val="0"/>
          <w:sz w:val="22"/>
          <w:szCs w:val="24"/>
        </w:rPr>
        <w:t>4</w:t>
      </w:r>
      <w:r>
        <w:rPr>
          <w:rFonts w:ascii="仿宋" w:hAnsi="仿宋" w:eastAsia="仿宋" w:cs="仿宋"/>
          <w:kern w:val="0"/>
          <w:sz w:val="22"/>
          <w:szCs w:val="24"/>
        </w:rPr>
        <w:t>月2</w:t>
      </w:r>
      <w:r>
        <w:rPr>
          <w:rFonts w:hint="eastAsia" w:ascii="仿宋" w:hAnsi="仿宋" w:eastAsia="仿宋" w:cs="仿宋"/>
          <w:kern w:val="0"/>
          <w:sz w:val="22"/>
          <w:szCs w:val="24"/>
        </w:rPr>
        <w:t>1</w:t>
      </w:r>
      <w:r>
        <w:rPr>
          <w:rFonts w:ascii="仿宋" w:hAnsi="仿宋" w:eastAsia="仿宋" w:cs="仿宋"/>
          <w:kern w:val="0"/>
          <w:sz w:val="22"/>
          <w:szCs w:val="24"/>
        </w:rPr>
        <w:t>日  联系电话：4245709  单位负责人签字：</w:t>
      </w:r>
    </w:p>
    <w:p>
      <w:pPr>
        <w:widowControl/>
        <w:jc w:val="left"/>
        <w:rPr>
          <w:rFonts w:ascii="仿宋" w:hAnsi="仿宋" w:eastAsia="仿宋" w:cs="仿宋"/>
          <w:kern w:val="0"/>
          <w:sz w:val="22"/>
          <w:szCs w:val="24"/>
        </w:rPr>
        <w:sectPr>
          <w:pgSz w:w="11907" w:h="16840"/>
          <w:pgMar w:top="1701" w:right="1531" w:bottom="1587" w:left="1531" w:header="851" w:footer="1247" w:gutter="0"/>
          <w:cols w:space="720" w:num="1"/>
          <w:docGrid w:type="linesAndChars" w:linePitch="587" w:charSpace="-842"/>
        </w:sectPr>
      </w:pPr>
    </w:p>
    <w:p>
      <w:pPr>
        <w:widowControl/>
        <w:jc w:val="left"/>
        <w:rPr>
          <w:rFonts w:ascii="Times New Roman" w:hAnsi="Times New Roman" w:eastAsia="黑体"/>
          <w:szCs w:val="32"/>
        </w:rPr>
      </w:pPr>
      <w:r>
        <w:rPr>
          <w:rFonts w:ascii="Times New Roman" w:hAnsi="Times New Roman" w:eastAsia="黑体"/>
          <w:szCs w:val="32"/>
        </w:rPr>
        <w:t>附件</w:t>
      </w:r>
      <w:r>
        <w:rPr>
          <w:rFonts w:hint="eastAsia" w:ascii="Times New Roman" w:hAnsi="Times New Roman" w:eastAsia="黑体"/>
          <w:szCs w:val="32"/>
        </w:rPr>
        <w:t>4</w:t>
      </w:r>
    </w:p>
    <w:p>
      <w:pPr>
        <w:pStyle w:val="2"/>
        <w:rPr>
          <w:rFonts w:hint="default"/>
        </w:rPr>
      </w:pPr>
      <w:r>
        <w:t>政府性基金预算支出情况表</w:t>
      </w:r>
    </w:p>
    <w:tbl>
      <w:tblPr>
        <w:tblStyle w:val="9"/>
        <w:tblW w:w="9578" w:type="dxa"/>
        <w:jc w:val="center"/>
        <w:tblLayout w:type="fixed"/>
        <w:tblCellMar>
          <w:top w:w="0" w:type="dxa"/>
          <w:left w:w="108" w:type="dxa"/>
          <w:bottom w:w="0" w:type="dxa"/>
          <w:right w:w="108" w:type="dxa"/>
        </w:tblCellMar>
      </w:tblPr>
      <w:tblGrid>
        <w:gridCol w:w="669"/>
        <w:gridCol w:w="1749"/>
        <w:gridCol w:w="1503"/>
        <w:gridCol w:w="617"/>
        <w:gridCol w:w="1540"/>
        <w:gridCol w:w="438"/>
        <w:gridCol w:w="850"/>
        <w:gridCol w:w="284"/>
        <w:gridCol w:w="1417"/>
        <w:gridCol w:w="511"/>
      </w:tblGrid>
      <w:tr>
        <w:tblPrEx>
          <w:tblCellMar>
            <w:top w:w="0" w:type="dxa"/>
            <w:left w:w="108" w:type="dxa"/>
            <w:bottom w:w="0" w:type="dxa"/>
            <w:right w:w="108" w:type="dxa"/>
          </w:tblCellMar>
        </w:tblPrEx>
        <w:trPr>
          <w:trHeight w:val="624" w:hRule="atLeast"/>
          <w:jc w:val="center"/>
        </w:trPr>
        <w:tc>
          <w:tcPr>
            <w:tcW w:w="669" w:type="dxa"/>
            <w:vMerge w:val="restart"/>
            <w:tcBorders>
              <w:top w:val="single" w:color="000000" w:sz="4" w:space="0"/>
              <w:left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项目分类</w:t>
            </w:r>
          </w:p>
        </w:tc>
        <w:tc>
          <w:tcPr>
            <w:tcW w:w="1749" w:type="dxa"/>
            <w:vMerge w:val="restart"/>
            <w:tcBorders>
              <w:top w:val="single" w:color="000000" w:sz="4" w:space="0"/>
              <w:left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科目名称</w:t>
            </w:r>
          </w:p>
        </w:tc>
        <w:tc>
          <w:tcPr>
            <w:tcW w:w="1503" w:type="dxa"/>
            <w:vMerge w:val="restart"/>
            <w:tcBorders>
              <w:top w:val="single" w:color="000000" w:sz="4" w:space="0"/>
              <w:left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合计</w:t>
            </w:r>
          </w:p>
        </w:tc>
        <w:tc>
          <w:tcPr>
            <w:tcW w:w="617" w:type="dxa"/>
            <w:tcBorders>
              <w:top w:val="single" w:color="000000" w:sz="4" w:space="0"/>
              <w:left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p>
        </w:tc>
        <w:tc>
          <w:tcPr>
            <w:tcW w:w="4529" w:type="dxa"/>
            <w:gridSpan w:val="5"/>
            <w:tcBorders>
              <w:top w:val="single" w:color="000000" w:sz="4" w:space="0"/>
              <w:left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商品和服务支出</w:t>
            </w:r>
          </w:p>
        </w:tc>
        <w:tc>
          <w:tcPr>
            <w:tcW w:w="5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w:t>
            </w:r>
          </w:p>
        </w:tc>
      </w:tr>
      <w:tr>
        <w:tblPrEx>
          <w:tblCellMar>
            <w:top w:w="0" w:type="dxa"/>
            <w:left w:w="108" w:type="dxa"/>
            <w:bottom w:w="0" w:type="dxa"/>
            <w:right w:w="108" w:type="dxa"/>
          </w:tblCellMar>
        </w:tblPrEx>
        <w:trPr>
          <w:trHeight w:val="624" w:hRule="atLeast"/>
          <w:jc w:val="center"/>
        </w:trPr>
        <w:tc>
          <w:tcPr>
            <w:tcW w:w="669" w:type="dxa"/>
            <w:vMerge w:val="continue"/>
            <w:tcBorders>
              <w:left w:val="single" w:color="000000" w:sz="4" w:space="0"/>
              <w:right w:val="single" w:color="000000" w:sz="4" w:space="0"/>
            </w:tcBorders>
            <w:shd w:val="clear" w:color="auto" w:fill="FFFFFF"/>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p>
        </w:tc>
        <w:tc>
          <w:tcPr>
            <w:tcW w:w="1749" w:type="dxa"/>
            <w:vMerge w:val="continue"/>
            <w:tcBorders>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p>
        </w:tc>
        <w:tc>
          <w:tcPr>
            <w:tcW w:w="1503" w:type="dxa"/>
            <w:vMerge w:val="continue"/>
            <w:tcBorders>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p>
        </w:tc>
        <w:tc>
          <w:tcPr>
            <w:tcW w:w="617" w:type="dxa"/>
            <w:tcBorders>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r>
              <w:rPr>
                <w:rFonts w:ascii="Times New Roman" w:hAnsi="Times New Roman" w:eastAsiaTheme="minorEastAsia"/>
                <w:b/>
                <w:bCs/>
                <w:color w:val="000000"/>
                <w:kern w:val="0"/>
                <w:sz w:val="21"/>
                <w:szCs w:val="21"/>
              </w:rPr>
              <w:t>小计</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r>
              <w:rPr>
                <w:rFonts w:ascii="Times New Roman" w:hAnsi="Times New Roman" w:eastAsiaTheme="minorEastAsia"/>
                <w:b/>
                <w:bCs/>
                <w:color w:val="000000"/>
                <w:kern w:val="0"/>
                <w:sz w:val="21"/>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差旅费</w:t>
            </w:r>
          </w:p>
        </w:tc>
        <w:tc>
          <w:tcPr>
            <w:tcW w:w="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r>
              <w:rPr>
                <w:rFonts w:ascii="Times New Roman" w:hAnsi="Times New Roman" w:eastAsiaTheme="minorEastAsia"/>
                <w:b/>
                <w:bCs/>
                <w:color w:val="000000"/>
                <w:kern w:val="0"/>
                <w:sz w:val="21"/>
                <w:szCs w:val="21"/>
              </w:rPr>
              <w:t>…</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r>
              <w:rPr>
                <w:rFonts w:ascii="Times New Roman" w:hAnsi="Times New Roman" w:eastAsiaTheme="minorEastAsia"/>
                <w:b/>
                <w:bCs/>
                <w:color w:val="000000"/>
                <w:kern w:val="0"/>
                <w:sz w:val="21"/>
                <w:szCs w:val="21"/>
              </w:rPr>
              <w:t>其他商品和服务支出</w:t>
            </w:r>
          </w:p>
        </w:tc>
        <w:tc>
          <w:tcPr>
            <w:tcW w:w="511" w:type="dxa"/>
            <w:vMerge w:val="continue"/>
            <w:tcBorders>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b/>
                <w:bCs/>
                <w:color w:val="000000"/>
                <w:kern w:val="0"/>
                <w:sz w:val="21"/>
                <w:szCs w:val="21"/>
              </w:rPr>
            </w:pPr>
          </w:p>
        </w:tc>
      </w:tr>
      <w:tr>
        <w:tblPrEx>
          <w:tblCellMar>
            <w:top w:w="0" w:type="dxa"/>
            <w:left w:w="108" w:type="dxa"/>
            <w:bottom w:w="0" w:type="dxa"/>
            <w:right w:w="108" w:type="dxa"/>
          </w:tblCellMar>
        </w:tblPrEx>
        <w:trPr>
          <w:trHeight w:val="624" w:hRule="atLeast"/>
          <w:jc w:val="center"/>
        </w:trPr>
        <w:tc>
          <w:tcPr>
            <w:tcW w:w="669" w:type="dxa"/>
            <w:vMerge w:val="continue"/>
            <w:tcBorders>
              <w:left w:val="single" w:color="000000" w:sz="4" w:space="0"/>
              <w:right w:val="single" w:color="000000" w:sz="4" w:space="0"/>
            </w:tcBorders>
            <w:shd w:val="clear" w:color="auto" w:fill="FFFFFF"/>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栏次</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1</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r>
              <w:rPr>
                <w:rFonts w:ascii="Times New Roman" w:hAnsi="Times New Roman" w:eastAsiaTheme="minorEastAsia"/>
                <w:color w:val="000000"/>
                <w:kern w:val="0"/>
                <w:sz w:val="21"/>
                <w:szCs w:val="21"/>
              </w:rPr>
              <w:t>16</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r>
              <w:rPr>
                <w:rFonts w:ascii="Times New Roman" w:hAnsi="Times New Roman" w:eastAsiaTheme="minorEastAsia"/>
                <w:color w:val="000000"/>
                <w:kern w:val="0"/>
                <w:sz w:val="21"/>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26</w:t>
            </w:r>
          </w:p>
        </w:tc>
        <w:tc>
          <w:tcPr>
            <w:tcW w:w="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r>
              <w:rPr>
                <w:rFonts w:ascii="Times New Roman" w:hAnsi="Times New Roman" w:eastAsiaTheme="minorEastAsia"/>
                <w:color w:val="000000"/>
                <w:kern w:val="0"/>
                <w:sz w:val="21"/>
                <w:szCs w:val="21"/>
              </w:rPr>
              <w:t>43</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w:t>
            </w:r>
          </w:p>
        </w:tc>
      </w:tr>
      <w:tr>
        <w:tblPrEx>
          <w:tblCellMar>
            <w:top w:w="0" w:type="dxa"/>
            <w:left w:w="108" w:type="dxa"/>
            <w:bottom w:w="0" w:type="dxa"/>
            <w:right w:w="108" w:type="dxa"/>
          </w:tblCellMar>
        </w:tblPrEx>
        <w:trPr>
          <w:trHeight w:val="624" w:hRule="atLeast"/>
          <w:jc w:val="center"/>
        </w:trPr>
        <w:tc>
          <w:tcPr>
            <w:tcW w:w="669" w:type="dxa"/>
            <w:vMerge w:val="continue"/>
            <w:tcBorders>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合计</w:t>
            </w:r>
            <w:r>
              <w:rPr>
                <w:rFonts w:hint="eastAsia" w:ascii="Times New Roman" w:hAnsi="Times New Roman" w:eastAsiaTheme="minorEastAsia"/>
                <w:color w:val="000000"/>
                <w:kern w:val="0"/>
                <w:sz w:val="21"/>
                <w:szCs w:val="21"/>
              </w:rPr>
              <w:t>（元）</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207,510,000.00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207,510,000.00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2,324.00</w:t>
            </w: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207,507,676.00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农贸市场环境卫生奖补经费</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10,000.00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10,000.00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2,324.00</w:t>
            </w: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7,676.00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2024新一轮个人乘用车置换补贴活动资金</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33,000,000.00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33,000,000.00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33,000,000.00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家装厨卫“焕新”活动资金</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28,000,000.00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28,000,000.00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28,000,000.00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节能家电以旧换新补贴资金</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70,000,000.00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70,000,000.00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70,000,000.00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5</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第一批电动自行车以旧换新</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4,500,000.00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4,500,000.00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4,500,000.00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6</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汽车报废换新补贴专项资金</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37,000,000.00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37,000,000.00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37,000,000.00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7</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2024家电以旧换新促销活动资金</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15,000,000.00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15,000,000.00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15,000,000.00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r>
        <w:tblPrEx>
          <w:tblCellMar>
            <w:top w:w="0" w:type="dxa"/>
            <w:left w:w="108" w:type="dxa"/>
            <w:bottom w:w="0" w:type="dxa"/>
            <w:right w:w="108" w:type="dxa"/>
          </w:tblCellMar>
        </w:tblPrEx>
        <w:trPr>
          <w:trHeight w:val="11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8</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汽车报废更新第二批补贴资金</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20,000,000.00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20,000,000.00</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center"/>
              <w:rPr>
                <w:rFonts w:ascii="Times New Roman" w:hAnsi="Times New Roman" w:eastAsiaTheme="minorEastAsia"/>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284"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overflowPunct w:val="0"/>
              <w:spacing w:line="300" w:lineRule="exact"/>
              <w:ind w:left="-96" w:leftChars="-30" w:right="-96" w:rightChars="-30"/>
              <w:jc w:val="right"/>
              <w:rPr>
                <w:rFonts w:ascii="Times New Roman" w:hAnsi="Times New Roman" w:eastAsiaTheme="minorEastAsia"/>
                <w:color w:val="000000"/>
                <w:kern w:val="0"/>
                <w:sz w:val="21"/>
                <w:szCs w:val="21"/>
              </w:rPr>
            </w:pPr>
            <w:r>
              <w:rPr>
                <w:rFonts w:ascii="Times New Roman" w:hAnsi="Times New Roman" w:eastAsiaTheme="minorEastAsia"/>
                <w:color w:val="000000"/>
                <w:kern w:val="0"/>
                <w:sz w:val="21"/>
                <w:szCs w:val="21"/>
              </w:rPr>
              <w:t>20,000,000.00</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pacing w:line="300" w:lineRule="exact"/>
              <w:ind w:left="-96" w:leftChars="-30" w:right="-96" w:rightChars="-30"/>
              <w:jc w:val="center"/>
              <w:textAlignment w:val="center"/>
              <w:rPr>
                <w:rFonts w:ascii="Times New Roman" w:hAnsi="Times New Roman" w:eastAsiaTheme="minorEastAsia"/>
                <w:color w:val="000000"/>
                <w:kern w:val="0"/>
                <w:sz w:val="21"/>
                <w:szCs w:val="21"/>
              </w:rPr>
            </w:pPr>
          </w:p>
        </w:tc>
      </w:tr>
    </w:tbl>
    <w:p>
      <w:pPr>
        <w:widowControl/>
        <w:jc w:val="left"/>
        <w:rPr>
          <w:rFonts w:ascii="仿宋" w:hAnsi="仿宋" w:eastAsia="仿宋" w:cs="仿宋"/>
          <w:kern w:val="0"/>
          <w:sz w:val="22"/>
          <w:szCs w:val="24"/>
        </w:rPr>
      </w:pPr>
    </w:p>
    <w:sectPr>
      <w:pgSz w:w="11906" w:h="16838"/>
      <w:pgMar w:top="1531" w:right="1531" w:bottom="1531" w:left="1531" w:header="851" w:footer="124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altName w:val="DejaVu Sans"/>
    <w:panose1 w:val="00000000000000000000"/>
    <w:charset w:val="00"/>
    <w:family w:val="roman"/>
    <w:pitch w:val="default"/>
    <w:sig w:usb0="00000000" w:usb1="00000000" w:usb2="00000000" w:usb3="00000000" w:csb0="00000000" w:csb1="00000000"/>
  </w:font>
  <w:font w:name="方正楷体简体">
    <w:altName w:val="宋体"/>
    <w:panose1 w:val="00000000000000000000"/>
    <w:charset w:val="86"/>
    <w:family w:val="auto"/>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Nimbus Roman">
    <w:panose1 w:val="000005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HorizontalSpacing w:val="160"/>
  <w:drawingGridVerticalSpacing w:val="435"/>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EzYzg2YzEzMTM1NjJhMjZiNGYwMzJlYzMxMzBjODkifQ=="/>
  </w:docVars>
  <w:rsids>
    <w:rsidRoot w:val="57CF293B"/>
    <w:rsid w:val="0001728F"/>
    <w:rsid w:val="00026015"/>
    <w:rsid w:val="000331DF"/>
    <w:rsid w:val="00051038"/>
    <w:rsid w:val="00094039"/>
    <w:rsid w:val="000A202B"/>
    <w:rsid w:val="000C08D6"/>
    <w:rsid w:val="000E2F02"/>
    <w:rsid w:val="000F782A"/>
    <w:rsid w:val="00107B4F"/>
    <w:rsid w:val="0013186B"/>
    <w:rsid w:val="00143F00"/>
    <w:rsid w:val="0015355C"/>
    <w:rsid w:val="001908F9"/>
    <w:rsid w:val="00191A01"/>
    <w:rsid w:val="001D16C2"/>
    <w:rsid w:val="001D5036"/>
    <w:rsid w:val="002418FE"/>
    <w:rsid w:val="00281EF0"/>
    <w:rsid w:val="002B4D65"/>
    <w:rsid w:val="002B5BF5"/>
    <w:rsid w:val="002B6F1C"/>
    <w:rsid w:val="002E15EB"/>
    <w:rsid w:val="002E2DF0"/>
    <w:rsid w:val="003228B3"/>
    <w:rsid w:val="00377D16"/>
    <w:rsid w:val="003B23DF"/>
    <w:rsid w:val="003D0F1E"/>
    <w:rsid w:val="003D71F6"/>
    <w:rsid w:val="003F7385"/>
    <w:rsid w:val="00410ABC"/>
    <w:rsid w:val="00417DCE"/>
    <w:rsid w:val="00490FB4"/>
    <w:rsid w:val="004C1953"/>
    <w:rsid w:val="004E33A3"/>
    <w:rsid w:val="00552BB0"/>
    <w:rsid w:val="005779D3"/>
    <w:rsid w:val="005C232C"/>
    <w:rsid w:val="0062258A"/>
    <w:rsid w:val="006974D8"/>
    <w:rsid w:val="006D15EA"/>
    <w:rsid w:val="006D6721"/>
    <w:rsid w:val="006E6693"/>
    <w:rsid w:val="00806545"/>
    <w:rsid w:val="00832114"/>
    <w:rsid w:val="008335DC"/>
    <w:rsid w:val="00897A57"/>
    <w:rsid w:val="008A3F11"/>
    <w:rsid w:val="008B38BE"/>
    <w:rsid w:val="008F4E59"/>
    <w:rsid w:val="00902702"/>
    <w:rsid w:val="00917D38"/>
    <w:rsid w:val="00932C8F"/>
    <w:rsid w:val="00961303"/>
    <w:rsid w:val="009839D9"/>
    <w:rsid w:val="009B6DE3"/>
    <w:rsid w:val="009C0895"/>
    <w:rsid w:val="009E75BA"/>
    <w:rsid w:val="009F19B4"/>
    <w:rsid w:val="00A01BFD"/>
    <w:rsid w:val="00A23691"/>
    <w:rsid w:val="00A4572A"/>
    <w:rsid w:val="00A77541"/>
    <w:rsid w:val="00A8190A"/>
    <w:rsid w:val="00A83D5D"/>
    <w:rsid w:val="00B25FFB"/>
    <w:rsid w:val="00B838B4"/>
    <w:rsid w:val="00BA22FC"/>
    <w:rsid w:val="00BD4B52"/>
    <w:rsid w:val="00BF62C8"/>
    <w:rsid w:val="00C11C33"/>
    <w:rsid w:val="00CC1DCB"/>
    <w:rsid w:val="00CD2872"/>
    <w:rsid w:val="00D06F4C"/>
    <w:rsid w:val="00D424F9"/>
    <w:rsid w:val="00D557B2"/>
    <w:rsid w:val="00DB39DA"/>
    <w:rsid w:val="00DF2FBB"/>
    <w:rsid w:val="00E064A5"/>
    <w:rsid w:val="00E41194"/>
    <w:rsid w:val="00E515BC"/>
    <w:rsid w:val="00E63EA3"/>
    <w:rsid w:val="00EA1FD4"/>
    <w:rsid w:val="00EA5E0A"/>
    <w:rsid w:val="00ED753C"/>
    <w:rsid w:val="00F240A7"/>
    <w:rsid w:val="00F91E6B"/>
    <w:rsid w:val="00FA5719"/>
    <w:rsid w:val="00FC12C2"/>
    <w:rsid w:val="00FD6F0C"/>
    <w:rsid w:val="00FF2A08"/>
    <w:rsid w:val="00FF530B"/>
    <w:rsid w:val="012F2A5D"/>
    <w:rsid w:val="026003DA"/>
    <w:rsid w:val="02BD682A"/>
    <w:rsid w:val="048760F2"/>
    <w:rsid w:val="057957B8"/>
    <w:rsid w:val="05A5563A"/>
    <w:rsid w:val="06DB0A8F"/>
    <w:rsid w:val="07972AF0"/>
    <w:rsid w:val="087C7176"/>
    <w:rsid w:val="098F44AC"/>
    <w:rsid w:val="09C050B2"/>
    <w:rsid w:val="0A4E4126"/>
    <w:rsid w:val="0A694CE4"/>
    <w:rsid w:val="1182036D"/>
    <w:rsid w:val="11AD363C"/>
    <w:rsid w:val="11E365EE"/>
    <w:rsid w:val="129810D6"/>
    <w:rsid w:val="1318085F"/>
    <w:rsid w:val="13E66F15"/>
    <w:rsid w:val="14B51486"/>
    <w:rsid w:val="15431963"/>
    <w:rsid w:val="155869EB"/>
    <w:rsid w:val="15C0597A"/>
    <w:rsid w:val="16E3365C"/>
    <w:rsid w:val="18187335"/>
    <w:rsid w:val="1BDE2644"/>
    <w:rsid w:val="1C4F52EF"/>
    <w:rsid w:val="1D4F23DF"/>
    <w:rsid w:val="1EDC019F"/>
    <w:rsid w:val="1EEE2B9E"/>
    <w:rsid w:val="20450EE3"/>
    <w:rsid w:val="20BB7C1F"/>
    <w:rsid w:val="218A5926"/>
    <w:rsid w:val="23D42CAA"/>
    <w:rsid w:val="24B623B0"/>
    <w:rsid w:val="24E24F53"/>
    <w:rsid w:val="25070E5D"/>
    <w:rsid w:val="254865FB"/>
    <w:rsid w:val="281264E8"/>
    <w:rsid w:val="286135A9"/>
    <w:rsid w:val="29812E5D"/>
    <w:rsid w:val="29CE3EAA"/>
    <w:rsid w:val="2A6E1037"/>
    <w:rsid w:val="2AA16D68"/>
    <w:rsid w:val="2C370DC2"/>
    <w:rsid w:val="2DA265A1"/>
    <w:rsid w:val="2E644C2A"/>
    <w:rsid w:val="31436D79"/>
    <w:rsid w:val="330F68F7"/>
    <w:rsid w:val="33596690"/>
    <w:rsid w:val="34115A0F"/>
    <w:rsid w:val="3439070C"/>
    <w:rsid w:val="34BA37F6"/>
    <w:rsid w:val="3567204C"/>
    <w:rsid w:val="36164F1A"/>
    <w:rsid w:val="36E83C48"/>
    <w:rsid w:val="37EB3A14"/>
    <w:rsid w:val="38887767"/>
    <w:rsid w:val="3D2B5E9F"/>
    <w:rsid w:val="3DF81D2A"/>
    <w:rsid w:val="3ED41958"/>
    <w:rsid w:val="3F192D2C"/>
    <w:rsid w:val="4033445D"/>
    <w:rsid w:val="4049329C"/>
    <w:rsid w:val="407D2F68"/>
    <w:rsid w:val="43B63024"/>
    <w:rsid w:val="44450C02"/>
    <w:rsid w:val="44BA76F3"/>
    <w:rsid w:val="44DC1567"/>
    <w:rsid w:val="44ED5522"/>
    <w:rsid w:val="45C24833"/>
    <w:rsid w:val="4799729B"/>
    <w:rsid w:val="4A631DE2"/>
    <w:rsid w:val="4B614574"/>
    <w:rsid w:val="4BDB3039"/>
    <w:rsid w:val="4C0B5B1F"/>
    <w:rsid w:val="4E06686F"/>
    <w:rsid w:val="4F8D589F"/>
    <w:rsid w:val="50897748"/>
    <w:rsid w:val="508E5F10"/>
    <w:rsid w:val="50F639B0"/>
    <w:rsid w:val="52AF3E17"/>
    <w:rsid w:val="54637CBC"/>
    <w:rsid w:val="54CB0CB0"/>
    <w:rsid w:val="56C836F9"/>
    <w:rsid w:val="578A30A4"/>
    <w:rsid w:val="57CF293B"/>
    <w:rsid w:val="5BBF6103"/>
    <w:rsid w:val="5BC36B67"/>
    <w:rsid w:val="5BF46CD1"/>
    <w:rsid w:val="5C1D5B1C"/>
    <w:rsid w:val="5D061443"/>
    <w:rsid w:val="5D1F603D"/>
    <w:rsid w:val="5E062D59"/>
    <w:rsid w:val="61F07FA8"/>
    <w:rsid w:val="625C65CB"/>
    <w:rsid w:val="64830C87"/>
    <w:rsid w:val="650A5824"/>
    <w:rsid w:val="6549634D"/>
    <w:rsid w:val="65B21C6C"/>
    <w:rsid w:val="6773145F"/>
    <w:rsid w:val="6818558A"/>
    <w:rsid w:val="6BFA214F"/>
    <w:rsid w:val="6C2969BA"/>
    <w:rsid w:val="6DF13227"/>
    <w:rsid w:val="6E5A4102"/>
    <w:rsid w:val="6ED87A76"/>
    <w:rsid w:val="704F058F"/>
    <w:rsid w:val="719F0A6C"/>
    <w:rsid w:val="72A9667D"/>
    <w:rsid w:val="749B5A1A"/>
    <w:rsid w:val="75061B64"/>
    <w:rsid w:val="779F6861"/>
    <w:rsid w:val="78C434B2"/>
    <w:rsid w:val="7C352D2F"/>
    <w:rsid w:val="7D0A0BA4"/>
    <w:rsid w:val="7F054C3B"/>
    <w:rsid w:val="7FCB12D2"/>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paragraph" w:styleId="2">
    <w:name w:val="heading 2"/>
    <w:basedOn w:val="1"/>
    <w:next w:val="1"/>
    <w:unhideWhenUsed/>
    <w:qFormat/>
    <w:uiPriority w:val="0"/>
    <w:pPr>
      <w:overflowPunct w:val="0"/>
      <w:spacing w:line="600" w:lineRule="exact"/>
      <w:jc w:val="center"/>
      <w:outlineLvl w:val="1"/>
    </w:pPr>
    <w:rPr>
      <w:rFonts w:hint="eastAsia" w:ascii="方正小标宋简体" w:hAnsi="方正小标宋简体" w:eastAsia="方正小标宋简体"/>
      <w:kern w:val="0"/>
      <w:sz w:val="44"/>
      <w:szCs w:val="44"/>
    </w:rPr>
  </w:style>
  <w:style w:type="paragraph" w:styleId="3">
    <w:name w:val="heading 4"/>
    <w:basedOn w:val="1"/>
    <w:next w:val="1"/>
    <w:link w:val="12"/>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5">
    <w:name w:val="Plain Text"/>
    <w:basedOn w:val="1"/>
    <w:qFormat/>
    <w:uiPriority w:val="0"/>
    <w:rPr>
      <w:rFonts w:ascii="宋体" w:hAnsi="Courier New" w:eastAsia="宋体"/>
      <w:sz w:val="21"/>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rPr>
      <w:rFonts w:eastAsia="宋体"/>
      <w:sz w:val="21"/>
      <w:szCs w:val="24"/>
    </w:rPr>
  </w:style>
  <w:style w:type="character" w:styleId="11">
    <w:name w:val="page number"/>
    <w:basedOn w:val="10"/>
    <w:qFormat/>
    <w:uiPriority w:val="0"/>
  </w:style>
  <w:style w:type="character" w:customStyle="1" w:styleId="12">
    <w:name w:val="标题 4 Char"/>
    <w:basedOn w:val="10"/>
    <w:link w:val="3"/>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5818</Words>
  <Characters>6247</Characters>
  <Lines>20</Lines>
  <Paragraphs>22</Paragraphs>
  <TotalTime>4277</TotalTime>
  <ScaleCrop>false</ScaleCrop>
  <LinksUpToDate>false</LinksUpToDate>
  <CharactersWithSpaces>6293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2024-05-28T01:23:00Z</dcterms:created>
  <dc:creator>丁洁</dc:creator>
  <cp:lastModifiedBy>kylin</cp:lastModifiedBy>
  <cp:lastPrinted>2025-04-22T23:00:00Z</cp:lastPrinted>
  <dcterms:modified xsi:type="dcterms:W3CDTF">2025-09-29T08:53:09Z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5BA51A49377D428A80FDD1AF425FDE92_13</vt:lpwstr>
  </property>
  <property fmtid="{D5CDD505-2E9C-101B-9397-08002B2CF9AE}" pid="4" name="KSOTemplateDocerSaveRecord">
    <vt:lpwstr>eyJoZGlkIjoiYWEzYzg2YzEzMTM1NjJhMjZiNGYwMzJlYzMxMzBjODkifQ==</vt:lpwstr>
  </property>
</Properties>
</file>