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42510">
      <w:pPr>
        <w:overflowPunct w:val="0"/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2023年度益阳市商务局</w:t>
      </w:r>
    </w:p>
    <w:p w14:paraId="7EA22975">
      <w:pPr>
        <w:overflowPunct w:val="0"/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部门整体支出绩效自评报告</w:t>
      </w:r>
    </w:p>
    <w:p w14:paraId="1C35C1F9">
      <w:pPr>
        <w:overflowPunct w:val="0"/>
        <w:spacing w:line="570" w:lineRule="exact"/>
        <w:ind w:firstLine="872" w:firstLineChars="200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10C62E40">
      <w:pPr>
        <w:overflowPunct w:val="0"/>
        <w:spacing w:line="570" w:lineRule="exact"/>
        <w:ind w:firstLine="632" w:firstLineChars="20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一、部门基本情况</w:t>
      </w:r>
    </w:p>
    <w:p w14:paraId="58032198">
      <w:pPr>
        <w:overflowPunct w:val="0"/>
        <w:autoSpaceDE w:val="0"/>
        <w:autoSpaceDN w:val="0"/>
        <w:adjustRightInd w:val="0"/>
        <w:spacing w:line="570" w:lineRule="exact"/>
        <w:ind w:firstLine="632" w:firstLineChars="200"/>
        <w:rPr>
          <w:rFonts w:ascii="Times New Roman" w:hAnsi="Times New Roman" w:eastAsia="方正楷体简体"/>
          <w:bCs/>
          <w:szCs w:val="32"/>
        </w:rPr>
      </w:pPr>
      <w:r>
        <w:rPr>
          <w:rFonts w:ascii="Times New Roman" w:hAnsi="Times New Roman" w:eastAsia="方正楷体简体"/>
          <w:bCs/>
          <w:szCs w:val="32"/>
        </w:rPr>
        <w:t>（一）主要职能</w:t>
      </w:r>
    </w:p>
    <w:p w14:paraId="222F7AEA">
      <w:pPr>
        <w:overflowPunct w:val="0"/>
        <w:snapToGri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贯彻执行有关内外贸易、经济合作的方针、政策和法律、法规，起草我市国内外贸易、招商引资、承接产业转移、对外援助、对外投资和对外经济合作的政策措施和实施办法，研究经济全球化、区域经济合作、现代流通方式的发展趋势和流通体制改革并提出建议。</w:t>
      </w:r>
    </w:p>
    <w:p w14:paraId="74B2A923">
      <w:pPr>
        <w:overflowPunct w:val="0"/>
        <w:snapToGri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 xml:space="preserve">2.负责推进流通产业结构调整，指导流通企业改革，促进商贸服务业和社区商业发展，提出促进商贸中小企业发展的政策建议，推动流通标准化和连锁经营、商业特许经营、物流配送、电子商务等现代流通方式的发展。 </w:t>
      </w:r>
    </w:p>
    <w:p w14:paraId="005C7E9B">
      <w:pPr>
        <w:overflowPunct w:val="0"/>
        <w:snapToGri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 xml:space="preserve">3.拟订全市国内贸易发展规划，促进城乡市场发展，研究提出引导国内外资金投向市场体系建设的政策建议，指导大宗产品批发市场规划和城市商业网点规划、商业体系建设工作，推进农村市场体系建设，组织实施农村现代流通网络工程。 </w:t>
      </w:r>
    </w:p>
    <w:p w14:paraId="6CCB3951">
      <w:pPr>
        <w:overflowPunct w:val="0"/>
        <w:snapToGri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 xml:space="preserve">4.承担牵头协调整顿和规范市场经济秩序工作的责任，拟订规范市场秩序的政策；协调全市消除地区封锁、打破行业垄断的有关工作，规范商贸企业交易行为；推动商务领域信用建设，指导商业信用销售，建立市场诚信公共服务平台；按有关规定对特殊流通行业进行监督管理；负责全市商务行政综合执法工作。  </w:t>
      </w:r>
    </w:p>
    <w:p w14:paraId="0CE25806">
      <w:pPr>
        <w:overflowPunct w:val="0"/>
        <w:snapToGri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 xml:space="preserve">5.承担组织实施重要消费品市场调控和重要生产资料流通管理的责任，负责建立健全生活必需品市场供应应急管理机制，监测分析市场运行、商品供求状况，调查分析商品价格信息，进行预测预警和信息引导；按分工负责重要消费品储备管理和市场调控工作；按有关规定对成品油流通进行监督管理。 </w:t>
      </w:r>
    </w:p>
    <w:p w14:paraId="164B5B4B">
      <w:pPr>
        <w:overflowPunct w:val="0"/>
        <w:snapToGri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 xml:space="preserve">6.贯彻执行国家进出口商品、加工贸易管理办法和进出口管理商品、技术目录，拟订促进外贸增长方式转变的政策措施，组织实施重要工业品、原材料和重要农产品进出口总量计划，会同有关部门协调大宗进出口商品，指导贸易促进活动和外贸促进体系建设。 </w:t>
      </w:r>
    </w:p>
    <w:p w14:paraId="554ACCFD">
      <w:pPr>
        <w:overflowPunct w:val="0"/>
        <w:snapToGri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 xml:space="preserve">7.贯彻执行国家对外技术贸易、出口管制以及鼓励技术和成套设备进出口的贸易政策，推进进出口贸易标准化工作；依法监督技术引进、设备进口、国家限制出口技术的工作。 </w:t>
      </w:r>
    </w:p>
    <w:p w14:paraId="4B24C5FF">
      <w:pPr>
        <w:overflowPunct w:val="0"/>
        <w:snapToGri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 xml:space="preserve">8.牵头拟订服务贸易发展规划并开展相关工作；会同有关部门制定促进服务出口、服务外包的规划、政策并组织实施，推动服务外包平台建设。 </w:t>
      </w:r>
    </w:p>
    <w:p w14:paraId="10E65329">
      <w:pPr>
        <w:overflowPunct w:val="0"/>
        <w:snapToGri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9.贯彻执行我国多双边</w:t>
      </w:r>
      <w:r>
        <w:rPr>
          <w:rFonts w:hint="eastAsia" w:ascii="Times New Roman" w:hAnsi="Times New Roman" w:eastAsia="仿宋"/>
          <w:szCs w:val="32"/>
        </w:rPr>
        <w:t>（</w:t>
      </w:r>
      <w:r>
        <w:rPr>
          <w:rFonts w:ascii="Times New Roman" w:hAnsi="Times New Roman" w:eastAsia="仿宋"/>
          <w:szCs w:val="32"/>
        </w:rPr>
        <w:t>含区域、自由贸易区</w:t>
      </w:r>
      <w:r>
        <w:rPr>
          <w:rFonts w:hint="eastAsia" w:ascii="Times New Roman" w:hAnsi="Times New Roman" w:eastAsia="仿宋"/>
          <w:szCs w:val="32"/>
        </w:rPr>
        <w:t>）</w:t>
      </w:r>
      <w:r>
        <w:rPr>
          <w:rFonts w:ascii="Times New Roman" w:hAnsi="Times New Roman" w:eastAsia="仿宋"/>
          <w:szCs w:val="32"/>
        </w:rPr>
        <w:t>经贸合作战略和政策，推进我市与其他国家</w:t>
      </w:r>
      <w:r>
        <w:rPr>
          <w:rFonts w:hint="eastAsia" w:ascii="Times New Roman" w:hAnsi="Times New Roman" w:eastAsia="仿宋"/>
          <w:szCs w:val="32"/>
        </w:rPr>
        <w:t>（</w:t>
      </w:r>
      <w:r>
        <w:rPr>
          <w:rFonts w:ascii="Times New Roman" w:hAnsi="Times New Roman" w:eastAsia="仿宋"/>
          <w:szCs w:val="32"/>
        </w:rPr>
        <w:t>地区</w:t>
      </w:r>
      <w:r>
        <w:rPr>
          <w:rFonts w:hint="eastAsia" w:ascii="Times New Roman" w:hAnsi="Times New Roman" w:eastAsia="仿宋"/>
          <w:szCs w:val="32"/>
        </w:rPr>
        <w:t>）</w:t>
      </w:r>
      <w:r>
        <w:rPr>
          <w:rFonts w:ascii="Times New Roman" w:hAnsi="Times New Roman" w:eastAsia="仿宋"/>
          <w:szCs w:val="32"/>
        </w:rPr>
        <w:t>的经贸往来与投资贸易合作；承担全市商务领域涉及世界贸易组织事务的相关工作，负责对外经济贸易协调工作。指导我市对港、澳、台地区贸易和经贸合作活动，协调港、澳、台投资管理工作。</w:t>
      </w:r>
    </w:p>
    <w:p w14:paraId="332F0258">
      <w:pPr>
        <w:overflowPunct w:val="0"/>
        <w:snapToGri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10.负责组织协调反倾销、反补贴、保障措施及其他与进出口公平贸易相关的工作，协助开展对外贸易调查和产业损害调查，指导协调产业安全应对工作。</w:t>
      </w:r>
    </w:p>
    <w:p w14:paraId="2E74AF29">
      <w:pPr>
        <w:overflowPunct w:val="0"/>
        <w:snapToGri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 xml:space="preserve">11.宏观指导全市招商引资和承接产业转移工作，拟订并组织实施招商引资和承接产业转移政策；依法监督管理外商投资企业和重大外商投资项目，检查外商投资企业执行有关法律法规规章、合同章程的情况并协调解决有关问题；指导投资促进及全市外商投资企业审批工作，规范招商引资活动；指导市域内经济技术开发区的开放型经济工作。 </w:t>
      </w:r>
    </w:p>
    <w:p w14:paraId="398145D5">
      <w:pPr>
        <w:overflowPunct w:val="0"/>
        <w:snapToGri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 xml:space="preserve">12.拟订并组织实施对外经济合作政策；依法管理和监督对外承包工程、对外劳务合作等；拟订市内人员出境就业管理政策并组织实施，负责牵头外派劳务和境外就业人员的权益保护工作；拟订境外投资的管理办法和具体政策。 </w:t>
      </w:r>
    </w:p>
    <w:p w14:paraId="334D9AB1">
      <w:pPr>
        <w:overflowPunct w:val="0"/>
        <w:snapToGri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13.贯彻执行国家对外援助政策和方案，协调管理全市承担的对外援助项目；协调管理多双边对我市的无偿援助和赠款（不含财政合作项下外国政府及国际金融组织的赠款</w:t>
      </w:r>
      <w:r>
        <w:rPr>
          <w:rFonts w:hint="eastAsia" w:ascii="Times New Roman" w:hAnsi="Times New Roman" w:eastAsia="仿宋"/>
          <w:szCs w:val="32"/>
        </w:rPr>
        <w:t>）</w:t>
      </w:r>
      <w:r>
        <w:rPr>
          <w:rFonts w:ascii="Times New Roman" w:hAnsi="Times New Roman" w:eastAsia="仿宋"/>
          <w:szCs w:val="32"/>
        </w:rPr>
        <w:t xml:space="preserve">等发展合作业务。 </w:t>
      </w:r>
    </w:p>
    <w:p w14:paraId="2B1B1010">
      <w:pPr>
        <w:overflowPunct w:val="0"/>
        <w:snapToGri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14.负责全市对外开放口岸的规划、申报及有关审批工作；协调管理全市口岸工作，推动建立大通关机制。</w:t>
      </w:r>
    </w:p>
    <w:p w14:paraId="7024BE1D">
      <w:pPr>
        <w:overflowPunct w:val="0"/>
        <w:snapToGri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15.承担全市商务系统统计及其信息发布工作，提供信息咨询服务，指导全市流通领域信息网络和电子商务建设。</w:t>
      </w:r>
    </w:p>
    <w:p w14:paraId="06E25E30">
      <w:pPr>
        <w:overflowPunct w:val="0"/>
        <w:snapToGri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16.承担会展业促进与管理有关工作，依法监督管理在益阳境内举办的对外经济技术展览会。</w:t>
      </w:r>
    </w:p>
    <w:p w14:paraId="6878864C">
      <w:pPr>
        <w:overflowPunct w:val="0"/>
        <w:snapToGri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17.承办市人民政府交办的其他事项。</w:t>
      </w:r>
    </w:p>
    <w:p w14:paraId="28B894EF">
      <w:pPr>
        <w:overflowPunct w:val="0"/>
        <w:autoSpaceDE w:val="0"/>
        <w:autoSpaceDN w:val="0"/>
        <w:adjustRightInd w:val="0"/>
        <w:spacing w:line="570" w:lineRule="exact"/>
        <w:ind w:firstLine="632" w:firstLineChars="200"/>
        <w:rPr>
          <w:rFonts w:ascii="Times New Roman" w:hAnsi="Times New Roman" w:eastAsia="方正楷体简体"/>
          <w:bCs/>
          <w:szCs w:val="32"/>
        </w:rPr>
      </w:pPr>
      <w:r>
        <w:rPr>
          <w:rFonts w:ascii="Times New Roman" w:hAnsi="Times New Roman" w:eastAsia="方正楷体简体"/>
          <w:bCs/>
          <w:szCs w:val="32"/>
        </w:rPr>
        <w:t>（二）机构情况</w:t>
      </w:r>
    </w:p>
    <w:p w14:paraId="44D7BF2E">
      <w:pPr>
        <w:overflowPunct w:val="0"/>
        <w:autoSpaceDE w:val="0"/>
        <w:autoSpaceDN w:val="0"/>
        <w:adjustRightIn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本单位是益阳市人民政府工作部门，内设18个职能科室：办公室、法规科、市场运行调节和消费促进科（市成品油流通管理办公室）、市场体系建设科、流通业发展科、市场秩序科、电子商务科、服务贸易和商贸服务业科、对外贸易科、承接产业转移和加工贸易科、投资管理科、对外投资和经济合作科、口岸科、行政审批改革科、财务科、人事科（离退休人员管理科）、机关党委（机关纪委）、商务工会。</w:t>
      </w:r>
    </w:p>
    <w:p w14:paraId="773F9679">
      <w:pPr>
        <w:overflowPunct w:val="0"/>
        <w:autoSpaceDE w:val="0"/>
        <w:autoSpaceDN w:val="0"/>
        <w:adjustRightIn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局直属独立核算事业单位3个：市商务局离退休干部管理服务中心、市市场服务中心、市投资促进事务中心。</w:t>
      </w:r>
    </w:p>
    <w:p w14:paraId="5C2CB065">
      <w:pPr>
        <w:overflowPunct w:val="0"/>
        <w:autoSpaceDE w:val="0"/>
        <w:autoSpaceDN w:val="0"/>
        <w:adjustRightInd w:val="0"/>
        <w:spacing w:line="570" w:lineRule="exact"/>
        <w:ind w:firstLine="632" w:firstLineChars="200"/>
        <w:rPr>
          <w:rFonts w:ascii="Times New Roman" w:hAnsi="Times New Roman" w:eastAsia="方正楷体简体"/>
          <w:bCs/>
          <w:szCs w:val="32"/>
        </w:rPr>
      </w:pPr>
      <w:r>
        <w:rPr>
          <w:rFonts w:ascii="Times New Roman" w:hAnsi="Times New Roman" w:eastAsia="方正楷体简体"/>
          <w:bCs/>
          <w:szCs w:val="32"/>
        </w:rPr>
        <w:t>（三）人员情况</w:t>
      </w:r>
    </w:p>
    <w:p w14:paraId="1036D3EC">
      <w:pPr>
        <w:overflowPunct w:val="0"/>
        <w:autoSpaceDE w:val="0"/>
        <w:autoSpaceDN w:val="0"/>
        <w:adjustRightIn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2023年本单位年末编制数46人，在职实有人数46人，比上年增加4人。离休人员1人，退休人员52人。人员变化的主要原因是本年度退休2人、调入1人、考录并遴选5人。</w:t>
      </w:r>
    </w:p>
    <w:p w14:paraId="3174892A">
      <w:pPr>
        <w:overflowPunct w:val="0"/>
        <w:spacing w:line="570" w:lineRule="exact"/>
        <w:ind w:firstLine="632" w:firstLineChars="20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二、一般公共预算支出情况</w:t>
      </w:r>
    </w:p>
    <w:p w14:paraId="0A173C97">
      <w:pPr>
        <w:overflowPunct w:val="0"/>
        <w:autoSpaceDE w:val="0"/>
        <w:autoSpaceDN w:val="0"/>
        <w:adjustRightIn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2023年本单位一般公共预算财政拨款支出2641.25万元，占总支出的99.99%，比上年增加127.92万元，增长5.09%。变化的主要原因：疫情全面放开后，本单位本年度进一步加大消费促进力度，且参加了三次出国考察并开展了外事接待等一系列招商活动，支出随之增加。</w:t>
      </w:r>
    </w:p>
    <w:p w14:paraId="6F434970">
      <w:pPr>
        <w:overflowPunct w:val="0"/>
        <w:autoSpaceDE w:val="0"/>
        <w:autoSpaceDN w:val="0"/>
        <w:adjustRightInd w:val="0"/>
        <w:spacing w:line="570" w:lineRule="exact"/>
        <w:ind w:firstLine="632" w:firstLineChars="200"/>
        <w:rPr>
          <w:rFonts w:ascii="Times New Roman" w:hAnsi="Times New Roman" w:eastAsia="方正楷体简体"/>
          <w:bCs/>
          <w:szCs w:val="32"/>
        </w:rPr>
      </w:pPr>
      <w:r>
        <w:rPr>
          <w:rFonts w:ascii="Times New Roman" w:hAnsi="Times New Roman" w:eastAsia="方正楷体简体"/>
          <w:bCs/>
          <w:szCs w:val="32"/>
        </w:rPr>
        <w:t>（一）一般公共预算财政拨款基本支出情况</w:t>
      </w:r>
    </w:p>
    <w:p w14:paraId="06CE67D9">
      <w:pPr>
        <w:overflowPunct w:val="0"/>
        <w:autoSpaceDE w:val="0"/>
        <w:autoSpaceDN w:val="0"/>
        <w:adjustRightInd w:val="0"/>
        <w:spacing w:line="570" w:lineRule="exact"/>
        <w:ind w:firstLine="632" w:firstLineChars="200"/>
        <w:rPr>
          <w:rFonts w:ascii="Times New Roman" w:hAnsi="Times New Roman" w:eastAsia="仿宋"/>
          <w:szCs w:val="32"/>
          <w:highlight w:val="yellow"/>
        </w:rPr>
      </w:pPr>
      <w:r>
        <w:rPr>
          <w:rFonts w:ascii="Times New Roman" w:hAnsi="Times New Roman" w:eastAsia="仿宋"/>
          <w:szCs w:val="32"/>
        </w:rPr>
        <w:t>2023年本单位一般公共预算财政拨款基本支出1197.02万元，占总支出的45.32%，比上年减少296.96万元，减少19.88%。变化的主要原因：</w:t>
      </w:r>
      <w:r>
        <w:rPr>
          <w:rFonts w:hint="eastAsia" w:ascii="Times New Roman" w:hAnsi="Times New Roman" w:eastAsia="仿宋"/>
          <w:szCs w:val="32"/>
        </w:rPr>
        <w:t>由于绩效奖政策调整，上年度补发了2021-2022年基础绩效资金，而本年度仅发放2023年基础绩效资金</w:t>
      </w:r>
      <w:r>
        <w:rPr>
          <w:rFonts w:ascii="Times New Roman" w:hAnsi="Times New Roman" w:eastAsia="仿宋"/>
          <w:szCs w:val="32"/>
        </w:rPr>
        <w:t>。</w:t>
      </w:r>
    </w:p>
    <w:p w14:paraId="29A031D7">
      <w:pPr>
        <w:overflowPunct w:val="0"/>
        <w:autoSpaceDE w:val="0"/>
        <w:autoSpaceDN w:val="0"/>
        <w:adjustRightInd w:val="0"/>
        <w:spacing w:line="570" w:lineRule="exact"/>
        <w:ind w:firstLine="632" w:firstLineChars="200"/>
        <w:rPr>
          <w:rFonts w:ascii="Times New Roman" w:hAnsi="Times New Roman" w:eastAsia="方正楷体简体"/>
          <w:bCs/>
          <w:szCs w:val="32"/>
        </w:rPr>
      </w:pPr>
      <w:r>
        <w:rPr>
          <w:rFonts w:ascii="Times New Roman" w:hAnsi="Times New Roman" w:eastAsia="方正楷体简体"/>
          <w:bCs/>
          <w:szCs w:val="32"/>
        </w:rPr>
        <w:t>（二）一般公共预算财政拨款项目支出情况</w:t>
      </w:r>
    </w:p>
    <w:p w14:paraId="0E426B4F">
      <w:pPr>
        <w:overflowPunct w:val="0"/>
        <w:autoSpaceDE w:val="0"/>
        <w:autoSpaceDN w:val="0"/>
        <w:adjustRightIn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2023年本单位一般公共预算财政拨款项目支出1444.23万元，占总支出的54.68%，比上年增加424.88万元，增长41.68%。变化的主要原因：疫情全面放开后，本单位本年度进一步加大消费促进力度，且参加了三次出国考察并开展了外事接待等一系列招商活动，支出随之增加。</w:t>
      </w:r>
    </w:p>
    <w:p w14:paraId="5B50EC24">
      <w:pPr>
        <w:overflowPunct w:val="0"/>
        <w:spacing w:line="570" w:lineRule="exact"/>
        <w:ind w:firstLine="632" w:firstLineChars="20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三、政府性基金预算支出</w:t>
      </w:r>
    </w:p>
    <w:p w14:paraId="3E9604B6">
      <w:pPr>
        <w:overflowPunct w:val="0"/>
        <w:autoSpaceDE w:val="0"/>
        <w:autoSpaceDN w:val="0"/>
        <w:adjustRightIn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本单位2023年度无政府性基金预算支出。</w:t>
      </w:r>
    </w:p>
    <w:p w14:paraId="6F8FF304">
      <w:pPr>
        <w:overflowPunct w:val="0"/>
        <w:spacing w:line="570" w:lineRule="exact"/>
        <w:ind w:firstLine="632" w:firstLineChars="20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四、国有资本经营预算支出</w:t>
      </w:r>
    </w:p>
    <w:p w14:paraId="3DBE2396">
      <w:pPr>
        <w:overflowPunct w:val="0"/>
        <w:autoSpaceDE w:val="0"/>
        <w:autoSpaceDN w:val="0"/>
        <w:adjustRightIn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本单位2023年度无国有资本经营预算支出。</w:t>
      </w:r>
    </w:p>
    <w:p w14:paraId="2E29D313">
      <w:pPr>
        <w:overflowPunct w:val="0"/>
        <w:spacing w:line="570" w:lineRule="exact"/>
        <w:ind w:firstLine="632" w:firstLineChars="20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五、社会保险基金预算支出</w:t>
      </w:r>
    </w:p>
    <w:p w14:paraId="1A9825E4">
      <w:pPr>
        <w:overflowPunct w:val="0"/>
        <w:autoSpaceDE w:val="0"/>
        <w:autoSpaceDN w:val="0"/>
        <w:adjustRightIn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本单位2023年度无社会保险基金预算支出。</w:t>
      </w:r>
    </w:p>
    <w:p w14:paraId="49C5AD3E">
      <w:pPr>
        <w:overflowPunct w:val="0"/>
        <w:spacing w:line="570" w:lineRule="exact"/>
        <w:ind w:firstLine="632" w:firstLineChars="20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六、部门整体支出绩效情况</w:t>
      </w:r>
    </w:p>
    <w:p w14:paraId="6BAC69B8">
      <w:pPr>
        <w:overflowPunct w:val="0"/>
        <w:autoSpaceDE w:val="0"/>
        <w:autoSpaceDN w:val="0"/>
        <w:adjustRightInd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根据《益阳市财政局关于开展2023年度部门绩效自评工作的通知》文件要求，我单位组织了财务负责人及各科室经办人组成的绩效自评工作小组，本着实事求是的原则，通过核实数据、收集资料、归纳汇总、认真分析和客观评价，对本部门的整体支出进行了绩效自评。绩效评价结果显示，我单位在预算配置、预算执行、预算管理等方面工作推进扎实，较好地实现了年度绩效目标。主要成效如下：</w:t>
      </w:r>
    </w:p>
    <w:p w14:paraId="7C731A6B">
      <w:pPr>
        <w:overflowPunct w:val="0"/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全市</w:t>
      </w:r>
      <w:r>
        <w:rPr>
          <w:rFonts w:ascii="Times New Roman" w:hAnsi="Times New Roman" w:eastAsia="仿宋"/>
          <w:b/>
          <w:bCs/>
          <w:szCs w:val="32"/>
        </w:rPr>
        <w:t>社会消费品零售总额</w:t>
      </w:r>
      <w:r>
        <w:rPr>
          <w:rFonts w:ascii="Times New Roman" w:hAnsi="Times New Roman" w:eastAsia="仿宋"/>
          <w:szCs w:val="32"/>
        </w:rPr>
        <w:t>901.7亿元，同比增长7.2%，高于全省1.1个百分点；</w:t>
      </w:r>
      <w:r>
        <w:rPr>
          <w:rFonts w:ascii="Times New Roman" w:hAnsi="Times New Roman" w:eastAsia="仿宋"/>
          <w:b/>
          <w:bCs/>
          <w:szCs w:val="32"/>
        </w:rPr>
        <w:t>完成外贸进出口总额</w:t>
      </w:r>
      <w:r>
        <w:rPr>
          <w:rFonts w:ascii="Times New Roman" w:hAnsi="Times New Roman" w:eastAsia="仿宋"/>
          <w:szCs w:val="32"/>
        </w:rPr>
        <w:t>74.1亿元；</w:t>
      </w:r>
      <w:r>
        <w:rPr>
          <w:rFonts w:ascii="Times New Roman" w:hAnsi="Times New Roman" w:eastAsia="仿宋"/>
          <w:b/>
          <w:bCs/>
          <w:szCs w:val="32"/>
        </w:rPr>
        <w:t>实际使用外资</w:t>
      </w:r>
      <w:r>
        <w:rPr>
          <w:rFonts w:ascii="Times New Roman" w:hAnsi="Times New Roman" w:eastAsia="仿宋"/>
          <w:szCs w:val="32"/>
        </w:rPr>
        <w:t>1675万美元，增长384.1%；</w:t>
      </w:r>
      <w:r>
        <w:rPr>
          <w:rFonts w:ascii="Times New Roman" w:hAnsi="Times New Roman" w:eastAsia="仿宋"/>
          <w:b/>
          <w:bCs/>
          <w:szCs w:val="32"/>
        </w:rPr>
        <w:t>湘商回归投资新注册企业</w:t>
      </w:r>
      <w:r>
        <w:rPr>
          <w:rFonts w:ascii="Times New Roman" w:hAnsi="Times New Roman" w:eastAsia="仿宋"/>
          <w:szCs w:val="32"/>
        </w:rPr>
        <w:t>85家，累计到位资金271.84亿元；</w:t>
      </w:r>
      <w:r>
        <w:rPr>
          <w:rFonts w:ascii="Times New Roman" w:hAnsi="Times New Roman" w:eastAsia="仿宋"/>
          <w:b/>
          <w:bCs/>
          <w:szCs w:val="32"/>
        </w:rPr>
        <w:t>新引进“三类500强”项目</w:t>
      </w:r>
      <w:r>
        <w:rPr>
          <w:rFonts w:ascii="Times New Roman" w:hAnsi="Times New Roman" w:eastAsia="仿宋"/>
          <w:szCs w:val="32"/>
        </w:rPr>
        <w:t>21个；</w:t>
      </w:r>
      <w:r>
        <w:rPr>
          <w:rFonts w:ascii="Times New Roman" w:hAnsi="Times New Roman" w:eastAsia="仿宋"/>
          <w:b/>
          <w:bCs/>
          <w:szCs w:val="32"/>
        </w:rPr>
        <w:t>引进省外境内资金</w:t>
      </w:r>
      <w:r>
        <w:rPr>
          <w:rFonts w:ascii="Times New Roman" w:hAnsi="Times New Roman" w:eastAsia="仿宋"/>
          <w:szCs w:val="32"/>
        </w:rPr>
        <w:t>869.9亿元，增长13.5%；</w:t>
      </w:r>
      <w:r>
        <w:rPr>
          <w:rFonts w:ascii="Times New Roman" w:hAnsi="Times New Roman" w:eastAsia="仿宋"/>
          <w:b/>
          <w:bCs/>
          <w:szCs w:val="32"/>
        </w:rPr>
        <w:t>引进域外省内资金</w:t>
      </w:r>
      <w:r>
        <w:rPr>
          <w:rFonts w:ascii="Times New Roman" w:hAnsi="Times New Roman" w:eastAsia="仿宋"/>
          <w:szCs w:val="32"/>
        </w:rPr>
        <w:t>52.2亿元，增长13.3%；</w:t>
      </w:r>
      <w:r>
        <w:rPr>
          <w:rFonts w:ascii="Times New Roman" w:hAnsi="Times New Roman" w:eastAsia="仿宋"/>
          <w:b/>
          <w:szCs w:val="32"/>
        </w:rPr>
        <w:t>对外工程承包和劳务合作营业额</w:t>
      </w:r>
      <w:r>
        <w:rPr>
          <w:rFonts w:ascii="Times New Roman" w:hAnsi="Times New Roman" w:eastAsia="仿宋"/>
          <w:szCs w:val="32"/>
        </w:rPr>
        <w:t>7042.06万美元，增长10.18%；</w:t>
      </w:r>
      <w:r>
        <w:rPr>
          <w:rFonts w:ascii="Times New Roman" w:hAnsi="Times New Roman" w:eastAsia="仿宋"/>
          <w:b/>
          <w:bCs/>
          <w:szCs w:val="32"/>
        </w:rPr>
        <w:t>对外实际投资额</w:t>
      </w:r>
      <w:r>
        <w:rPr>
          <w:rFonts w:ascii="Times New Roman" w:hAnsi="Times New Roman" w:eastAsia="仿宋"/>
          <w:szCs w:val="32"/>
        </w:rPr>
        <w:t>3348万美元，增长82.6%。益阳跻身“中国投资热点城市”，市商务局获评2023年度全省内贸工作先进单位，平安建设、立项争资、税费精诚共治等8项工作获评全市先进。</w:t>
      </w:r>
    </w:p>
    <w:p w14:paraId="363DAEC0">
      <w:pPr>
        <w:pStyle w:val="7"/>
        <w:overflowPunct w:val="0"/>
        <w:spacing w:line="570" w:lineRule="exact"/>
        <w:ind w:firstLine="632" w:firstLineChars="2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t>（一）坚持大抓招商引资。</w:t>
      </w:r>
      <w:r>
        <w:rPr>
          <w:rFonts w:ascii="Times New Roman" w:hAnsi="Times New Roman" w:eastAsia="仿宋"/>
          <w:color w:val="000000"/>
          <w:sz w:val="32"/>
          <w:szCs w:val="32"/>
        </w:rPr>
        <w:t>在市委、市政府高位推动下，</w:t>
      </w:r>
      <w:r>
        <w:rPr>
          <w:rFonts w:ascii="Times New Roman" w:hAnsi="Times New Roman" w:eastAsia="仿宋"/>
          <w:sz w:val="32"/>
          <w:szCs w:val="32"/>
        </w:rPr>
        <w:t>开展招商引资“百日冲刺”，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市政府首聘13名招商顾问，</w:t>
      </w:r>
      <w:r>
        <w:rPr>
          <w:rFonts w:ascii="Times New Roman" w:hAnsi="Times New Roman" w:eastAsia="仿宋"/>
          <w:sz w:val="32"/>
          <w:szCs w:val="32"/>
        </w:rPr>
        <w:t>设立市、县、乡三级湘商回归和返乡创业指导服务站117个，有力推动了“湘商回归”</w:t>
      </w:r>
      <w:r>
        <w:rPr>
          <w:rFonts w:ascii="Times New Roman" w:hAnsi="Times New Roman" w:eastAsia="仿宋"/>
          <w:color w:val="000000"/>
          <w:sz w:val="32"/>
          <w:szCs w:val="32"/>
        </w:rPr>
        <w:t>。</w:t>
      </w:r>
      <w:r>
        <w:rPr>
          <w:rFonts w:ascii="Times New Roman" w:hAnsi="Times New Roman" w:eastAsia="仿宋"/>
          <w:sz w:val="32"/>
          <w:szCs w:val="32"/>
        </w:rPr>
        <w:t>成功举办湘商回归恳谈会暨重大项目签约仪式、“港洽周”益阳PCB产业招商推介会、“湘”约益阳</w:t>
      </w:r>
      <w:r>
        <w:rPr>
          <w:rFonts w:ascii="Times New Roman" w:hAnsi="Times New Roman" w:eastAsia="仿宋_GB2312"/>
          <w:sz w:val="32"/>
          <w:szCs w:val="32"/>
        </w:rPr>
        <w:t>•</w:t>
      </w:r>
      <w:r>
        <w:rPr>
          <w:rFonts w:ascii="Times New Roman" w:hAnsi="Times New Roman" w:eastAsia="仿宋"/>
          <w:sz w:val="32"/>
          <w:szCs w:val="32"/>
        </w:rPr>
        <w:t>“商”赢发展广东省湖南商会益阳行等招商活动。</w:t>
      </w:r>
      <w:r>
        <w:rPr>
          <w:rFonts w:ascii="Times New Roman" w:hAnsi="Times New Roman" w:eastAsia="仿宋"/>
          <w:color w:val="000000"/>
          <w:sz w:val="32"/>
          <w:szCs w:val="32"/>
        </w:rPr>
        <w:t>赫山区带着族谱上门的“亲情招商”模式获省委主要领导肯定，安化县到资外商直接投资41万美元，五年多来第一次实现破零</w:t>
      </w:r>
      <w:r>
        <w:rPr>
          <w:rFonts w:ascii="Times New Roman" w:hAnsi="Times New Roman" w:eastAsia="仿宋"/>
          <w:sz w:val="32"/>
          <w:szCs w:val="32"/>
        </w:rPr>
        <w:t>。</w:t>
      </w:r>
    </w:p>
    <w:p w14:paraId="179C3C86">
      <w:pPr>
        <w:pStyle w:val="7"/>
        <w:overflowPunct w:val="0"/>
        <w:spacing w:line="570" w:lineRule="exact"/>
        <w:ind w:firstLine="632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t>（二）坚持全面促进消费。</w:t>
      </w:r>
      <w:r>
        <w:rPr>
          <w:rFonts w:ascii="Times New Roman" w:hAnsi="Times New Roman" w:eastAsia="仿宋"/>
          <w:sz w:val="32"/>
          <w:szCs w:val="32"/>
        </w:rPr>
        <w:t>市县联动打造促消费场景38个，“何必赴远方 消费在身旁”、第二届惠民购车节等系列促消费活动精彩纷呈。“数商兴农”、县域商业体系建设持续深化，桃江县、资阳区成功创建省级数字商务集聚区，南县罗文花海、桃江大汉假日广场等3家入选首批湖南省夜间消费聚集示范区。益阳茶厂、莎丽袜业成功创建中华老字号，全市获评国家级绿色商场2家、省级1家。资阳区一刻钟便民生活圈创建活动经验获商务部推介，赫山区、沅江市“恢复和扩大消费”工作获省真抓实干督查激励，安化县社零增速领跑全市。</w:t>
      </w:r>
    </w:p>
    <w:p w14:paraId="2AA86260">
      <w:pPr>
        <w:pStyle w:val="7"/>
        <w:overflowPunct w:val="0"/>
        <w:spacing w:line="570" w:lineRule="exact"/>
        <w:ind w:firstLine="632" w:firstLineChars="2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t>（三）坚持推进扩大开放。</w:t>
      </w:r>
      <w:r>
        <w:rPr>
          <w:rFonts w:ascii="Times New Roman" w:hAnsi="Times New Roman" w:eastAsia="仿宋"/>
          <w:sz w:val="32"/>
          <w:szCs w:val="32"/>
        </w:rPr>
        <w:t>组织市内企业参加广交会、进博会等重要展会，促成交易额超1亿元。第三届中非经贸博览会益阳馆人潮涌动，获央视新闻报道。赫山竹木、沅江纺织入选全省县域外贸特色产业集群试点。</w:t>
      </w:r>
      <w:r>
        <w:rPr>
          <w:rFonts w:ascii="Times New Roman" w:hAnsi="Times New Roman" w:eastAsia="仿宋"/>
          <w:color w:val="000000"/>
          <w:sz w:val="32"/>
          <w:szCs w:val="32"/>
        </w:rPr>
        <w:t>益阳高新技术产业开发区、龙岭产业开发区获批自贸试验区协同联动区。</w:t>
      </w:r>
      <w:r>
        <w:rPr>
          <w:rFonts w:ascii="Times New Roman" w:hAnsi="Times New Roman" w:eastAsia="仿宋"/>
          <w:sz w:val="32"/>
          <w:szCs w:val="32"/>
        </w:rPr>
        <w:t>南县挂牌全市首个县级海关服务站。圆满完成喀麦隆、肯尼亚两国组团来益考察接待任务，</w:t>
      </w:r>
      <w:r>
        <w:rPr>
          <w:rFonts w:ascii="Times New Roman" w:hAnsi="Times New Roman" w:eastAsia="仿宋"/>
          <w:color w:val="000000"/>
          <w:sz w:val="32"/>
          <w:szCs w:val="32"/>
        </w:rPr>
        <w:t>获两国致函感谢。指导奥士康、浩森等完成境外投资备案，全市实际对外投资额排名全省第五。</w:t>
      </w:r>
      <w:r>
        <w:rPr>
          <w:rFonts w:ascii="Times New Roman" w:hAnsi="Times New Roman" w:eastAsia="仿宋"/>
          <w:sz w:val="32"/>
          <w:szCs w:val="32"/>
        </w:rPr>
        <w:t>南县成功引进瑞美达、天空进出口等一批跨境电商主体。高新区进出口公司等企业积极开展代采代买等外贸供应链服务，带动进口突破3亿元。大通湖区外贸进出口实现逆势增长。华慧新能源、科力远等</w:t>
      </w:r>
      <w:r>
        <w:rPr>
          <w:rFonts w:ascii="Times New Roman" w:hAnsi="Times New Roman" w:eastAsia="仿宋"/>
          <w:color w:val="000000"/>
          <w:sz w:val="32"/>
          <w:szCs w:val="32"/>
        </w:rPr>
        <w:t>2家企业通过海关AEO高级认证，全市出口信保在保企业76家。</w:t>
      </w:r>
    </w:p>
    <w:p w14:paraId="6F44BE4A">
      <w:pPr>
        <w:overflowPunct w:val="0"/>
        <w:spacing w:line="570" w:lineRule="exact"/>
        <w:ind w:firstLine="632" w:firstLineChars="200"/>
        <w:rPr>
          <w:rFonts w:ascii="Times New Roman" w:hAnsi="Times New Roman" w:eastAsia="黑体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Cs w:val="32"/>
        </w:rPr>
        <w:t>七、存在的问题及原因分析</w:t>
      </w:r>
    </w:p>
    <w:p w14:paraId="1A4CADDD">
      <w:pPr>
        <w:overflowPunct w:val="0"/>
        <w:spacing w:line="570" w:lineRule="exact"/>
        <w:ind w:firstLine="632" w:firstLineChars="200"/>
        <w:rPr>
          <w:rFonts w:ascii="Times New Roman" w:hAnsi="Times New Roman" w:eastAsia="仿宋"/>
          <w:strike/>
          <w:szCs w:val="32"/>
        </w:rPr>
      </w:pPr>
      <w:r>
        <w:rPr>
          <w:rFonts w:ascii="Times New Roman" w:hAnsi="Times New Roman" w:eastAsia="仿宋"/>
          <w:szCs w:val="32"/>
        </w:rPr>
        <w:t>通过对本部门整体支出绩效完成情况进行分析，在整体支出绩效管理过程中还存在一些问题：一是预算编制前瞻性有待加强；二是</w:t>
      </w:r>
      <w:r>
        <w:rPr>
          <w:rFonts w:hint="eastAsia" w:ascii="Times New Roman" w:hAnsi="Times New Roman" w:eastAsia="仿宋"/>
          <w:szCs w:val="32"/>
        </w:rPr>
        <w:t>评价结果的应用水平有待提高</w:t>
      </w:r>
      <w:r>
        <w:rPr>
          <w:rFonts w:ascii="Times New Roman" w:hAnsi="Times New Roman" w:eastAsia="仿宋"/>
          <w:szCs w:val="32"/>
        </w:rPr>
        <w:t>。主要原因是预算编制人员对预算绩效目标设定的方法、各项指标的定义、各类指标评价体系的评分标准等存在理解偏差。</w:t>
      </w:r>
    </w:p>
    <w:p w14:paraId="2C4A5EC6">
      <w:pPr>
        <w:overflowPunct w:val="0"/>
        <w:spacing w:line="570" w:lineRule="exact"/>
        <w:ind w:firstLine="632" w:firstLineChars="20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八、下一步改进措施</w:t>
      </w:r>
    </w:p>
    <w:p w14:paraId="54BB570D">
      <w:pPr>
        <w:spacing w:line="570" w:lineRule="exact"/>
        <w:ind w:firstLine="632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根据整体支出绩效管理的要求，针对我</w:t>
      </w:r>
      <w:r>
        <w:rPr>
          <w:rFonts w:hint="eastAsia" w:ascii="Times New Roman" w:hAnsi="Times New Roman" w:eastAsia="仿宋"/>
          <w:szCs w:val="32"/>
        </w:rPr>
        <w:t>局</w:t>
      </w:r>
      <w:r>
        <w:rPr>
          <w:rFonts w:ascii="Times New Roman" w:hAnsi="Times New Roman" w:eastAsia="仿宋"/>
          <w:szCs w:val="32"/>
        </w:rPr>
        <w:t>薄弱环节，下一步重点在四个方面着力：一是着力加强预算编制管理。科学规划预算编制工作，进一步提高预算编制的科学性、合理性、严谨性和可控性。二是完善绩效评价体系，加强部门整体支出绩效管理，做好年初绩效评价指标的设计量化，强化预算执行期间的绩效监控及年终的绩效评价与评价的应用工作。三是着力加强项目支出调度。加快推进部分项目实施进程，加强项目开展事前事中事后的跟踪，开展项目绩效评价，及时支付项目款，加快项目资金支出进度。四是针对2023年度财务管理工作中发现的问题，加强财务人员</w:t>
      </w:r>
      <w:r>
        <w:rPr>
          <w:rFonts w:hint="eastAsia" w:ascii="Times New Roman" w:hAnsi="Times New Roman" w:eastAsia="仿宋"/>
          <w:szCs w:val="32"/>
        </w:rPr>
        <w:t>的</w:t>
      </w:r>
      <w:r>
        <w:rPr>
          <w:rFonts w:ascii="Times New Roman" w:hAnsi="Times New Roman" w:eastAsia="仿宋"/>
          <w:szCs w:val="32"/>
        </w:rPr>
        <w:t>培训与继续教育，不断提高预决算编制</w:t>
      </w:r>
      <w:r>
        <w:rPr>
          <w:rFonts w:hint="eastAsia" w:ascii="Times New Roman" w:hAnsi="Times New Roman" w:eastAsia="仿宋"/>
          <w:szCs w:val="32"/>
        </w:rPr>
        <w:t>水平</w:t>
      </w:r>
      <w:r>
        <w:rPr>
          <w:rFonts w:ascii="Times New Roman" w:hAnsi="Times New Roman" w:eastAsia="仿宋"/>
          <w:szCs w:val="32"/>
        </w:rPr>
        <w:t>与数据分析能力。</w:t>
      </w:r>
    </w:p>
    <w:p w14:paraId="367DD76E">
      <w:pPr>
        <w:overflowPunct w:val="0"/>
        <w:spacing w:line="570" w:lineRule="exact"/>
        <w:ind w:firstLine="632" w:firstLineChars="20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九、部门整体支出绩效自评结果拟应用和公开情况</w:t>
      </w:r>
    </w:p>
    <w:p w14:paraId="26960109">
      <w:pPr>
        <w:spacing w:line="570" w:lineRule="exact"/>
        <w:ind w:firstLine="632" w:firstLineChars="200"/>
        <w:rPr>
          <w:rFonts w:ascii="Times New Roman" w:hAnsi="Times New Roman" w:eastAsia="仿宋"/>
          <w:color w:val="000000"/>
          <w:szCs w:val="32"/>
        </w:rPr>
      </w:pPr>
      <w:r>
        <w:rPr>
          <w:rFonts w:ascii="Times New Roman" w:hAnsi="Times New Roman" w:eastAsia="仿宋"/>
          <w:color w:val="000000"/>
          <w:szCs w:val="32"/>
        </w:rPr>
        <w:t>（一）从预算配置、预算执行、预算管理、职责履行和履职效益等方面综合评价，2023年部门整体支出资金项目绩效评价得分为100分。</w:t>
      </w:r>
    </w:p>
    <w:p w14:paraId="061AAEDA">
      <w:pPr>
        <w:spacing w:line="570" w:lineRule="exact"/>
        <w:ind w:firstLine="632" w:firstLineChars="200"/>
        <w:rPr>
          <w:rFonts w:ascii="Times New Roman" w:hAnsi="Times New Roman" w:eastAsia="仿宋"/>
          <w:color w:val="000000"/>
          <w:szCs w:val="32"/>
        </w:rPr>
      </w:pPr>
      <w:r>
        <w:rPr>
          <w:rFonts w:ascii="Times New Roman" w:hAnsi="Times New Roman" w:eastAsia="仿宋"/>
          <w:color w:val="000000"/>
          <w:szCs w:val="32"/>
        </w:rPr>
        <w:t>（二）将绩效自评结果作为下年度预算配置、预算执行和预算管理的重要参照依据，不断细化绩效评价指标，提高资金使用效益。绩效评价报告及相关表格将按规定在门户网站进行公开。</w:t>
      </w:r>
    </w:p>
    <w:p w14:paraId="1E0B4A2A">
      <w:pPr>
        <w:spacing w:line="570" w:lineRule="exact"/>
        <w:ind w:firstLine="632" w:firstLineChars="20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十、其他需要说明的情况</w:t>
      </w:r>
    </w:p>
    <w:p w14:paraId="40F659D4">
      <w:pPr>
        <w:spacing w:line="570" w:lineRule="exact"/>
        <w:ind w:firstLine="632" w:firstLineChars="200"/>
        <w:rPr>
          <w:rFonts w:ascii="Times New Roman" w:hAnsi="Times New Roman" w:eastAsia="仿宋"/>
          <w:color w:val="000000"/>
          <w:szCs w:val="32"/>
        </w:rPr>
      </w:pPr>
      <w:r>
        <w:rPr>
          <w:rFonts w:ascii="Times New Roman" w:hAnsi="Times New Roman" w:eastAsia="仿宋"/>
          <w:color w:val="000000"/>
          <w:szCs w:val="32"/>
        </w:rPr>
        <w:t>我单位没有新建楼堂馆所，无新建楼堂馆所投资概算。</w:t>
      </w:r>
    </w:p>
    <w:p w14:paraId="4D1A15CA">
      <w:pPr>
        <w:spacing w:line="570" w:lineRule="exact"/>
        <w:ind w:firstLine="632" w:firstLineChars="200"/>
        <w:rPr>
          <w:rFonts w:ascii="Times New Roman" w:hAnsi="Times New Roman" w:eastAsia="仿宋"/>
          <w:color w:val="000000"/>
          <w:szCs w:val="32"/>
        </w:rPr>
      </w:pPr>
    </w:p>
    <w:p w14:paraId="371072C1">
      <w:pPr>
        <w:spacing w:line="570" w:lineRule="exact"/>
        <w:ind w:firstLine="632" w:firstLineChars="200"/>
        <w:rPr>
          <w:rFonts w:ascii="Times New Roman" w:hAnsi="Times New Roman" w:eastAsia="仿宋"/>
          <w:color w:val="000000"/>
          <w:szCs w:val="32"/>
        </w:rPr>
      </w:pPr>
      <w:r>
        <w:rPr>
          <w:rFonts w:ascii="Times New Roman" w:hAnsi="Times New Roman" w:eastAsia="仿宋"/>
          <w:color w:val="000000"/>
          <w:szCs w:val="32"/>
        </w:rPr>
        <w:t>报告附件：</w:t>
      </w:r>
    </w:p>
    <w:p w14:paraId="72265C10">
      <w:pPr>
        <w:spacing w:line="570" w:lineRule="exact"/>
        <w:ind w:firstLine="632" w:firstLineChars="200"/>
        <w:rPr>
          <w:rFonts w:ascii="Times New Roman" w:hAnsi="Times New Roman" w:eastAsia="仿宋"/>
          <w:color w:val="000000"/>
          <w:szCs w:val="32"/>
        </w:rPr>
      </w:pPr>
      <w:r>
        <w:rPr>
          <w:rFonts w:ascii="Times New Roman" w:hAnsi="Times New Roman" w:eastAsia="仿宋"/>
          <w:color w:val="000000"/>
          <w:szCs w:val="32"/>
        </w:rPr>
        <w:t>1.部门整体支出绩效评价基础数据表</w:t>
      </w:r>
    </w:p>
    <w:p w14:paraId="11B8D792">
      <w:pPr>
        <w:spacing w:line="570" w:lineRule="exact"/>
        <w:ind w:firstLine="632" w:firstLineChars="200"/>
        <w:rPr>
          <w:rFonts w:ascii="Times New Roman" w:hAnsi="Times New Roman" w:eastAsia="仿宋"/>
          <w:color w:val="000000"/>
          <w:szCs w:val="32"/>
        </w:rPr>
      </w:pPr>
      <w:r>
        <w:rPr>
          <w:rFonts w:ascii="Times New Roman" w:hAnsi="Times New Roman" w:eastAsia="仿宋"/>
          <w:color w:val="000000"/>
          <w:szCs w:val="32"/>
        </w:rPr>
        <w:t>2.部门整体支出绩效自评表</w:t>
      </w:r>
    </w:p>
    <w:p w14:paraId="3BE994EB">
      <w:pPr>
        <w:spacing w:line="570" w:lineRule="exact"/>
        <w:ind w:firstLine="632" w:firstLineChars="200"/>
        <w:rPr>
          <w:rFonts w:ascii="Times New Roman" w:hAnsi="Times New Roman" w:eastAsia="仿宋"/>
          <w:color w:val="000000"/>
          <w:szCs w:val="32"/>
        </w:rPr>
      </w:pPr>
      <w:r>
        <w:rPr>
          <w:rFonts w:ascii="Times New Roman" w:hAnsi="Times New Roman" w:eastAsia="仿宋"/>
          <w:color w:val="000000"/>
          <w:szCs w:val="32"/>
        </w:rPr>
        <w:t>3.项目支出绩效自评表</w:t>
      </w:r>
    </w:p>
    <w:p w14:paraId="16345062">
      <w:pPr>
        <w:widowControl/>
        <w:spacing w:line="400" w:lineRule="exact"/>
        <w:jc w:val="left"/>
        <w:rPr>
          <w:rFonts w:ascii="Times New Roman" w:hAnsi="Times New Roman" w:eastAsia="黑体"/>
          <w:szCs w:val="32"/>
        </w:rPr>
        <w:sectPr>
          <w:footerReference r:id="rId3" w:type="default"/>
          <w:pgSz w:w="11907" w:h="16840"/>
          <w:pgMar w:top="2098" w:right="1531" w:bottom="1984" w:left="1531" w:header="851" w:footer="1247" w:gutter="0"/>
          <w:pgNumType w:start="1"/>
          <w:cols w:space="720" w:num="1"/>
          <w:docGrid w:type="linesAndChars" w:linePitch="587" w:charSpace="-842"/>
        </w:sectPr>
      </w:pPr>
    </w:p>
    <w:p w14:paraId="495FDC02">
      <w:pPr>
        <w:widowControl/>
        <w:spacing w:line="400" w:lineRule="exact"/>
        <w:jc w:val="lef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附件1</w:t>
      </w:r>
    </w:p>
    <w:p w14:paraId="663286B9">
      <w:pPr>
        <w:pStyle w:val="2"/>
        <w:rPr>
          <w:rFonts w:hint="default"/>
        </w:rPr>
      </w:pPr>
      <w:r>
        <w:rPr>
          <w:rFonts w:hint="default"/>
        </w:rPr>
        <w:t>202</w:t>
      </w:r>
      <w:r>
        <w:t>3</w:t>
      </w:r>
      <w:r>
        <w:rPr>
          <w:rFonts w:hint="default"/>
        </w:rPr>
        <w:t>年度部门整体支出绩效评价基础数据表</w:t>
      </w:r>
    </w:p>
    <w:tbl>
      <w:tblPr>
        <w:tblStyle w:val="8"/>
        <w:tblW w:w="96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1200"/>
        <w:gridCol w:w="1125"/>
        <w:gridCol w:w="1080"/>
        <w:gridCol w:w="1064"/>
        <w:gridCol w:w="992"/>
        <w:gridCol w:w="955"/>
      </w:tblGrid>
      <w:tr w14:paraId="6F7FF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35CD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财政供养人员情况（人）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5CB98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1"/>
                <w:szCs w:val="21"/>
              </w:rPr>
              <w:t>编制数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1CF69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1"/>
                <w:szCs w:val="21"/>
              </w:rPr>
              <w:t>2023年实际在职人数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2301C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1"/>
                <w:szCs w:val="21"/>
              </w:rPr>
              <w:t>控制率</w:t>
            </w:r>
          </w:p>
        </w:tc>
      </w:tr>
      <w:tr w14:paraId="60F2C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CE1C">
            <w:pPr>
              <w:widowControl/>
              <w:spacing w:line="24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D4BDE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46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F2983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46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650B0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100%</w:t>
            </w:r>
          </w:p>
        </w:tc>
      </w:tr>
      <w:tr w14:paraId="61FF2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31F6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经费控制情况（万元）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B2639F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1"/>
                <w:szCs w:val="21"/>
              </w:rPr>
              <w:t>2022年决算数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F4B5AF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1"/>
                <w:szCs w:val="21"/>
              </w:rPr>
              <w:t>2023年预算数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434CE2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1"/>
                <w:szCs w:val="21"/>
              </w:rPr>
              <w:t>2023年决算数</w:t>
            </w:r>
          </w:p>
        </w:tc>
      </w:tr>
      <w:tr w14:paraId="624F5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47BE">
            <w:pPr>
              <w:widowControl/>
              <w:spacing w:line="240" w:lineRule="exact"/>
              <w:ind w:left="-63" w:leftChars="-20" w:right="-63" w:rightChars="-20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三公经费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797F6F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50.35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F24C9F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46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7AB69D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95.49</w:t>
            </w:r>
          </w:p>
        </w:tc>
      </w:tr>
      <w:tr w14:paraId="38124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500F">
            <w:pPr>
              <w:widowControl/>
              <w:spacing w:line="240" w:lineRule="exact"/>
              <w:ind w:left="-63" w:leftChars="-20" w:right="-63" w:rightChars="-20" w:firstLine="412" w:firstLineChars="200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1、公务用车购置和维护经费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18FA05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41.27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7C05C3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21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50A906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11.17</w:t>
            </w:r>
          </w:p>
        </w:tc>
      </w:tr>
      <w:tr w14:paraId="7BC6C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F77E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其中：公车购置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5E8A25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26.10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D0A689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ABE83E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0</w:t>
            </w:r>
          </w:p>
        </w:tc>
      </w:tr>
      <w:tr w14:paraId="7B29F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C306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 xml:space="preserve">          公车运行维护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A64D56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15.17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1EDCEA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21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035E40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11.17</w:t>
            </w:r>
          </w:p>
        </w:tc>
      </w:tr>
      <w:tr w14:paraId="7CD87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D81F">
            <w:pPr>
              <w:widowControl/>
              <w:spacing w:line="240" w:lineRule="exact"/>
              <w:ind w:left="-63" w:leftChars="-20" w:right="-63" w:rightChars="-20" w:firstLine="412" w:firstLineChars="200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2、出国经费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A681C6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ED8689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2DB63E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69.91</w:t>
            </w:r>
          </w:p>
        </w:tc>
      </w:tr>
      <w:tr w14:paraId="15330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1334">
            <w:pPr>
              <w:widowControl/>
              <w:spacing w:line="240" w:lineRule="exact"/>
              <w:ind w:left="-63" w:leftChars="-20" w:right="-63" w:rightChars="-20" w:firstLine="412" w:firstLineChars="200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3、公务接待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4A40F1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9.08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23FDC6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25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5F5B56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14.41</w:t>
            </w:r>
          </w:p>
        </w:tc>
      </w:tr>
      <w:tr w14:paraId="2725A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0246">
            <w:pPr>
              <w:widowControl/>
              <w:spacing w:line="240" w:lineRule="exact"/>
              <w:ind w:left="-63" w:leftChars="-20" w:right="-63" w:rightChars="-20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项目支出：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CA72DA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727.44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8D0BC9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868.56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EB2E05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868.56</w:t>
            </w:r>
          </w:p>
        </w:tc>
      </w:tr>
      <w:tr w14:paraId="26223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567E">
            <w:pPr>
              <w:widowControl/>
              <w:spacing w:line="240" w:lineRule="exact"/>
              <w:ind w:left="-63" w:leftChars="-20" w:right="-63" w:rightChars="-20" w:firstLine="412" w:firstLineChars="200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1、业务工作经费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6FA4D9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377.44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B33435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518.56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392791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518.56</w:t>
            </w:r>
          </w:p>
        </w:tc>
      </w:tr>
      <w:tr w14:paraId="79B4D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8A5B">
            <w:pPr>
              <w:widowControl/>
              <w:spacing w:line="240" w:lineRule="exact"/>
              <w:ind w:left="-63" w:leftChars="-20" w:right="-63" w:rightChars="-20" w:firstLine="412" w:firstLineChars="200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2、运行维护经费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56E8DC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350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3A5006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350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778D44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350</w:t>
            </w:r>
          </w:p>
        </w:tc>
      </w:tr>
      <w:tr w14:paraId="30B62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BACB">
            <w:pPr>
              <w:widowControl/>
              <w:spacing w:line="240" w:lineRule="exact"/>
              <w:ind w:left="-63" w:leftChars="-20" w:right="-63" w:rightChars="-20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3、本级专项资金（一个专项一行）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36F41A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08220B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796485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0</w:t>
            </w:r>
          </w:p>
        </w:tc>
      </w:tr>
      <w:tr w14:paraId="034FF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D60A">
            <w:pPr>
              <w:widowControl/>
              <w:spacing w:line="240" w:lineRule="exact"/>
              <w:ind w:left="-63" w:leftChars="-20" w:right="-63" w:rightChars="-20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公用经费：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23A82E">
            <w:pPr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465BD6">
            <w:pPr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5D8C6B">
            <w:pPr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</w:tr>
      <w:tr w14:paraId="4BA9B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B4DF">
            <w:pPr>
              <w:widowControl/>
              <w:spacing w:line="240" w:lineRule="exact"/>
              <w:ind w:left="-63" w:leftChars="-20" w:right="-63" w:rightChars="-20" w:firstLine="412" w:firstLineChars="200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其中：办公经费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A674EC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16.94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D99EAA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73.15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CBBFE6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73.15</w:t>
            </w:r>
          </w:p>
        </w:tc>
      </w:tr>
      <w:tr w14:paraId="66DFA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12CB">
            <w:pPr>
              <w:widowControl/>
              <w:spacing w:line="240" w:lineRule="exact"/>
              <w:ind w:left="-63" w:leftChars="-20" w:right="-63" w:rightChars="-20" w:firstLine="1030" w:firstLineChars="500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水费、电费、差旅费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63DBD9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23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11B008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44.95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ED2C98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44.95</w:t>
            </w:r>
          </w:p>
        </w:tc>
      </w:tr>
      <w:tr w14:paraId="44A21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CC6C">
            <w:pPr>
              <w:widowControl/>
              <w:spacing w:line="240" w:lineRule="exact"/>
              <w:ind w:right="-63" w:rightChars="-20" w:firstLine="1030" w:firstLineChars="500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会议费、培训费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41842D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0.56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56B2F9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14.61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9BA7C1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14.61</w:t>
            </w:r>
          </w:p>
        </w:tc>
      </w:tr>
      <w:tr w14:paraId="348FB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5D63">
            <w:pPr>
              <w:widowControl/>
              <w:spacing w:line="240" w:lineRule="exact"/>
              <w:ind w:left="-63" w:leftChars="-20" w:right="-63" w:rightChars="-20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政府采购金额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67DD4F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0E777F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5514D7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0</w:t>
            </w:r>
          </w:p>
        </w:tc>
      </w:tr>
      <w:tr w14:paraId="79659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A4D5">
            <w:pPr>
              <w:widowControl/>
              <w:spacing w:line="240" w:lineRule="exact"/>
              <w:ind w:left="-63" w:leftChars="-20" w:right="-63" w:rightChars="-20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 xml:space="preserve">部门基本支出预算调整 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CDD5BB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401C18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B109AD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0</w:t>
            </w:r>
          </w:p>
        </w:tc>
      </w:tr>
      <w:tr w14:paraId="605C3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3CDC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楼堂馆所控制情况</w:t>
            </w:r>
          </w:p>
          <w:p w14:paraId="079C0F8B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（2023年完工项目）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A62EE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批复规模</w:t>
            </w:r>
          </w:p>
          <w:p w14:paraId="534D13A9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0FF7B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实际规模（㎡）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98430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规模控制率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3A268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预算投资（万元）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34E0B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实际投资（万元）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27E99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投资概算控制率</w:t>
            </w:r>
          </w:p>
        </w:tc>
      </w:tr>
      <w:tr w14:paraId="7E4AE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1459">
            <w:pPr>
              <w:widowControl/>
              <w:spacing w:line="24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729EB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DAB32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3AAD1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066B5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8F066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2B13E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无</w:t>
            </w:r>
          </w:p>
        </w:tc>
      </w:tr>
      <w:tr w14:paraId="7A723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B337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厉行节约保障措施</w:t>
            </w:r>
          </w:p>
        </w:tc>
        <w:tc>
          <w:tcPr>
            <w:tcW w:w="64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6C1292">
            <w:pPr>
              <w:widowControl/>
              <w:spacing w:line="24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</w:tr>
    </w:tbl>
    <w:p w14:paraId="34F9BBB6">
      <w:pPr>
        <w:widowControl/>
        <w:spacing w:line="320" w:lineRule="exact"/>
        <w:ind w:left="-63" w:leftChars="-20" w:right="-63" w:rightChars="-20"/>
        <w:rPr>
          <w:rFonts w:ascii="仿宋" w:hAnsi="仿宋" w:eastAsia="仿宋" w:cs="仿宋"/>
          <w:kern w:val="0"/>
          <w:sz w:val="22"/>
          <w:szCs w:val="24"/>
        </w:rPr>
      </w:pPr>
      <w:r>
        <w:rPr>
          <w:rFonts w:hint="eastAsia" w:ascii="仿宋" w:hAnsi="仿宋" w:eastAsia="仿宋" w:cs="仿宋"/>
          <w:kern w:val="0"/>
          <w:sz w:val="22"/>
          <w:szCs w:val="24"/>
        </w:rPr>
        <w:t>说明：“项目支出”需要填报基本支出以外的所有项目支出情况，“运行维护经费”填报项目支出中用于人员类和公用运转类的支出。“公用经费”填报基本支出中的一般商品和服务支出。</w:t>
      </w:r>
    </w:p>
    <w:p w14:paraId="6F46A0EC">
      <w:pPr>
        <w:widowControl/>
        <w:spacing w:line="320" w:lineRule="exact"/>
        <w:ind w:left="-63" w:leftChars="-20" w:right="-63" w:rightChars="-20"/>
        <w:rPr>
          <w:rFonts w:ascii="仿宋" w:hAnsi="仿宋" w:eastAsia="仿宋" w:cs="仿宋"/>
          <w:kern w:val="0"/>
          <w:sz w:val="22"/>
          <w:szCs w:val="24"/>
        </w:rPr>
      </w:pPr>
      <w:r>
        <w:rPr>
          <w:rFonts w:hint="eastAsia" w:ascii="仿宋" w:hAnsi="仿宋" w:eastAsia="仿宋" w:cs="仿宋"/>
          <w:kern w:val="0"/>
          <w:sz w:val="22"/>
          <w:szCs w:val="24"/>
        </w:rPr>
        <w:t>填表人：贺家悦  填报日期： 2024年5月24日  联系电话：4245709  单位负责人签字：</w:t>
      </w:r>
    </w:p>
    <w:p w14:paraId="0A12BFB3">
      <w:pPr>
        <w:widowControl/>
        <w:jc w:val="lef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附件2</w:t>
      </w:r>
    </w:p>
    <w:p w14:paraId="4B102242">
      <w:pPr>
        <w:pStyle w:val="2"/>
        <w:rPr>
          <w:rFonts w:hint="default"/>
        </w:rPr>
      </w:pPr>
      <w:r>
        <w:rPr>
          <w:rFonts w:hint="default"/>
        </w:rPr>
        <w:t>202</w:t>
      </w:r>
      <w:r>
        <w:t>3</w:t>
      </w:r>
      <w:r>
        <w:rPr>
          <w:rFonts w:hint="default"/>
        </w:rPr>
        <w:t>年度部门整体支出绩效自评表</w:t>
      </w:r>
    </w:p>
    <w:tbl>
      <w:tblPr>
        <w:tblStyle w:val="8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080"/>
        <w:gridCol w:w="1209"/>
        <w:gridCol w:w="1256"/>
        <w:gridCol w:w="293"/>
        <w:gridCol w:w="590"/>
        <w:gridCol w:w="256"/>
        <w:gridCol w:w="361"/>
        <w:gridCol w:w="815"/>
        <w:gridCol w:w="256"/>
        <w:gridCol w:w="361"/>
        <w:gridCol w:w="195"/>
        <w:gridCol w:w="256"/>
        <w:gridCol w:w="361"/>
        <w:gridCol w:w="272"/>
        <w:gridCol w:w="256"/>
        <w:gridCol w:w="361"/>
        <w:gridCol w:w="991"/>
      </w:tblGrid>
      <w:tr w14:paraId="47B2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18" w:type="dxa"/>
            <w:vAlign w:val="center"/>
          </w:tcPr>
          <w:p w14:paraId="6142FF7B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预算部门</w:t>
            </w:r>
          </w:p>
        </w:tc>
        <w:tc>
          <w:tcPr>
            <w:tcW w:w="9169" w:type="dxa"/>
            <w:gridSpan w:val="17"/>
            <w:vAlign w:val="center"/>
          </w:tcPr>
          <w:p w14:paraId="3E7E7669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益阳市商务局　</w:t>
            </w:r>
          </w:p>
        </w:tc>
      </w:tr>
      <w:tr w14:paraId="6F5FE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8" w:type="dxa"/>
            <w:vMerge w:val="restart"/>
            <w:vAlign w:val="center"/>
          </w:tcPr>
          <w:p w14:paraId="092D2508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年度预</w:t>
            </w:r>
          </w:p>
          <w:p w14:paraId="16B9E2C1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算申请</w:t>
            </w:r>
          </w:p>
          <w:p w14:paraId="3F34194D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2289" w:type="dxa"/>
            <w:gridSpan w:val="2"/>
            <w:vAlign w:val="center"/>
          </w:tcPr>
          <w:p w14:paraId="338AB589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</w:p>
        </w:tc>
        <w:tc>
          <w:tcPr>
            <w:tcW w:w="1256" w:type="dxa"/>
            <w:vAlign w:val="center"/>
          </w:tcPr>
          <w:p w14:paraId="06241C7C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sz w:val="15"/>
                <w:szCs w:val="15"/>
              </w:rPr>
              <w:t>年初</w:t>
            </w:r>
          </w:p>
          <w:p w14:paraId="57F79797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sz w:val="15"/>
                <w:szCs w:val="15"/>
              </w:rPr>
              <w:t>预算数</w:t>
            </w:r>
          </w:p>
        </w:tc>
        <w:tc>
          <w:tcPr>
            <w:tcW w:w="1139" w:type="dxa"/>
            <w:gridSpan w:val="3"/>
            <w:vAlign w:val="center"/>
          </w:tcPr>
          <w:p w14:paraId="678F6C92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sz w:val="15"/>
                <w:szCs w:val="15"/>
              </w:rPr>
              <w:t>全年预算数</w:t>
            </w:r>
          </w:p>
          <w:p w14:paraId="2BDFC39B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sz w:val="15"/>
                <w:szCs w:val="15"/>
              </w:rPr>
              <w:t>（万元）</w:t>
            </w:r>
          </w:p>
        </w:tc>
        <w:tc>
          <w:tcPr>
            <w:tcW w:w="1432" w:type="dxa"/>
            <w:gridSpan w:val="3"/>
            <w:vAlign w:val="center"/>
          </w:tcPr>
          <w:p w14:paraId="7331984F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sz w:val="15"/>
                <w:szCs w:val="15"/>
              </w:rPr>
              <w:t>全年执行数</w:t>
            </w:r>
          </w:p>
          <w:p w14:paraId="268F9414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sz w:val="15"/>
                <w:szCs w:val="15"/>
              </w:rPr>
              <w:t>（万元）</w:t>
            </w:r>
          </w:p>
        </w:tc>
        <w:tc>
          <w:tcPr>
            <w:tcW w:w="812" w:type="dxa"/>
            <w:gridSpan w:val="3"/>
            <w:vAlign w:val="center"/>
          </w:tcPr>
          <w:p w14:paraId="55D73D10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sz w:val="15"/>
                <w:szCs w:val="15"/>
              </w:rPr>
              <w:t>分值</w:t>
            </w:r>
          </w:p>
        </w:tc>
        <w:tc>
          <w:tcPr>
            <w:tcW w:w="889" w:type="dxa"/>
            <w:gridSpan w:val="3"/>
            <w:vAlign w:val="center"/>
          </w:tcPr>
          <w:p w14:paraId="05A98AE2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sz w:val="15"/>
                <w:szCs w:val="15"/>
              </w:rPr>
              <w:t>执行率</w:t>
            </w:r>
          </w:p>
        </w:tc>
        <w:tc>
          <w:tcPr>
            <w:tcW w:w="1352" w:type="dxa"/>
            <w:gridSpan w:val="2"/>
            <w:vAlign w:val="center"/>
          </w:tcPr>
          <w:p w14:paraId="78C93ADD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sz w:val="15"/>
                <w:szCs w:val="15"/>
              </w:rPr>
              <w:t>得分</w:t>
            </w:r>
          </w:p>
        </w:tc>
      </w:tr>
      <w:tr w14:paraId="1CD8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8" w:type="dxa"/>
            <w:vMerge w:val="continue"/>
            <w:vAlign w:val="center"/>
          </w:tcPr>
          <w:p w14:paraId="506EFF44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579E65E8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1256" w:type="dxa"/>
            <w:vAlign w:val="center"/>
          </w:tcPr>
          <w:p w14:paraId="2D4EC753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1320.09</w:t>
            </w:r>
          </w:p>
        </w:tc>
        <w:tc>
          <w:tcPr>
            <w:tcW w:w="1139" w:type="dxa"/>
            <w:gridSpan w:val="3"/>
            <w:vAlign w:val="center"/>
          </w:tcPr>
          <w:p w14:paraId="2EA7FEC9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2641.45</w:t>
            </w:r>
          </w:p>
        </w:tc>
        <w:tc>
          <w:tcPr>
            <w:tcW w:w="1432" w:type="dxa"/>
            <w:gridSpan w:val="3"/>
            <w:vAlign w:val="center"/>
          </w:tcPr>
          <w:p w14:paraId="341CE2F7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2641.45</w:t>
            </w:r>
          </w:p>
        </w:tc>
        <w:tc>
          <w:tcPr>
            <w:tcW w:w="812" w:type="dxa"/>
            <w:gridSpan w:val="3"/>
            <w:vAlign w:val="center"/>
          </w:tcPr>
          <w:p w14:paraId="3F8AFC0C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10</w:t>
            </w:r>
          </w:p>
        </w:tc>
        <w:tc>
          <w:tcPr>
            <w:tcW w:w="889" w:type="dxa"/>
            <w:gridSpan w:val="3"/>
            <w:vAlign w:val="center"/>
          </w:tcPr>
          <w:p w14:paraId="4B672FDF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100%</w:t>
            </w:r>
          </w:p>
        </w:tc>
        <w:tc>
          <w:tcPr>
            <w:tcW w:w="1352" w:type="dxa"/>
            <w:gridSpan w:val="2"/>
            <w:vAlign w:val="center"/>
          </w:tcPr>
          <w:p w14:paraId="7508BDB9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10</w:t>
            </w:r>
          </w:p>
        </w:tc>
      </w:tr>
      <w:tr w14:paraId="4973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8" w:type="dxa"/>
            <w:vMerge w:val="continue"/>
            <w:vAlign w:val="center"/>
          </w:tcPr>
          <w:p w14:paraId="47B43CB3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4428" w:type="dxa"/>
            <w:gridSpan w:val="5"/>
            <w:vAlign w:val="center"/>
          </w:tcPr>
          <w:p w14:paraId="5D74BE6E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按收入性质分：</w:t>
            </w:r>
          </w:p>
        </w:tc>
        <w:tc>
          <w:tcPr>
            <w:tcW w:w="4741" w:type="dxa"/>
            <w:gridSpan w:val="12"/>
            <w:vAlign w:val="center"/>
          </w:tcPr>
          <w:p w14:paraId="58579CD0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按支出性质分：</w:t>
            </w:r>
          </w:p>
        </w:tc>
      </w:tr>
      <w:tr w14:paraId="21F4D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8" w:type="dxa"/>
            <w:vMerge w:val="continue"/>
            <w:vAlign w:val="center"/>
          </w:tcPr>
          <w:p w14:paraId="7CC18AEA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4428" w:type="dxa"/>
            <w:gridSpan w:val="5"/>
            <w:vAlign w:val="center"/>
          </w:tcPr>
          <w:p w14:paraId="2101A141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 xml:space="preserve">  其中：  一般公共预算：2641.25</w:t>
            </w:r>
          </w:p>
        </w:tc>
        <w:tc>
          <w:tcPr>
            <w:tcW w:w="4741" w:type="dxa"/>
            <w:gridSpan w:val="12"/>
            <w:vAlign w:val="center"/>
          </w:tcPr>
          <w:p w14:paraId="58169A7B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其中：基本支出：1197.22</w:t>
            </w:r>
          </w:p>
        </w:tc>
      </w:tr>
      <w:tr w14:paraId="6658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8" w:type="dxa"/>
            <w:vMerge w:val="continue"/>
            <w:vAlign w:val="center"/>
          </w:tcPr>
          <w:p w14:paraId="37D7F77A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4428" w:type="dxa"/>
            <w:gridSpan w:val="5"/>
            <w:vAlign w:val="center"/>
          </w:tcPr>
          <w:p w14:paraId="219F8436">
            <w:pPr>
              <w:widowControl/>
              <w:spacing w:line="200" w:lineRule="exact"/>
              <w:ind w:firstLine="584" w:firstLineChars="400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政府性基金拨款：0.0</w:t>
            </w:r>
          </w:p>
        </w:tc>
        <w:tc>
          <w:tcPr>
            <w:tcW w:w="4741" w:type="dxa"/>
            <w:gridSpan w:val="12"/>
            <w:vAlign w:val="center"/>
          </w:tcPr>
          <w:p w14:paraId="061978AA">
            <w:pPr>
              <w:widowControl/>
              <w:spacing w:line="200" w:lineRule="exact"/>
              <w:ind w:firstLine="438" w:firstLineChars="300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项目支出：1444.23</w:t>
            </w:r>
          </w:p>
        </w:tc>
      </w:tr>
      <w:tr w14:paraId="04CB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8" w:type="dxa"/>
            <w:vMerge w:val="continue"/>
            <w:vAlign w:val="center"/>
          </w:tcPr>
          <w:p w14:paraId="3BDF9934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4428" w:type="dxa"/>
            <w:gridSpan w:val="5"/>
            <w:vAlign w:val="center"/>
          </w:tcPr>
          <w:p w14:paraId="7B6209A7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纳入专户管理的非税收入拨款：0.0</w:t>
            </w:r>
          </w:p>
        </w:tc>
        <w:tc>
          <w:tcPr>
            <w:tcW w:w="4741" w:type="dxa"/>
            <w:gridSpan w:val="12"/>
            <w:vAlign w:val="center"/>
          </w:tcPr>
          <w:p w14:paraId="75238EB0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</w:tr>
      <w:tr w14:paraId="4795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8" w:type="dxa"/>
            <w:vMerge w:val="continue"/>
            <w:vAlign w:val="center"/>
          </w:tcPr>
          <w:p w14:paraId="001A7471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4428" w:type="dxa"/>
            <w:gridSpan w:val="5"/>
            <w:vAlign w:val="center"/>
          </w:tcPr>
          <w:p w14:paraId="1F65D715">
            <w:pPr>
              <w:widowControl/>
              <w:spacing w:line="200" w:lineRule="exact"/>
              <w:ind w:firstLine="1022" w:firstLineChars="700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其他资金：0.20</w:t>
            </w:r>
          </w:p>
        </w:tc>
        <w:tc>
          <w:tcPr>
            <w:tcW w:w="4741" w:type="dxa"/>
            <w:gridSpan w:val="12"/>
            <w:vAlign w:val="center"/>
          </w:tcPr>
          <w:p w14:paraId="1E46B0C9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</w:tr>
      <w:tr w14:paraId="185A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18" w:type="dxa"/>
            <w:vMerge w:val="restart"/>
            <w:vAlign w:val="center"/>
          </w:tcPr>
          <w:p w14:paraId="40FD88D1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4428" w:type="dxa"/>
            <w:gridSpan w:val="5"/>
            <w:vAlign w:val="center"/>
          </w:tcPr>
          <w:p w14:paraId="678E6952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4741" w:type="dxa"/>
            <w:gridSpan w:val="12"/>
            <w:vAlign w:val="center"/>
          </w:tcPr>
          <w:p w14:paraId="731E18A4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实际完成情况　</w:t>
            </w:r>
          </w:p>
        </w:tc>
      </w:tr>
      <w:tr w14:paraId="1CA3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918" w:type="dxa"/>
            <w:vMerge w:val="continue"/>
            <w:vAlign w:val="center"/>
          </w:tcPr>
          <w:p w14:paraId="12801F83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4428" w:type="dxa"/>
            <w:gridSpan w:val="5"/>
            <w:vAlign w:val="center"/>
          </w:tcPr>
          <w:p w14:paraId="5D53F2BD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sz w:val="15"/>
                <w:szCs w:val="15"/>
              </w:rPr>
              <w:t>招商引资方面突出产业链精准招商，抓好平台招商新机遇，提升外商投资新格局；外贸工作方面加大外贸龙头企业招引，加快发展外贸新型业态，千方百计挖掘增长潜力，多措并举优化外贸服务；有条不紊推进口岸建设；全力推动国际经贸合作；贯彻落实稳消费接续政策，全面实施展会促消费行动；大力推动电子商务产业新发展。力争社会消费品零售总额同比增长6%；利用外商直接投资同比增长5%，利用省外境内资金800亿元以上，利用内资同比增长10%；对外工程承包和劳务合作营业额同比增长8%。全市新签约落地“三类500强”企业投资项目6个以上。</w:t>
            </w:r>
          </w:p>
        </w:tc>
        <w:tc>
          <w:tcPr>
            <w:tcW w:w="4741" w:type="dxa"/>
            <w:gridSpan w:val="12"/>
            <w:vAlign w:val="center"/>
          </w:tcPr>
          <w:p w14:paraId="363110BF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招商引资方面，先后成功举办湘商回归恳谈会暨重大项目签约仪式、2023年“港洽周”益阳PCB产业招商推介会等招商活动，线上更新升级益阳数字招商平台，招商“两图五库”进一步健全完善。外贸工作方面，发展外贸新业态，积极发展跨境电商，打造了全市第一个跨境电商产业园并入选省级跨境电商产业园（培育型），培育外贸产业，赫山竹木、沅江纺织新入选全省县域外贸特色产业集群试点，拓展对外经贸合作，主动出访非洲、美洲、欧洲，举办经贸推介会。内贸工作方面，恢复和扩大消费，贯彻落实稳消费接续政策，市县联动，全年打造促消费场景38个，内贸基础不断夯实，申报县域体系建设项目36个。全市社会消费品零售总额901.7亿元，同比增长7.2%，高于全省1.1个百分点；完成外贸进出口总额74.1亿元；实际使用外资1675万美元，增长384.1%；引进省外境内资金869.9亿元，增长13.5%；引进域外省内资金52.2亿元，增长13.3%；对外实际投资额3348万美元，增长82.6%；对外工程承包和劳务合作营业额7042.06万美元，增长10.18%；新引进“三类500强”项目21个。</w:t>
            </w:r>
          </w:p>
        </w:tc>
      </w:tr>
      <w:tr w14:paraId="343B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8" w:type="dxa"/>
            <w:vMerge w:val="restart"/>
            <w:vAlign w:val="center"/>
          </w:tcPr>
          <w:p w14:paraId="6FF18E0A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绩</w:t>
            </w:r>
          </w:p>
          <w:p w14:paraId="6BB0CB71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效</w:t>
            </w:r>
          </w:p>
          <w:p w14:paraId="3AA642E4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指</w:t>
            </w:r>
          </w:p>
          <w:p w14:paraId="278CDE37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标</w:t>
            </w:r>
          </w:p>
          <w:p w14:paraId="5177ED4F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14:paraId="523B0DA8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209" w:type="dxa"/>
            <w:vAlign w:val="center"/>
          </w:tcPr>
          <w:p w14:paraId="7948B412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二级</w:t>
            </w:r>
          </w:p>
          <w:p w14:paraId="72D6270C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指标</w:t>
            </w:r>
          </w:p>
        </w:tc>
        <w:tc>
          <w:tcPr>
            <w:tcW w:w="1549" w:type="dxa"/>
            <w:gridSpan w:val="2"/>
            <w:vAlign w:val="center"/>
          </w:tcPr>
          <w:p w14:paraId="45470C1F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207" w:type="dxa"/>
            <w:gridSpan w:val="3"/>
            <w:vAlign w:val="center"/>
          </w:tcPr>
          <w:p w14:paraId="4D773235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年度</w:t>
            </w:r>
          </w:p>
          <w:p w14:paraId="0C8CA79F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指标值</w:t>
            </w:r>
          </w:p>
        </w:tc>
        <w:tc>
          <w:tcPr>
            <w:tcW w:w="1432" w:type="dxa"/>
            <w:gridSpan w:val="3"/>
            <w:vAlign w:val="center"/>
          </w:tcPr>
          <w:p w14:paraId="19B90026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实际完成值</w:t>
            </w:r>
          </w:p>
        </w:tc>
        <w:tc>
          <w:tcPr>
            <w:tcW w:w="812" w:type="dxa"/>
            <w:gridSpan w:val="3"/>
            <w:vAlign w:val="center"/>
          </w:tcPr>
          <w:p w14:paraId="2DF009D3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分值</w:t>
            </w:r>
          </w:p>
        </w:tc>
        <w:tc>
          <w:tcPr>
            <w:tcW w:w="889" w:type="dxa"/>
            <w:gridSpan w:val="3"/>
            <w:vAlign w:val="center"/>
          </w:tcPr>
          <w:p w14:paraId="312D6C04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得分</w:t>
            </w:r>
          </w:p>
        </w:tc>
        <w:tc>
          <w:tcPr>
            <w:tcW w:w="991" w:type="dxa"/>
            <w:vAlign w:val="center"/>
          </w:tcPr>
          <w:p w14:paraId="26EA9A6C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偏差原因</w:t>
            </w:r>
          </w:p>
          <w:p w14:paraId="58D56287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分析及改进措施</w:t>
            </w:r>
          </w:p>
        </w:tc>
      </w:tr>
      <w:tr w14:paraId="616A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8" w:type="dxa"/>
            <w:vMerge w:val="continue"/>
            <w:vAlign w:val="center"/>
          </w:tcPr>
          <w:p w14:paraId="05A027F3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CCC1CD5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209" w:type="dxa"/>
            <w:vMerge w:val="restart"/>
            <w:vAlign w:val="center"/>
          </w:tcPr>
          <w:p w14:paraId="35E62F0F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1549" w:type="dxa"/>
            <w:gridSpan w:val="2"/>
            <w:vAlign w:val="center"/>
          </w:tcPr>
          <w:p w14:paraId="29E11118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利用外商直接投资</w:t>
            </w:r>
          </w:p>
        </w:tc>
        <w:tc>
          <w:tcPr>
            <w:tcW w:w="1207" w:type="dxa"/>
            <w:gridSpan w:val="3"/>
            <w:vAlign w:val="center"/>
          </w:tcPr>
          <w:p w14:paraId="1563104C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5%</w:t>
            </w:r>
          </w:p>
        </w:tc>
        <w:tc>
          <w:tcPr>
            <w:tcW w:w="1432" w:type="dxa"/>
            <w:gridSpan w:val="3"/>
            <w:vAlign w:val="center"/>
          </w:tcPr>
          <w:p w14:paraId="218F54E0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384.1%</w:t>
            </w:r>
          </w:p>
        </w:tc>
        <w:tc>
          <w:tcPr>
            <w:tcW w:w="812" w:type="dxa"/>
            <w:gridSpan w:val="3"/>
            <w:vAlign w:val="center"/>
          </w:tcPr>
          <w:p w14:paraId="0622348A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889" w:type="dxa"/>
            <w:gridSpan w:val="3"/>
            <w:vAlign w:val="center"/>
          </w:tcPr>
          <w:p w14:paraId="1C60C77D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991" w:type="dxa"/>
            <w:vAlign w:val="center"/>
          </w:tcPr>
          <w:p w14:paraId="67B10B8A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</w:tr>
      <w:tr w14:paraId="417BA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8" w:type="dxa"/>
            <w:vMerge w:val="continue"/>
            <w:vAlign w:val="center"/>
          </w:tcPr>
          <w:p w14:paraId="593A9ED1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537A8CC">
            <w:pPr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209" w:type="dxa"/>
            <w:vMerge w:val="continue"/>
            <w:vAlign w:val="center"/>
          </w:tcPr>
          <w:p w14:paraId="3AEAA154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1B2D67C7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利用省外境内资金</w:t>
            </w:r>
          </w:p>
        </w:tc>
        <w:tc>
          <w:tcPr>
            <w:tcW w:w="1207" w:type="dxa"/>
            <w:gridSpan w:val="3"/>
            <w:vAlign w:val="center"/>
          </w:tcPr>
          <w:p w14:paraId="07A9513C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800亿元</w:t>
            </w:r>
          </w:p>
        </w:tc>
        <w:tc>
          <w:tcPr>
            <w:tcW w:w="1432" w:type="dxa"/>
            <w:gridSpan w:val="3"/>
            <w:vAlign w:val="center"/>
          </w:tcPr>
          <w:p w14:paraId="50DBFC66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869.9亿元</w:t>
            </w:r>
          </w:p>
        </w:tc>
        <w:tc>
          <w:tcPr>
            <w:tcW w:w="812" w:type="dxa"/>
            <w:gridSpan w:val="3"/>
            <w:vAlign w:val="center"/>
          </w:tcPr>
          <w:p w14:paraId="08E064B9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889" w:type="dxa"/>
            <w:gridSpan w:val="3"/>
            <w:vAlign w:val="center"/>
          </w:tcPr>
          <w:p w14:paraId="535389E8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991" w:type="dxa"/>
            <w:vAlign w:val="center"/>
          </w:tcPr>
          <w:p w14:paraId="4A87B4CD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</w:tr>
      <w:tr w14:paraId="7F55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8" w:type="dxa"/>
            <w:vMerge w:val="continue"/>
            <w:vAlign w:val="center"/>
          </w:tcPr>
          <w:p w14:paraId="2DEB37E8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63E94B2">
            <w:pPr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209" w:type="dxa"/>
            <w:vMerge w:val="restart"/>
            <w:vAlign w:val="center"/>
          </w:tcPr>
          <w:p w14:paraId="23ACE652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1549" w:type="dxa"/>
            <w:gridSpan w:val="2"/>
            <w:vAlign w:val="center"/>
          </w:tcPr>
          <w:p w14:paraId="0270A364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利用内资</w:t>
            </w:r>
          </w:p>
        </w:tc>
        <w:tc>
          <w:tcPr>
            <w:tcW w:w="1207" w:type="dxa"/>
            <w:gridSpan w:val="3"/>
            <w:vAlign w:val="center"/>
          </w:tcPr>
          <w:p w14:paraId="253D5778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10%</w:t>
            </w:r>
          </w:p>
        </w:tc>
        <w:tc>
          <w:tcPr>
            <w:tcW w:w="1432" w:type="dxa"/>
            <w:gridSpan w:val="3"/>
            <w:vAlign w:val="center"/>
          </w:tcPr>
          <w:p w14:paraId="49F97940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13.5%</w:t>
            </w:r>
          </w:p>
        </w:tc>
        <w:tc>
          <w:tcPr>
            <w:tcW w:w="812" w:type="dxa"/>
            <w:gridSpan w:val="3"/>
            <w:vAlign w:val="center"/>
          </w:tcPr>
          <w:p w14:paraId="04F6C65A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889" w:type="dxa"/>
            <w:gridSpan w:val="3"/>
            <w:vAlign w:val="center"/>
          </w:tcPr>
          <w:p w14:paraId="03BDD5FF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991" w:type="dxa"/>
            <w:vAlign w:val="center"/>
          </w:tcPr>
          <w:p w14:paraId="36A48487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</w:tr>
      <w:tr w14:paraId="6122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8" w:type="dxa"/>
            <w:vMerge w:val="continue"/>
            <w:vAlign w:val="center"/>
          </w:tcPr>
          <w:p w14:paraId="2F6E4485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F9DE6C4">
            <w:pPr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209" w:type="dxa"/>
            <w:vMerge w:val="continue"/>
            <w:vAlign w:val="center"/>
          </w:tcPr>
          <w:p w14:paraId="2BA3E439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6C055924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社会消费品零售总额增长</w:t>
            </w:r>
          </w:p>
        </w:tc>
        <w:tc>
          <w:tcPr>
            <w:tcW w:w="1207" w:type="dxa"/>
            <w:gridSpan w:val="3"/>
            <w:vAlign w:val="center"/>
          </w:tcPr>
          <w:p w14:paraId="22E518B8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6%</w:t>
            </w:r>
          </w:p>
        </w:tc>
        <w:tc>
          <w:tcPr>
            <w:tcW w:w="1432" w:type="dxa"/>
            <w:gridSpan w:val="3"/>
            <w:vAlign w:val="center"/>
          </w:tcPr>
          <w:p w14:paraId="3AABD1DC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7.2%</w:t>
            </w:r>
          </w:p>
        </w:tc>
        <w:tc>
          <w:tcPr>
            <w:tcW w:w="812" w:type="dxa"/>
            <w:gridSpan w:val="3"/>
            <w:vAlign w:val="center"/>
          </w:tcPr>
          <w:p w14:paraId="7E112615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889" w:type="dxa"/>
            <w:gridSpan w:val="3"/>
            <w:vAlign w:val="center"/>
          </w:tcPr>
          <w:p w14:paraId="5F095C5B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991" w:type="dxa"/>
            <w:vAlign w:val="center"/>
          </w:tcPr>
          <w:p w14:paraId="3DB9DB87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　</w:t>
            </w:r>
          </w:p>
        </w:tc>
      </w:tr>
      <w:tr w14:paraId="59A2B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8" w:type="dxa"/>
            <w:vMerge w:val="continue"/>
            <w:vAlign w:val="center"/>
          </w:tcPr>
          <w:p w14:paraId="72FBA467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4A5F64E">
            <w:pPr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209" w:type="dxa"/>
            <w:vMerge w:val="restart"/>
            <w:vAlign w:val="center"/>
          </w:tcPr>
          <w:p w14:paraId="16F15D93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1549" w:type="dxa"/>
            <w:gridSpan w:val="2"/>
            <w:vAlign w:val="center"/>
          </w:tcPr>
          <w:p w14:paraId="478A0DAD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对外工程承包和劳务合作营业额增长</w:t>
            </w:r>
          </w:p>
        </w:tc>
        <w:tc>
          <w:tcPr>
            <w:tcW w:w="1207" w:type="dxa"/>
            <w:gridSpan w:val="3"/>
            <w:vAlign w:val="center"/>
          </w:tcPr>
          <w:p w14:paraId="3C5DB3B5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8%</w:t>
            </w:r>
          </w:p>
        </w:tc>
        <w:tc>
          <w:tcPr>
            <w:tcW w:w="1432" w:type="dxa"/>
            <w:gridSpan w:val="3"/>
            <w:vAlign w:val="center"/>
          </w:tcPr>
          <w:p w14:paraId="7FF16F81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10.18%</w:t>
            </w:r>
          </w:p>
        </w:tc>
        <w:tc>
          <w:tcPr>
            <w:tcW w:w="812" w:type="dxa"/>
            <w:gridSpan w:val="3"/>
            <w:vAlign w:val="center"/>
          </w:tcPr>
          <w:p w14:paraId="32552493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889" w:type="dxa"/>
            <w:gridSpan w:val="3"/>
            <w:vAlign w:val="center"/>
          </w:tcPr>
          <w:p w14:paraId="7153DC0D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991" w:type="dxa"/>
            <w:vAlign w:val="center"/>
          </w:tcPr>
          <w:p w14:paraId="13B31CF8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　</w:t>
            </w:r>
          </w:p>
        </w:tc>
      </w:tr>
      <w:tr w14:paraId="7CE1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8" w:type="dxa"/>
            <w:vMerge w:val="continue"/>
            <w:vAlign w:val="center"/>
          </w:tcPr>
          <w:p w14:paraId="15CBCAB8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3941BF5">
            <w:pPr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209" w:type="dxa"/>
            <w:vMerge w:val="continue"/>
            <w:vAlign w:val="center"/>
          </w:tcPr>
          <w:p w14:paraId="42F6A0B0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732F6478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压缩海关通关时间</w:t>
            </w:r>
          </w:p>
        </w:tc>
        <w:tc>
          <w:tcPr>
            <w:tcW w:w="1207" w:type="dxa"/>
            <w:gridSpan w:val="3"/>
            <w:vAlign w:val="center"/>
          </w:tcPr>
          <w:p w14:paraId="3327A61B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3分钟</w:t>
            </w:r>
          </w:p>
        </w:tc>
        <w:tc>
          <w:tcPr>
            <w:tcW w:w="1432" w:type="dxa"/>
            <w:gridSpan w:val="3"/>
            <w:vAlign w:val="center"/>
          </w:tcPr>
          <w:p w14:paraId="63B0EBD5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18分钟</w:t>
            </w:r>
          </w:p>
        </w:tc>
        <w:tc>
          <w:tcPr>
            <w:tcW w:w="812" w:type="dxa"/>
            <w:gridSpan w:val="3"/>
            <w:vAlign w:val="center"/>
          </w:tcPr>
          <w:p w14:paraId="78BB9AD4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89" w:type="dxa"/>
            <w:gridSpan w:val="3"/>
            <w:vAlign w:val="center"/>
          </w:tcPr>
          <w:p w14:paraId="78D9533F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91" w:type="dxa"/>
            <w:vAlign w:val="center"/>
          </w:tcPr>
          <w:p w14:paraId="009E5FAD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　</w:t>
            </w:r>
          </w:p>
        </w:tc>
      </w:tr>
      <w:tr w14:paraId="5AE1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8" w:type="dxa"/>
            <w:vMerge w:val="continue"/>
            <w:vAlign w:val="center"/>
          </w:tcPr>
          <w:p w14:paraId="3F8F3B47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404A1EF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1209" w:type="dxa"/>
            <w:vAlign w:val="center"/>
          </w:tcPr>
          <w:p w14:paraId="6C12D343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经济效益指标</w:t>
            </w:r>
          </w:p>
        </w:tc>
        <w:tc>
          <w:tcPr>
            <w:tcW w:w="1549" w:type="dxa"/>
            <w:gridSpan w:val="2"/>
            <w:vAlign w:val="center"/>
          </w:tcPr>
          <w:p w14:paraId="22D67807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引进“三类500强”企业</w:t>
            </w:r>
          </w:p>
        </w:tc>
        <w:tc>
          <w:tcPr>
            <w:tcW w:w="1207" w:type="dxa"/>
            <w:gridSpan w:val="3"/>
            <w:vAlign w:val="center"/>
          </w:tcPr>
          <w:p w14:paraId="7475AD5B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6家</w:t>
            </w:r>
          </w:p>
        </w:tc>
        <w:tc>
          <w:tcPr>
            <w:tcW w:w="1432" w:type="dxa"/>
            <w:gridSpan w:val="3"/>
            <w:vAlign w:val="center"/>
          </w:tcPr>
          <w:p w14:paraId="2AE35A42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21家</w:t>
            </w:r>
          </w:p>
        </w:tc>
        <w:tc>
          <w:tcPr>
            <w:tcW w:w="812" w:type="dxa"/>
            <w:gridSpan w:val="3"/>
            <w:vAlign w:val="center"/>
          </w:tcPr>
          <w:p w14:paraId="09C72087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89" w:type="dxa"/>
            <w:gridSpan w:val="3"/>
            <w:vAlign w:val="center"/>
          </w:tcPr>
          <w:p w14:paraId="250B0AC3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91" w:type="dxa"/>
            <w:vAlign w:val="center"/>
          </w:tcPr>
          <w:p w14:paraId="6AA19F45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sz w:val="15"/>
                <w:szCs w:val="15"/>
              </w:rPr>
            </w:pPr>
          </w:p>
        </w:tc>
      </w:tr>
      <w:tr w14:paraId="27AD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8" w:type="dxa"/>
            <w:vMerge w:val="continue"/>
            <w:vAlign w:val="center"/>
          </w:tcPr>
          <w:p w14:paraId="72881F39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66C09D7">
            <w:pPr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209" w:type="dxa"/>
            <w:vAlign w:val="center"/>
          </w:tcPr>
          <w:p w14:paraId="38674E2C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1549" w:type="dxa"/>
            <w:gridSpan w:val="2"/>
            <w:vAlign w:val="center"/>
          </w:tcPr>
          <w:p w14:paraId="2E81A0D3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全面实施展会促消费行动</w:t>
            </w:r>
          </w:p>
        </w:tc>
        <w:tc>
          <w:tcPr>
            <w:tcW w:w="1207" w:type="dxa"/>
            <w:gridSpan w:val="3"/>
            <w:vAlign w:val="center"/>
          </w:tcPr>
          <w:p w14:paraId="440E4610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2次</w:t>
            </w:r>
          </w:p>
        </w:tc>
        <w:tc>
          <w:tcPr>
            <w:tcW w:w="1432" w:type="dxa"/>
            <w:gridSpan w:val="3"/>
            <w:vAlign w:val="center"/>
          </w:tcPr>
          <w:p w14:paraId="0237C052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38次</w:t>
            </w:r>
          </w:p>
        </w:tc>
        <w:tc>
          <w:tcPr>
            <w:tcW w:w="812" w:type="dxa"/>
            <w:gridSpan w:val="3"/>
            <w:vAlign w:val="center"/>
          </w:tcPr>
          <w:p w14:paraId="7E76CC79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89" w:type="dxa"/>
            <w:gridSpan w:val="3"/>
            <w:vAlign w:val="center"/>
          </w:tcPr>
          <w:p w14:paraId="6FB91F7A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91" w:type="dxa"/>
            <w:vAlign w:val="center"/>
          </w:tcPr>
          <w:p w14:paraId="7C327B2A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</w:tr>
      <w:tr w14:paraId="38F2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8" w:type="dxa"/>
            <w:vMerge w:val="continue"/>
            <w:vAlign w:val="center"/>
          </w:tcPr>
          <w:p w14:paraId="4D803616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8023C26">
            <w:pPr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209" w:type="dxa"/>
            <w:vAlign w:val="center"/>
          </w:tcPr>
          <w:p w14:paraId="4888EF16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生态效益指标</w:t>
            </w:r>
          </w:p>
        </w:tc>
        <w:tc>
          <w:tcPr>
            <w:tcW w:w="1549" w:type="dxa"/>
            <w:gridSpan w:val="2"/>
            <w:vAlign w:val="center"/>
          </w:tcPr>
          <w:p w14:paraId="69774F0B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 xml:space="preserve">帮助农村农特产品线上销售 </w:t>
            </w:r>
          </w:p>
        </w:tc>
        <w:tc>
          <w:tcPr>
            <w:tcW w:w="1207" w:type="dxa"/>
            <w:gridSpan w:val="3"/>
            <w:vAlign w:val="center"/>
          </w:tcPr>
          <w:p w14:paraId="317ED5D9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20亿元</w:t>
            </w:r>
          </w:p>
        </w:tc>
        <w:tc>
          <w:tcPr>
            <w:tcW w:w="1432" w:type="dxa"/>
            <w:gridSpan w:val="3"/>
            <w:vAlign w:val="center"/>
          </w:tcPr>
          <w:p w14:paraId="29B7DD28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21亿元</w:t>
            </w:r>
          </w:p>
        </w:tc>
        <w:tc>
          <w:tcPr>
            <w:tcW w:w="812" w:type="dxa"/>
            <w:gridSpan w:val="3"/>
            <w:vAlign w:val="center"/>
          </w:tcPr>
          <w:p w14:paraId="2DE7E8D0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89" w:type="dxa"/>
            <w:gridSpan w:val="3"/>
            <w:vAlign w:val="center"/>
          </w:tcPr>
          <w:p w14:paraId="779EDBFE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91" w:type="dxa"/>
            <w:vAlign w:val="center"/>
          </w:tcPr>
          <w:p w14:paraId="7C918905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　</w:t>
            </w:r>
          </w:p>
        </w:tc>
      </w:tr>
      <w:tr w14:paraId="03C8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8" w:type="dxa"/>
            <w:vMerge w:val="continue"/>
            <w:vAlign w:val="center"/>
          </w:tcPr>
          <w:p w14:paraId="4FEB7024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01DAD6E">
            <w:pPr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209" w:type="dxa"/>
            <w:vAlign w:val="center"/>
          </w:tcPr>
          <w:p w14:paraId="174CC6D3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1549" w:type="dxa"/>
            <w:gridSpan w:val="2"/>
            <w:vAlign w:val="center"/>
          </w:tcPr>
          <w:p w14:paraId="080274DA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贯彻落实稳消费接续政策</w:t>
            </w:r>
          </w:p>
        </w:tc>
        <w:tc>
          <w:tcPr>
            <w:tcW w:w="1207" w:type="dxa"/>
            <w:gridSpan w:val="3"/>
            <w:vAlign w:val="center"/>
          </w:tcPr>
          <w:p w14:paraId="74218606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2次</w:t>
            </w:r>
          </w:p>
        </w:tc>
        <w:tc>
          <w:tcPr>
            <w:tcW w:w="1432" w:type="dxa"/>
            <w:gridSpan w:val="3"/>
            <w:vAlign w:val="center"/>
          </w:tcPr>
          <w:p w14:paraId="0538DBCD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2次</w:t>
            </w:r>
          </w:p>
        </w:tc>
        <w:tc>
          <w:tcPr>
            <w:tcW w:w="812" w:type="dxa"/>
            <w:gridSpan w:val="3"/>
            <w:vAlign w:val="center"/>
          </w:tcPr>
          <w:p w14:paraId="2488E547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89" w:type="dxa"/>
            <w:gridSpan w:val="3"/>
            <w:vAlign w:val="center"/>
          </w:tcPr>
          <w:p w14:paraId="4A350864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91" w:type="dxa"/>
            <w:vAlign w:val="center"/>
          </w:tcPr>
          <w:p w14:paraId="163F3411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　</w:t>
            </w:r>
          </w:p>
        </w:tc>
      </w:tr>
      <w:tr w14:paraId="11E1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8" w:type="dxa"/>
            <w:vMerge w:val="continue"/>
            <w:vAlign w:val="center"/>
          </w:tcPr>
          <w:p w14:paraId="518C7609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14:paraId="4F8CAACC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满意度指标</w:t>
            </w:r>
          </w:p>
        </w:tc>
        <w:tc>
          <w:tcPr>
            <w:tcW w:w="1209" w:type="dxa"/>
            <w:vAlign w:val="center"/>
          </w:tcPr>
          <w:p w14:paraId="7D510757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1549" w:type="dxa"/>
            <w:gridSpan w:val="2"/>
            <w:vAlign w:val="center"/>
          </w:tcPr>
          <w:p w14:paraId="1469B976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5"/>
                <w:szCs w:val="15"/>
              </w:rPr>
              <w:t>群众满意度</w:t>
            </w:r>
          </w:p>
        </w:tc>
        <w:tc>
          <w:tcPr>
            <w:tcW w:w="1207" w:type="dxa"/>
            <w:gridSpan w:val="3"/>
            <w:vAlign w:val="center"/>
          </w:tcPr>
          <w:p w14:paraId="6774CCD6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90%</w:t>
            </w:r>
          </w:p>
        </w:tc>
        <w:tc>
          <w:tcPr>
            <w:tcW w:w="1432" w:type="dxa"/>
            <w:gridSpan w:val="3"/>
            <w:vAlign w:val="center"/>
          </w:tcPr>
          <w:p w14:paraId="11F3A34E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95%</w:t>
            </w:r>
          </w:p>
        </w:tc>
        <w:tc>
          <w:tcPr>
            <w:tcW w:w="812" w:type="dxa"/>
            <w:gridSpan w:val="3"/>
            <w:vAlign w:val="center"/>
          </w:tcPr>
          <w:p w14:paraId="282F1F60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89" w:type="dxa"/>
            <w:gridSpan w:val="3"/>
            <w:vAlign w:val="center"/>
          </w:tcPr>
          <w:p w14:paraId="7E8A8764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91" w:type="dxa"/>
            <w:vAlign w:val="center"/>
          </w:tcPr>
          <w:p w14:paraId="75D087AE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</w:tr>
      <w:tr w14:paraId="5B32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8" w:type="dxa"/>
            <w:vMerge w:val="continue"/>
            <w:vAlign w:val="center"/>
          </w:tcPr>
          <w:p w14:paraId="3AF025B0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A3CE845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1209" w:type="dxa"/>
            <w:vMerge w:val="restart"/>
            <w:vAlign w:val="center"/>
          </w:tcPr>
          <w:p w14:paraId="6DB1F101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5"/>
                <w:szCs w:val="15"/>
              </w:rPr>
              <w:t>经济成本指标</w:t>
            </w:r>
          </w:p>
        </w:tc>
        <w:tc>
          <w:tcPr>
            <w:tcW w:w="1549" w:type="dxa"/>
            <w:gridSpan w:val="2"/>
            <w:vAlign w:val="center"/>
          </w:tcPr>
          <w:p w14:paraId="2736F7CE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5"/>
                <w:szCs w:val="15"/>
              </w:rPr>
              <w:t>全年整体投入资金</w:t>
            </w:r>
          </w:p>
        </w:tc>
        <w:tc>
          <w:tcPr>
            <w:tcW w:w="1207" w:type="dxa"/>
            <w:gridSpan w:val="3"/>
            <w:vAlign w:val="center"/>
          </w:tcPr>
          <w:p w14:paraId="7EF6DE8B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1320.09万元</w:t>
            </w:r>
          </w:p>
        </w:tc>
        <w:tc>
          <w:tcPr>
            <w:tcW w:w="1432" w:type="dxa"/>
            <w:gridSpan w:val="3"/>
            <w:vAlign w:val="center"/>
          </w:tcPr>
          <w:p w14:paraId="1460204C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1320.09万元</w:t>
            </w:r>
          </w:p>
        </w:tc>
        <w:tc>
          <w:tcPr>
            <w:tcW w:w="812" w:type="dxa"/>
            <w:gridSpan w:val="3"/>
            <w:vAlign w:val="center"/>
          </w:tcPr>
          <w:p w14:paraId="5C3FD7F9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89" w:type="dxa"/>
            <w:gridSpan w:val="3"/>
            <w:vAlign w:val="center"/>
          </w:tcPr>
          <w:p w14:paraId="29B04D71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91" w:type="dxa"/>
            <w:vAlign w:val="center"/>
          </w:tcPr>
          <w:p w14:paraId="390E4CBA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</w:tr>
      <w:tr w14:paraId="7C27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8" w:type="dxa"/>
            <w:vMerge w:val="continue"/>
            <w:vAlign w:val="center"/>
          </w:tcPr>
          <w:p w14:paraId="446B70E5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84B0B2F">
            <w:pPr>
              <w:spacing w:line="200" w:lineRule="exac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209" w:type="dxa"/>
            <w:vMerge w:val="continue"/>
            <w:vAlign w:val="center"/>
          </w:tcPr>
          <w:p w14:paraId="286C9DC8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6A2349D7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5"/>
                <w:szCs w:val="15"/>
              </w:rPr>
              <w:t>预算执行率</w:t>
            </w:r>
          </w:p>
        </w:tc>
        <w:tc>
          <w:tcPr>
            <w:tcW w:w="1207" w:type="dxa"/>
            <w:gridSpan w:val="3"/>
            <w:vAlign w:val="center"/>
          </w:tcPr>
          <w:p w14:paraId="374A2233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95%</w:t>
            </w:r>
          </w:p>
        </w:tc>
        <w:tc>
          <w:tcPr>
            <w:tcW w:w="1432" w:type="dxa"/>
            <w:gridSpan w:val="3"/>
            <w:vAlign w:val="center"/>
          </w:tcPr>
          <w:p w14:paraId="294543CC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812" w:type="dxa"/>
            <w:gridSpan w:val="3"/>
            <w:vAlign w:val="center"/>
          </w:tcPr>
          <w:p w14:paraId="2D0BF25E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89" w:type="dxa"/>
            <w:gridSpan w:val="3"/>
            <w:vAlign w:val="center"/>
          </w:tcPr>
          <w:p w14:paraId="62B0BDC1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91" w:type="dxa"/>
            <w:vAlign w:val="center"/>
          </w:tcPr>
          <w:p w14:paraId="63D68422">
            <w:pPr>
              <w:spacing w:line="200" w:lineRule="exac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</w:tr>
      <w:tr w14:paraId="6B40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8" w:type="dxa"/>
            <w:vMerge w:val="continue"/>
            <w:vAlign w:val="center"/>
          </w:tcPr>
          <w:p w14:paraId="2A6CF8B0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FE3B2F1">
            <w:pPr>
              <w:spacing w:line="200" w:lineRule="exac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209" w:type="dxa"/>
            <w:vAlign w:val="center"/>
          </w:tcPr>
          <w:p w14:paraId="6B23CCB4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5"/>
                <w:szCs w:val="15"/>
              </w:rPr>
              <w:t>社会成本指标</w:t>
            </w:r>
          </w:p>
        </w:tc>
        <w:tc>
          <w:tcPr>
            <w:tcW w:w="1549" w:type="dxa"/>
            <w:gridSpan w:val="2"/>
            <w:vAlign w:val="center"/>
          </w:tcPr>
          <w:p w14:paraId="0FCDD725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4E0A2F97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32" w:type="dxa"/>
            <w:gridSpan w:val="3"/>
            <w:vAlign w:val="center"/>
          </w:tcPr>
          <w:p w14:paraId="41FA194F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6747441F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02EF3D98">
            <w:pPr>
              <w:spacing w:line="200" w:lineRule="exac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1" w:type="dxa"/>
            <w:vAlign w:val="center"/>
          </w:tcPr>
          <w:p w14:paraId="2ECD6E10">
            <w:pPr>
              <w:spacing w:line="200" w:lineRule="exac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</w:tr>
      <w:tr w14:paraId="04E2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8" w:type="dxa"/>
            <w:vMerge w:val="continue"/>
            <w:vAlign w:val="center"/>
          </w:tcPr>
          <w:p w14:paraId="0EF19278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2D62CDE">
            <w:pPr>
              <w:spacing w:line="200" w:lineRule="exac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  <w:tc>
          <w:tcPr>
            <w:tcW w:w="1209" w:type="dxa"/>
            <w:vAlign w:val="center"/>
          </w:tcPr>
          <w:p w14:paraId="43493022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5"/>
                <w:szCs w:val="15"/>
              </w:rPr>
              <w:t>生态环境成本指标</w:t>
            </w:r>
          </w:p>
        </w:tc>
        <w:tc>
          <w:tcPr>
            <w:tcW w:w="1549" w:type="dxa"/>
            <w:gridSpan w:val="2"/>
            <w:vAlign w:val="center"/>
          </w:tcPr>
          <w:p w14:paraId="17FB6577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072369CA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32" w:type="dxa"/>
            <w:gridSpan w:val="3"/>
            <w:vAlign w:val="center"/>
          </w:tcPr>
          <w:p w14:paraId="3C7E7AA2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1694519A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0905FC93">
            <w:pPr>
              <w:spacing w:line="200" w:lineRule="exac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1" w:type="dxa"/>
            <w:vAlign w:val="center"/>
          </w:tcPr>
          <w:p w14:paraId="7FD903FC">
            <w:pPr>
              <w:spacing w:line="200" w:lineRule="exac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</w:tr>
      <w:tr w14:paraId="1CFC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778" w:type="dxa"/>
            <w:gridSpan w:val="9"/>
            <w:vAlign w:val="center"/>
          </w:tcPr>
          <w:p w14:paraId="6F3296AC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kern w:val="0"/>
                <w:sz w:val="15"/>
                <w:szCs w:val="15"/>
              </w:rPr>
              <w:t>总分</w:t>
            </w:r>
          </w:p>
        </w:tc>
        <w:tc>
          <w:tcPr>
            <w:tcW w:w="812" w:type="dxa"/>
            <w:gridSpan w:val="3"/>
            <w:vAlign w:val="center"/>
          </w:tcPr>
          <w:p w14:paraId="0E3BE810">
            <w:pPr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sz w:val="15"/>
                <w:szCs w:val="15"/>
              </w:rPr>
              <w:t>100</w:t>
            </w:r>
          </w:p>
        </w:tc>
        <w:tc>
          <w:tcPr>
            <w:tcW w:w="889" w:type="dxa"/>
            <w:gridSpan w:val="3"/>
            <w:vAlign w:val="center"/>
          </w:tcPr>
          <w:p w14:paraId="791CFBBC">
            <w:pPr>
              <w:spacing w:line="200" w:lineRule="exact"/>
              <w:jc w:val="center"/>
              <w:rPr>
                <w:rFonts w:ascii="Times New Roman" w:hAnsi="Times New Roman" w:eastAsia="仿宋"/>
                <w:sz w:val="15"/>
                <w:szCs w:val="15"/>
              </w:rPr>
            </w:pPr>
            <w:r>
              <w:rPr>
                <w:rFonts w:ascii="Times New Roman" w:hAnsi="Times New Roman" w:eastAsia="仿宋"/>
                <w:sz w:val="15"/>
                <w:szCs w:val="15"/>
              </w:rPr>
              <w:t>100</w:t>
            </w:r>
          </w:p>
        </w:tc>
        <w:tc>
          <w:tcPr>
            <w:tcW w:w="1608" w:type="dxa"/>
            <w:gridSpan w:val="3"/>
            <w:vAlign w:val="center"/>
          </w:tcPr>
          <w:p w14:paraId="0C70D906">
            <w:pPr>
              <w:widowControl/>
              <w:spacing w:line="200" w:lineRule="exact"/>
              <w:jc w:val="left"/>
              <w:rPr>
                <w:rFonts w:ascii="Times New Roman" w:hAnsi="Times New Roman" w:eastAsia="仿宋"/>
                <w:kern w:val="0"/>
                <w:sz w:val="15"/>
                <w:szCs w:val="15"/>
              </w:rPr>
            </w:pPr>
          </w:p>
        </w:tc>
      </w:tr>
    </w:tbl>
    <w:p w14:paraId="063021DC">
      <w:pPr>
        <w:widowControl/>
        <w:spacing w:line="320" w:lineRule="exact"/>
        <w:ind w:left="-63" w:leftChars="-20" w:right="-63" w:rightChars="-20"/>
        <w:rPr>
          <w:rFonts w:ascii="仿宋" w:hAnsi="仿宋" w:eastAsia="仿宋" w:cs="仿宋"/>
          <w:kern w:val="0"/>
          <w:sz w:val="22"/>
          <w:szCs w:val="24"/>
        </w:rPr>
      </w:pPr>
      <w:r>
        <w:rPr>
          <w:rFonts w:ascii="仿宋" w:hAnsi="仿宋" w:eastAsia="仿宋" w:cs="仿宋"/>
          <w:kern w:val="0"/>
          <w:sz w:val="22"/>
          <w:szCs w:val="24"/>
        </w:rPr>
        <w:t>填表人：</w:t>
      </w:r>
      <w:r>
        <w:rPr>
          <w:rFonts w:hint="eastAsia" w:ascii="仿宋" w:hAnsi="仿宋" w:eastAsia="仿宋" w:cs="仿宋"/>
          <w:kern w:val="0"/>
          <w:sz w:val="22"/>
          <w:szCs w:val="24"/>
        </w:rPr>
        <w:t>贺家悦</w:t>
      </w:r>
      <w:r>
        <w:rPr>
          <w:rFonts w:ascii="仿宋" w:hAnsi="仿宋" w:eastAsia="仿宋" w:cs="仿宋"/>
          <w:kern w:val="0"/>
          <w:sz w:val="22"/>
          <w:szCs w:val="24"/>
        </w:rPr>
        <w:t xml:space="preserve">  填报日期： 20</w:t>
      </w:r>
      <w:r>
        <w:rPr>
          <w:rFonts w:hint="eastAsia" w:ascii="仿宋" w:hAnsi="仿宋" w:eastAsia="仿宋" w:cs="仿宋"/>
          <w:kern w:val="0"/>
          <w:sz w:val="22"/>
          <w:szCs w:val="24"/>
        </w:rPr>
        <w:t>24</w:t>
      </w:r>
      <w:r>
        <w:rPr>
          <w:rFonts w:ascii="仿宋" w:hAnsi="仿宋" w:eastAsia="仿宋" w:cs="仿宋"/>
          <w:kern w:val="0"/>
          <w:sz w:val="22"/>
          <w:szCs w:val="24"/>
        </w:rPr>
        <w:t>年</w:t>
      </w:r>
      <w:r>
        <w:rPr>
          <w:rFonts w:hint="eastAsia" w:ascii="仿宋" w:hAnsi="仿宋" w:eastAsia="仿宋" w:cs="仿宋"/>
          <w:kern w:val="0"/>
          <w:sz w:val="22"/>
          <w:szCs w:val="24"/>
        </w:rPr>
        <w:t>5</w:t>
      </w:r>
      <w:r>
        <w:rPr>
          <w:rFonts w:ascii="仿宋" w:hAnsi="仿宋" w:eastAsia="仿宋" w:cs="仿宋"/>
          <w:kern w:val="0"/>
          <w:sz w:val="22"/>
          <w:szCs w:val="24"/>
        </w:rPr>
        <w:t>月2</w:t>
      </w:r>
      <w:r>
        <w:rPr>
          <w:rFonts w:hint="eastAsia" w:ascii="仿宋" w:hAnsi="仿宋" w:eastAsia="仿宋" w:cs="仿宋"/>
          <w:kern w:val="0"/>
          <w:sz w:val="22"/>
          <w:szCs w:val="24"/>
        </w:rPr>
        <w:t>4</w:t>
      </w:r>
      <w:r>
        <w:rPr>
          <w:rFonts w:ascii="仿宋" w:hAnsi="仿宋" w:eastAsia="仿宋" w:cs="仿宋"/>
          <w:kern w:val="0"/>
          <w:sz w:val="22"/>
          <w:szCs w:val="24"/>
        </w:rPr>
        <w:t>日  联系电话：4245709  单位负责人签字：</w:t>
      </w:r>
    </w:p>
    <w:p w14:paraId="756AC24A">
      <w:pPr>
        <w:widowControl/>
        <w:jc w:val="lef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</w:t>
      </w:r>
      <w:r>
        <w:rPr>
          <w:rFonts w:hint="eastAsia" w:ascii="Times New Roman" w:hAnsi="Times New Roman" w:eastAsia="黑体"/>
          <w:szCs w:val="32"/>
        </w:rPr>
        <w:t>3</w:t>
      </w:r>
    </w:p>
    <w:p w14:paraId="5562F6B8">
      <w:pPr>
        <w:pStyle w:val="2"/>
        <w:rPr>
          <w:rFonts w:hint="default"/>
        </w:rPr>
      </w:pPr>
      <w:r>
        <w:rPr>
          <w:rFonts w:hint="default"/>
        </w:rPr>
        <w:t>202</w:t>
      </w:r>
      <w:r>
        <w:t>3</w:t>
      </w:r>
      <w:r>
        <w:rPr>
          <w:rFonts w:hint="default"/>
        </w:rPr>
        <w:t>年度项目支出绩效自评表</w:t>
      </w:r>
    </w:p>
    <w:tbl>
      <w:tblPr>
        <w:tblStyle w:val="8"/>
        <w:tblW w:w="57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767"/>
        <w:gridCol w:w="75"/>
        <w:gridCol w:w="1278"/>
        <w:gridCol w:w="1303"/>
        <w:gridCol w:w="580"/>
        <w:gridCol w:w="235"/>
        <w:gridCol w:w="817"/>
        <w:gridCol w:w="235"/>
        <w:gridCol w:w="455"/>
        <w:gridCol w:w="235"/>
        <w:gridCol w:w="591"/>
        <w:gridCol w:w="235"/>
        <w:gridCol w:w="2550"/>
      </w:tblGrid>
      <w:tr w14:paraId="7364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00" w:type="pct"/>
            <w:gridSpan w:val="2"/>
            <w:vAlign w:val="center"/>
          </w:tcPr>
          <w:p w14:paraId="307808F3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项目支出名称</w:t>
            </w:r>
          </w:p>
        </w:tc>
        <w:tc>
          <w:tcPr>
            <w:tcW w:w="4099" w:type="pct"/>
            <w:gridSpan w:val="12"/>
            <w:vAlign w:val="center"/>
          </w:tcPr>
          <w:p w14:paraId="7F344674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业务工作经费</w:t>
            </w:r>
          </w:p>
        </w:tc>
      </w:tr>
      <w:tr w14:paraId="1F41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Align w:val="center"/>
          </w:tcPr>
          <w:p w14:paraId="6E3C4677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1911" w:type="pct"/>
            <w:gridSpan w:val="5"/>
            <w:vAlign w:val="center"/>
          </w:tcPr>
          <w:p w14:paraId="63DA26ED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益阳市商务局</w:t>
            </w:r>
          </w:p>
        </w:tc>
        <w:tc>
          <w:tcPr>
            <w:tcW w:w="502" w:type="pct"/>
            <w:gridSpan w:val="2"/>
            <w:vAlign w:val="center"/>
          </w:tcPr>
          <w:p w14:paraId="2C6709C0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2052" w:type="pct"/>
            <w:gridSpan w:val="6"/>
            <w:vAlign w:val="center"/>
          </w:tcPr>
          <w:p w14:paraId="356ADF0C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益阳市商务局</w:t>
            </w:r>
          </w:p>
        </w:tc>
      </w:tr>
      <w:tr w14:paraId="44AB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Merge w:val="restart"/>
            <w:vAlign w:val="center"/>
          </w:tcPr>
          <w:p w14:paraId="7E26BF77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项目资金</w:t>
            </w:r>
          </w:p>
          <w:p w14:paraId="7A916D36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1012" w:type="pct"/>
            <w:gridSpan w:val="3"/>
            <w:vAlign w:val="center"/>
          </w:tcPr>
          <w:p w14:paraId="4388B847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资金来源</w:t>
            </w:r>
          </w:p>
        </w:tc>
        <w:tc>
          <w:tcPr>
            <w:tcW w:w="622" w:type="pct"/>
            <w:vAlign w:val="center"/>
          </w:tcPr>
          <w:p w14:paraId="7E1C9154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389" w:type="pct"/>
            <w:gridSpan w:val="2"/>
            <w:vAlign w:val="center"/>
          </w:tcPr>
          <w:p w14:paraId="35AF58A5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502" w:type="pct"/>
            <w:gridSpan w:val="2"/>
            <w:vAlign w:val="center"/>
          </w:tcPr>
          <w:p w14:paraId="286FB19B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全年</w:t>
            </w:r>
          </w:p>
          <w:p w14:paraId="5B672E24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执行数</w:t>
            </w:r>
          </w:p>
        </w:tc>
        <w:tc>
          <w:tcPr>
            <w:tcW w:w="329" w:type="pct"/>
            <w:gridSpan w:val="2"/>
            <w:vAlign w:val="center"/>
          </w:tcPr>
          <w:p w14:paraId="02306757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394" w:type="pct"/>
            <w:gridSpan w:val="2"/>
            <w:vAlign w:val="center"/>
          </w:tcPr>
          <w:p w14:paraId="03CA4449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1213" w:type="pct"/>
            <w:vAlign w:val="center"/>
          </w:tcPr>
          <w:p w14:paraId="2F892D95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自评得分</w:t>
            </w:r>
          </w:p>
        </w:tc>
      </w:tr>
      <w:tr w14:paraId="5A10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Merge w:val="continue"/>
            <w:vAlign w:val="center"/>
          </w:tcPr>
          <w:p w14:paraId="7AA3DB48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12" w:type="pct"/>
            <w:gridSpan w:val="3"/>
            <w:vAlign w:val="center"/>
          </w:tcPr>
          <w:p w14:paraId="68CFDB55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其中:当年财政拨款</w:t>
            </w:r>
          </w:p>
        </w:tc>
        <w:tc>
          <w:tcPr>
            <w:tcW w:w="622" w:type="pct"/>
            <w:vAlign w:val="center"/>
          </w:tcPr>
          <w:p w14:paraId="04CF2A7C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389" w:type="pct"/>
            <w:gridSpan w:val="2"/>
            <w:vAlign w:val="center"/>
          </w:tcPr>
          <w:p w14:paraId="53F56E9D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518.56</w:t>
            </w:r>
          </w:p>
        </w:tc>
        <w:tc>
          <w:tcPr>
            <w:tcW w:w="502" w:type="pct"/>
            <w:gridSpan w:val="2"/>
            <w:vAlign w:val="center"/>
          </w:tcPr>
          <w:p w14:paraId="25CF4D94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518.56</w:t>
            </w:r>
          </w:p>
        </w:tc>
        <w:tc>
          <w:tcPr>
            <w:tcW w:w="329" w:type="pct"/>
            <w:gridSpan w:val="2"/>
            <w:vAlign w:val="center"/>
          </w:tcPr>
          <w:p w14:paraId="571EF757">
            <w:pPr>
              <w:widowControl/>
              <w:spacing w:line="200" w:lineRule="exact"/>
              <w:ind w:left="-63" w:leftChars="-20" w:right="-63" w:rightChars="-20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94" w:type="pct"/>
            <w:gridSpan w:val="2"/>
            <w:vAlign w:val="center"/>
          </w:tcPr>
          <w:p w14:paraId="6EF06B32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13" w:type="pct"/>
            <w:vAlign w:val="center"/>
          </w:tcPr>
          <w:p w14:paraId="5F74BE1E">
            <w:pPr>
              <w:widowControl/>
              <w:spacing w:line="200" w:lineRule="exact"/>
              <w:ind w:left="-63" w:leftChars="-20" w:right="-63" w:rightChars="-20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</w:tr>
      <w:tr w14:paraId="5540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Merge w:val="continue"/>
            <w:vAlign w:val="center"/>
          </w:tcPr>
          <w:p w14:paraId="060123A2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12" w:type="pct"/>
            <w:gridSpan w:val="3"/>
            <w:vAlign w:val="center"/>
          </w:tcPr>
          <w:p w14:paraId="28CED462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上年结转金额</w:t>
            </w:r>
          </w:p>
        </w:tc>
        <w:tc>
          <w:tcPr>
            <w:tcW w:w="622" w:type="pct"/>
            <w:vAlign w:val="center"/>
          </w:tcPr>
          <w:p w14:paraId="019EF1BE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89" w:type="pct"/>
            <w:gridSpan w:val="2"/>
            <w:vAlign w:val="center"/>
          </w:tcPr>
          <w:p w14:paraId="757038CE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02" w:type="pct"/>
            <w:gridSpan w:val="2"/>
            <w:vAlign w:val="center"/>
          </w:tcPr>
          <w:p w14:paraId="03ACE338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29" w:type="pct"/>
            <w:gridSpan w:val="2"/>
            <w:vAlign w:val="center"/>
          </w:tcPr>
          <w:p w14:paraId="5D2AC2B5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94" w:type="pct"/>
            <w:gridSpan w:val="2"/>
            <w:vAlign w:val="center"/>
          </w:tcPr>
          <w:p w14:paraId="651F29C7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13" w:type="pct"/>
            <w:vAlign w:val="center"/>
          </w:tcPr>
          <w:p w14:paraId="2D3AB42F">
            <w:pPr>
              <w:widowControl/>
              <w:spacing w:line="200" w:lineRule="exact"/>
              <w:ind w:left="-63" w:leftChars="-20" w:right="-63" w:rightChars="-20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</w:tr>
      <w:tr w14:paraId="12C60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Merge w:val="continue"/>
            <w:vAlign w:val="center"/>
          </w:tcPr>
          <w:p w14:paraId="38BB8862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12" w:type="pct"/>
            <w:gridSpan w:val="3"/>
            <w:vAlign w:val="center"/>
          </w:tcPr>
          <w:p w14:paraId="67E4C6F7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其它资金</w:t>
            </w:r>
          </w:p>
        </w:tc>
        <w:tc>
          <w:tcPr>
            <w:tcW w:w="622" w:type="pct"/>
            <w:vAlign w:val="center"/>
          </w:tcPr>
          <w:p w14:paraId="7F59052D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89" w:type="pct"/>
            <w:gridSpan w:val="2"/>
            <w:vAlign w:val="center"/>
          </w:tcPr>
          <w:p w14:paraId="44AE5E7F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02" w:type="pct"/>
            <w:gridSpan w:val="2"/>
            <w:vAlign w:val="center"/>
          </w:tcPr>
          <w:p w14:paraId="1EE93ABB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29" w:type="pct"/>
            <w:gridSpan w:val="2"/>
            <w:vAlign w:val="center"/>
          </w:tcPr>
          <w:p w14:paraId="6A460D1D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94" w:type="pct"/>
            <w:gridSpan w:val="2"/>
            <w:vAlign w:val="center"/>
          </w:tcPr>
          <w:p w14:paraId="7ED41320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13" w:type="pct"/>
            <w:vAlign w:val="center"/>
          </w:tcPr>
          <w:p w14:paraId="329A35FD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</w:tr>
      <w:tr w14:paraId="0F86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Merge w:val="continue"/>
            <w:vAlign w:val="center"/>
          </w:tcPr>
          <w:p w14:paraId="3DEFE62C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12" w:type="pct"/>
            <w:gridSpan w:val="3"/>
            <w:vAlign w:val="center"/>
          </w:tcPr>
          <w:p w14:paraId="56654325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622" w:type="pct"/>
            <w:vAlign w:val="center"/>
          </w:tcPr>
          <w:p w14:paraId="7DBBF758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89" w:type="pct"/>
            <w:gridSpan w:val="2"/>
            <w:vAlign w:val="center"/>
          </w:tcPr>
          <w:p w14:paraId="5DB3A9B0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518.56</w:t>
            </w:r>
          </w:p>
        </w:tc>
        <w:tc>
          <w:tcPr>
            <w:tcW w:w="502" w:type="pct"/>
            <w:gridSpan w:val="2"/>
            <w:vAlign w:val="center"/>
          </w:tcPr>
          <w:p w14:paraId="57F0395B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518.56</w:t>
            </w:r>
          </w:p>
        </w:tc>
        <w:tc>
          <w:tcPr>
            <w:tcW w:w="329" w:type="pct"/>
            <w:gridSpan w:val="2"/>
            <w:vAlign w:val="center"/>
          </w:tcPr>
          <w:p w14:paraId="238965F0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394" w:type="pct"/>
            <w:gridSpan w:val="2"/>
            <w:vAlign w:val="center"/>
          </w:tcPr>
          <w:p w14:paraId="4F6A47AE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1213" w:type="pct"/>
            <w:vAlign w:val="center"/>
          </w:tcPr>
          <w:p w14:paraId="1F84442C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10.00</w:t>
            </w:r>
          </w:p>
        </w:tc>
      </w:tr>
      <w:tr w14:paraId="6504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Merge w:val="restart"/>
            <w:vAlign w:val="center"/>
          </w:tcPr>
          <w:p w14:paraId="5154B297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1911" w:type="pct"/>
            <w:gridSpan w:val="5"/>
            <w:vAlign w:val="center"/>
          </w:tcPr>
          <w:p w14:paraId="1714D210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2554" w:type="pct"/>
            <w:gridSpan w:val="8"/>
            <w:vAlign w:val="center"/>
          </w:tcPr>
          <w:p w14:paraId="21079FF4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实际完成情况</w:t>
            </w:r>
          </w:p>
        </w:tc>
      </w:tr>
      <w:tr w14:paraId="2716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Merge w:val="continue"/>
            <w:vAlign w:val="center"/>
          </w:tcPr>
          <w:p w14:paraId="6A745EAC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11" w:type="pct"/>
            <w:gridSpan w:val="5"/>
            <w:vAlign w:val="center"/>
          </w:tcPr>
          <w:p w14:paraId="7451E0B6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通过招商引资，推动开放型经济高质量发展，产业转型升级，带动和提升新兴产业发展；通过惠民购车活动进一步提振益阳市汽车消费信心，促进益阳市消费水平稳步增长，进一步激发市场活动，释放消费潜力。</w:t>
            </w:r>
          </w:p>
        </w:tc>
        <w:tc>
          <w:tcPr>
            <w:tcW w:w="2554" w:type="pct"/>
            <w:gridSpan w:val="8"/>
            <w:vAlign w:val="center"/>
          </w:tcPr>
          <w:p w14:paraId="725BDB35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成功举办湘商回归恳谈会暨重大项目签约仪式、“港洽周”益阳PCB产业招商推介会等招商活动，推动开放型经济高质量发展，培育外贸产业，赫山竹木、沅江纺织新入选全省县域外贸特色产业集群试点。第二届惠民购车活动激发市场活力，有效促进了益阳市汽车消费，财政补贴对象700名，完成汽车销售额9600多万元，车辆购置税和增值税共计2000余万元，以“小资金”撬动“大消费”，对税收的增长拉动效果明显，经济效益显著。</w:t>
            </w:r>
          </w:p>
        </w:tc>
      </w:tr>
      <w:tr w14:paraId="3E35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Merge w:val="restart"/>
            <w:vAlign w:val="center"/>
          </w:tcPr>
          <w:p w14:paraId="748C3BE5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绩</w:t>
            </w:r>
          </w:p>
          <w:p w14:paraId="06CE959D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效</w:t>
            </w:r>
          </w:p>
          <w:p w14:paraId="698A6175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指</w:t>
            </w:r>
          </w:p>
          <w:p w14:paraId="3CDD337C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标</w:t>
            </w:r>
          </w:p>
        </w:tc>
        <w:tc>
          <w:tcPr>
            <w:tcW w:w="402" w:type="pct"/>
            <w:gridSpan w:val="2"/>
            <w:vAlign w:val="center"/>
          </w:tcPr>
          <w:p w14:paraId="6415535C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610" w:type="pct"/>
            <w:vAlign w:val="center"/>
          </w:tcPr>
          <w:p w14:paraId="61478315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622" w:type="pct"/>
            <w:vAlign w:val="center"/>
          </w:tcPr>
          <w:p w14:paraId="37751032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389" w:type="pct"/>
            <w:gridSpan w:val="2"/>
            <w:vAlign w:val="center"/>
          </w:tcPr>
          <w:p w14:paraId="2A49D469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年度</w:t>
            </w:r>
          </w:p>
          <w:p w14:paraId="6217FECE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指标值</w:t>
            </w:r>
          </w:p>
        </w:tc>
        <w:tc>
          <w:tcPr>
            <w:tcW w:w="502" w:type="pct"/>
            <w:gridSpan w:val="2"/>
            <w:vAlign w:val="center"/>
          </w:tcPr>
          <w:p w14:paraId="07BC6BB9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实际</w:t>
            </w:r>
          </w:p>
          <w:p w14:paraId="17B696D1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完成值</w:t>
            </w:r>
          </w:p>
        </w:tc>
        <w:tc>
          <w:tcPr>
            <w:tcW w:w="329" w:type="pct"/>
            <w:gridSpan w:val="2"/>
            <w:vAlign w:val="center"/>
          </w:tcPr>
          <w:p w14:paraId="53541541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394" w:type="pct"/>
            <w:gridSpan w:val="2"/>
            <w:vAlign w:val="center"/>
          </w:tcPr>
          <w:p w14:paraId="2D6A1835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自评得分</w:t>
            </w:r>
          </w:p>
        </w:tc>
        <w:tc>
          <w:tcPr>
            <w:tcW w:w="1213" w:type="pct"/>
            <w:vAlign w:val="center"/>
          </w:tcPr>
          <w:p w14:paraId="60FD5320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偏差原因分析及改进措施</w:t>
            </w:r>
          </w:p>
        </w:tc>
      </w:tr>
      <w:tr w14:paraId="2C38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Merge w:val="continue"/>
            <w:vAlign w:val="center"/>
          </w:tcPr>
          <w:p w14:paraId="5A47F5C0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2" w:type="pct"/>
            <w:gridSpan w:val="2"/>
            <w:vMerge w:val="restart"/>
            <w:vAlign w:val="center"/>
          </w:tcPr>
          <w:p w14:paraId="055892E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610" w:type="pct"/>
            <w:vMerge w:val="restart"/>
            <w:vAlign w:val="center"/>
          </w:tcPr>
          <w:p w14:paraId="5F2D6315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622" w:type="pct"/>
            <w:vAlign w:val="center"/>
          </w:tcPr>
          <w:p w14:paraId="28AD3FD2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直接利用外资</w:t>
            </w:r>
          </w:p>
        </w:tc>
        <w:tc>
          <w:tcPr>
            <w:tcW w:w="389" w:type="pct"/>
            <w:gridSpan w:val="2"/>
            <w:vAlign w:val="center"/>
          </w:tcPr>
          <w:p w14:paraId="34B707C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2000万美元</w:t>
            </w:r>
          </w:p>
        </w:tc>
        <w:tc>
          <w:tcPr>
            <w:tcW w:w="502" w:type="pct"/>
            <w:gridSpan w:val="2"/>
            <w:vAlign w:val="center"/>
          </w:tcPr>
          <w:p w14:paraId="1E0605A9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1623万美元</w:t>
            </w:r>
          </w:p>
        </w:tc>
        <w:tc>
          <w:tcPr>
            <w:tcW w:w="329" w:type="pct"/>
            <w:gridSpan w:val="2"/>
            <w:vAlign w:val="center"/>
          </w:tcPr>
          <w:p w14:paraId="6E8B42D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394" w:type="pct"/>
            <w:gridSpan w:val="2"/>
            <w:vAlign w:val="center"/>
          </w:tcPr>
          <w:p w14:paraId="28247EC8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8.12</w:t>
            </w:r>
          </w:p>
        </w:tc>
        <w:tc>
          <w:tcPr>
            <w:tcW w:w="1213" w:type="pct"/>
            <w:vAlign w:val="center"/>
          </w:tcPr>
          <w:p w14:paraId="4D48AA98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原因：我市主要外资来源地较为单一，受经济下行的影响较为明显。我市外资企业规模较小，即使到资，金额普遍不大。原有注册资本较大的外资企业近几年转内资较为集中。措施：扎实开展外资攻坚招商行动，发挥我市联系重点国别对口联络机制的作用，大力开展境外招商推介活动，积极谋划和对接引进一批大项目，增加外资项目储备，拓展我市外资来源。充分挖掘现有外资企业潜力，引导外资企业将注册资本足额实缴到位。</w:t>
            </w:r>
          </w:p>
        </w:tc>
      </w:tr>
      <w:tr w14:paraId="65BD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Merge w:val="continue"/>
            <w:vAlign w:val="center"/>
          </w:tcPr>
          <w:p w14:paraId="4E53B2E7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2" w:type="pct"/>
            <w:gridSpan w:val="2"/>
            <w:vMerge w:val="continue"/>
            <w:vAlign w:val="center"/>
          </w:tcPr>
          <w:p w14:paraId="74E1F6EB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10" w:type="pct"/>
            <w:vMerge w:val="continue"/>
            <w:vAlign w:val="center"/>
          </w:tcPr>
          <w:p w14:paraId="306E48AD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2" w:type="pct"/>
            <w:vAlign w:val="center"/>
          </w:tcPr>
          <w:p w14:paraId="65DAC770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资金支付率</w:t>
            </w:r>
          </w:p>
        </w:tc>
        <w:tc>
          <w:tcPr>
            <w:tcW w:w="389" w:type="pct"/>
            <w:gridSpan w:val="2"/>
            <w:vAlign w:val="center"/>
          </w:tcPr>
          <w:p w14:paraId="307370D1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502" w:type="pct"/>
            <w:gridSpan w:val="2"/>
            <w:vAlign w:val="center"/>
          </w:tcPr>
          <w:p w14:paraId="49C85F57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329" w:type="pct"/>
            <w:gridSpan w:val="2"/>
            <w:vAlign w:val="center"/>
          </w:tcPr>
          <w:p w14:paraId="02D6781F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394" w:type="pct"/>
            <w:gridSpan w:val="2"/>
            <w:vAlign w:val="center"/>
          </w:tcPr>
          <w:p w14:paraId="317CF6D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10.00</w:t>
            </w:r>
          </w:p>
        </w:tc>
        <w:tc>
          <w:tcPr>
            <w:tcW w:w="1213" w:type="pct"/>
            <w:vAlign w:val="center"/>
          </w:tcPr>
          <w:p w14:paraId="70F04814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</w:tr>
      <w:tr w14:paraId="4ECF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Merge w:val="continue"/>
            <w:vAlign w:val="center"/>
          </w:tcPr>
          <w:p w14:paraId="68F9FB19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2" w:type="pct"/>
            <w:gridSpan w:val="2"/>
            <w:vMerge w:val="continue"/>
            <w:vAlign w:val="center"/>
          </w:tcPr>
          <w:p w14:paraId="0A7CB310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10" w:type="pct"/>
            <w:vMerge w:val="restart"/>
            <w:vAlign w:val="center"/>
          </w:tcPr>
          <w:p w14:paraId="2D94D639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622" w:type="pct"/>
            <w:vAlign w:val="center"/>
          </w:tcPr>
          <w:p w14:paraId="0200CD33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利用内资</w:t>
            </w:r>
          </w:p>
        </w:tc>
        <w:tc>
          <w:tcPr>
            <w:tcW w:w="389" w:type="pct"/>
            <w:gridSpan w:val="2"/>
            <w:vAlign w:val="center"/>
          </w:tcPr>
          <w:p w14:paraId="675A3BA4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10%</w:t>
            </w:r>
          </w:p>
        </w:tc>
        <w:tc>
          <w:tcPr>
            <w:tcW w:w="502" w:type="pct"/>
            <w:gridSpan w:val="2"/>
            <w:vAlign w:val="center"/>
          </w:tcPr>
          <w:p w14:paraId="1A78A1E1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13.5%</w:t>
            </w:r>
          </w:p>
        </w:tc>
        <w:tc>
          <w:tcPr>
            <w:tcW w:w="329" w:type="pct"/>
            <w:gridSpan w:val="2"/>
            <w:vAlign w:val="center"/>
          </w:tcPr>
          <w:p w14:paraId="52F537F9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394" w:type="pct"/>
            <w:gridSpan w:val="2"/>
            <w:vAlign w:val="center"/>
          </w:tcPr>
          <w:p w14:paraId="23BC9461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10.00</w:t>
            </w:r>
          </w:p>
        </w:tc>
        <w:tc>
          <w:tcPr>
            <w:tcW w:w="1213" w:type="pct"/>
            <w:vAlign w:val="center"/>
          </w:tcPr>
          <w:p w14:paraId="78C0695E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</w:tr>
      <w:tr w14:paraId="4D24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Merge w:val="continue"/>
            <w:vAlign w:val="center"/>
          </w:tcPr>
          <w:p w14:paraId="782F25AA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2" w:type="pct"/>
            <w:gridSpan w:val="2"/>
            <w:vMerge w:val="continue"/>
            <w:vAlign w:val="center"/>
          </w:tcPr>
          <w:p w14:paraId="6A6D6BE8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10" w:type="pct"/>
            <w:vMerge w:val="continue"/>
            <w:vAlign w:val="center"/>
          </w:tcPr>
          <w:p w14:paraId="4CEF12FF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2" w:type="pct"/>
            <w:vAlign w:val="center"/>
          </w:tcPr>
          <w:p w14:paraId="6E6EDFAF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资金补贴准确率</w:t>
            </w:r>
          </w:p>
        </w:tc>
        <w:tc>
          <w:tcPr>
            <w:tcW w:w="389" w:type="pct"/>
            <w:gridSpan w:val="2"/>
            <w:vAlign w:val="center"/>
          </w:tcPr>
          <w:p w14:paraId="629FF0A5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502" w:type="pct"/>
            <w:gridSpan w:val="2"/>
            <w:vAlign w:val="center"/>
          </w:tcPr>
          <w:p w14:paraId="1B60552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329" w:type="pct"/>
            <w:gridSpan w:val="2"/>
            <w:vAlign w:val="center"/>
          </w:tcPr>
          <w:p w14:paraId="0A7F7897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394" w:type="pct"/>
            <w:gridSpan w:val="2"/>
            <w:vAlign w:val="center"/>
          </w:tcPr>
          <w:p w14:paraId="300E4083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10.00</w:t>
            </w:r>
          </w:p>
        </w:tc>
        <w:tc>
          <w:tcPr>
            <w:tcW w:w="1213" w:type="pct"/>
            <w:vAlign w:val="center"/>
          </w:tcPr>
          <w:p w14:paraId="7D09DC8E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</w:tr>
      <w:tr w14:paraId="0329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Merge w:val="continue"/>
            <w:vAlign w:val="center"/>
          </w:tcPr>
          <w:p w14:paraId="5F5CEEDE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2" w:type="pct"/>
            <w:gridSpan w:val="2"/>
            <w:vMerge w:val="continue"/>
            <w:vAlign w:val="center"/>
          </w:tcPr>
          <w:p w14:paraId="04CF157A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10" w:type="pct"/>
            <w:vAlign w:val="center"/>
          </w:tcPr>
          <w:p w14:paraId="06B17F08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622" w:type="pct"/>
            <w:vAlign w:val="center"/>
          </w:tcPr>
          <w:p w14:paraId="3D376A45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对外工程承包和劳务合作营业额增长</w:t>
            </w:r>
          </w:p>
        </w:tc>
        <w:tc>
          <w:tcPr>
            <w:tcW w:w="389" w:type="pct"/>
            <w:gridSpan w:val="2"/>
            <w:vAlign w:val="center"/>
          </w:tcPr>
          <w:p w14:paraId="676C6DE5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8%</w:t>
            </w:r>
          </w:p>
        </w:tc>
        <w:tc>
          <w:tcPr>
            <w:tcW w:w="502" w:type="pct"/>
            <w:gridSpan w:val="2"/>
            <w:vAlign w:val="center"/>
          </w:tcPr>
          <w:p w14:paraId="26A559E7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10.18%</w:t>
            </w:r>
          </w:p>
        </w:tc>
        <w:tc>
          <w:tcPr>
            <w:tcW w:w="329" w:type="pct"/>
            <w:gridSpan w:val="2"/>
            <w:vAlign w:val="center"/>
          </w:tcPr>
          <w:p w14:paraId="03C563F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394" w:type="pct"/>
            <w:gridSpan w:val="2"/>
            <w:vAlign w:val="center"/>
          </w:tcPr>
          <w:p w14:paraId="456C9C4D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10.00</w:t>
            </w:r>
          </w:p>
        </w:tc>
        <w:tc>
          <w:tcPr>
            <w:tcW w:w="1213" w:type="pct"/>
            <w:vAlign w:val="center"/>
          </w:tcPr>
          <w:p w14:paraId="3211D344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</w:tr>
      <w:tr w14:paraId="094C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Merge w:val="continue"/>
            <w:vAlign w:val="center"/>
          </w:tcPr>
          <w:p w14:paraId="0E30506D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2" w:type="pct"/>
            <w:gridSpan w:val="2"/>
            <w:vMerge w:val="restart"/>
            <w:vAlign w:val="center"/>
          </w:tcPr>
          <w:p w14:paraId="3B4F0BE7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610" w:type="pct"/>
            <w:vAlign w:val="center"/>
          </w:tcPr>
          <w:p w14:paraId="7418D92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经济效益指标</w:t>
            </w:r>
          </w:p>
        </w:tc>
        <w:tc>
          <w:tcPr>
            <w:tcW w:w="622" w:type="pct"/>
            <w:vAlign w:val="center"/>
          </w:tcPr>
          <w:p w14:paraId="34A362D3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引进“三类500强”企业</w:t>
            </w:r>
          </w:p>
        </w:tc>
        <w:tc>
          <w:tcPr>
            <w:tcW w:w="389" w:type="pct"/>
            <w:gridSpan w:val="2"/>
            <w:vAlign w:val="center"/>
          </w:tcPr>
          <w:p w14:paraId="31A44809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6家</w:t>
            </w:r>
          </w:p>
        </w:tc>
        <w:tc>
          <w:tcPr>
            <w:tcW w:w="502" w:type="pct"/>
            <w:gridSpan w:val="2"/>
            <w:vAlign w:val="center"/>
          </w:tcPr>
          <w:p w14:paraId="78EE8B71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21家</w:t>
            </w:r>
          </w:p>
        </w:tc>
        <w:tc>
          <w:tcPr>
            <w:tcW w:w="329" w:type="pct"/>
            <w:gridSpan w:val="2"/>
            <w:vAlign w:val="center"/>
          </w:tcPr>
          <w:p w14:paraId="4963520E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394" w:type="pct"/>
            <w:gridSpan w:val="2"/>
            <w:vAlign w:val="center"/>
          </w:tcPr>
          <w:p w14:paraId="089452B9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10.00</w:t>
            </w:r>
          </w:p>
        </w:tc>
        <w:tc>
          <w:tcPr>
            <w:tcW w:w="1213" w:type="pct"/>
            <w:vAlign w:val="center"/>
          </w:tcPr>
          <w:p w14:paraId="2E9009B2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</w:tr>
      <w:tr w14:paraId="29AC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Merge w:val="continue"/>
            <w:vAlign w:val="center"/>
          </w:tcPr>
          <w:p w14:paraId="4CD6D2D1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2" w:type="pct"/>
            <w:gridSpan w:val="2"/>
            <w:vMerge w:val="continue"/>
            <w:vAlign w:val="center"/>
          </w:tcPr>
          <w:p w14:paraId="39CF3F4D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10" w:type="pct"/>
            <w:vAlign w:val="center"/>
          </w:tcPr>
          <w:p w14:paraId="7394C0B9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622" w:type="pct"/>
            <w:vAlign w:val="center"/>
          </w:tcPr>
          <w:p w14:paraId="07B9A0C5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带动和提升我市新兴产业发展</w:t>
            </w:r>
          </w:p>
        </w:tc>
        <w:tc>
          <w:tcPr>
            <w:tcW w:w="389" w:type="pct"/>
            <w:gridSpan w:val="2"/>
            <w:vAlign w:val="center"/>
          </w:tcPr>
          <w:p w14:paraId="50AFA2B3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较好</w:t>
            </w:r>
          </w:p>
        </w:tc>
        <w:tc>
          <w:tcPr>
            <w:tcW w:w="502" w:type="pct"/>
            <w:gridSpan w:val="2"/>
            <w:vAlign w:val="center"/>
          </w:tcPr>
          <w:p w14:paraId="1CBE85CE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较好</w:t>
            </w:r>
          </w:p>
        </w:tc>
        <w:tc>
          <w:tcPr>
            <w:tcW w:w="329" w:type="pct"/>
            <w:gridSpan w:val="2"/>
            <w:vAlign w:val="center"/>
          </w:tcPr>
          <w:p w14:paraId="5CBABA4F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94" w:type="pct"/>
            <w:gridSpan w:val="2"/>
            <w:vAlign w:val="center"/>
          </w:tcPr>
          <w:p w14:paraId="75116485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5.00</w:t>
            </w:r>
          </w:p>
        </w:tc>
        <w:tc>
          <w:tcPr>
            <w:tcW w:w="1213" w:type="pct"/>
            <w:vAlign w:val="center"/>
          </w:tcPr>
          <w:p w14:paraId="4DAB49D7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</w:tr>
      <w:tr w14:paraId="52C2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Merge w:val="continue"/>
            <w:vAlign w:val="center"/>
          </w:tcPr>
          <w:p w14:paraId="2965339E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2" w:type="pct"/>
            <w:gridSpan w:val="2"/>
            <w:vMerge w:val="continue"/>
            <w:vAlign w:val="center"/>
          </w:tcPr>
          <w:p w14:paraId="15D8E804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10" w:type="pct"/>
            <w:vAlign w:val="center"/>
          </w:tcPr>
          <w:p w14:paraId="651C876C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生态效益指标</w:t>
            </w:r>
          </w:p>
        </w:tc>
        <w:tc>
          <w:tcPr>
            <w:tcW w:w="622" w:type="pct"/>
            <w:vAlign w:val="center"/>
          </w:tcPr>
          <w:p w14:paraId="72B555D7">
            <w:pPr>
              <w:spacing w:line="200" w:lineRule="exac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89" w:type="pct"/>
            <w:gridSpan w:val="2"/>
            <w:vAlign w:val="center"/>
          </w:tcPr>
          <w:p w14:paraId="431A15EA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2" w:type="pct"/>
            <w:gridSpan w:val="2"/>
            <w:vAlign w:val="center"/>
          </w:tcPr>
          <w:p w14:paraId="5B930A41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29" w:type="pct"/>
            <w:gridSpan w:val="2"/>
            <w:vAlign w:val="center"/>
          </w:tcPr>
          <w:p w14:paraId="5D7111B2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94" w:type="pct"/>
            <w:gridSpan w:val="2"/>
            <w:vAlign w:val="center"/>
          </w:tcPr>
          <w:p w14:paraId="352FD7F8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13" w:type="pct"/>
            <w:vAlign w:val="center"/>
          </w:tcPr>
          <w:p w14:paraId="3AABFB20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</w:tr>
      <w:tr w14:paraId="0E34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Merge w:val="continue"/>
            <w:vAlign w:val="center"/>
          </w:tcPr>
          <w:p w14:paraId="6ACD2401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2" w:type="pct"/>
            <w:gridSpan w:val="2"/>
            <w:vMerge w:val="continue"/>
            <w:vAlign w:val="center"/>
          </w:tcPr>
          <w:p w14:paraId="151B0D9C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10" w:type="pct"/>
            <w:vAlign w:val="center"/>
          </w:tcPr>
          <w:p w14:paraId="6AFE5D2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622" w:type="pct"/>
            <w:vAlign w:val="center"/>
          </w:tcPr>
          <w:p w14:paraId="41737454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推动产业转型升级</w:t>
            </w:r>
          </w:p>
        </w:tc>
        <w:tc>
          <w:tcPr>
            <w:tcW w:w="389" w:type="pct"/>
            <w:gridSpan w:val="2"/>
            <w:vAlign w:val="center"/>
          </w:tcPr>
          <w:p w14:paraId="6707774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较好</w:t>
            </w:r>
          </w:p>
        </w:tc>
        <w:tc>
          <w:tcPr>
            <w:tcW w:w="502" w:type="pct"/>
            <w:gridSpan w:val="2"/>
            <w:vAlign w:val="center"/>
          </w:tcPr>
          <w:p w14:paraId="4EB0A78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较好</w:t>
            </w:r>
          </w:p>
        </w:tc>
        <w:tc>
          <w:tcPr>
            <w:tcW w:w="329" w:type="pct"/>
            <w:gridSpan w:val="2"/>
            <w:vAlign w:val="center"/>
          </w:tcPr>
          <w:p w14:paraId="3553EC13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94" w:type="pct"/>
            <w:gridSpan w:val="2"/>
            <w:vAlign w:val="center"/>
          </w:tcPr>
          <w:p w14:paraId="608E4E6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5.00</w:t>
            </w:r>
          </w:p>
        </w:tc>
        <w:tc>
          <w:tcPr>
            <w:tcW w:w="1213" w:type="pct"/>
            <w:vAlign w:val="center"/>
          </w:tcPr>
          <w:p w14:paraId="2FE78828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</w:tr>
      <w:tr w14:paraId="4CF2C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Merge w:val="continue"/>
            <w:vAlign w:val="center"/>
          </w:tcPr>
          <w:p w14:paraId="23DF8458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2" w:type="pct"/>
            <w:gridSpan w:val="2"/>
            <w:vMerge w:val="restart"/>
            <w:vAlign w:val="center"/>
          </w:tcPr>
          <w:p w14:paraId="62CA19E3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满意度指标</w:t>
            </w:r>
          </w:p>
        </w:tc>
        <w:tc>
          <w:tcPr>
            <w:tcW w:w="610" w:type="pct"/>
            <w:vMerge w:val="restart"/>
            <w:vAlign w:val="center"/>
          </w:tcPr>
          <w:p w14:paraId="5B17FF2F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622" w:type="pct"/>
            <w:vAlign w:val="center"/>
          </w:tcPr>
          <w:p w14:paraId="75118017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招商企业满意度</w:t>
            </w:r>
          </w:p>
        </w:tc>
        <w:tc>
          <w:tcPr>
            <w:tcW w:w="389" w:type="pct"/>
            <w:gridSpan w:val="2"/>
            <w:vAlign w:val="center"/>
          </w:tcPr>
          <w:p w14:paraId="45CFAE21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90%</w:t>
            </w:r>
          </w:p>
        </w:tc>
        <w:tc>
          <w:tcPr>
            <w:tcW w:w="502" w:type="pct"/>
            <w:gridSpan w:val="2"/>
            <w:vAlign w:val="center"/>
          </w:tcPr>
          <w:p w14:paraId="39B5C140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90%</w:t>
            </w:r>
          </w:p>
        </w:tc>
        <w:tc>
          <w:tcPr>
            <w:tcW w:w="329" w:type="pct"/>
            <w:gridSpan w:val="2"/>
            <w:vAlign w:val="center"/>
          </w:tcPr>
          <w:p w14:paraId="4E3D19E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94" w:type="pct"/>
            <w:gridSpan w:val="2"/>
            <w:vAlign w:val="center"/>
          </w:tcPr>
          <w:p w14:paraId="3F682E33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5.00</w:t>
            </w:r>
          </w:p>
        </w:tc>
        <w:tc>
          <w:tcPr>
            <w:tcW w:w="1213" w:type="pct"/>
            <w:vAlign w:val="center"/>
          </w:tcPr>
          <w:p w14:paraId="6FD3EE1C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</w:tr>
      <w:tr w14:paraId="19F9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Merge w:val="continue"/>
            <w:vAlign w:val="center"/>
          </w:tcPr>
          <w:p w14:paraId="27C9CD2F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2" w:type="pct"/>
            <w:gridSpan w:val="2"/>
            <w:vMerge w:val="continue"/>
            <w:vAlign w:val="center"/>
          </w:tcPr>
          <w:p w14:paraId="567931A5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10" w:type="pct"/>
            <w:vMerge w:val="continue"/>
            <w:vAlign w:val="center"/>
          </w:tcPr>
          <w:p w14:paraId="32058101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22" w:type="pct"/>
            <w:vAlign w:val="center"/>
          </w:tcPr>
          <w:p w14:paraId="6987B5B0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购车补贴对象满意度</w:t>
            </w:r>
          </w:p>
        </w:tc>
        <w:tc>
          <w:tcPr>
            <w:tcW w:w="389" w:type="pct"/>
            <w:gridSpan w:val="2"/>
            <w:vAlign w:val="center"/>
          </w:tcPr>
          <w:p w14:paraId="6A12096D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95%</w:t>
            </w:r>
          </w:p>
        </w:tc>
        <w:tc>
          <w:tcPr>
            <w:tcW w:w="502" w:type="pct"/>
            <w:gridSpan w:val="2"/>
            <w:vAlign w:val="center"/>
          </w:tcPr>
          <w:p w14:paraId="0E7069D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95%</w:t>
            </w:r>
          </w:p>
        </w:tc>
        <w:tc>
          <w:tcPr>
            <w:tcW w:w="329" w:type="pct"/>
            <w:gridSpan w:val="2"/>
            <w:vAlign w:val="center"/>
          </w:tcPr>
          <w:p w14:paraId="1F450CA3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94" w:type="pct"/>
            <w:gridSpan w:val="2"/>
            <w:vAlign w:val="center"/>
          </w:tcPr>
          <w:p w14:paraId="0BD35601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5.00</w:t>
            </w:r>
          </w:p>
        </w:tc>
        <w:tc>
          <w:tcPr>
            <w:tcW w:w="1213" w:type="pct"/>
            <w:vAlign w:val="center"/>
          </w:tcPr>
          <w:p w14:paraId="5C0D0CDA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</w:tr>
      <w:tr w14:paraId="7F99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Merge w:val="continue"/>
            <w:vAlign w:val="center"/>
          </w:tcPr>
          <w:p w14:paraId="042F12B5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2" w:type="pct"/>
            <w:gridSpan w:val="2"/>
            <w:vMerge w:val="restart"/>
            <w:vAlign w:val="center"/>
          </w:tcPr>
          <w:p w14:paraId="61DDE94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610" w:type="pct"/>
            <w:vAlign w:val="center"/>
          </w:tcPr>
          <w:p w14:paraId="12727B17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经济成本指标</w:t>
            </w:r>
          </w:p>
        </w:tc>
        <w:tc>
          <w:tcPr>
            <w:tcW w:w="622" w:type="pct"/>
            <w:vAlign w:val="center"/>
          </w:tcPr>
          <w:p w14:paraId="4B0C386C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预算执行率</w:t>
            </w:r>
          </w:p>
        </w:tc>
        <w:tc>
          <w:tcPr>
            <w:tcW w:w="389" w:type="pct"/>
            <w:gridSpan w:val="2"/>
            <w:vAlign w:val="center"/>
          </w:tcPr>
          <w:p w14:paraId="06368558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95%</w:t>
            </w:r>
          </w:p>
        </w:tc>
        <w:tc>
          <w:tcPr>
            <w:tcW w:w="502" w:type="pct"/>
            <w:gridSpan w:val="2"/>
            <w:vAlign w:val="center"/>
          </w:tcPr>
          <w:p w14:paraId="58498683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329" w:type="pct"/>
            <w:gridSpan w:val="2"/>
            <w:vAlign w:val="center"/>
          </w:tcPr>
          <w:p w14:paraId="0BBDA0E5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394" w:type="pct"/>
            <w:gridSpan w:val="2"/>
            <w:vAlign w:val="center"/>
          </w:tcPr>
          <w:p w14:paraId="5A76B8E3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10.00</w:t>
            </w:r>
          </w:p>
        </w:tc>
        <w:tc>
          <w:tcPr>
            <w:tcW w:w="1213" w:type="pct"/>
            <w:vAlign w:val="center"/>
          </w:tcPr>
          <w:p w14:paraId="69645DB5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</w:tr>
      <w:tr w14:paraId="7C4C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Merge w:val="continue"/>
            <w:vAlign w:val="center"/>
          </w:tcPr>
          <w:p w14:paraId="06232C0F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2" w:type="pct"/>
            <w:gridSpan w:val="2"/>
            <w:vMerge w:val="continue"/>
            <w:vAlign w:val="center"/>
          </w:tcPr>
          <w:p w14:paraId="1F39FADA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10" w:type="pct"/>
            <w:vAlign w:val="center"/>
          </w:tcPr>
          <w:p w14:paraId="70A5AABE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社会成本指标</w:t>
            </w:r>
          </w:p>
        </w:tc>
        <w:tc>
          <w:tcPr>
            <w:tcW w:w="622" w:type="pct"/>
            <w:vAlign w:val="center"/>
          </w:tcPr>
          <w:p w14:paraId="6C347B3A">
            <w:pPr>
              <w:spacing w:line="200" w:lineRule="exac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89" w:type="pct"/>
            <w:gridSpan w:val="2"/>
            <w:vAlign w:val="center"/>
          </w:tcPr>
          <w:p w14:paraId="294470B6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2" w:type="pct"/>
            <w:gridSpan w:val="2"/>
            <w:vAlign w:val="center"/>
          </w:tcPr>
          <w:p w14:paraId="07469B4E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29" w:type="pct"/>
            <w:gridSpan w:val="2"/>
            <w:vAlign w:val="center"/>
          </w:tcPr>
          <w:p w14:paraId="057899CA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94" w:type="pct"/>
            <w:gridSpan w:val="2"/>
            <w:vAlign w:val="center"/>
          </w:tcPr>
          <w:p w14:paraId="60822F5A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13" w:type="pct"/>
            <w:vAlign w:val="center"/>
          </w:tcPr>
          <w:p w14:paraId="5758344F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</w:tr>
      <w:tr w14:paraId="6E68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4" w:type="pct"/>
            <w:vMerge w:val="continue"/>
            <w:vAlign w:val="center"/>
          </w:tcPr>
          <w:p w14:paraId="70FE7BA3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2" w:type="pct"/>
            <w:gridSpan w:val="2"/>
            <w:vMerge w:val="continue"/>
            <w:vAlign w:val="center"/>
          </w:tcPr>
          <w:p w14:paraId="5139376A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10" w:type="pct"/>
            <w:vAlign w:val="center"/>
          </w:tcPr>
          <w:p w14:paraId="7413E761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生态环境成本指标</w:t>
            </w:r>
          </w:p>
        </w:tc>
        <w:tc>
          <w:tcPr>
            <w:tcW w:w="622" w:type="pct"/>
            <w:vAlign w:val="center"/>
          </w:tcPr>
          <w:p w14:paraId="16107B8D">
            <w:pPr>
              <w:spacing w:line="200" w:lineRule="exac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89" w:type="pct"/>
            <w:gridSpan w:val="2"/>
            <w:vAlign w:val="center"/>
          </w:tcPr>
          <w:p w14:paraId="3C3A5E9A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2" w:type="pct"/>
            <w:gridSpan w:val="2"/>
            <w:vAlign w:val="center"/>
          </w:tcPr>
          <w:p w14:paraId="68FBE924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29" w:type="pct"/>
            <w:gridSpan w:val="2"/>
            <w:vAlign w:val="center"/>
          </w:tcPr>
          <w:p w14:paraId="15F73935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94" w:type="pct"/>
            <w:gridSpan w:val="2"/>
            <w:vAlign w:val="center"/>
          </w:tcPr>
          <w:p w14:paraId="5A914314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13" w:type="pct"/>
            <w:vAlign w:val="center"/>
          </w:tcPr>
          <w:p w14:paraId="03CA078B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</w:tr>
      <w:tr w14:paraId="006B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47" w:type="pct"/>
            <w:gridSpan w:val="8"/>
            <w:vAlign w:val="center"/>
          </w:tcPr>
          <w:p w14:paraId="54463AF4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总分</w:t>
            </w:r>
          </w:p>
        </w:tc>
        <w:tc>
          <w:tcPr>
            <w:tcW w:w="329" w:type="pct"/>
            <w:gridSpan w:val="2"/>
            <w:vAlign w:val="center"/>
          </w:tcPr>
          <w:p w14:paraId="28D1AA3E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394" w:type="pct"/>
            <w:gridSpan w:val="2"/>
            <w:vAlign w:val="center"/>
          </w:tcPr>
          <w:p w14:paraId="2FB93CC7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  <w:t>98.12</w:t>
            </w:r>
          </w:p>
        </w:tc>
        <w:tc>
          <w:tcPr>
            <w:tcW w:w="1327" w:type="pct"/>
            <w:gridSpan w:val="2"/>
            <w:vAlign w:val="center"/>
          </w:tcPr>
          <w:p w14:paraId="7963D25C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5"/>
                <w:szCs w:val="15"/>
              </w:rPr>
            </w:pPr>
          </w:p>
        </w:tc>
      </w:tr>
    </w:tbl>
    <w:p w14:paraId="5DF438CA">
      <w:pPr>
        <w:widowControl/>
        <w:spacing w:line="320" w:lineRule="exact"/>
        <w:ind w:left="-63" w:leftChars="-20" w:right="-63" w:rightChars="-20"/>
        <w:rPr>
          <w:rFonts w:ascii="仿宋" w:hAnsi="仿宋" w:eastAsia="仿宋" w:cs="仿宋"/>
          <w:kern w:val="0"/>
          <w:sz w:val="22"/>
          <w:szCs w:val="24"/>
        </w:rPr>
      </w:pPr>
      <w:r>
        <w:rPr>
          <w:rFonts w:hint="eastAsia" w:ascii="仿宋" w:hAnsi="仿宋" w:eastAsia="仿宋" w:cs="仿宋"/>
          <w:kern w:val="0"/>
          <w:sz w:val="22"/>
          <w:szCs w:val="24"/>
        </w:rPr>
        <w:t>备注：每个一级项目支出一张表。如：业务工作经费，运行维护经费，其他类资金...各一张表。</w:t>
      </w:r>
    </w:p>
    <w:p w14:paraId="6D99AED2">
      <w:pPr>
        <w:widowControl/>
        <w:spacing w:line="320" w:lineRule="exact"/>
        <w:ind w:left="-63" w:leftChars="-20" w:right="-63" w:rightChars="-20"/>
        <w:rPr>
          <w:rFonts w:ascii="仿宋" w:hAnsi="仿宋" w:eastAsia="仿宋" w:cs="仿宋"/>
          <w:kern w:val="0"/>
          <w:sz w:val="22"/>
          <w:szCs w:val="24"/>
        </w:rPr>
      </w:pPr>
      <w:r>
        <w:rPr>
          <w:rFonts w:ascii="仿宋" w:hAnsi="仿宋" w:eastAsia="仿宋" w:cs="仿宋"/>
          <w:kern w:val="0"/>
          <w:sz w:val="22"/>
          <w:szCs w:val="24"/>
        </w:rPr>
        <w:t>填表人：</w:t>
      </w:r>
      <w:r>
        <w:rPr>
          <w:rFonts w:hint="eastAsia" w:ascii="仿宋" w:hAnsi="仿宋" w:eastAsia="仿宋" w:cs="仿宋"/>
          <w:kern w:val="0"/>
          <w:sz w:val="22"/>
          <w:szCs w:val="24"/>
        </w:rPr>
        <w:t>贺家悦</w:t>
      </w:r>
      <w:r>
        <w:rPr>
          <w:rFonts w:ascii="仿宋" w:hAnsi="仿宋" w:eastAsia="仿宋" w:cs="仿宋"/>
          <w:kern w:val="0"/>
          <w:sz w:val="22"/>
          <w:szCs w:val="24"/>
        </w:rPr>
        <w:t xml:space="preserve">  填报日期： 20</w:t>
      </w:r>
      <w:r>
        <w:rPr>
          <w:rFonts w:hint="eastAsia" w:ascii="仿宋" w:hAnsi="仿宋" w:eastAsia="仿宋" w:cs="仿宋"/>
          <w:kern w:val="0"/>
          <w:sz w:val="22"/>
          <w:szCs w:val="24"/>
        </w:rPr>
        <w:t>24</w:t>
      </w:r>
      <w:r>
        <w:rPr>
          <w:rFonts w:ascii="仿宋" w:hAnsi="仿宋" w:eastAsia="仿宋" w:cs="仿宋"/>
          <w:kern w:val="0"/>
          <w:sz w:val="22"/>
          <w:szCs w:val="24"/>
        </w:rPr>
        <w:t>年</w:t>
      </w:r>
      <w:r>
        <w:rPr>
          <w:rFonts w:hint="eastAsia" w:ascii="仿宋" w:hAnsi="仿宋" w:eastAsia="仿宋" w:cs="仿宋"/>
          <w:kern w:val="0"/>
          <w:sz w:val="22"/>
          <w:szCs w:val="24"/>
        </w:rPr>
        <w:t>5</w:t>
      </w:r>
      <w:r>
        <w:rPr>
          <w:rFonts w:ascii="仿宋" w:hAnsi="仿宋" w:eastAsia="仿宋" w:cs="仿宋"/>
          <w:kern w:val="0"/>
          <w:sz w:val="22"/>
          <w:szCs w:val="24"/>
        </w:rPr>
        <w:t>月2</w:t>
      </w:r>
      <w:r>
        <w:rPr>
          <w:rFonts w:hint="eastAsia" w:ascii="仿宋" w:hAnsi="仿宋" w:eastAsia="仿宋" w:cs="仿宋"/>
          <w:kern w:val="0"/>
          <w:sz w:val="22"/>
          <w:szCs w:val="24"/>
        </w:rPr>
        <w:t>4</w:t>
      </w:r>
      <w:r>
        <w:rPr>
          <w:rFonts w:ascii="仿宋" w:hAnsi="仿宋" w:eastAsia="仿宋" w:cs="仿宋"/>
          <w:kern w:val="0"/>
          <w:sz w:val="22"/>
          <w:szCs w:val="24"/>
        </w:rPr>
        <w:t>日  联系电话：4245709  单位负责人签字：</w:t>
      </w:r>
    </w:p>
    <w:p w14:paraId="2ECE3580">
      <w:pPr>
        <w:pStyle w:val="2"/>
        <w:rPr>
          <w:rFonts w:hint="default"/>
        </w:rPr>
      </w:pPr>
      <w:r>
        <w:rPr>
          <w:rFonts w:hint="default"/>
        </w:rPr>
        <w:t>202</w:t>
      </w:r>
      <w:r>
        <w:t>3</w:t>
      </w:r>
      <w:r>
        <w:rPr>
          <w:rFonts w:hint="default"/>
        </w:rPr>
        <w:t>年度项目支出绩效自评表</w:t>
      </w:r>
    </w:p>
    <w:tbl>
      <w:tblPr>
        <w:tblStyle w:val="8"/>
        <w:tblW w:w="55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766"/>
        <w:gridCol w:w="168"/>
        <w:gridCol w:w="947"/>
        <w:gridCol w:w="1304"/>
        <w:gridCol w:w="818"/>
        <w:gridCol w:w="1053"/>
        <w:gridCol w:w="690"/>
        <w:gridCol w:w="907"/>
        <w:gridCol w:w="2198"/>
      </w:tblGrid>
      <w:tr w14:paraId="71CA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5" w:type="pct"/>
            <w:gridSpan w:val="2"/>
            <w:vAlign w:val="center"/>
          </w:tcPr>
          <w:p w14:paraId="0138C702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项目支出名称</w:t>
            </w:r>
          </w:p>
        </w:tc>
        <w:tc>
          <w:tcPr>
            <w:tcW w:w="4054" w:type="pct"/>
            <w:gridSpan w:val="8"/>
            <w:vAlign w:val="center"/>
          </w:tcPr>
          <w:p w14:paraId="7037A1B0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运行维护经费</w:t>
            </w:r>
          </w:p>
        </w:tc>
      </w:tr>
      <w:tr w14:paraId="044E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pct"/>
            <w:vAlign w:val="center"/>
          </w:tcPr>
          <w:p w14:paraId="426B3B30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007" w:type="pct"/>
            <w:gridSpan w:val="5"/>
            <w:vAlign w:val="center"/>
          </w:tcPr>
          <w:p w14:paraId="70AAA2AA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益阳市商务局</w:t>
            </w:r>
          </w:p>
        </w:tc>
        <w:tc>
          <w:tcPr>
            <w:tcW w:w="527" w:type="pct"/>
            <w:vAlign w:val="center"/>
          </w:tcPr>
          <w:p w14:paraId="38A17127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903" w:type="pct"/>
            <w:gridSpan w:val="3"/>
            <w:vAlign w:val="center"/>
          </w:tcPr>
          <w:p w14:paraId="766DE52E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益阳市商务局</w:t>
            </w:r>
          </w:p>
        </w:tc>
      </w:tr>
      <w:tr w14:paraId="43DB7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pct"/>
            <w:vMerge w:val="restart"/>
            <w:vAlign w:val="center"/>
          </w:tcPr>
          <w:p w14:paraId="6108EB18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项目资金</w:t>
            </w:r>
          </w:p>
          <w:p w14:paraId="71967DB6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943" w:type="pct"/>
            <w:gridSpan w:val="3"/>
            <w:vAlign w:val="center"/>
          </w:tcPr>
          <w:p w14:paraId="184CE77D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资金来源</w:t>
            </w:r>
          </w:p>
        </w:tc>
        <w:tc>
          <w:tcPr>
            <w:tcW w:w="654" w:type="pct"/>
            <w:vAlign w:val="center"/>
          </w:tcPr>
          <w:p w14:paraId="3D10EADF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409" w:type="pct"/>
            <w:vAlign w:val="center"/>
          </w:tcPr>
          <w:p w14:paraId="0BE5BA2E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527" w:type="pct"/>
            <w:vAlign w:val="center"/>
          </w:tcPr>
          <w:p w14:paraId="5481233F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全年</w:t>
            </w:r>
          </w:p>
          <w:p w14:paraId="2150F45C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346" w:type="pct"/>
            <w:vAlign w:val="center"/>
          </w:tcPr>
          <w:p w14:paraId="10EC9E84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455" w:type="pct"/>
            <w:vAlign w:val="center"/>
          </w:tcPr>
          <w:p w14:paraId="289B3C35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101" w:type="pct"/>
            <w:vAlign w:val="center"/>
          </w:tcPr>
          <w:p w14:paraId="4B86121F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自评得分</w:t>
            </w:r>
          </w:p>
        </w:tc>
      </w:tr>
      <w:tr w14:paraId="757B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pct"/>
            <w:vMerge w:val="continue"/>
            <w:vAlign w:val="center"/>
          </w:tcPr>
          <w:p w14:paraId="10D5F9BC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gridSpan w:val="3"/>
            <w:vAlign w:val="center"/>
          </w:tcPr>
          <w:p w14:paraId="31B78566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其中:当年财政拨款</w:t>
            </w:r>
          </w:p>
        </w:tc>
        <w:tc>
          <w:tcPr>
            <w:tcW w:w="654" w:type="pct"/>
            <w:vAlign w:val="center"/>
          </w:tcPr>
          <w:p w14:paraId="1D5D123C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409" w:type="pct"/>
            <w:vAlign w:val="center"/>
          </w:tcPr>
          <w:p w14:paraId="007EAD45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527" w:type="pct"/>
            <w:vAlign w:val="center"/>
          </w:tcPr>
          <w:p w14:paraId="45217DB5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346" w:type="pct"/>
            <w:vAlign w:val="center"/>
          </w:tcPr>
          <w:p w14:paraId="1219F87C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5CFA0EB7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vAlign w:val="center"/>
          </w:tcPr>
          <w:p w14:paraId="65405A11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6EDA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pct"/>
            <w:vMerge w:val="continue"/>
            <w:vAlign w:val="center"/>
          </w:tcPr>
          <w:p w14:paraId="293B5818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gridSpan w:val="3"/>
            <w:vAlign w:val="center"/>
          </w:tcPr>
          <w:p w14:paraId="235D7868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上年结转金额</w:t>
            </w:r>
          </w:p>
        </w:tc>
        <w:tc>
          <w:tcPr>
            <w:tcW w:w="654" w:type="pct"/>
            <w:vAlign w:val="center"/>
          </w:tcPr>
          <w:p w14:paraId="245BB796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09" w:type="pct"/>
            <w:vAlign w:val="center"/>
          </w:tcPr>
          <w:p w14:paraId="06AAA07B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27" w:type="pct"/>
            <w:vAlign w:val="center"/>
          </w:tcPr>
          <w:p w14:paraId="3F932C3C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46" w:type="pct"/>
            <w:vAlign w:val="center"/>
          </w:tcPr>
          <w:p w14:paraId="53B670FF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1D9D5190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vAlign w:val="center"/>
          </w:tcPr>
          <w:p w14:paraId="0EB1B10B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5F13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pct"/>
            <w:vMerge w:val="continue"/>
            <w:vAlign w:val="center"/>
          </w:tcPr>
          <w:p w14:paraId="49EE5D62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gridSpan w:val="3"/>
            <w:vAlign w:val="center"/>
          </w:tcPr>
          <w:p w14:paraId="1E0A67EF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其它资金</w:t>
            </w:r>
          </w:p>
        </w:tc>
        <w:tc>
          <w:tcPr>
            <w:tcW w:w="654" w:type="pct"/>
            <w:vAlign w:val="center"/>
          </w:tcPr>
          <w:p w14:paraId="0BFD9DF9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09" w:type="pct"/>
            <w:vAlign w:val="center"/>
          </w:tcPr>
          <w:p w14:paraId="382FBD8B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27" w:type="pct"/>
            <w:vAlign w:val="center"/>
          </w:tcPr>
          <w:p w14:paraId="785A66AB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46" w:type="pct"/>
            <w:vAlign w:val="center"/>
          </w:tcPr>
          <w:p w14:paraId="3EA16D3B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62A9CA97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vAlign w:val="center"/>
          </w:tcPr>
          <w:p w14:paraId="1D66CE1E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49B9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pct"/>
            <w:vMerge w:val="continue"/>
            <w:vAlign w:val="center"/>
          </w:tcPr>
          <w:p w14:paraId="409B0662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gridSpan w:val="3"/>
            <w:vAlign w:val="center"/>
          </w:tcPr>
          <w:p w14:paraId="17EC85AE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654" w:type="pct"/>
            <w:vAlign w:val="center"/>
          </w:tcPr>
          <w:p w14:paraId="25BDEF4E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409" w:type="pct"/>
            <w:vAlign w:val="center"/>
          </w:tcPr>
          <w:p w14:paraId="502C4AD7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527" w:type="pct"/>
            <w:vAlign w:val="center"/>
          </w:tcPr>
          <w:p w14:paraId="1253503B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346" w:type="pct"/>
            <w:vAlign w:val="center"/>
          </w:tcPr>
          <w:p w14:paraId="046F96D7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55" w:type="pct"/>
            <w:vAlign w:val="center"/>
          </w:tcPr>
          <w:p w14:paraId="32CB02C3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1101" w:type="pct"/>
            <w:vAlign w:val="center"/>
          </w:tcPr>
          <w:p w14:paraId="7EF5147A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10.00</w:t>
            </w:r>
          </w:p>
        </w:tc>
      </w:tr>
      <w:tr w14:paraId="7451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pct"/>
            <w:vMerge w:val="restart"/>
            <w:vAlign w:val="center"/>
          </w:tcPr>
          <w:p w14:paraId="78758530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2007" w:type="pct"/>
            <w:gridSpan w:val="5"/>
            <w:vAlign w:val="center"/>
          </w:tcPr>
          <w:p w14:paraId="48FC8087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2430" w:type="pct"/>
            <w:gridSpan w:val="4"/>
            <w:vAlign w:val="center"/>
          </w:tcPr>
          <w:p w14:paraId="38D71CAA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14:paraId="7BBE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61" w:type="pct"/>
            <w:vMerge w:val="continue"/>
            <w:vAlign w:val="center"/>
          </w:tcPr>
          <w:p w14:paraId="14C8CA93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7" w:type="pct"/>
            <w:gridSpan w:val="5"/>
            <w:vAlign w:val="center"/>
          </w:tcPr>
          <w:p w14:paraId="090B80A1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通促进益阳外向型经济发展，缩短通关时间，提升外贸服务便利化水平。</w:t>
            </w:r>
          </w:p>
        </w:tc>
        <w:tc>
          <w:tcPr>
            <w:tcW w:w="2430" w:type="pct"/>
            <w:gridSpan w:val="4"/>
            <w:vAlign w:val="center"/>
          </w:tcPr>
          <w:p w14:paraId="1C573AF1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益阳地区进出口企业进口环节税及进出口关税5239.4万元，同比增长57.4%；压缩进出口企业在海关办理进出口手续的时间18分钟；进一步提升益阳地区进出口企业满意度。</w:t>
            </w:r>
          </w:p>
        </w:tc>
      </w:tr>
      <w:tr w14:paraId="5EB7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pct"/>
            <w:vMerge w:val="restart"/>
            <w:vAlign w:val="center"/>
          </w:tcPr>
          <w:p w14:paraId="606314DE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绩</w:t>
            </w:r>
          </w:p>
          <w:p w14:paraId="73FE615B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效</w:t>
            </w:r>
          </w:p>
          <w:p w14:paraId="42F9B9F8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指</w:t>
            </w:r>
          </w:p>
          <w:p w14:paraId="7EF9A3BD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468" w:type="pct"/>
            <w:gridSpan w:val="2"/>
            <w:vAlign w:val="center"/>
          </w:tcPr>
          <w:p w14:paraId="67C24C6D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475" w:type="pct"/>
            <w:vAlign w:val="center"/>
          </w:tcPr>
          <w:p w14:paraId="53B0DDE2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654" w:type="pct"/>
            <w:vAlign w:val="center"/>
          </w:tcPr>
          <w:p w14:paraId="76195239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409" w:type="pct"/>
            <w:vAlign w:val="center"/>
          </w:tcPr>
          <w:p w14:paraId="6B142B31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年度</w:t>
            </w:r>
          </w:p>
          <w:p w14:paraId="4801CE2E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527" w:type="pct"/>
            <w:vAlign w:val="center"/>
          </w:tcPr>
          <w:p w14:paraId="272E9480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实际</w:t>
            </w:r>
          </w:p>
          <w:p w14:paraId="033CFBCC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346" w:type="pct"/>
            <w:vAlign w:val="center"/>
          </w:tcPr>
          <w:p w14:paraId="11EEB790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455" w:type="pct"/>
            <w:vAlign w:val="center"/>
          </w:tcPr>
          <w:p w14:paraId="00C2D049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自评得分</w:t>
            </w:r>
          </w:p>
        </w:tc>
        <w:tc>
          <w:tcPr>
            <w:tcW w:w="1101" w:type="pct"/>
            <w:vAlign w:val="center"/>
          </w:tcPr>
          <w:p w14:paraId="560D773E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6088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pct"/>
            <w:vMerge w:val="continue"/>
            <w:vAlign w:val="center"/>
          </w:tcPr>
          <w:p w14:paraId="1DDD4D21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gridSpan w:val="2"/>
            <w:vMerge w:val="restart"/>
            <w:vAlign w:val="center"/>
          </w:tcPr>
          <w:p w14:paraId="19B7A754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475" w:type="pct"/>
            <w:vAlign w:val="center"/>
          </w:tcPr>
          <w:p w14:paraId="540C5754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654" w:type="pct"/>
            <w:vAlign w:val="center"/>
          </w:tcPr>
          <w:p w14:paraId="3037D333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服务重点企业数量</w:t>
            </w:r>
          </w:p>
        </w:tc>
        <w:tc>
          <w:tcPr>
            <w:tcW w:w="409" w:type="pct"/>
            <w:vAlign w:val="center"/>
          </w:tcPr>
          <w:p w14:paraId="3464436D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5家</w:t>
            </w:r>
          </w:p>
        </w:tc>
        <w:tc>
          <w:tcPr>
            <w:tcW w:w="527" w:type="pct"/>
            <w:vAlign w:val="center"/>
          </w:tcPr>
          <w:p w14:paraId="5D6DCF14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15家</w:t>
            </w:r>
          </w:p>
        </w:tc>
        <w:tc>
          <w:tcPr>
            <w:tcW w:w="346" w:type="pct"/>
            <w:vAlign w:val="center"/>
          </w:tcPr>
          <w:p w14:paraId="4AFAB8BE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455" w:type="pct"/>
            <w:vAlign w:val="center"/>
          </w:tcPr>
          <w:p w14:paraId="7ED6F4B7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1101" w:type="pct"/>
            <w:vAlign w:val="center"/>
          </w:tcPr>
          <w:p w14:paraId="14880E4A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2E29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pct"/>
            <w:vMerge w:val="continue"/>
            <w:vAlign w:val="center"/>
          </w:tcPr>
          <w:p w14:paraId="28840359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gridSpan w:val="2"/>
            <w:vMerge w:val="continue"/>
            <w:vAlign w:val="center"/>
          </w:tcPr>
          <w:p w14:paraId="378054DA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14:paraId="553EB76F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654" w:type="pct"/>
            <w:vAlign w:val="center"/>
          </w:tcPr>
          <w:p w14:paraId="5281B6F5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打击走私绩效排名</w:t>
            </w:r>
          </w:p>
        </w:tc>
        <w:tc>
          <w:tcPr>
            <w:tcW w:w="409" w:type="pct"/>
            <w:vAlign w:val="center"/>
          </w:tcPr>
          <w:p w14:paraId="0B878193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7位</w:t>
            </w:r>
          </w:p>
        </w:tc>
        <w:tc>
          <w:tcPr>
            <w:tcW w:w="527" w:type="pct"/>
            <w:vAlign w:val="center"/>
          </w:tcPr>
          <w:p w14:paraId="142312DA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3位</w:t>
            </w:r>
          </w:p>
        </w:tc>
        <w:tc>
          <w:tcPr>
            <w:tcW w:w="346" w:type="pct"/>
            <w:vAlign w:val="center"/>
          </w:tcPr>
          <w:p w14:paraId="38835DAA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55" w:type="pct"/>
            <w:vAlign w:val="center"/>
          </w:tcPr>
          <w:p w14:paraId="521121C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1101" w:type="pct"/>
            <w:vAlign w:val="center"/>
          </w:tcPr>
          <w:p w14:paraId="61D50403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5AD2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pct"/>
            <w:vMerge w:val="continue"/>
            <w:vAlign w:val="center"/>
          </w:tcPr>
          <w:p w14:paraId="1159428C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gridSpan w:val="2"/>
            <w:vMerge w:val="continue"/>
            <w:vAlign w:val="center"/>
          </w:tcPr>
          <w:p w14:paraId="3F401D43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14:paraId="34D248AD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654" w:type="pct"/>
            <w:vAlign w:val="center"/>
          </w:tcPr>
          <w:p w14:paraId="182E7F4C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压缩通关时长</w:t>
            </w:r>
          </w:p>
        </w:tc>
        <w:tc>
          <w:tcPr>
            <w:tcW w:w="409" w:type="pct"/>
            <w:vAlign w:val="center"/>
          </w:tcPr>
          <w:p w14:paraId="4859EA6D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3分钟</w:t>
            </w:r>
          </w:p>
        </w:tc>
        <w:tc>
          <w:tcPr>
            <w:tcW w:w="527" w:type="pct"/>
            <w:vAlign w:val="center"/>
          </w:tcPr>
          <w:p w14:paraId="13900333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18分钟</w:t>
            </w:r>
          </w:p>
        </w:tc>
        <w:tc>
          <w:tcPr>
            <w:tcW w:w="346" w:type="pct"/>
            <w:vAlign w:val="center"/>
          </w:tcPr>
          <w:p w14:paraId="3E5AF2AC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55" w:type="pct"/>
            <w:vAlign w:val="center"/>
          </w:tcPr>
          <w:p w14:paraId="431F7AE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1101" w:type="pct"/>
            <w:vAlign w:val="center"/>
          </w:tcPr>
          <w:p w14:paraId="26E01498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715B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pct"/>
            <w:vMerge w:val="continue"/>
            <w:vAlign w:val="center"/>
          </w:tcPr>
          <w:p w14:paraId="7560A912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gridSpan w:val="2"/>
            <w:vMerge w:val="restart"/>
            <w:vAlign w:val="center"/>
          </w:tcPr>
          <w:p w14:paraId="3D5A5D2D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475" w:type="pct"/>
            <w:vAlign w:val="center"/>
          </w:tcPr>
          <w:p w14:paraId="441366F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654" w:type="pct"/>
            <w:vAlign w:val="center"/>
          </w:tcPr>
          <w:p w14:paraId="64110B73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税收收入</w:t>
            </w:r>
          </w:p>
        </w:tc>
        <w:tc>
          <w:tcPr>
            <w:tcW w:w="409" w:type="pct"/>
            <w:vAlign w:val="center"/>
          </w:tcPr>
          <w:p w14:paraId="0866F8DD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2000万元</w:t>
            </w:r>
          </w:p>
        </w:tc>
        <w:tc>
          <w:tcPr>
            <w:tcW w:w="527" w:type="pct"/>
            <w:vAlign w:val="center"/>
          </w:tcPr>
          <w:p w14:paraId="778EDF5A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5239.4万元</w:t>
            </w:r>
          </w:p>
        </w:tc>
        <w:tc>
          <w:tcPr>
            <w:tcW w:w="346" w:type="pct"/>
            <w:vAlign w:val="center"/>
          </w:tcPr>
          <w:p w14:paraId="278E10B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455" w:type="pct"/>
            <w:vAlign w:val="center"/>
          </w:tcPr>
          <w:p w14:paraId="3A9571C0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1101" w:type="pct"/>
            <w:vAlign w:val="center"/>
          </w:tcPr>
          <w:p w14:paraId="29644A1A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7F4B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pct"/>
            <w:vMerge w:val="continue"/>
            <w:vAlign w:val="center"/>
          </w:tcPr>
          <w:p w14:paraId="513A862F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gridSpan w:val="2"/>
            <w:vMerge w:val="continue"/>
            <w:vAlign w:val="center"/>
          </w:tcPr>
          <w:p w14:paraId="5C77690B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14:paraId="21D1118F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654" w:type="pct"/>
            <w:vAlign w:val="center"/>
          </w:tcPr>
          <w:p w14:paraId="7658550A">
            <w:pPr>
              <w:spacing w:line="200" w:lineRule="exact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14:paraId="59AB26B9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 w14:paraId="4DB5097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vAlign w:val="center"/>
          </w:tcPr>
          <w:p w14:paraId="0284D6C7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3A8779D0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vAlign w:val="center"/>
          </w:tcPr>
          <w:p w14:paraId="5632A035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2FB34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pct"/>
            <w:vMerge w:val="continue"/>
            <w:vAlign w:val="center"/>
          </w:tcPr>
          <w:p w14:paraId="11EC3BD2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gridSpan w:val="2"/>
            <w:vMerge w:val="continue"/>
            <w:vAlign w:val="center"/>
          </w:tcPr>
          <w:p w14:paraId="7EC215DE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14:paraId="3C4A1AC7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654" w:type="pct"/>
            <w:vAlign w:val="center"/>
          </w:tcPr>
          <w:p w14:paraId="3CF2614D">
            <w:pPr>
              <w:spacing w:line="200" w:lineRule="exact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14:paraId="1D1A21A7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 w14:paraId="30C7B78D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vAlign w:val="center"/>
          </w:tcPr>
          <w:p w14:paraId="6FD5E4C1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604AEB0E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vAlign w:val="center"/>
          </w:tcPr>
          <w:p w14:paraId="5704DAE5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3BE7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pct"/>
            <w:vMerge w:val="continue"/>
            <w:vAlign w:val="center"/>
          </w:tcPr>
          <w:p w14:paraId="04DF42F9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gridSpan w:val="2"/>
            <w:vMerge w:val="continue"/>
            <w:vAlign w:val="center"/>
          </w:tcPr>
          <w:p w14:paraId="30C1243C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14:paraId="6725B41C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654" w:type="pct"/>
            <w:vAlign w:val="center"/>
          </w:tcPr>
          <w:p w14:paraId="5C044615">
            <w:pPr>
              <w:spacing w:line="200" w:lineRule="exact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14:paraId="6226E6B8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 w14:paraId="171F7E4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vAlign w:val="center"/>
          </w:tcPr>
          <w:p w14:paraId="5B8087D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152E1FE1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vAlign w:val="center"/>
          </w:tcPr>
          <w:p w14:paraId="2573FAE6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7053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pct"/>
            <w:vMerge w:val="continue"/>
            <w:vAlign w:val="center"/>
          </w:tcPr>
          <w:p w14:paraId="1F058DA4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gridSpan w:val="2"/>
            <w:vAlign w:val="center"/>
          </w:tcPr>
          <w:p w14:paraId="3682DBB4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475" w:type="pct"/>
            <w:vAlign w:val="center"/>
          </w:tcPr>
          <w:p w14:paraId="33B7FBC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654" w:type="pct"/>
            <w:vAlign w:val="center"/>
          </w:tcPr>
          <w:p w14:paraId="74B12F5F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进出口企业满意度</w:t>
            </w:r>
          </w:p>
        </w:tc>
        <w:tc>
          <w:tcPr>
            <w:tcW w:w="409" w:type="pct"/>
            <w:vAlign w:val="center"/>
          </w:tcPr>
          <w:p w14:paraId="18B2A86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527" w:type="pct"/>
            <w:vAlign w:val="center"/>
          </w:tcPr>
          <w:p w14:paraId="641FB6C5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346" w:type="pct"/>
            <w:vAlign w:val="center"/>
          </w:tcPr>
          <w:p w14:paraId="12611F3D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55" w:type="pct"/>
            <w:vAlign w:val="center"/>
          </w:tcPr>
          <w:p w14:paraId="7A26E101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1101" w:type="pct"/>
            <w:vAlign w:val="center"/>
          </w:tcPr>
          <w:p w14:paraId="06062C23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7ED7B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pct"/>
            <w:vMerge w:val="continue"/>
            <w:vAlign w:val="center"/>
          </w:tcPr>
          <w:p w14:paraId="0730C289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gridSpan w:val="2"/>
            <w:vMerge w:val="restart"/>
            <w:vAlign w:val="center"/>
          </w:tcPr>
          <w:p w14:paraId="34F8A3B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475" w:type="pct"/>
            <w:vAlign w:val="center"/>
          </w:tcPr>
          <w:p w14:paraId="2C57AE1D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654" w:type="pct"/>
            <w:vAlign w:val="center"/>
          </w:tcPr>
          <w:p w14:paraId="5C6D3604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运行经费</w:t>
            </w:r>
          </w:p>
        </w:tc>
        <w:tc>
          <w:tcPr>
            <w:tcW w:w="409" w:type="pct"/>
            <w:vAlign w:val="center"/>
          </w:tcPr>
          <w:p w14:paraId="5927D025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350万元</w:t>
            </w:r>
          </w:p>
        </w:tc>
        <w:tc>
          <w:tcPr>
            <w:tcW w:w="527" w:type="pct"/>
            <w:vAlign w:val="center"/>
          </w:tcPr>
          <w:p w14:paraId="41902539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350万元</w:t>
            </w:r>
          </w:p>
        </w:tc>
        <w:tc>
          <w:tcPr>
            <w:tcW w:w="346" w:type="pct"/>
            <w:vAlign w:val="center"/>
          </w:tcPr>
          <w:p w14:paraId="798F41BA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55" w:type="pct"/>
            <w:vAlign w:val="center"/>
          </w:tcPr>
          <w:p w14:paraId="1B6EFB2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1101" w:type="pct"/>
            <w:vAlign w:val="center"/>
          </w:tcPr>
          <w:p w14:paraId="0EA895DD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3304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pct"/>
            <w:vMerge w:val="continue"/>
            <w:vAlign w:val="center"/>
          </w:tcPr>
          <w:p w14:paraId="553C7009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gridSpan w:val="2"/>
            <w:vMerge w:val="continue"/>
            <w:vAlign w:val="center"/>
          </w:tcPr>
          <w:p w14:paraId="6A096B8F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14:paraId="2F8D8F6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社会成本指标</w:t>
            </w:r>
          </w:p>
        </w:tc>
        <w:tc>
          <w:tcPr>
            <w:tcW w:w="654" w:type="pct"/>
            <w:vAlign w:val="center"/>
          </w:tcPr>
          <w:p w14:paraId="3B535A0C">
            <w:pPr>
              <w:spacing w:line="200" w:lineRule="exact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14:paraId="4C6699F0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 w14:paraId="7FFF2C4C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vAlign w:val="center"/>
          </w:tcPr>
          <w:p w14:paraId="158012CD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3C47898C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vAlign w:val="center"/>
          </w:tcPr>
          <w:p w14:paraId="0BC5B17E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3446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pct"/>
            <w:vMerge w:val="continue"/>
            <w:vAlign w:val="center"/>
          </w:tcPr>
          <w:p w14:paraId="509B3892">
            <w:pPr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gridSpan w:val="2"/>
            <w:vMerge w:val="continue"/>
            <w:vAlign w:val="center"/>
          </w:tcPr>
          <w:p w14:paraId="170D904A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14:paraId="0DD368E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生态环境成本指标</w:t>
            </w:r>
          </w:p>
        </w:tc>
        <w:tc>
          <w:tcPr>
            <w:tcW w:w="654" w:type="pct"/>
            <w:vAlign w:val="center"/>
          </w:tcPr>
          <w:p w14:paraId="4734D42E">
            <w:pPr>
              <w:spacing w:line="200" w:lineRule="exact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14:paraId="5C6DBE6E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 w14:paraId="60B6C6B0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vAlign w:val="center"/>
          </w:tcPr>
          <w:p w14:paraId="4F57BE37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1348C4DF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vAlign w:val="center"/>
          </w:tcPr>
          <w:p w14:paraId="2587714D">
            <w:pPr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4427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96" w:type="pct"/>
            <w:gridSpan w:val="7"/>
            <w:vAlign w:val="center"/>
          </w:tcPr>
          <w:p w14:paraId="7093A4FF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346" w:type="pct"/>
            <w:vAlign w:val="center"/>
          </w:tcPr>
          <w:p w14:paraId="2783B7FF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55" w:type="pct"/>
            <w:vAlign w:val="center"/>
          </w:tcPr>
          <w:p w14:paraId="53B3D76D">
            <w:pPr>
              <w:widowControl/>
              <w:spacing w:line="200" w:lineRule="exact"/>
              <w:ind w:left="-63" w:leftChars="-20" w:right="-63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101" w:type="pct"/>
            <w:vAlign w:val="center"/>
          </w:tcPr>
          <w:p w14:paraId="0733D057">
            <w:pPr>
              <w:widowControl/>
              <w:spacing w:line="200" w:lineRule="exact"/>
              <w:ind w:left="-63" w:leftChars="-20" w:right="-63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9EFF08E">
      <w:pPr>
        <w:widowControl/>
        <w:spacing w:line="320" w:lineRule="exact"/>
        <w:ind w:left="-63" w:leftChars="-20" w:right="-63" w:rightChars="-20"/>
        <w:rPr>
          <w:rFonts w:ascii="仿宋" w:hAnsi="仿宋" w:eastAsia="仿宋" w:cs="仿宋"/>
          <w:kern w:val="0"/>
          <w:sz w:val="22"/>
          <w:szCs w:val="24"/>
        </w:rPr>
      </w:pPr>
      <w:r>
        <w:rPr>
          <w:rFonts w:hint="eastAsia" w:ascii="仿宋" w:hAnsi="仿宋" w:eastAsia="仿宋" w:cs="仿宋"/>
          <w:kern w:val="0"/>
          <w:sz w:val="22"/>
          <w:szCs w:val="24"/>
        </w:rPr>
        <w:t>备注：每个一级项目支出一张表。如：业务工作经费，运行维护经费，其他类资金...各一张表。</w:t>
      </w:r>
    </w:p>
    <w:p w14:paraId="2BBB0D8A">
      <w:pPr>
        <w:widowControl/>
        <w:spacing w:line="320" w:lineRule="exact"/>
        <w:ind w:left="-63" w:leftChars="-20" w:right="-63" w:rightChars="-20"/>
        <w:rPr>
          <w:rFonts w:ascii="仿宋" w:hAnsi="仿宋" w:eastAsia="仿宋" w:cs="仿宋"/>
          <w:kern w:val="0"/>
          <w:sz w:val="22"/>
          <w:szCs w:val="24"/>
        </w:rPr>
      </w:pPr>
      <w:r>
        <w:rPr>
          <w:rFonts w:ascii="仿宋" w:hAnsi="仿宋" w:eastAsia="仿宋" w:cs="仿宋"/>
          <w:kern w:val="0"/>
          <w:sz w:val="22"/>
          <w:szCs w:val="24"/>
        </w:rPr>
        <w:t>填表人：</w:t>
      </w:r>
      <w:r>
        <w:rPr>
          <w:rFonts w:hint="eastAsia" w:ascii="仿宋" w:hAnsi="仿宋" w:eastAsia="仿宋" w:cs="仿宋"/>
          <w:kern w:val="0"/>
          <w:sz w:val="22"/>
          <w:szCs w:val="24"/>
        </w:rPr>
        <w:t>贺家悦</w:t>
      </w:r>
      <w:r>
        <w:rPr>
          <w:rFonts w:ascii="仿宋" w:hAnsi="仿宋" w:eastAsia="仿宋" w:cs="仿宋"/>
          <w:kern w:val="0"/>
          <w:sz w:val="22"/>
          <w:szCs w:val="24"/>
        </w:rPr>
        <w:t xml:space="preserve">  填报日期： 20</w:t>
      </w:r>
      <w:r>
        <w:rPr>
          <w:rFonts w:hint="eastAsia" w:ascii="仿宋" w:hAnsi="仿宋" w:eastAsia="仿宋" w:cs="仿宋"/>
          <w:kern w:val="0"/>
          <w:sz w:val="22"/>
          <w:szCs w:val="24"/>
        </w:rPr>
        <w:t>24</w:t>
      </w:r>
      <w:r>
        <w:rPr>
          <w:rFonts w:ascii="仿宋" w:hAnsi="仿宋" w:eastAsia="仿宋" w:cs="仿宋"/>
          <w:kern w:val="0"/>
          <w:sz w:val="22"/>
          <w:szCs w:val="24"/>
        </w:rPr>
        <w:t>年</w:t>
      </w:r>
      <w:r>
        <w:rPr>
          <w:rFonts w:hint="eastAsia" w:ascii="仿宋" w:hAnsi="仿宋" w:eastAsia="仿宋" w:cs="仿宋"/>
          <w:kern w:val="0"/>
          <w:sz w:val="22"/>
          <w:szCs w:val="24"/>
        </w:rPr>
        <w:t>5</w:t>
      </w:r>
      <w:r>
        <w:rPr>
          <w:rFonts w:ascii="仿宋" w:hAnsi="仿宋" w:eastAsia="仿宋" w:cs="仿宋"/>
          <w:kern w:val="0"/>
          <w:sz w:val="22"/>
          <w:szCs w:val="24"/>
        </w:rPr>
        <w:t>月2</w:t>
      </w:r>
      <w:r>
        <w:rPr>
          <w:rFonts w:hint="eastAsia" w:ascii="仿宋" w:hAnsi="仿宋" w:eastAsia="仿宋" w:cs="仿宋"/>
          <w:kern w:val="0"/>
          <w:sz w:val="22"/>
          <w:szCs w:val="24"/>
        </w:rPr>
        <w:t>4</w:t>
      </w:r>
      <w:r>
        <w:rPr>
          <w:rFonts w:ascii="仿宋" w:hAnsi="仿宋" w:eastAsia="仿宋" w:cs="仿宋"/>
          <w:kern w:val="0"/>
          <w:sz w:val="22"/>
          <w:szCs w:val="24"/>
        </w:rPr>
        <w:t>日  联系电话：4245709  单位负责人签字：</w:t>
      </w:r>
    </w:p>
    <w:sectPr>
      <w:pgSz w:w="11907" w:h="16840"/>
      <w:pgMar w:top="1701" w:right="1531" w:bottom="1587" w:left="1531" w:header="851" w:footer="1247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2C632">
    <w:pPr>
      <w:pStyle w:val="5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77F9CE">
                <w:pPr>
                  <w:pStyle w:val="5"/>
                  <w:rPr>
                    <w:rFonts w:ascii="仿宋" w:hAnsi="仿宋" w:eastAsia="仿宋" w:cs="仿宋"/>
                    <w:sz w:val="28"/>
                    <w:szCs w:val="28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hAnsi="仿宋" w:eastAsia="仿宋" w:cs="仿宋"/>
                    <w:sz w:val="28"/>
                    <w:szCs w:val="28"/>
                  </w:rPr>
                  <w:t>12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EzYzg2YzEzMTM1NjJhMjZiNGYwMzJlYzMxMzBjODkifQ=="/>
  </w:docVars>
  <w:rsids>
    <w:rsidRoot w:val="57CF293B"/>
    <w:rsid w:val="006D6721"/>
    <w:rsid w:val="00BD4B52"/>
    <w:rsid w:val="02BD682A"/>
    <w:rsid w:val="048760F2"/>
    <w:rsid w:val="05A5563A"/>
    <w:rsid w:val="07972AF0"/>
    <w:rsid w:val="087C7176"/>
    <w:rsid w:val="0A4E4126"/>
    <w:rsid w:val="0A694CE4"/>
    <w:rsid w:val="129810D6"/>
    <w:rsid w:val="1318085F"/>
    <w:rsid w:val="14B51486"/>
    <w:rsid w:val="15431963"/>
    <w:rsid w:val="15C0597A"/>
    <w:rsid w:val="16E3365C"/>
    <w:rsid w:val="1BDE2644"/>
    <w:rsid w:val="1C4F52EF"/>
    <w:rsid w:val="24B623B0"/>
    <w:rsid w:val="24E24F53"/>
    <w:rsid w:val="281264E8"/>
    <w:rsid w:val="29812E5D"/>
    <w:rsid w:val="29CE3EAA"/>
    <w:rsid w:val="2DA265A1"/>
    <w:rsid w:val="330F68F7"/>
    <w:rsid w:val="34115A0F"/>
    <w:rsid w:val="36164F1A"/>
    <w:rsid w:val="36E83C48"/>
    <w:rsid w:val="37EB3A14"/>
    <w:rsid w:val="38887767"/>
    <w:rsid w:val="3DF81D2A"/>
    <w:rsid w:val="3ED41958"/>
    <w:rsid w:val="4033445D"/>
    <w:rsid w:val="407D2F68"/>
    <w:rsid w:val="43B63024"/>
    <w:rsid w:val="44450C02"/>
    <w:rsid w:val="44ED5522"/>
    <w:rsid w:val="4799729B"/>
    <w:rsid w:val="4A631DE2"/>
    <w:rsid w:val="4B614574"/>
    <w:rsid w:val="4BDB3039"/>
    <w:rsid w:val="4F8D589F"/>
    <w:rsid w:val="50897748"/>
    <w:rsid w:val="54637CBC"/>
    <w:rsid w:val="54CB0CB0"/>
    <w:rsid w:val="56C836F9"/>
    <w:rsid w:val="578A30A4"/>
    <w:rsid w:val="57CF293B"/>
    <w:rsid w:val="5BC36B67"/>
    <w:rsid w:val="5BF46CD1"/>
    <w:rsid w:val="5E062D59"/>
    <w:rsid w:val="625C65CB"/>
    <w:rsid w:val="64830C87"/>
    <w:rsid w:val="650A5824"/>
    <w:rsid w:val="65B21C6C"/>
    <w:rsid w:val="6818558A"/>
    <w:rsid w:val="6BFA214F"/>
    <w:rsid w:val="6C2969BA"/>
    <w:rsid w:val="6DF13227"/>
    <w:rsid w:val="6E5A4102"/>
    <w:rsid w:val="6ED87A76"/>
    <w:rsid w:val="704F058F"/>
    <w:rsid w:val="719F0A6C"/>
    <w:rsid w:val="75061B64"/>
    <w:rsid w:val="78C434B2"/>
    <w:rsid w:val="7C352D2F"/>
    <w:rsid w:val="7F054C3B"/>
    <w:rsid w:val="7FCB12D2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overflowPunct w:val="0"/>
      <w:spacing w:line="600" w:lineRule="exact"/>
      <w:jc w:val="center"/>
      <w:outlineLvl w:val="1"/>
    </w:pPr>
    <w:rPr>
      <w:rFonts w:hint="eastAsia" w:ascii="方正小标宋简体" w:hAnsi="方正小标宋简体" w:eastAsia="方正小标宋简体"/>
      <w:kern w:val="0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autoRedefine/>
    <w:qFormat/>
    <w:uiPriority w:val="0"/>
    <w:rPr>
      <w:rFonts w:ascii="宋体" w:hAnsi="Courier New" w:eastAsia="宋体"/>
      <w:sz w:val="21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autoRedefine/>
    <w:unhideWhenUsed/>
    <w:qFormat/>
    <w:uiPriority w:val="39"/>
    <w:rPr>
      <w:rFonts w:eastAsia="宋体"/>
      <w:sz w:val="21"/>
      <w:szCs w:val="24"/>
    </w:rPr>
  </w:style>
  <w:style w:type="character" w:styleId="10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7431</Words>
  <Characters>8247</Characters>
  <Lines>14</Lines>
  <Paragraphs>18</Paragraphs>
  <TotalTime>1</TotalTime>
  <ScaleCrop>false</ScaleCrop>
  <LinksUpToDate>false</LinksUpToDate>
  <CharactersWithSpaces>8311</CharactersWithSpaces>
  <Application>WPS Office_12.1.0.17121_F1E327BC-269C-435d-A152-05C5408002CA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2024-05-27T09:23:00Z</dcterms:created>
  <dc:creator>丁洁</dc:creator>
  <cp:lastModifiedBy>丁洁</cp:lastModifiedBy>
  <cp:lastPrinted>2024-05-27T08:12:00Z</cp:lastPrinted>
  <dcterms:modified xsi:type="dcterms:W3CDTF">2024-05-30T06:45:01Z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2052-12.1.0.17121</vt:lpwstr>
  </property>
  <property fmtid="{D5CDD505-2E9C-101B-9397-08002B2CF9AE}" pid="3" name="ICV">
    <vt:lpwstr>5BA51A49377D428A80FDD1AF425FDE92_13</vt:lpwstr>
  </property>
</Properties>
</file>