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益阳市食品药品检验所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2021年度药品监管补助资金绩效自评报告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一、专项资金基本情况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（一）项目单位基本情况。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食品药品检验所原身为益阳市药检所。2011年由于当时机构改革职能调整改名为益阳市食品药品检验所。2019年，益阳市市场监督管理局依照《中华人民共和国药品管理法》、《中华人民共和国食品安全法》再次设立益阳市食品药品检验所，副处级事业单位，独立法人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机构内设机构7个：办公室，综合业务室，抽样监督室，质量控制室，药品检验室，食品检验室，生物安全室，主要职责是：承担食品、药品、化妆品、药用辅料、洁净区环境检验检测工作；协助主管部门起草食品、药品、化妆品标准，承担相关技术的研究、咨询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1、人员方面。核定全额拨款事业编制31名，在职在编人员2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人，具备高级技术职务6人，中级技术职务1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人，初级技术职务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人；硕士研究生学历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人，本科学历1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人，专科学历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人，外聘专业技术人员1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2、检验资质方面。目前，拥有检验资质1265项，其中药品158项，化妆品244项，食品844项。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实验场地方面。我所实验大楼总面积4038平方米，实验室用房近3000平方米，根据不同使用功能实现合理分区，有效隔离；设有专用的通风柜、污水处理系统和三套独立的空气净化系统，对实验环境进行了有效控制。</w:t>
      </w:r>
    </w:p>
    <w:p>
      <w:pPr>
        <w:adjustRightInd w:val="0"/>
        <w:snapToGrid w:val="0"/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仪器设备方面。实验室配备用于检验的仪器设备有液质联用仪、气质联用仪、高效液相色谱仪、气相色谱仪、离子色谱仪、紫外分光光度计、原子吸收分光光度计、原子荧光分光光度计、微生物自动检测系统、厌氧微氧培养系统等检验专用等160多台（套）。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</w:rPr>
        <w:t>（二）专项资金基本情况、用途和主要内容、涉及范围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专项资金主要用于购买耗材、试剂、支付劳务费、仪器维修费等开支。</w:t>
      </w:r>
    </w:p>
    <w:p>
      <w:pPr>
        <w:adjustRightInd w:val="0"/>
        <w:snapToGrid w:val="0"/>
        <w:spacing w:line="4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全年共开支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专项资金绩效目标，包括总体目标和年度目标。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按照《湖南省药品监督管理局关于印发2020年省级药品医疗器械化妆品监督抽检计划的通知》（湘药监发[2020]32号）文件安排，益阳市食品药品检验所计划承检格列齐特片(Ⅱ)等10个品种，113批次的检品，其中成药108批次，饮片7批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化妆品：抽样9月15日完成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检验：10月30日完成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质量分析报告、报告书寄送11月20日完成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药品：抽样10月15日完成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检验：11月15日完成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质量分析报告、报告书寄送12月5日完成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二、专项资金使用及管理情况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年全年我所共收到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药品监管及医疗器械监测专项项目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专项经费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39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共开支</w:t>
      </w:r>
      <w:r>
        <w:rPr>
          <w:rFonts w:hint="eastAsia" w:ascii="仿宋" w:hAnsi="仿宋" w:eastAsia="仿宋" w:cs="仿宋"/>
          <w:sz w:val="32"/>
          <w:szCs w:val="32"/>
        </w:rPr>
        <w:t>项目资金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39万元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我所严格按照《专项资金管理办法》的要求，单独核算、专款专用、规范管理、无挪用无截留。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三、专项资金项目组织实施情况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（一）资金使用管理情况，主要包括专项资金及项目管理制度建设、</w:t>
      </w:r>
      <w:r>
        <w:rPr>
          <w:rFonts w:ascii="Times New Roman" w:hAnsi="Times New Roman" w:eastAsia="仿宋_GB2312" w:cs="Times New Roman"/>
          <w:sz w:val="32"/>
          <w:szCs w:val="32"/>
        </w:rPr>
        <w:t>日常检查监督管理</w:t>
      </w:r>
      <w:r>
        <w:rPr>
          <w:rFonts w:eastAsia="仿宋_GB2312"/>
          <w:sz w:val="32"/>
          <w:szCs w:val="32"/>
        </w:rPr>
        <w:t>等情况。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分管所长：负责综合协调。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办公室：物资采购。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质控室：全过程质量控制。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业务室：样品受检递送，检品卡制作，散页标准收集，报告书打印报送，化妆品不合格报告书出具6份，留存1份，要求在2个工作日内将检验报告、抽样单复印件及样品外包装照片等材料报送给省局化妆品监管处5份。每月报统计表交省局化妆品处。  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药品室：负责对中西成药、中药材及饮片理化部分检验并如实报告原始记录、报告书底稿。</w:t>
      </w:r>
    </w:p>
    <w:p>
      <w:pPr>
        <w:adjustRightInd/>
        <w:snapToGrid/>
        <w:spacing w:line="48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生物安全室：对微生物限度、无菌、细菌内毒素等项目检验并如实报告原始记录、报告书底稿。</w:t>
      </w:r>
    </w:p>
    <w:p>
      <w:pPr>
        <w:adjustRightInd/>
        <w:snapToGrid/>
        <w:spacing w:line="480" w:lineRule="exact"/>
        <w:ind w:firstLine="640" w:firstLineChars="200"/>
        <w:rPr>
          <w:rFonts w:hint="default" w:ascii="仿宋" w:hAnsi="仿宋" w:eastAsia="仿宋" w:cs="Times New Roman"/>
          <w:color w:val="000000"/>
          <w:sz w:val="32"/>
          <w:szCs w:val="32"/>
        </w:rPr>
      </w:pPr>
      <w:r>
        <w:rPr>
          <w:rFonts w:ascii="仿宋" w:hAnsi="仿宋" w:eastAsia="仿宋" w:cs="Times New Roman"/>
          <w:color w:val="000000"/>
          <w:sz w:val="32"/>
          <w:szCs w:val="32"/>
        </w:rPr>
        <w:t>（二）项目组织实施情况，主要包括项目招投标、调整、竣工验收等情况。</w:t>
      </w:r>
    </w:p>
    <w:p>
      <w:pPr>
        <w:spacing w:line="480" w:lineRule="exact"/>
        <w:ind w:firstLine="640" w:firstLineChars="20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根据湖南省药品监督管理局关于印发湖南省202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年省级药品医疗器械化妆品监督抽检计划的通知，我所对202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年药品与化妆品检验工作制定方案，并召集相关科室开会。明确了总任务、时间进度以及科室分工。202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年06月0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日开始收到药品样品，202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07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日收到化妆品样品，至202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color w:val="000000"/>
          <w:sz w:val="32"/>
          <w:szCs w:val="32"/>
        </w:rPr>
        <w:t>日完成所有省级药品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化妆品</w:t>
      </w:r>
      <w:r>
        <w:rPr>
          <w:rFonts w:hint="eastAsia" w:ascii="仿宋" w:hAnsi="仿宋" w:eastAsia="仿宋"/>
          <w:color w:val="000000"/>
          <w:sz w:val="32"/>
          <w:szCs w:val="32"/>
        </w:rPr>
        <w:t>监督抽检样品的检验。报告书于202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color w:val="000000"/>
          <w:sz w:val="32"/>
          <w:szCs w:val="32"/>
        </w:rPr>
        <w:t>日前均已全部寄送给抽样单位。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四、专项资金绩效目标完成情况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年，全年计划检验化妆品1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/>
          <w:sz w:val="32"/>
          <w:szCs w:val="32"/>
        </w:rPr>
        <w:t>批次，实际检验1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color w:val="000000"/>
          <w:sz w:val="32"/>
          <w:szCs w:val="32"/>
        </w:rPr>
        <w:t>批次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年06月0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日开始收到药品样品，至202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</w:rPr>
        <w:t>年10月26日实际受检样品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87</w:t>
      </w:r>
      <w:r>
        <w:rPr>
          <w:rFonts w:hint="eastAsia" w:ascii="仿宋" w:hAnsi="仿宋" w:eastAsia="仿宋"/>
          <w:color w:val="000000"/>
          <w:sz w:val="32"/>
          <w:szCs w:val="32"/>
        </w:rPr>
        <w:t>批次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。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化妆品：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抽样9月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检验：10月30日完成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质量分析报告、报告书寄送11月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药品：抽样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日完成</w:t>
      </w:r>
    </w:p>
    <w:p>
      <w:pPr>
        <w:spacing w:line="480" w:lineRule="exact"/>
        <w:ind w:firstLine="640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检验：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日完成</w:t>
      </w:r>
    </w:p>
    <w:p>
      <w:pPr>
        <w:spacing w:line="48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质量分析报告、报告书寄送1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日完成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五、主要经验做法、存在的问题及原因分析</w:t>
      </w:r>
    </w:p>
    <w:p>
      <w:pPr>
        <w:spacing w:line="480" w:lineRule="exact"/>
        <w:ind w:firstLine="42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/>
          <w:color w:val="00000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2"/>
          <w:szCs w:val="32"/>
        </w:rPr>
        <w:t>收到文件后，所领导高度重视，立即召开会议，制定了省抽药品检验方案：办公室负责后勤采购；质控室负责仪器设备校准及质量程序控制；业务室负责样品标准流转，原始记录审核，主、协检科室的协调；检验科室制定耗材采购计划，检品合理分配；在规定的周期内，各科室与人员合理安排，保证检验结果科学准确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1、培训，方案落实情况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结合省级药品化妆品监督抽检计划，针对承检品种检验标准涉及的检验项目及本所实际情况，制定了相关的培训计划。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组织业务学习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color w:val="000000"/>
          <w:sz w:val="32"/>
          <w:szCs w:val="32"/>
        </w:rPr>
        <w:t>次，检验方法讨论5次，操作培训数次。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2、风险控制的措施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本所有完备的质量管理体系，人机物法环都按程序文件和质量手册执行。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（1）、通过分科室与区域管理，减少交接次数，有效利用人力资源，通过质量监督员与内审员的监督，减少检验过程会出现的隐患，保证检验的规范进行。 　　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（2）、对检验员进行明确分工，专人负责各区域的物品、工作流程等管理，发现存在问题，及时反馈并开技术委员会，保证每批检品检验结果的准确性。　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（3）、药品检验队伍结构合理，基本上按个人工作潜质定岗，达到人员的有效分配，使质量体系运转顺利。 　　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3、遵守廉洁自律各项规定和保密的情况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全所工作人员签订了廉洁自律与保密制度个人承诺书，严格遵守廉洁自律各项规定和保密纪律，无违规情况发生。</w:t>
      </w:r>
    </w:p>
    <w:p>
      <w:pPr>
        <w:spacing w:line="480" w:lineRule="exact"/>
        <w:ind w:firstLine="279" w:firstLineChars="133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/>
          <w:color w:val="000000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存在的主要问题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：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1、因抽检时间设定过长，各个市州局开展抽检工作的时间不一致，抽检任务完成进度差异很大，检验机构的人员、仪器、试剂、对照品等均未得到有效的利用，工作效率和检品完成进度受到很大影响。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2、今年有一些品种是企业新申报的标准，涉及到有关物质等检查所需的对照品多且少见，价格昂贵，有的甚至无法购买到，导致检验项目偏离。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3、仪器设备需要更新。许多设备都是10年前、甚至20年前的产品，需要及时更换与更新；根据国家药典与化妆品检验检测要求，要增加部分仪器设备。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4、检验人员需要培训。尽管学历高、学习能力强，但作为检验来说还是新手，本所加强培训，更重要的是国家、省级层面要抓培训，提高专技人员的业务能力。</w:t>
      </w:r>
    </w:p>
    <w:p>
      <w:pPr>
        <w:adjustRightInd w:val="0"/>
        <w:snapToGrid w:val="0"/>
        <w:spacing w:line="48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六、有关建议</w:t>
      </w:r>
    </w:p>
    <w:p>
      <w:pPr>
        <w:spacing w:line="480" w:lineRule="exact"/>
        <w:ind w:firstLine="425" w:firstLineChars="133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1、省局多组织一些抽检人员、检验人员的培训，提升相关业务素质的同时，也能增进各市州之间的联系，相互间多些学习交流的机会。</w:t>
      </w:r>
    </w:p>
    <w:p>
      <w:pPr>
        <w:spacing w:line="480" w:lineRule="exact"/>
        <w:ind w:firstLine="64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2、注重业务水平，组织技能比武等各种形式的技术交流活动。</w:t>
      </w:r>
    </w:p>
    <w:p>
      <w:pPr>
        <w:spacing w:line="480" w:lineRule="exact"/>
        <w:ind w:firstLine="640" w:firstLineChars="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3、设施设备添置与更新。建议在国家“十四五”规划中，加强地市级药品检验上有项目有投入，保持监管检验检测在信息化及平台建设、设备更新上先进性。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4、合理经费得到保障。经费使用上要考虑检验试剂标准品、设备维护、培训与维修经费。经费跟着任务走，上级拨款是确保检验经费和设备维护、维修及更换经费的唯一途径。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5、保障专业技术人员数量和质量。由于单位职能的扩大，市级药检所由原来从事单一药品检验渐渐变为从事药品，食品，化妆品，医疗器械的综合性检验，相应专业技术人员没有得到充实。</w:t>
      </w:r>
    </w:p>
    <w:p>
      <w:pPr>
        <w:spacing w:line="4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6、加强对药品检测机构监督检查，确保抽检规范准确与公平公正。</w:t>
      </w:r>
    </w:p>
    <w:p>
      <w:pPr>
        <w:spacing w:line="48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7、建议省局老师在化妆品群经常分享有关的政策文件动态消息，加强专业素养的指导，杜绝因政策了解不够而失误的情况。</w:t>
      </w:r>
    </w:p>
    <w:p>
      <w:pPr>
        <w:jc w:val="right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</w:p>
    <w:p>
      <w:pPr>
        <w:jc w:val="right"/>
        <w:rPr>
          <w:color w:val="000000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  <w:t>益阳市食品药品检验所</w:t>
      </w:r>
    </w:p>
    <w:p>
      <w:pPr>
        <w:adjustRightInd/>
        <w:snapToGrid/>
        <w:spacing w:line="480" w:lineRule="exact"/>
        <w:jc w:val="right"/>
        <w:rPr>
          <w:rFonts w:hint="eastAsia" w:ascii="仿宋" w:hAnsi="仿宋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2022年2月14日</w:t>
      </w:r>
    </w:p>
    <w:p>
      <w:pPr>
        <w:rPr>
          <w:rFonts w:hint="default" w:eastAsia="宋体"/>
          <w:color w:val="000000"/>
          <w:lang w:val="en-US" w:eastAsia="zh-CN"/>
        </w:rPr>
      </w:pPr>
    </w:p>
    <w:p>
      <w:pPr>
        <w:rPr>
          <w:color w:val="000000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41079"/>
    <w:multiLevelType w:val="singleLevel"/>
    <w:tmpl w:val="C4D4107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3ZmI0ODUxNzVhMzk0NTFjMDY4ZmYwMDg1YmNmOWYifQ=="/>
  </w:docVars>
  <w:rsids>
    <w:rsidRoot w:val="00000000"/>
    <w:rsid w:val="2A4C6DB4"/>
    <w:rsid w:val="7C14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2903</Words>
  <Characters>3024</Characters>
  <Lines>0</Lines>
  <Paragraphs>0</Paragraphs>
  <TotalTime>1</TotalTime>
  <ScaleCrop>false</ScaleCrop>
  <LinksUpToDate>false</LinksUpToDate>
  <CharactersWithSpaces>3049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2022-10-20T09:02:00Z</dcterms:created>
  <dc:creator>Administrator</dc:creator>
  <cp:lastModifiedBy>Admin</cp:lastModifiedBy>
  <dcterms:modified xsi:type="dcterms:W3CDTF">2022-10-21T02:22:08Z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B2E6FBC314D04BE3B8364B1442613AAA</vt:lpwstr>
  </property>
</Properties>
</file>