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spacing w:line="1360" w:lineRule="exact"/>
        <w:jc w:val="center"/>
        <w:rPr>
          <w:rFonts w:eastAsia="方正小标宋_GBK"/>
          <w:color w:val="FF0000"/>
          <w:spacing w:val="70"/>
          <w:w w:val="66"/>
          <w:sz w:val="140"/>
          <w:szCs w:val="140"/>
        </w:rPr>
      </w:pPr>
    </w:p>
    <w:p>
      <w:pPr>
        <w:autoSpaceDE w:val="0"/>
        <w:jc w:val="center"/>
        <w:rPr>
          <w:rFonts w:eastAsia="方正小标宋_GBK"/>
          <w:color w:val="auto"/>
          <w:spacing w:val="70"/>
          <w:w w:val="66"/>
          <w:sz w:val="140"/>
          <w:szCs w:val="140"/>
        </w:rPr>
      </w:pPr>
      <w:bookmarkStart w:id="242" w:name="_GoBack"/>
      <w:bookmarkEnd w:id="242"/>
      <w:r>
        <w:rPr>
          <w:rFonts w:eastAsia="方正小标宋_GBK"/>
          <w:color w:val="auto"/>
          <w:spacing w:val="70"/>
          <w:w w:val="66"/>
          <w:sz w:val="140"/>
          <w:szCs w:val="140"/>
        </w:rPr>
        <w:t>湖南省林业</w:t>
      </w:r>
      <w:r>
        <w:rPr>
          <w:rFonts w:hint="eastAsia" w:eastAsia="方正小标宋_GBK"/>
          <w:color w:val="auto"/>
          <w:spacing w:val="70"/>
          <w:w w:val="66"/>
          <w:sz w:val="140"/>
          <w:szCs w:val="140"/>
        </w:rPr>
        <w:t>局</w:t>
      </w:r>
      <w:r>
        <w:rPr>
          <w:rFonts w:eastAsia="方正小标宋_GBK"/>
          <w:color w:val="auto"/>
          <w:spacing w:val="70"/>
          <w:w w:val="66"/>
          <w:sz w:val="140"/>
          <w:szCs w:val="140"/>
        </w:rPr>
        <w:t>文件</w:t>
      </w:r>
    </w:p>
    <w:p>
      <w:pPr>
        <w:autoSpaceDE w:val="0"/>
        <w:spacing w:line="580" w:lineRule="exact"/>
        <w:rPr>
          <w:rFonts w:eastAsia="方正仿宋简体"/>
          <w:color w:val="000000"/>
          <w:sz w:val="32"/>
          <w:szCs w:val="32"/>
        </w:rPr>
      </w:pPr>
    </w:p>
    <w:p>
      <w:pPr>
        <w:autoSpaceDE w:val="0"/>
        <w:spacing w:line="560" w:lineRule="exact"/>
        <w:rPr>
          <w:rFonts w:eastAsia="方正仿宋简体"/>
          <w:color w:val="000000"/>
          <w:sz w:val="32"/>
          <w:szCs w:val="32"/>
        </w:rPr>
      </w:pPr>
    </w:p>
    <w:p>
      <w:pPr>
        <w:autoSpaceDE w:val="0"/>
        <w:spacing w:line="560" w:lineRule="exact"/>
        <w:ind w:firstLine="320" w:firstLineChars="100"/>
        <w:jc w:val="center"/>
        <w:rPr>
          <w:rFonts w:eastAsia="方正楷体_GBK"/>
          <w:color w:val="000000"/>
          <w:sz w:val="32"/>
          <w:szCs w:val="88"/>
        </w:rPr>
      </w:pPr>
      <w:r>
        <w:rPr>
          <w:rFonts w:eastAsia="方正仿宋_GBK"/>
          <w:color w:val="000000"/>
          <w:sz w:val="32"/>
          <w:szCs w:val="88"/>
        </w:rPr>
        <w:t>湘林</w:t>
      </w:r>
      <w:r>
        <w:rPr>
          <w:rFonts w:hint="eastAsia" w:eastAsia="方正仿宋_GBK"/>
          <w:color w:val="000000"/>
          <w:sz w:val="32"/>
          <w:szCs w:val="88"/>
        </w:rPr>
        <w:t>规</w:t>
      </w:r>
      <w:r>
        <w:rPr>
          <w:rFonts w:eastAsia="方正仿宋_GBK"/>
          <w:sz w:val="32"/>
        </w:rPr>
        <w:t>〔</w:t>
      </w:r>
      <w:r>
        <w:rPr>
          <w:rFonts w:hint="eastAsia" w:eastAsia="方正仿宋_GBK"/>
          <w:sz w:val="32"/>
        </w:rPr>
        <w:t>2021</w:t>
      </w:r>
      <w:r>
        <w:rPr>
          <w:rFonts w:eastAsia="方正仿宋_GBK"/>
          <w:sz w:val="32"/>
        </w:rPr>
        <w:t>〕</w:t>
      </w:r>
      <w:r>
        <w:rPr>
          <w:rFonts w:hint="eastAsia" w:eastAsia="方正仿宋_GBK"/>
          <w:sz w:val="32"/>
        </w:rPr>
        <w:t>15</w:t>
      </w:r>
      <w:r>
        <w:rPr>
          <w:rFonts w:eastAsia="方正仿宋_GBK"/>
          <w:color w:val="000000"/>
          <w:sz w:val="32"/>
          <w:szCs w:val="88"/>
        </w:rPr>
        <w:t>号</w:t>
      </w:r>
    </w:p>
    <w:p>
      <w:pPr>
        <w:spacing w:line="560" w:lineRule="exact"/>
        <w:rPr>
          <w:rFonts w:eastAsia="方正仿宋简体"/>
          <w:sz w:val="32"/>
        </w:rPr>
      </w:pPr>
      <w:r>
        <w:rPr>
          <w:rFonts w:eastAsia="方正仿宋简体"/>
          <w:color w:val="000000"/>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217170</wp:posOffset>
                </wp:positionV>
                <wp:extent cx="5600700"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pt;margin-top:17.1pt;height:0pt;width:441pt;z-index:251662336;mso-width-relative:page;mso-height-relative:page;" filled="f" stroked="t" coordsize="21600,21600" o:gfxdata="UEsDBAoAAAAAAIdO4kAAAAAAAAAAAAAAAAAEAAAAZHJzL1BLAwQUAAAACACHTuJA311Q4dMAAAAG&#10;AQAADwAAAGRycy9kb3ducmV2LnhtbE2PwU7DMAyG70i8Q2QkbixdQawqTXdA4oCEBBQOHLPGa7o1&#10;Tkmytrw9Rhzg6P+3Pn+utosbxIQh9p4UrFcZCKTWm546Be9vD1cFiJg0GT14QgVfGGFbn59VujR+&#10;plecmtQJhlAstQKb0lhKGVuLTseVH5G42/vgdOIxdNIEPTPcDTLPslvpdE98weoR7y22x+bkmEKb&#10;z/0yhI+X5ydbNPMBH6cNKnV5sc7uQCRc0t8y/OizOtTstPMnMlEMCviRpOD6JgfBbVHkHOx+A1lX&#10;8r9+/Q1QSwMEFAAAAAgAh07iQDHRoQzsAQAApQMAAA4AAABkcnMvZTJvRG9jLnhtbK1TzW4TMRC+&#10;I/EOlu9kN0UN1SqbHhKVS4FILQ8w8Xp3Lfwnj5vdvAQvgMQNThy58zYtj8HYaUJ/bog9jGzPzDcz&#10;33w7Px+NZlsZUDlb8+mk5Exa4Rplu5p/vL54dcYZRrANaGdlzXcS+fni5Yv54Ct54nqnGxkYgVis&#10;Bl/zPkZfFQWKXhrAifPSkrN1wUCka+iKJsBA6EYXJ2U5KwYXGh+ckIj0uto7+SLjt60U8UPbooxM&#10;15x6i9mGbDfJFos5VF0A3ytx3wb8QxcGlKWiR6gVRGA3QT2DMkoEh66NE+FM4dpWCZlnoGmm5ZNp&#10;rnrwMs9C5KA/0oT/D1a8364DUw3tbsqZBUM7uvvy8/bzt9+/vpK9+/GdkYdoGjxWFL2065AGFaO9&#10;8pdOfEJm3bIH28nc7vXOE0TOKB6lpAt6KrYZ3rmGYuAmuszZ2AaTIIkNNubV7I6rkWNkgh5PZ2X5&#10;pqQNioOvgOqQ6APGt9IZlg4118om1qCC7SVGap1CDyHp2boLpXXevLZsqPns9WlCBtJfqyHS0Xhi&#10;BG3HGeiOhC1iyIjotGpSdsLB0G2WOrAtJHHlLxFF1R6FpdIrwH4fl1172RkVSftamZqfPczWlkAO&#10;dO2J37hmtw4JPL2TFnKZe90msT2856i/f9f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9dUOHT&#10;AAAABgEAAA8AAAAAAAAAAQAgAAAAIgAAAGRycy9kb3ducmV2LnhtbFBLAQIUABQAAAAIAIdO4kAx&#10;0aEM7AEAAKUDAAAOAAAAAAAAAAEAIAAAACIBAABkcnMvZTJvRG9jLnhtbFBLBQYAAAAABgAGAFkB&#10;AACABQAAAAA=&#10;">
                <v:fill on="f" focussize="0,0"/>
                <v:stroke weight="0.5pt" color="#000000 [3200]" miterlimit="8" joinstyle="miter"/>
                <v:imagedata o:title=""/>
                <o:lock v:ext="edit" aspectratio="f"/>
              </v:line>
            </w:pict>
          </mc:Fallback>
        </mc:AlternateContent>
      </w:r>
    </w:p>
    <w:p>
      <w:pPr>
        <w:spacing w:line="600" w:lineRule="exact"/>
        <w:jc w:val="center"/>
        <w:rPr>
          <w:rFonts w:ascii="方正小标宋_GBK" w:eastAsia="方正小标宋_GBK"/>
          <w:sz w:val="44"/>
          <w:szCs w:val="44"/>
        </w:rPr>
      </w:pPr>
    </w:p>
    <w:p>
      <w:pPr>
        <w:spacing w:line="640" w:lineRule="exact"/>
        <w:jc w:val="center"/>
        <w:rPr>
          <w:rFonts w:eastAsia="方正小标宋_GBK"/>
          <w:sz w:val="44"/>
          <w:szCs w:val="44"/>
        </w:rPr>
      </w:pPr>
      <w:r>
        <w:rPr>
          <w:rFonts w:hint="eastAsia" w:eastAsia="方正小标宋_GBK"/>
          <w:sz w:val="44"/>
          <w:szCs w:val="44"/>
        </w:rPr>
        <w:t>湖南省林业局</w:t>
      </w:r>
    </w:p>
    <w:p>
      <w:pPr>
        <w:spacing w:line="640" w:lineRule="exact"/>
        <w:jc w:val="center"/>
        <w:rPr>
          <w:rFonts w:eastAsia="方正小标宋_GBK"/>
          <w:sz w:val="44"/>
          <w:szCs w:val="44"/>
        </w:rPr>
      </w:pPr>
      <w:r>
        <w:rPr>
          <w:rFonts w:hint="eastAsia" w:eastAsia="方正小标宋_GBK"/>
          <w:sz w:val="44"/>
          <w:szCs w:val="44"/>
        </w:rPr>
        <w:t>印发</w:t>
      </w:r>
      <w:r>
        <w:rPr>
          <w:rFonts w:hint="eastAsia" w:eastAsia="方正小标宋简体"/>
          <w:kern w:val="0"/>
          <w:sz w:val="44"/>
          <w:szCs w:val="44"/>
        </w:rPr>
        <w:t>《湖南省</w:t>
      </w:r>
      <w:r>
        <w:rPr>
          <w:rFonts w:eastAsia="方正小标宋简体"/>
          <w:kern w:val="0"/>
          <w:sz w:val="44"/>
          <w:szCs w:val="44"/>
        </w:rPr>
        <w:t>“</w:t>
      </w:r>
      <w:r>
        <w:rPr>
          <w:rFonts w:hint="eastAsia" w:eastAsia="方正小标宋简体"/>
          <w:kern w:val="0"/>
          <w:sz w:val="44"/>
          <w:szCs w:val="44"/>
        </w:rPr>
        <w:t>十四五</w:t>
      </w:r>
      <w:r>
        <w:rPr>
          <w:rFonts w:eastAsia="方正小标宋简体"/>
          <w:kern w:val="0"/>
          <w:sz w:val="44"/>
          <w:szCs w:val="44"/>
        </w:rPr>
        <w:t>”</w:t>
      </w:r>
      <w:r>
        <w:rPr>
          <w:rFonts w:hint="eastAsia" w:eastAsia="方正小标宋简体"/>
          <w:kern w:val="0"/>
          <w:sz w:val="44"/>
          <w:szCs w:val="44"/>
        </w:rPr>
        <w:t>林业发展规划》的通知</w:t>
      </w:r>
    </w:p>
    <w:p>
      <w:pPr>
        <w:spacing w:line="640" w:lineRule="exact"/>
        <w:rPr>
          <w:rFonts w:eastAsia="方正大标宋简体"/>
          <w:sz w:val="44"/>
          <w:szCs w:val="28"/>
        </w:rPr>
      </w:pPr>
    </w:p>
    <w:p>
      <w:pPr>
        <w:pStyle w:val="28"/>
        <w:wordWrap w:val="0"/>
        <w:spacing w:before="0" w:beforeAutospacing="0" w:after="0" w:afterAutospacing="0" w:line="64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各市州林业局，各县市区林业主管部门，局机关各处室局站中心，局直各单位：</w:t>
      </w:r>
    </w:p>
    <w:p>
      <w:pPr>
        <w:wordWrap w:val="0"/>
        <w:spacing w:line="640" w:lineRule="exact"/>
        <w:ind w:firstLine="645"/>
        <w:jc w:val="left"/>
        <w:rPr>
          <w:rFonts w:eastAsia="方正仿宋_GBK"/>
          <w:sz w:val="32"/>
          <w:szCs w:val="32"/>
        </w:rPr>
      </w:pPr>
      <w:r>
        <w:rPr>
          <w:rFonts w:eastAsia="方正仿宋_GBK"/>
          <w:sz w:val="32"/>
          <w:szCs w:val="32"/>
        </w:rPr>
        <w:t>为全面贯彻落实党的十九届五中全会精神，根据《中华人民共和国国民经济和社会发展第十四个五年规划和2035年远景目标纲要》《湖南省国民经济和社会发展第十四个五年规划和二〇三五年远景目标纲要》，制定了《湖南省“十四五”林业发展规划》（附后）。现印发给你们，请结合实际，认真贯彻实施。</w:t>
      </w:r>
    </w:p>
    <w:p>
      <w:pPr>
        <w:wordWrap w:val="0"/>
        <w:spacing w:line="640" w:lineRule="exact"/>
        <w:ind w:firstLine="645"/>
        <w:jc w:val="left"/>
        <w:rPr>
          <w:rFonts w:eastAsia="方正仿宋_GBK"/>
          <w:sz w:val="32"/>
          <w:szCs w:val="32"/>
        </w:rPr>
      </w:pPr>
      <w:r>
        <w:rPr>
          <w:rFonts w:eastAsia="方正仿宋_GBK"/>
          <w:sz w:val="32"/>
          <w:szCs w:val="32"/>
        </w:rPr>
        <w:t>特此通知。</w:t>
      </w:r>
    </w:p>
    <w:p>
      <w:pPr>
        <w:wordWrap w:val="0"/>
        <w:spacing w:line="640" w:lineRule="exact"/>
        <w:jc w:val="left"/>
        <w:rPr>
          <w:rFonts w:eastAsia="方正仿宋_GBK"/>
          <w:sz w:val="32"/>
          <w:szCs w:val="32"/>
        </w:rPr>
      </w:pPr>
    </w:p>
    <w:p>
      <w:pPr>
        <w:wordWrap w:val="0"/>
        <w:spacing w:line="640" w:lineRule="exact"/>
        <w:ind w:firstLine="640" w:firstLineChars="200"/>
        <w:jc w:val="left"/>
        <w:rPr>
          <w:rFonts w:eastAsia="方正仿宋_GBK"/>
          <w:sz w:val="32"/>
          <w:szCs w:val="32"/>
        </w:rPr>
      </w:pPr>
      <w:r>
        <w:rPr>
          <w:rFonts w:eastAsia="方正仿宋_GBK"/>
          <w:sz w:val="32"/>
          <w:szCs w:val="32"/>
        </w:rPr>
        <w:t>附件：湖南省“十四五”林业发展规划</w:t>
      </w:r>
    </w:p>
    <w:p>
      <w:pPr>
        <w:wordWrap w:val="0"/>
        <w:spacing w:line="640" w:lineRule="exact"/>
        <w:jc w:val="right"/>
        <w:rPr>
          <w:rFonts w:eastAsia="方正仿宋_GBK"/>
          <w:sz w:val="32"/>
          <w:szCs w:val="32"/>
        </w:rPr>
      </w:pPr>
    </w:p>
    <w:p>
      <w:pPr>
        <w:spacing w:line="640" w:lineRule="exact"/>
        <w:jc w:val="right"/>
        <w:rPr>
          <w:rFonts w:eastAsia="方正仿宋_GBK"/>
          <w:sz w:val="32"/>
          <w:szCs w:val="32"/>
        </w:rPr>
      </w:pPr>
    </w:p>
    <w:p>
      <w:pPr>
        <w:wordWrap w:val="0"/>
        <w:spacing w:line="640" w:lineRule="exact"/>
        <w:jc w:val="right"/>
        <w:rPr>
          <w:rFonts w:eastAsia="方正仿宋_GBK"/>
          <w:sz w:val="32"/>
          <w:szCs w:val="32"/>
        </w:rPr>
      </w:pPr>
      <w:r>
        <w:rPr>
          <w:rFonts w:eastAsia="方正仿宋_GBK"/>
          <w:sz w:val="32"/>
          <w:szCs w:val="32"/>
        </w:rPr>
        <w:t xml:space="preserve">湖南省林业局  </w:t>
      </w:r>
      <w:r>
        <w:rPr>
          <w:rFonts w:hint="eastAsia" w:eastAsia="方正仿宋_GBK"/>
          <w:sz w:val="32"/>
          <w:szCs w:val="32"/>
        </w:rPr>
        <w:t xml:space="preserve">     </w:t>
      </w:r>
    </w:p>
    <w:p>
      <w:pPr>
        <w:wordWrap w:val="0"/>
        <w:spacing w:line="640" w:lineRule="exact"/>
        <w:jc w:val="right"/>
        <w:rPr>
          <w:rFonts w:eastAsia="方正仿宋_GBK"/>
          <w:sz w:val="32"/>
          <w:szCs w:val="32"/>
        </w:rPr>
        <w:sectPr>
          <w:footerReference r:id="rId3" w:type="default"/>
          <w:pgSz w:w="11905" w:h="16837"/>
          <w:pgMar w:top="2098" w:right="1531" w:bottom="1440" w:left="1588" w:header="850" w:footer="992" w:gutter="0"/>
          <w:pgNumType w:fmt="numberInDash"/>
          <w:cols w:space="720" w:num="1"/>
          <w:docGrid w:type="lines" w:linePitch="324" w:charSpace="0"/>
        </w:sectPr>
      </w:pPr>
      <w:r>
        <w:rPr>
          <w:rFonts w:eastAsia="方正仿宋_GBK"/>
          <w:sz w:val="32"/>
          <w:szCs w:val="32"/>
        </w:rPr>
        <w:t>　　2021年7月30日</w:t>
      </w:r>
      <w:r>
        <w:rPr>
          <w:rFonts w:hint="eastAsia" w:eastAsia="方正仿宋_GBK"/>
          <w:sz w:val="32"/>
          <w:szCs w:val="32"/>
        </w:rPr>
        <w:t xml:space="preserve">     </w:t>
      </w:r>
    </w:p>
    <w:p>
      <w:pPr>
        <w:spacing w:line="600" w:lineRule="exact"/>
        <w:jc w:val="center"/>
        <w:rPr>
          <w:rFonts w:eastAsia="方正仿宋_GBK"/>
          <w:sz w:val="44"/>
          <w:szCs w:val="44"/>
        </w:rPr>
      </w:pPr>
    </w:p>
    <w:p>
      <w:pPr>
        <w:spacing w:line="600" w:lineRule="exact"/>
        <w:jc w:val="center"/>
        <w:rPr>
          <w:rFonts w:eastAsia="方正仿宋_GBK"/>
          <w:sz w:val="44"/>
          <w:szCs w:val="44"/>
        </w:rPr>
      </w:pPr>
    </w:p>
    <w:p>
      <w:pPr>
        <w:spacing w:line="600" w:lineRule="exact"/>
        <w:jc w:val="center"/>
        <w:rPr>
          <w:rFonts w:eastAsia="方正仿宋_GBK"/>
          <w:sz w:val="44"/>
          <w:szCs w:val="44"/>
        </w:rPr>
      </w:pPr>
    </w:p>
    <w:p>
      <w:pPr>
        <w:spacing w:line="860" w:lineRule="exact"/>
        <w:jc w:val="center"/>
        <w:rPr>
          <w:rFonts w:eastAsia="方正小标宋简体"/>
          <w:sz w:val="64"/>
          <w:szCs w:val="64"/>
        </w:rPr>
      </w:pPr>
      <w:r>
        <w:rPr>
          <w:rFonts w:hint="eastAsia" w:eastAsia="方正小标宋简体"/>
          <w:sz w:val="64"/>
          <w:szCs w:val="64"/>
        </w:rPr>
        <w:t>湖南省</w:t>
      </w:r>
      <w:r>
        <w:rPr>
          <w:rFonts w:eastAsia="方正小标宋简体"/>
          <w:sz w:val="64"/>
          <w:szCs w:val="64"/>
        </w:rPr>
        <w:t>“</w:t>
      </w:r>
      <w:r>
        <w:rPr>
          <w:rFonts w:hint="eastAsia" w:eastAsia="方正小标宋简体"/>
          <w:sz w:val="64"/>
          <w:szCs w:val="64"/>
        </w:rPr>
        <w:t>十四五</w:t>
      </w:r>
      <w:r>
        <w:rPr>
          <w:rFonts w:eastAsia="方正小标宋简体"/>
          <w:sz w:val="64"/>
          <w:szCs w:val="64"/>
        </w:rPr>
        <w:t>”</w:t>
      </w:r>
      <w:r>
        <w:rPr>
          <w:rFonts w:hint="eastAsia" w:eastAsia="方正小标宋简体"/>
          <w:sz w:val="64"/>
          <w:szCs w:val="64"/>
        </w:rPr>
        <w:t>林业发展规划</w:t>
      </w:r>
    </w:p>
    <w:p>
      <w:pPr>
        <w:spacing w:line="860" w:lineRule="exact"/>
        <w:jc w:val="center"/>
        <w:rPr>
          <w:rFonts w:eastAsia="方正小标宋简体"/>
          <w:sz w:val="44"/>
          <w:szCs w:val="72"/>
        </w:rPr>
      </w:pPr>
    </w:p>
    <w:p>
      <w:pPr>
        <w:spacing w:line="760" w:lineRule="exact"/>
        <w:jc w:val="center"/>
        <w:rPr>
          <w:rFonts w:eastAsia="楷体"/>
          <w:sz w:val="36"/>
          <w:szCs w:val="36"/>
        </w:rPr>
      </w:pPr>
    </w:p>
    <w:p>
      <w:pPr>
        <w:spacing w:line="600" w:lineRule="exact"/>
        <w:jc w:val="center"/>
        <w:rPr>
          <w:rFonts w:eastAsia="方正仿宋_GBK"/>
          <w:bCs/>
          <w:sz w:val="28"/>
          <w:szCs w:val="22"/>
        </w:rPr>
      </w:pPr>
      <w:bookmarkStart w:id="0" w:name="_Toc22858_WPSOffice_Type3"/>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spacing w:line="600" w:lineRule="exact"/>
        <w:jc w:val="center"/>
        <w:rPr>
          <w:rFonts w:eastAsia="方正仿宋_GBK"/>
          <w:bCs/>
          <w:sz w:val="22"/>
          <w:szCs w:val="22"/>
        </w:rPr>
      </w:pPr>
    </w:p>
    <w:p>
      <w:pPr>
        <w:widowControl/>
        <w:jc w:val="left"/>
      </w:pPr>
    </w:p>
    <w:p>
      <w:pPr>
        <w:widowControl/>
        <w:jc w:val="left"/>
      </w:pPr>
    </w:p>
    <w:p>
      <w:pPr>
        <w:widowControl/>
        <w:jc w:val="left"/>
      </w:pPr>
    </w:p>
    <w:p>
      <w:pPr>
        <w:spacing w:line="600" w:lineRule="exact"/>
        <w:jc w:val="center"/>
        <w:rPr>
          <w:rFonts w:eastAsia="方正小标宋_GBK"/>
          <w:bCs/>
          <w:w w:val="90"/>
          <w:sz w:val="44"/>
          <w:szCs w:val="44"/>
        </w:rPr>
      </w:pPr>
      <w:r>
        <w:rPr>
          <w:rFonts w:hint="eastAsia" w:eastAsia="方正小标宋_GBK"/>
          <w:bCs/>
          <w:w w:val="90"/>
          <w:sz w:val="44"/>
          <w:szCs w:val="44"/>
        </w:rPr>
        <w:t>湖</w:t>
      </w:r>
      <w:r>
        <w:rPr>
          <w:rFonts w:eastAsia="方正小标宋_GBK"/>
          <w:bCs/>
          <w:w w:val="90"/>
          <w:sz w:val="44"/>
          <w:szCs w:val="44"/>
        </w:rPr>
        <w:t xml:space="preserve"> </w:t>
      </w:r>
      <w:r>
        <w:rPr>
          <w:rFonts w:hint="eastAsia" w:eastAsia="方正小标宋_GBK"/>
          <w:bCs/>
          <w:w w:val="90"/>
          <w:sz w:val="44"/>
          <w:szCs w:val="44"/>
        </w:rPr>
        <w:t>南</w:t>
      </w:r>
      <w:r>
        <w:rPr>
          <w:rFonts w:eastAsia="方正小标宋_GBK"/>
          <w:bCs/>
          <w:w w:val="90"/>
          <w:sz w:val="44"/>
          <w:szCs w:val="44"/>
        </w:rPr>
        <w:t xml:space="preserve"> </w:t>
      </w:r>
      <w:r>
        <w:rPr>
          <w:rFonts w:hint="eastAsia" w:eastAsia="方正小标宋_GBK"/>
          <w:bCs/>
          <w:w w:val="90"/>
          <w:sz w:val="44"/>
          <w:szCs w:val="44"/>
        </w:rPr>
        <w:t>省</w:t>
      </w:r>
      <w:r>
        <w:rPr>
          <w:rFonts w:eastAsia="方正小标宋_GBK"/>
          <w:bCs/>
          <w:w w:val="90"/>
          <w:sz w:val="44"/>
          <w:szCs w:val="44"/>
        </w:rPr>
        <w:t xml:space="preserve"> </w:t>
      </w:r>
      <w:r>
        <w:rPr>
          <w:rFonts w:hint="eastAsia" w:eastAsia="方正小标宋_GBK"/>
          <w:bCs/>
          <w:w w:val="90"/>
          <w:sz w:val="44"/>
          <w:szCs w:val="44"/>
        </w:rPr>
        <w:t>林</w:t>
      </w:r>
      <w:r>
        <w:rPr>
          <w:rFonts w:eastAsia="方正小标宋_GBK"/>
          <w:bCs/>
          <w:w w:val="90"/>
          <w:sz w:val="44"/>
          <w:szCs w:val="44"/>
        </w:rPr>
        <w:t xml:space="preserve"> </w:t>
      </w:r>
      <w:r>
        <w:rPr>
          <w:rFonts w:hint="eastAsia" w:eastAsia="方正小标宋_GBK"/>
          <w:bCs/>
          <w:w w:val="90"/>
          <w:sz w:val="44"/>
          <w:szCs w:val="44"/>
        </w:rPr>
        <w:t>业</w:t>
      </w:r>
      <w:r>
        <w:rPr>
          <w:rFonts w:eastAsia="方正小标宋_GBK"/>
          <w:bCs/>
          <w:w w:val="90"/>
          <w:sz w:val="44"/>
          <w:szCs w:val="44"/>
        </w:rPr>
        <w:t xml:space="preserve"> </w:t>
      </w:r>
      <w:r>
        <w:rPr>
          <w:rFonts w:hint="eastAsia" w:eastAsia="方正小标宋_GBK"/>
          <w:bCs/>
          <w:w w:val="90"/>
          <w:sz w:val="44"/>
          <w:szCs w:val="44"/>
        </w:rPr>
        <w:t>局</w:t>
      </w:r>
    </w:p>
    <w:p>
      <w:pPr>
        <w:spacing w:line="600" w:lineRule="exact"/>
        <w:jc w:val="center"/>
        <w:rPr>
          <w:rFonts w:eastAsia="方正仿宋_GBK"/>
          <w:bCs/>
          <w:sz w:val="32"/>
          <w:szCs w:val="22"/>
        </w:rPr>
      </w:pPr>
      <w:r>
        <w:rPr>
          <w:rFonts w:eastAsia="方正小标宋简体"/>
          <w:bCs/>
          <w:sz w:val="36"/>
          <w:szCs w:val="36"/>
        </w:rPr>
        <w:t>2021</w:t>
      </w:r>
      <w:r>
        <w:rPr>
          <w:rFonts w:hint="eastAsia" w:eastAsia="方正小标宋简体"/>
          <w:bCs/>
          <w:sz w:val="36"/>
          <w:szCs w:val="36"/>
        </w:rPr>
        <w:t>年</w:t>
      </w:r>
      <w:r>
        <w:rPr>
          <w:rFonts w:eastAsia="方正小标宋简体"/>
          <w:bCs/>
          <w:sz w:val="36"/>
          <w:szCs w:val="36"/>
        </w:rPr>
        <w:t>7</w:t>
      </w:r>
      <w:r>
        <w:rPr>
          <w:rFonts w:hint="eastAsia" w:eastAsia="方正小标宋简体"/>
          <w:bCs/>
          <w:sz w:val="36"/>
          <w:szCs w:val="36"/>
        </w:rPr>
        <w:t>月</w:t>
      </w:r>
    </w:p>
    <w:p>
      <w:pPr>
        <w:widowControl/>
        <w:jc w:val="left"/>
        <w:rPr>
          <w:rFonts w:eastAsia="黑体"/>
          <w:sz w:val="32"/>
          <w:szCs w:val="32"/>
          <w:lang w:val="zh-CN"/>
        </w:rPr>
        <w:sectPr>
          <w:pgSz w:w="11907" w:h="16838"/>
          <w:pgMar w:top="1418" w:right="1701" w:bottom="1418" w:left="1701" w:header="567" w:footer="567" w:gutter="0"/>
          <w:pgNumType w:start="1"/>
          <w:cols w:space="720" w:num="1"/>
          <w:docGrid w:type="linesAndChars" w:linePitch="500" w:charSpace="0"/>
        </w:sectPr>
      </w:pPr>
    </w:p>
    <w:p>
      <w:pPr>
        <w:spacing w:line="600" w:lineRule="exact"/>
        <w:jc w:val="center"/>
        <w:rPr>
          <w:rFonts w:eastAsia="仿宋_GB2312"/>
          <w:bCs/>
          <w:sz w:val="36"/>
          <w:szCs w:val="40"/>
        </w:rPr>
      </w:pPr>
      <w:r>
        <w:rPr>
          <w:rFonts w:hint="eastAsia" w:eastAsia="黑体"/>
          <w:sz w:val="40"/>
          <w:szCs w:val="44"/>
          <w:lang w:val="zh-CN"/>
        </w:rPr>
        <w:t>目</w:t>
      </w:r>
      <w:r>
        <w:rPr>
          <w:rFonts w:eastAsia="黑体"/>
          <w:sz w:val="40"/>
          <w:szCs w:val="44"/>
          <w:lang w:val="zh-CN"/>
        </w:rPr>
        <w:t xml:space="preserve"> </w:t>
      </w:r>
      <w:r>
        <w:rPr>
          <w:rFonts w:hint="eastAsia" w:eastAsia="黑体"/>
          <w:sz w:val="40"/>
          <w:szCs w:val="44"/>
          <w:lang w:val="zh-CN"/>
        </w:rPr>
        <w:t>录</w:t>
      </w:r>
    </w:p>
    <w:bookmarkEnd w:id="0"/>
    <w:p>
      <w:pPr>
        <w:pStyle w:val="22"/>
        <w:tabs>
          <w:tab w:val="right" w:leader="dot" w:pos="8494"/>
        </w:tabs>
        <w:wordWrap/>
        <w:spacing w:line="560" w:lineRule="exact"/>
        <w:rPr>
          <w:rFonts w:ascii="Times New Roman" w:hAnsi="Times New Roman" w:eastAsia="仿宋_GB2312"/>
          <w:bCs w:val="0"/>
          <w:caps w:val="0"/>
          <w:sz w:val="28"/>
          <w:szCs w:val="28"/>
        </w:rPr>
      </w:pPr>
      <w:bookmarkStart w:id="1" w:name="_Toc78296727"/>
      <w:r>
        <w:fldChar w:fldCharType="begin"/>
      </w:r>
      <w:r>
        <w:rPr>
          <w:rFonts w:ascii="Times New Roman" w:hAnsi="Times New Roman" w:eastAsia="仿宋_GB2312"/>
          <w:bCs w:val="0"/>
          <w:caps w:val="0"/>
          <w:sz w:val="28"/>
          <w:szCs w:val="28"/>
        </w:rPr>
        <w:instrText xml:space="preserve"> TOC \o "1-3" \h \z \u </w:instrText>
      </w:r>
      <w:r>
        <w:fldChar w:fldCharType="separate"/>
      </w:r>
      <w:r>
        <w:fldChar w:fldCharType="begin"/>
      </w:r>
      <w:r>
        <w:instrText xml:space="preserve"> HYPERLINK "file:///D:\\工作文件夹\\（规财）文件\\2019.10（局十四五规划）\\B---规划处初稿的修改\\2021.7.30\\《湖南省" \l "_Toc78381384" </w:instrText>
      </w:r>
      <w:r>
        <w:fldChar w:fldCharType="separate"/>
      </w:r>
      <w:r>
        <w:rPr>
          <w:rStyle w:val="34"/>
          <w:rFonts w:hint="eastAsia"/>
          <w:sz w:val="28"/>
          <w:szCs w:val="28"/>
        </w:rPr>
        <w:t>第一章</w:t>
      </w:r>
      <w:r>
        <w:rPr>
          <w:rStyle w:val="34"/>
          <w:sz w:val="28"/>
          <w:szCs w:val="28"/>
        </w:rPr>
        <w:t xml:space="preserve">  “</w:t>
      </w:r>
      <w:r>
        <w:rPr>
          <w:rStyle w:val="34"/>
          <w:rFonts w:hint="eastAsia"/>
          <w:sz w:val="28"/>
          <w:szCs w:val="28"/>
        </w:rPr>
        <w:t>十三五</w:t>
      </w:r>
      <w:r>
        <w:rPr>
          <w:rStyle w:val="34"/>
          <w:sz w:val="28"/>
          <w:szCs w:val="28"/>
        </w:rPr>
        <w:t>”</w:t>
      </w:r>
      <w:r>
        <w:rPr>
          <w:rStyle w:val="34"/>
          <w:rFonts w:hint="eastAsia"/>
          <w:sz w:val="28"/>
          <w:szCs w:val="28"/>
        </w:rPr>
        <w:t>回顾</w:t>
      </w:r>
      <w:r>
        <w:rPr>
          <w:rStyle w:val="34"/>
          <w:sz w:val="28"/>
          <w:szCs w:val="28"/>
        </w:rPr>
        <w:tab/>
      </w:r>
      <w:r>
        <w:fldChar w:fldCharType="begin"/>
      </w:r>
      <w:r>
        <w:rPr>
          <w:rStyle w:val="34"/>
          <w:sz w:val="28"/>
          <w:szCs w:val="28"/>
        </w:rPr>
        <w:instrText xml:space="preserve"> PAGEREF _Toc78381384 \h </w:instrText>
      </w:r>
      <w:r>
        <w:fldChar w:fldCharType="separate"/>
      </w:r>
      <w:r>
        <w:rPr>
          <w:rStyle w:val="34"/>
          <w:sz w:val="28"/>
          <w:szCs w:val="28"/>
        </w:rPr>
        <w:t>1</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"_Toc78381385" </w:instrText>
      </w:r>
      <w:r>
        <w:fldChar w:fldCharType="separate"/>
      </w:r>
      <w:r>
        <w:rPr>
          <w:rStyle w:val="34"/>
          <w:b w:val="0"/>
          <w:sz w:val="28"/>
          <w:szCs w:val="28"/>
        </w:rPr>
        <w:t xml:space="preserve">1.1 </w:t>
      </w:r>
      <w:r>
        <w:rPr>
          <w:rStyle w:val="34"/>
          <w:rFonts w:hint="eastAsia"/>
          <w:b w:val="0"/>
        </w:rPr>
        <w:t>建设成效</w:t>
      </w:r>
      <w:r>
        <w:rPr>
          <w:rStyle w:val="34"/>
          <w:b w:val="0"/>
          <w:sz w:val="28"/>
          <w:szCs w:val="28"/>
        </w:rPr>
        <w:tab/>
      </w:r>
      <w:r>
        <w:fldChar w:fldCharType="begin"/>
      </w:r>
      <w:r>
        <w:rPr>
          <w:rStyle w:val="34"/>
          <w:b w:val="0"/>
          <w:sz w:val="28"/>
          <w:szCs w:val="28"/>
        </w:rPr>
        <w:instrText xml:space="preserve"> PAGEREF _Toc78381385 \h </w:instrText>
      </w:r>
      <w:r>
        <w:fldChar w:fldCharType="separate"/>
      </w:r>
      <w:r>
        <w:rPr>
          <w:rStyle w:val="34"/>
          <w:b w:val="0"/>
          <w:sz w:val="28"/>
          <w:szCs w:val="28"/>
        </w:rPr>
        <w:t>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"_Toc78381386" </w:instrText>
      </w:r>
      <w:r>
        <w:fldChar w:fldCharType="separate"/>
      </w:r>
      <w:r>
        <w:rPr>
          <w:rStyle w:val="34"/>
          <w:bCs/>
          <w:szCs w:val="28"/>
        </w:rPr>
        <w:t xml:space="preserve">1.1.1 </w:t>
      </w:r>
      <w:r>
        <w:rPr>
          <w:rStyle w:val="34"/>
          <w:rFonts w:hint="eastAsia"/>
          <w:bCs/>
          <w:szCs w:val="28"/>
        </w:rPr>
        <w:t>主要任务指标全部完成</w:t>
      </w:r>
      <w:r>
        <w:rPr>
          <w:rStyle w:val="34"/>
          <w:szCs w:val="28"/>
        </w:rPr>
        <w:tab/>
      </w:r>
      <w:r>
        <w:fldChar w:fldCharType="begin"/>
      </w:r>
      <w:r>
        <w:rPr>
          <w:rStyle w:val="34"/>
          <w:szCs w:val="28"/>
        </w:rPr>
        <w:instrText xml:space="preserve"> PAGEREF _Toc78381386 \h </w:instrText>
      </w:r>
      <w:r>
        <w:fldChar w:fldCharType="separate"/>
      </w:r>
      <w:r>
        <w:rPr>
          <w:rStyle w:val="34"/>
          <w:szCs w:val="28"/>
        </w:rPr>
        <w:t>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"_Toc78381387" </w:instrText>
      </w:r>
      <w:r>
        <w:fldChar w:fldCharType="separate"/>
      </w:r>
      <w:r>
        <w:rPr>
          <w:rStyle w:val="34"/>
          <w:bCs/>
          <w:szCs w:val="28"/>
        </w:rPr>
        <w:t xml:space="preserve">1.1.2 </w:t>
      </w:r>
      <w:r>
        <w:rPr>
          <w:rStyle w:val="34"/>
          <w:rFonts w:hint="eastAsia"/>
          <w:bCs/>
          <w:szCs w:val="28"/>
        </w:rPr>
        <w:t>重大战略任务全面推进</w:t>
      </w:r>
      <w:r>
        <w:rPr>
          <w:rStyle w:val="34"/>
          <w:szCs w:val="28"/>
        </w:rPr>
        <w:tab/>
      </w:r>
      <w:r>
        <w:fldChar w:fldCharType="begin"/>
      </w:r>
      <w:r>
        <w:rPr>
          <w:rStyle w:val="34"/>
          <w:szCs w:val="28"/>
        </w:rPr>
        <w:instrText xml:space="preserve"> PAGEREF _Toc78381387 \h </w:instrText>
      </w:r>
      <w:r>
        <w:fldChar w:fldCharType="separate"/>
      </w:r>
      <w:r>
        <w:rPr>
          <w:rStyle w:val="34"/>
          <w:szCs w:val="28"/>
        </w:rPr>
        <w:t>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"_Toc78381388" </w:instrText>
      </w:r>
      <w:r>
        <w:fldChar w:fldCharType="separate"/>
      </w:r>
      <w:r>
        <w:rPr>
          <w:rStyle w:val="34"/>
          <w:bCs/>
          <w:szCs w:val="28"/>
        </w:rPr>
        <w:t xml:space="preserve">1.1.3 </w:t>
      </w:r>
      <w:r>
        <w:rPr>
          <w:rStyle w:val="34"/>
          <w:rFonts w:hint="eastAsia"/>
          <w:bCs/>
          <w:szCs w:val="28"/>
        </w:rPr>
        <w:t>重大改革任务全面落实</w:t>
      </w:r>
      <w:r>
        <w:rPr>
          <w:rStyle w:val="34"/>
          <w:szCs w:val="28"/>
        </w:rPr>
        <w:tab/>
      </w:r>
      <w:r>
        <w:fldChar w:fldCharType="begin"/>
      </w:r>
      <w:r>
        <w:rPr>
          <w:rStyle w:val="34"/>
          <w:szCs w:val="28"/>
        </w:rPr>
        <w:instrText xml:space="preserve"> PAGEREF _Toc78381388 \h </w:instrText>
      </w:r>
      <w:r>
        <w:fldChar w:fldCharType="separate"/>
      </w:r>
      <w:r>
        <w:rPr>
          <w:rStyle w:val="34"/>
          <w:szCs w:val="28"/>
        </w:rPr>
        <w:t>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"_Toc78381389" </w:instrText>
      </w:r>
      <w:r>
        <w:fldChar w:fldCharType="separate"/>
      </w:r>
      <w:r>
        <w:rPr>
          <w:rStyle w:val="34"/>
          <w:bCs/>
          <w:szCs w:val="28"/>
        </w:rPr>
        <w:t xml:space="preserve">1.1.4 </w:t>
      </w:r>
      <w:r>
        <w:rPr>
          <w:rStyle w:val="34"/>
          <w:rFonts w:hint="eastAsia"/>
          <w:bCs/>
          <w:szCs w:val="28"/>
        </w:rPr>
        <w:t>林业管服能力全面提升</w:t>
      </w:r>
      <w:r>
        <w:rPr>
          <w:rStyle w:val="34"/>
          <w:szCs w:val="28"/>
        </w:rPr>
        <w:tab/>
      </w:r>
      <w:r>
        <w:fldChar w:fldCharType="begin"/>
      </w:r>
      <w:r>
        <w:rPr>
          <w:rStyle w:val="34"/>
          <w:szCs w:val="28"/>
        </w:rPr>
        <w:instrText xml:space="preserve"> PAGEREF _Toc78381389 \h </w:instrText>
      </w:r>
      <w:r>
        <w:fldChar w:fldCharType="separate"/>
      </w:r>
      <w:r>
        <w:rPr>
          <w:rStyle w:val="34"/>
          <w:szCs w:val="28"/>
        </w:rPr>
        <w:t>3</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"_Toc78381390" </w:instrText>
      </w:r>
      <w:r>
        <w:fldChar w:fldCharType="separate"/>
      </w:r>
      <w:r>
        <w:rPr>
          <w:rStyle w:val="34"/>
          <w:b w:val="0"/>
          <w:sz w:val="28"/>
          <w:szCs w:val="28"/>
        </w:rPr>
        <w:t xml:space="preserve">1.2 </w:t>
      </w:r>
      <w:r>
        <w:rPr>
          <w:rStyle w:val="34"/>
          <w:rFonts w:hint="eastAsia"/>
          <w:b w:val="0"/>
        </w:rPr>
        <w:t>主要问题</w:t>
      </w:r>
      <w:r>
        <w:rPr>
          <w:rStyle w:val="34"/>
          <w:b w:val="0"/>
          <w:sz w:val="28"/>
          <w:szCs w:val="28"/>
        </w:rPr>
        <w:tab/>
      </w:r>
      <w:r>
        <w:fldChar w:fldCharType="begin"/>
      </w:r>
      <w:r>
        <w:rPr>
          <w:rStyle w:val="34"/>
          <w:b w:val="0"/>
          <w:sz w:val="28"/>
          <w:szCs w:val="28"/>
        </w:rPr>
        <w:instrText xml:space="preserve"> PAGEREF _Toc78381390 \h </w:instrText>
      </w:r>
      <w:r>
        <w:fldChar w:fldCharType="separate"/>
      </w:r>
      <w:r>
        <w:rPr>
          <w:rStyle w:val="34"/>
          <w:b w:val="0"/>
          <w:sz w:val="28"/>
          <w:szCs w:val="28"/>
        </w:rPr>
        <w:t>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"_Toc78381391" </w:instrText>
      </w:r>
      <w:r>
        <w:fldChar w:fldCharType="separate"/>
      </w:r>
      <w:r>
        <w:rPr>
          <w:rStyle w:val="34"/>
          <w:bCs/>
          <w:szCs w:val="28"/>
        </w:rPr>
        <w:t xml:space="preserve">1.2.1 </w:t>
      </w:r>
      <w:r>
        <w:rPr>
          <w:rStyle w:val="34"/>
          <w:rFonts w:hint="eastAsia"/>
          <w:bCs/>
          <w:szCs w:val="28"/>
        </w:rPr>
        <w:t>林草资源保护待加强</w:t>
      </w:r>
      <w:r>
        <w:rPr>
          <w:rStyle w:val="34"/>
          <w:szCs w:val="28"/>
        </w:rPr>
        <w:tab/>
      </w:r>
      <w:r>
        <w:fldChar w:fldCharType="begin"/>
      </w:r>
      <w:r>
        <w:rPr>
          <w:rStyle w:val="34"/>
          <w:szCs w:val="28"/>
        </w:rPr>
        <w:instrText xml:space="preserve"> PAGEREF _Toc78381391 \h </w:instrText>
      </w:r>
      <w:r>
        <w:fldChar w:fldCharType="separate"/>
      </w:r>
      <w:r>
        <w:rPr>
          <w:rStyle w:val="34"/>
          <w:szCs w:val="28"/>
        </w:rPr>
        <w:t>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"_Toc78381392" </w:instrText>
      </w:r>
      <w:r>
        <w:fldChar w:fldCharType="separate"/>
      </w:r>
      <w:r>
        <w:rPr>
          <w:rStyle w:val="34"/>
          <w:bCs/>
          <w:szCs w:val="28"/>
        </w:rPr>
        <w:t xml:space="preserve">1.2.2 </w:t>
      </w:r>
      <w:r>
        <w:rPr>
          <w:rStyle w:val="34"/>
          <w:rFonts w:hint="eastAsia"/>
          <w:bCs/>
          <w:szCs w:val="28"/>
        </w:rPr>
        <w:t>林草资源质量待提高</w:t>
      </w:r>
      <w:r>
        <w:rPr>
          <w:rStyle w:val="34"/>
          <w:szCs w:val="28"/>
        </w:rPr>
        <w:tab/>
      </w:r>
      <w:r>
        <w:fldChar w:fldCharType="begin"/>
      </w:r>
      <w:r>
        <w:rPr>
          <w:rStyle w:val="34"/>
          <w:szCs w:val="28"/>
        </w:rPr>
        <w:instrText xml:space="preserve"> PAGEREF _Toc78381392 \h </w:instrText>
      </w:r>
      <w:r>
        <w:fldChar w:fldCharType="separate"/>
      </w:r>
      <w:r>
        <w:rPr>
          <w:rStyle w:val="34"/>
          <w:szCs w:val="28"/>
        </w:rPr>
        <w:t>4</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"_Toc78381393" </w:instrText>
      </w:r>
      <w:r>
        <w:fldChar w:fldCharType="separate"/>
      </w:r>
      <w:r>
        <w:rPr>
          <w:rStyle w:val="34"/>
          <w:bCs/>
          <w:szCs w:val="28"/>
        </w:rPr>
        <w:t xml:space="preserve">1.2.3 </w:t>
      </w:r>
      <w:r>
        <w:rPr>
          <w:rStyle w:val="34"/>
          <w:rFonts w:hint="eastAsia"/>
          <w:bCs/>
          <w:szCs w:val="28"/>
        </w:rPr>
        <w:t>现代化治理能力待提升</w:t>
      </w:r>
      <w:r>
        <w:rPr>
          <w:rStyle w:val="34"/>
          <w:szCs w:val="28"/>
        </w:rPr>
        <w:tab/>
      </w:r>
      <w:r>
        <w:fldChar w:fldCharType="begin"/>
      </w:r>
      <w:r>
        <w:rPr>
          <w:rStyle w:val="34"/>
          <w:szCs w:val="28"/>
        </w:rPr>
        <w:instrText xml:space="preserve"> PAGEREF _Toc78381393 \h </w:instrText>
      </w:r>
      <w:r>
        <w:fldChar w:fldCharType="separate"/>
      </w:r>
      <w:r>
        <w:rPr>
          <w:rStyle w:val="34"/>
          <w:szCs w:val="28"/>
        </w:rPr>
        <w:t>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"_Toc78381394" </w:instrText>
      </w:r>
      <w:r>
        <w:fldChar w:fldCharType="separate"/>
      </w:r>
      <w:r>
        <w:rPr>
          <w:rStyle w:val="34"/>
          <w:bCs/>
          <w:szCs w:val="28"/>
        </w:rPr>
        <w:t xml:space="preserve">1.2.4 </w:t>
      </w:r>
      <w:r>
        <w:rPr>
          <w:rStyle w:val="34"/>
          <w:rFonts w:hint="eastAsia"/>
          <w:bCs/>
          <w:szCs w:val="28"/>
        </w:rPr>
        <w:t>支撑保障能力待强化</w:t>
      </w:r>
      <w:r>
        <w:rPr>
          <w:rStyle w:val="34"/>
          <w:szCs w:val="28"/>
        </w:rPr>
        <w:tab/>
      </w:r>
      <w:r>
        <w:fldChar w:fldCharType="begin"/>
      </w:r>
      <w:r>
        <w:rPr>
          <w:rStyle w:val="34"/>
          <w:szCs w:val="28"/>
        </w:rPr>
        <w:instrText xml:space="preserve"> PAGEREF _Toc78381394 \h </w:instrText>
      </w:r>
      <w:r>
        <w:fldChar w:fldCharType="separate"/>
      </w:r>
      <w:r>
        <w:rPr>
          <w:rStyle w:val="34"/>
          <w:szCs w:val="28"/>
        </w:rPr>
        <w:t>5</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"_Toc78381395" </w:instrText>
      </w:r>
      <w:r>
        <w:fldChar w:fldCharType="separate"/>
      </w:r>
      <w:r>
        <w:rPr>
          <w:rStyle w:val="34"/>
          <w:b w:val="0"/>
          <w:sz w:val="28"/>
          <w:szCs w:val="28"/>
        </w:rPr>
        <w:t xml:space="preserve">1.3 </w:t>
      </w:r>
      <w:r>
        <w:rPr>
          <w:rStyle w:val="34"/>
          <w:rFonts w:hint="eastAsia"/>
          <w:b w:val="0"/>
          <w:sz w:val="28"/>
          <w:szCs w:val="28"/>
        </w:rPr>
        <w:t>分析</w:t>
      </w:r>
      <w:r>
        <w:rPr>
          <w:rStyle w:val="34"/>
          <w:rFonts w:hint="eastAsia"/>
          <w:b w:val="0"/>
        </w:rPr>
        <w:t>建议</w:t>
      </w:r>
      <w:r>
        <w:rPr>
          <w:rStyle w:val="34"/>
          <w:b w:val="0"/>
          <w:sz w:val="28"/>
          <w:szCs w:val="28"/>
        </w:rPr>
        <w:tab/>
      </w:r>
      <w:r>
        <w:fldChar w:fldCharType="begin"/>
      </w:r>
      <w:r>
        <w:rPr>
          <w:rStyle w:val="34"/>
          <w:b w:val="0"/>
          <w:sz w:val="28"/>
          <w:szCs w:val="28"/>
        </w:rPr>
        <w:instrText xml:space="preserve"> PAGEREF _Toc78381395 \h </w:instrText>
      </w:r>
      <w:r>
        <w:fldChar w:fldCharType="separate"/>
      </w:r>
      <w:r>
        <w:rPr>
          <w:rStyle w:val="34"/>
          <w:b w:val="0"/>
          <w:sz w:val="28"/>
          <w:szCs w:val="28"/>
        </w:rPr>
        <w:t>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"_Toc78381396" </w:instrText>
      </w:r>
      <w:r>
        <w:fldChar w:fldCharType="separate"/>
      </w:r>
      <w:r>
        <w:rPr>
          <w:rStyle w:val="34"/>
          <w:bCs/>
          <w:szCs w:val="28"/>
        </w:rPr>
        <w:t xml:space="preserve">1.3.1 </w:t>
      </w:r>
      <w:r>
        <w:rPr>
          <w:rStyle w:val="34"/>
          <w:rFonts w:hint="eastAsia"/>
          <w:bCs/>
          <w:szCs w:val="28"/>
        </w:rPr>
        <w:t>全方位强化生态保护</w:t>
      </w:r>
      <w:r>
        <w:rPr>
          <w:rStyle w:val="34"/>
          <w:szCs w:val="28"/>
        </w:rPr>
        <w:tab/>
      </w:r>
      <w:r>
        <w:fldChar w:fldCharType="begin"/>
      </w:r>
      <w:r>
        <w:rPr>
          <w:rStyle w:val="34"/>
          <w:szCs w:val="28"/>
        </w:rPr>
        <w:instrText xml:space="preserve"> PAGEREF _Toc78381396 \h </w:instrText>
      </w:r>
      <w:r>
        <w:fldChar w:fldCharType="separate"/>
      </w:r>
      <w:r>
        <w:rPr>
          <w:rStyle w:val="34"/>
          <w:szCs w:val="28"/>
        </w:rPr>
        <w:t>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"_Toc78381397" </w:instrText>
      </w:r>
      <w:r>
        <w:fldChar w:fldCharType="separate"/>
      </w:r>
      <w:r>
        <w:rPr>
          <w:rStyle w:val="34"/>
          <w:bCs/>
          <w:szCs w:val="28"/>
        </w:rPr>
        <w:t xml:space="preserve">1.3.2 </w:t>
      </w:r>
      <w:r>
        <w:rPr>
          <w:rStyle w:val="34"/>
          <w:rFonts w:hint="eastAsia"/>
          <w:bCs/>
          <w:szCs w:val="28"/>
        </w:rPr>
        <w:t>高标准实施生态提质</w:t>
      </w:r>
      <w:r>
        <w:rPr>
          <w:rStyle w:val="34"/>
          <w:szCs w:val="28"/>
        </w:rPr>
        <w:tab/>
      </w:r>
      <w:r>
        <w:fldChar w:fldCharType="begin"/>
      </w:r>
      <w:r>
        <w:rPr>
          <w:rStyle w:val="34"/>
          <w:szCs w:val="28"/>
        </w:rPr>
        <w:instrText xml:space="preserve"> PAGEREF _Toc78381397 \h </w:instrText>
      </w:r>
      <w:r>
        <w:fldChar w:fldCharType="separate"/>
      </w:r>
      <w:r>
        <w:rPr>
          <w:rStyle w:val="34"/>
          <w:szCs w:val="28"/>
        </w:rPr>
        <w:t>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"_Toc78381398" </w:instrText>
      </w:r>
      <w:r>
        <w:fldChar w:fldCharType="separate"/>
      </w:r>
      <w:r>
        <w:rPr>
          <w:rStyle w:val="34"/>
          <w:bCs/>
          <w:szCs w:val="28"/>
        </w:rPr>
        <w:t xml:space="preserve">1.3.3 </w:t>
      </w:r>
      <w:r>
        <w:rPr>
          <w:rStyle w:val="34"/>
          <w:rFonts w:hint="eastAsia"/>
          <w:bCs/>
          <w:szCs w:val="28"/>
        </w:rPr>
        <w:t>立体化推进生态惠民</w:t>
      </w:r>
      <w:r>
        <w:rPr>
          <w:rStyle w:val="34"/>
          <w:szCs w:val="28"/>
        </w:rPr>
        <w:tab/>
      </w:r>
      <w:r>
        <w:fldChar w:fldCharType="begin"/>
      </w:r>
      <w:r>
        <w:rPr>
          <w:rStyle w:val="34"/>
          <w:szCs w:val="28"/>
        </w:rPr>
        <w:instrText xml:space="preserve"> PAGEREF _Toc78381398 \h </w:instrText>
      </w:r>
      <w:r>
        <w:fldChar w:fldCharType="separate"/>
      </w:r>
      <w:r>
        <w:rPr>
          <w:rStyle w:val="34"/>
          <w:szCs w:val="28"/>
        </w:rPr>
        <w:t>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"_Toc78381399" </w:instrText>
      </w:r>
      <w:r>
        <w:fldChar w:fldCharType="separate"/>
      </w:r>
      <w:r>
        <w:rPr>
          <w:rStyle w:val="34"/>
          <w:bCs/>
          <w:szCs w:val="28"/>
        </w:rPr>
        <w:t xml:space="preserve">1.3.4 </w:t>
      </w:r>
      <w:r>
        <w:rPr>
          <w:rStyle w:val="34"/>
          <w:rFonts w:hint="eastAsia"/>
          <w:bCs/>
          <w:szCs w:val="28"/>
        </w:rPr>
        <w:t>多维度深化改革创新</w:t>
      </w:r>
      <w:r>
        <w:rPr>
          <w:rStyle w:val="34"/>
          <w:szCs w:val="28"/>
        </w:rPr>
        <w:tab/>
      </w:r>
      <w:r>
        <w:fldChar w:fldCharType="begin"/>
      </w:r>
      <w:r>
        <w:rPr>
          <w:rStyle w:val="34"/>
          <w:szCs w:val="28"/>
        </w:rPr>
        <w:instrText xml:space="preserve"> PAGEREF _Toc78381399 \h </w:instrText>
      </w:r>
      <w:r>
        <w:fldChar w:fldCharType="separate"/>
      </w:r>
      <w:r>
        <w:rPr>
          <w:rStyle w:val="34"/>
          <w:szCs w:val="28"/>
        </w:rPr>
        <w:t>6</w:t>
      </w:r>
      <w:r>
        <w:fldChar w:fldCharType="end"/>
      </w:r>
      <w:r>
        <w:fldChar w:fldCharType="end"/>
      </w:r>
    </w:p>
    <w:p>
      <w:pPr>
        <w:pStyle w:val="22"/>
        <w:tabs>
          <w:tab w:val="right" w:leader="dot" w:pos="8494"/>
        </w:tabs>
        <w:wordWrap/>
        <w:spacing w:line="560" w:lineRule="exact"/>
        <w:rPr>
          <w:rFonts w:ascii="Times New Roman" w:hAnsi="Times New Roman" w:eastAsia="仿宋_GB2312"/>
          <w:bCs w:val="0"/>
          <w:caps w:val="0"/>
          <w:sz w:val="28"/>
          <w:szCs w:val="28"/>
        </w:rPr>
      </w:pPr>
      <w:r>
        <w:fldChar w:fldCharType="begin"/>
      </w:r>
      <w:r>
        <w:instrText xml:space="preserve"> HYPERLINK "file:///D:\\工作文件夹\\（规财）文件\\2019.10（局十四五规划）\\B---规划处初稿的修改\\2021.7.30\\《湖南省" \l "_Toc78381400" </w:instrText>
      </w:r>
      <w:r>
        <w:fldChar w:fldCharType="separate"/>
      </w:r>
      <w:r>
        <w:rPr>
          <w:rStyle w:val="34"/>
          <w:rFonts w:hint="eastAsia"/>
          <w:sz w:val="28"/>
          <w:szCs w:val="28"/>
        </w:rPr>
        <w:t>第二章</w:t>
      </w:r>
      <w:r>
        <w:rPr>
          <w:rStyle w:val="34"/>
          <w:sz w:val="28"/>
          <w:szCs w:val="28"/>
        </w:rPr>
        <w:t xml:space="preserve">  </w:t>
      </w:r>
      <w:r>
        <w:rPr>
          <w:rStyle w:val="34"/>
          <w:rFonts w:hint="eastAsia"/>
          <w:sz w:val="28"/>
          <w:szCs w:val="28"/>
        </w:rPr>
        <w:t>总体思路</w:t>
      </w:r>
      <w:r>
        <w:rPr>
          <w:rStyle w:val="34"/>
          <w:sz w:val="28"/>
          <w:szCs w:val="28"/>
        </w:rPr>
        <w:tab/>
      </w:r>
      <w:r>
        <w:fldChar w:fldCharType="begin"/>
      </w:r>
      <w:r>
        <w:rPr>
          <w:rStyle w:val="34"/>
          <w:sz w:val="28"/>
          <w:szCs w:val="28"/>
        </w:rPr>
        <w:instrText xml:space="preserve"> PAGEREF _Toc78381400 \h </w:instrText>
      </w:r>
      <w:r>
        <w:fldChar w:fldCharType="separate"/>
      </w:r>
      <w:r>
        <w:rPr>
          <w:rStyle w:val="34"/>
          <w:sz w:val="28"/>
          <w:szCs w:val="28"/>
        </w:rPr>
        <w:t>7</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"_Toc78381401" </w:instrText>
      </w:r>
      <w:r>
        <w:fldChar w:fldCharType="separate"/>
      </w:r>
      <w:r>
        <w:rPr>
          <w:rStyle w:val="34"/>
          <w:b w:val="0"/>
          <w:sz w:val="28"/>
          <w:szCs w:val="28"/>
        </w:rPr>
        <w:t xml:space="preserve">2.1 </w:t>
      </w:r>
      <w:r>
        <w:rPr>
          <w:rStyle w:val="34"/>
          <w:rFonts w:hint="eastAsia"/>
          <w:b w:val="0"/>
        </w:rPr>
        <w:t>指导思想</w:t>
      </w:r>
      <w:r>
        <w:rPr>
          <w:rStyle w:val="34"/>
          <w:b w:val="0"/>
          <w:sz w:val="28"/>
          <w:szCs w:val="28"/>
        </w:rPr>
        <w:tab/>
      </w:r>
      <w:r>
        <w:fldChar w:fldCharType="begin"/>
      </w:r>
      <w:r>
        <w:rPr>
          <w:rStyle w:val="34"/>
          <w:b w:val="0"/>
          <w:sz w:val="28"/>
          <w:szCs w:val="28"/>
        </w:rPr>
        <w:instrText xml:space="preserve"> PAGEREF _Toc78381401 \h </w:instrText>
      </w:r>
      <w:r>
        <w:fldChar w:fldCharType="separate"/>
      </w:r>
      <w:r>
        <w:rPr>
          <w:rStyle w:val="34"/>
          <w:b w:val="0"/>
          <w:sz w:val="28"/>
          <w:szCs w:val="28"/>
        </w:rPr>
        <w:t>7</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"_Toc78381402" </w:instrText>
      </w:r>
      <w:r>
        <w:fldChar w:fldCharType="separate"/>
      </w:r>
      <w:r>
        <w:rPr>
          <w:rStyle w:val="34"/>
          <w:b w:val="0"/>
          <w:sz w:val="28"/>
          <w:szCs w:val="28"/>
        </w:rPr>
        <w:t xml:space="preserve">2.2 </w:t>
      </w:r>
      <w:r>
        <w:rPr>
          <w:rStyle w:val="34"/>
          <w:rFonts w:hint="eastAsia"/>
          <w:b w:val="0"/>
        </w:rPr>
        <w:t>基本原则</w:t>
      </w:r>
      <w:r>
        <w:rPr>
          <w:rStyle w:val="34"/>
          <w:b w:val="0"/>
          <w:sz w:val="28"/>
          <w:szCs w:val="28"/>
        </w:rPr>
        <w:tab/>
      </w:r>
      <w:r>
        <w:fldChar w:fldCharType="begin"/>
      </w:r>
      <w:r>
        <w:rPr>
          <w:rStyle w:val="34"/>
          <w:b w:val="0"/>
          <w:sz w:val="28"/>
          <w:szCs w:val="28"/>
        </w:rPr>
        <w:instrText xml:space="preserve"> PAGEREF _Toc78381402 \h </w:instrText>
      </w:r>
      <w:r>
        <w:fldChar w:fldCharType="separate"/>
      </w:r>
      <w:r>
        <w:rPr>
          <w:rStyle w:val="34"/>
          <w:b w:val="0"/>
          <w:sz w:val="28"/>
          <w:szCs w:val="28"/>
        </w:rPr>
        <w:t>7</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"_Toc78381403" </w:instrText>
      </w:r>
      <w:r>
        <w:fldChar w:fldCharType="separate"/>
      </w:r>
      <w:r>
        <w:rPr>
          <w:rStyle w:val="34"/>
          <w:bCs/>
          <w:szCs w:val="28"/>
        </w:rPr>
        <w:t xml:space="preserve">2.2.1 </w:t>
      </w:r>
      <w:r>
        <w:rPr>
          <w:rStyle w:val="34"/>
          <w:rFonts w:hint="eastAsia"/>
          <w:bCs/>
          <w:szCs w:val="28"/>
        </w:rPr>
        <w:t>坚持生态优先、绿色发展</w:t>
      </w:r>
      <w:r>
        <w:rPr>
          <w:rStyle w:val="34"/>
          <w:szCs w:val="28"/>
        </w:rPr>
        <w:tab/>
      </w:r>
      <w:r>
        <w:fldChar w:fldCharType="begin"/>
      </w:r>
      <w:r>
        <w:rPr>
          <w:rStyle w:val="34"/>
          <w:szCs w:val="28"/>
        </w:rPr>
        <w:instrText xml:space="preserve"> PAGEREF _Toc78381403 \h </w:instrText>
      </w:r>
      <w:r>
        <w:fldChar w:fldCharType="separate"/>
      </w:r>
      <w:r>
        <w:rPr>
          <w:rStyle w:val="34"/>
          <w:szCs w:val="28"/>
        </w:rPr>
        <w:t>7</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"_Toc78381404" </w:instrText>
      </w:r>
      <w:r>
        <w:fldChar w:fldCharType="separate"/>
      </w:r>
      <w:r>
        <w:rPr>
          <w:rStyle w:val="34"/>
          <w:bCs/>
          <w:szCs w:val="28"/>
        </w:rPr>
        <w:t xml:space="preserve">2.2.2 </w:t>
      </w:r>
      <w:r>
        <w:rPr>
          <w:rStyle w:val="34"/>
          <w:rFonts w:hint="eastAsia"/>
          <w:bCs/>
          <w:szCs w:val="28"/>
        </w:rPr>
        <w:t>坚持依法治林、严格保护</w:t>
      </w:r>
      <w:r>
        <w:rPr>
          <w:rStyle w:val="34"/>
          <w:szCs w:val="28"/>
        </w:rPr>
        <w:tab/>
      </w:r>
      <w:r>
        <w:fldChar w:fldCharType="begin"/>
      </w:r>
      <w:r>
        <w:rPr>
          <w:rStyle w:val="34"/>
          <w:szCs w:val="28"/>
        </w:rPr>
        <w:instrText xml:space="preserve"> PAGEREF _Toc78381404 \h </w:instrText>
      </w:r>
      <w:r>
        <w:fldChar w:fldCharType="separate"/>
      </w:r>
      <w:r>
        <w:rPr>
          <w:rStyle w:val="34"/>
          <w:szCs w:val="28"/>
        </w:rPr>
        <w:t>7</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"_Toc78381405" </w:instrText>
      </w:r>
      <w:r>
        <w:fldChar w:fldCharType="separate"/>
      </w:r>
      <w:r>
        <w:rPr>
          <w:rStyle w:val="34"/>
          <w:bCs/>
          <w:szCs w:val="28"/>
        </w:rPr>
        <w:t xml:space="preserve">2.2.3 </w:t>
      </w:r>
      <w:r>
        <w:rPr>
          <w:rStyle w:val="34"/>
          <w:rFonts w:hint="eastAsia"/>
          <w:bCs/>
          <w:szCs w:val="28"/>
        </w:rPr>
        <w:t>坚持以人为本、生态惠民</w:t>
      </w:r>
      <w:r>
        <w:rPr>
          <w:rStyle w:val="34"/>
          <w:szCs w:val="28"/>
        </w:rPr>
        <w:tab/>
      </w:r>
      <w:r>
        <w:fldChar w:fldCharType="begin"/>
      </w:r>
      <w:r>
        <w:rPr>
          <w:rStyle w:val="34"/>
          <w:szCs w:val="28"/>
        </w:rPr>
        <w:instrText xml:space="preserve"> PAGEREF _Toc78381405 \h </w:instrText>
      </w:r>
      <w:r>
        <w:fldChar w:fldCharType="separate"/>
      </w:r>
      <w:r>
        <w:rPr>
          <w:rStyle w:val="34"/>
          <w:szCs w:val="28"/>
        </w:rPr>
        <w:t>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"_Toc78381406" </w:instrText>
      </w:r>
      <w:r>
        <w:fldChar w:fldCharType="separate"/>
      </w:r>
      <w:r>
        <w:rPr>
          <w:rStyle w:val="34"/>
          <w:bCs/>
          <w:szCs w:val="28"/>
        </w:rPr>
        <w:t xml:space="preserve">2.2.4 </w:t>
      </w:r>
      <w:r>
        <w:rPr>
          <w:rStyle w:val="34"/>
          <w:rFonts w:hint="eastAsia"/>
          <w:bCs/>
          <w:szCs w:val="28"/>
        </w:rPr>
        <w:t>坚持协调推进、突出重点</w:t>
      </w:r>
      <w:r>
        <w:rPr>
          <w:rStyle w:val="34"/>
          <w:szCs w:val="28"/>
        </w:rPr>
        <w:tab/>
      </w:r>
      <w:r>
        <w:fldChar w:fldCharType="begin"/>
      </w:r>
      <w:r>
        <w:rPr>
          <w:rStyle w:val="34"/>
          <w:szCs w:val="28"/>
        </w:rPr>
        <w:instrText xml:space="preserve"> PAGEREF _Toc78381406 \h </w:instrText>
      </w:r>
      <w:r>
        <w:fldChar w:fldCharType="separate"/>
      </w:r>
      <w:r>
        <w:rPr>
          <w:rStyle w:val="34"/>
          <w:szCs w:val="28"/>
        </w:rPr>
        <w:t>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"_Toc78381407" </w:instrText>
      </w:r>
      <w:r>
        <w:fldChar w:fldCharType="separate"/>
      </w:r>
      <w:r>
        <w:rPr>
          <w:rStyle w:val="34"/>
          <w:bCs/>
          <w:szCs w:val="28"/>
        </w:rPr>
        <w:t xml:space="preserve">2.2.5 </w:t>
      </w:r>
      <w:r>
        <w:rPr>
          <w:rStyle w:val="34"/>
          <w:rFonts w:hint="eastAsia"/>
          <w:bCs/>
          <w:szCs w:val="28"/>
        </w:rPr>
        <w:t>坚持创新驱动、深化改革</w:t>
      </w:r>
      <w:r>
        <w:rPr>
          <w:rStyle w:val="34"/>
          <w:szCs w:val="28"/>
        </w:rPr>
        <w:tab/>
      </w:r>
      <w:r>
        <w:fldChar w:fldCharType="begin"/>
      </w:r>
      <w:r>
        <w:rPr>
          <w:rStyle w:val="34"/>
          <w:szCs w:val="28"/>
        </w:rPr>
        <w:instrText xml:space="preserve"> PAGEREF _Toc78381407 \h </w:instrText>
      </w:r>
      <w:r>
        <w:fldChar w:fldCharType="separate"/>
      </w:r>
      <w:r>
        <w:rPr>
          <w:rStyle w:val="34"/>
          <w:szCs w:val="28"/>
        </w:rPr>
        <w:t>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"_Toc78381408" </w:instrText>
      </w:r>
      <w:r>
        <w:fldChar w:fldCharType="separate"/>
      </w:r>
      <w:r>
        <w:rPr>
          <w:rStyle w:val="34"/>
          <w:bCs/>
          <w:szCs w:val="28"/>
        </w:rPr>
        <w:t xml:space="preserve">2.2.6 </w:t>
      </w:r>
      <w:r>
        <w:rPr>
          <w:rStyle w:val="34"/>
          <w:rFonts w:hint="eastAsia"/>
          <w:bCs/>
          <w:szCs w:val="28"/>
        </w:rPr>
        <w:t>坚持开放合作、共建共享</w:t>
      </w:r>
      <w:r>
        <w:rPr>
          <w:rStyle w:val="34"/>
          <w:szCs w:val="28"/>
        </w:rPr>
        <w:tab/>
      </w:r>
      <w:r>
        <w:fldChar w:fldCharType="begin"/>
      </w:r>
      <w:r>
        <w:rPr>
          <w:rStyle w:val="34"/>
          <w:szCs w:val="28"/>
        </w:rPr>
        <w:instrText xml:space="preserve"> PAGEREF _Toc78381408 \h </w:instrText>
      </w:r>
      <w:r>
        <w:fldChar w:fldCharType="separate"/>
      </w:r>
      <w:r>
        <w:rPr>
          <w:rStyle w:val="34"/>
          <w:szCs w:val="28"/>
        </w:rPr>
        <w:t>8</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"_Toc78381409" </w:instrText>
      </w:r>
      <w:r>
        <w:fldChar w:fldCharType="separate"/>
      </w:r>
      <w:r>
        <w:rPr>
          <w:rStyle w:val="34"/>
          <w:b w:val="0"/>
          <w:sz w:val="28"/>
          <w:szCs w:val="28"/>
        </w:rPr>
        <w:t xml:space="preserve">2.3 </w:t>
      </w:r>
      <w:r>
        <w:rPr>
          <w:rStyle w:val="34"/>
          <w:rFonts w:hint="eastAsia"/>
          <w:b w:val="0"/>
          <w:sz w:val="28"/>
          <w:szCs w:val="28"/>
        </w:rPr>
        <w:t>发展目标</w:t>
      </w:r>
      <w:r>
        <w:rPr>
          <w:rStyle w:val="34"/>
          <w:b w:val="0"/>
          <w:sz w:val="28"/>
          <w:szCs w:val="28"/>
        </w:rPr>
        <w:tab/>
      </w:r>
      <w:r>
        <w:fldChar w:fldCharType="begin"/>
      </w:r>
      <w:r>
        <w:rPr>
          <w:rStyle w:val="34"/>
          <w:b w:val="0"/>
          <w:sz w:val="28"/>
          <w:szCs w:val="28"/>
        </w:rPr>
        <w:instrText xml:space="preserve"> PAGEREF _Toc78381409 \h </w:instrText>
      </w:r>
      <w:r>
        <w:fldChar w:fldCharType="separate"/>
      </w:r>
      <w:r>
        <w:rPr>
          <w:rStyle w:val="34"/>
          <w:b w:val="0"/>
          <w:sz w:val="28"/>
          <w:szCs w:val="28"/>
        </w:rPr>
        <w:t>9</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"_Toc78381410" </w:instrText>
      </w:r>
      <w:r>
        <w:fldChar w:fldCharType="separate"/>
      </w:r>
      <w:r>
        <w:rPr>
          <w:rStyle w:val="34"/>
          <w:bCs/>
          <w:szCs w:val="28"/>
        </w:rPr>
        <w:t xml:space="preserve">2.3.1 </w:t>
      </w:r>
      <w:r>
        <w:rPr>
          <w:rStyle w:val="34"/>
          <w:rFonts w:hint="eastAsia"/>
          <w:bCs/>
          <w:szCs w:val="28"/>
        </w:rPr>
        <w:t>近期（</w:t>
      </w:r>
      <w:r>
        <w:rPr>
          <w:rStyle w:val="34"/>
          <w:bCs/>
          <w:szCs w:val="28"/>
        </w:rPr>
        <w:t>2021</w:t>
      </w:r>
      <w:r>
        <w:rPr>
          <w:rStyle w:val="34"/>
          <w:rFonts w:hint="eastAsia"/>
          <w:bCs/>
          <w:szCs w:val="28"/>
        </w:rPr>
        <w:t>～</w:t>
      </w:r>
      <w:r>
        <w:rPr>
          <w:rStyle w:val="34"/>
          <w:bCs/>
          <w:szCs w:val="28"/>
        </w:rPr>
        <w:t>2025</w:t>
      </w:r>
      <w:r>
        <w:rPr>
          <w:rStyle w:val="34"/>
          <w:rFonts w:hint="eastAsia"/>
          <w:bCs/>
          <w:szCs w:val="28"/>
        </w:rPr>
        <w:t>年）发展目标</w:t>
      </w:r>
      <w:r>
        <w:rPr>
          <w:rStyle w:val="34"/>
          <w:szCs w:val="28"/>
        </w:rPr>
        <w:tab/>
      </w:r>
      <w:r>
        <w:fldChar w:fldCharType="begin"/>
      </w:r>
      <w:r>
        <w:rPr>
          <w:rStyle w:val="34"/>
          <w:szCs w:val="28"/>
        </w:rPr>
        <w:instrText xml:space="preserve"> PAGEREF _Toc78381410 \h </w:instrText>
      </w:r>
      <w:r>
        <w:fldChar w:fldCharType="separate"/>
      </w:r>
      <w:r>
        <w:rPr>
          <w:rStyle w:val="34"/>
          <w:szCs w:val="28"/>
        </w:rPr>
        <w:t>9</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"_Toc78381411" </w:instrText>
      </w:r>
      <w:r>
        <w:fldChar w:fldCharType="separate"/>
      </w:r>
      <w:r>
        <w:rPr>
          <w:rStyle w:val="34"/>
          <w:bCs/>
          <w:szCs w:val="28"/>
        </w:rPr>
        <w:t xml:space="preserve">2.3.2 </w:t>
      </w:r>
      <w:r>
        <w:rPr>
          <w:rStyle w:val="34"/>
          <w:rFonts w:hint="eastAsia"/>
          <w:bCs/>
          <w:szCs w:val="28"/>
        </w:rPr>
        <w:t>远期（</w:t>
      </w:r>
      <w:r>
        <w:rPr>
          <w:rStyle w:val="34"/>
          <w:bCs/>
          <w:szCs w:val="28"/>
        </w:rPr>
        <w:t>2026</w:t>
      </w:r>
      <w:r>
        <w:rPr>
          <w:rStyle w:val="34"/>
          <w:rFonts w:hint="eastAsia"/>
          <w:bCs/>
          <w:szCs w:val="28"/>
        </w:rPr>
        <w:t>～</w:t>
      </w:r>
      <w:r>
        <w:rPr>
          <w:rStyle w:val="34"/>
          <w:bCs/>
          <w:szCs w:val="28"/>
        </w:rPr>
        <w:t>2035</w:t>
      </w:r>
      <w:r>
        <w:rPr>
          <w:rStyle w:val="34"/>
          <w:rFonts w:hint="eastAsia"/>
          <w:bCs/>
          <w:szCs w:val="28"/>
        </w:rPr>
        <w:t>年）发展目标</w:t>
      </w:r>
      <w:r>
        <w:rPr>
          <w:rStyle w:val="34"/>
          <w:szCs w:val="28"/>
        </w:rPr>
        <w:tab/>
      </w:r>
      <w:r>
        <w:fldChar w:fldCharType="begin"/>
      </w:r>
      <w:r>
        <w:rPr>
          <w:rStyle w:val="34"/>
          <w:szCs w:val="28"/>
        </w:rPr>
        <w:instrText xml:space="preserve"> PAGEREF _Toc78381411 \h </w:instrText>
      </w:r>
      <w:r>
        <w:fldChar w:fldCharType="separate"/>
      </w:r>
      <w:r>
        <w:rPr>
          <w:rStyle w:val="34"/>
          <w:szCs w:val="28"/>
        </w:rPr>
        <w:t>9</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"_Toc78381412" </w:instrText>
      </w:r>
      <w:r>
        <w:fldChar w:fldCharType="separate"/>
      </w:r>
      <w:r>
        <w:rPr>
          <w:rStyle w:val="34"/>
          <w:b w:val="0"/>
          <w:sz w:val="28"/>
          <w:szCs w:val="28"/>
        </w:rPr>
        <w:t xml:space="preserve">2.4 </w:t>
      </w:r>
      <w:r>
        <w:rPr>
          <w:rStyle w:val="34"/>
          <w:rFonts w:hint="eastAsia"/>
          <w:b w:val="0"/>
          <w:sz w:val="28"/>
          <w:szCs w:val="28"/>
        </w:rPr>
        <w:t>空间布局</w:t>
      </w:r>
      <w:r>
        <w:rPr>
          <w:rStyle w:val="34"/>
          <w:b w:val="0"/>
          <w:sz w:val="28"/>
          <w:szCs w:val="28"/>
        </w:rPr>
        <w:tab/>
      </w:r>
      <w:r>
        <w:fldChar w:fldCharType="begin"/>
      </w:r>
      <w:r>
        <w:rPr>
          <w:rStyle w:val="34"/>
          <w:b w:val="0"/>
          <w:sz w:val="28"/>
          <w:szCs w:val="28"/>
        </w:rPr>
        <w:instrText xml:space="preserve"> PAGEREF _Toc78381412 \h </w:instrText>
      </w:r>
      <w:r>
        <w:fldChar w:fldCharType="separate"/>
      </w:r>
      <w:r>
        <w:rPr>
          <w:rStyle w:val="34"/>
          <w:b w:val="0"/>
          <w:sz w:val="28"/>
          <w:szCs w:val="28"/>
        </w:rPr>
        <w:t>11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"_Toc78381413" </w:instrText>
      </w:r>
      <w:r>
        <w:fldChar w:fldCharType="separate"/>
      </w:r>
      <w:r>
        <w:rPr>
          <w:rStyle w:val="34"/>
          <w:bCs/>
          <w:szCs w:val="28"/>
        </w:rPr>
        <w:t xml:space="preserve">2.4.1 </w:t>
      </w:r>
      <w:r>
        <w:rPr>
          <w:rStyle w:val="34"/>
          <w:rFonts w:hint="eastAsia"/>
          <w:bCs/>
          <w:szCs w:val="28"/>
        </w:rPr>
        <w:t>林业生态安全格局</w:t>
      </w:r>
      <w:r>
        <w:rPr>
          <w:rStyle w:val="34"/>
          <w:szCs w:val="28"/>
        </w:rPr>
        <w:tab/>
      </w:r>
      <w:r>
        <w:fldChar w:fldCharType="begin"/>
      </w:r>
      <w:r>
        <w:rPr>
          <w:rStyle w:val="34"/>
          <w:szCs w:val="28"/>
        </w:rPr>
        <w:instrText xml:space="preserve"> PAGEREF _Toc78381413 \h </w:instrText>
      </w:r>
      <w:r>
        <w:fldChar w:fldCharType="separate"/>
      </w:r>
      <w:r>
        <w:rPr>
          <w:rStyle w:val="34"/>
          <w:szCs w:val="28"/>
        </w:rPr>
        <w:t>12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"_Toc78381414" </w:instrText>
      </w:r>
      <w:r>
        <w:fldChar w:fldCharType="separate"/>
      </w:r>
      <w:r>
        <w:rPr>
          <w:rStyle w:val="34"/>
          <w:bCs/>
          <w:szCs w:val="28"/>
        </w:rPr>
        <w:t xml:space="preserve">2.4.2 </w:t>
      </w:r>
      <w:r>
        <w:rPr>
          <w:rStyle w:val="34"/>
          <w:rFonts w:hint="eastAsia"/>
          <w:bCs/>
          <w:szCs w:val="28"/>
        </w:rPr>
        <w:t>林草功能分区管控</w:t>
      </w:r>
      <w:r>
        <w:rPr>
          <w:rStyle w:val="34"/>
          <w:szCs w:val="28"/>
        </w:rPr>
        <w:tab/>
      </w:r>
      <w:r>
        <w:fldChar w:fldCharType="begin"/>
      </w:r>
      <w:r>
        <w:rPr>
          <w:rStyle w:val="34"/>
          <w:szCs w:val="28"/>
        </w:rPr>
        <w:instrText xml:space="preserve"> PAGEREF _Toc78381414 \h </w:instrText>
      </w:r>
      <w:r>
        <w:fldChar w:fldCharType="separate"/>
      </w:r>
      <w:r>
        <w:rPr>
          <w:rStyle w:val="34"/>
          <w:szCs w:val="28"/>
        </w:rPr>
        <w:t>16</w:t>
      </w:r>
      <w:r>
        <w:fldChar w:fldCharType="end"/>
      </w:r>
      <w:r>
        <w:fldChar w:fldCharType="end"/>
      </w:r>
    </w:p>
    <w:p>
      <w:pPr>
        <w:pStyle w:val="22"/>
        <w:tabs>
          <w:tab w:val="right" w:leader="dot" w:pos="8494"/>
        </w:tabs>
        <w:wordWrap/>
        <w:spacing w:line="560" w:lineRule="exact"/>
        <w:rPr>
          <w:rFonts w:ascii="Times New Roman" w:hAnsi="Times New Roman" w:eastAsia="仿宋_GB2312"/>
          <w:bCs w:val="0"/>
          <w:caps w:val="0"/>
          <w:sz w:val="28"/>
          <w:szCs w:val="28"/>
        </w:rPr>
      </w:pPr>
      <w:r>
        <w:fldChar w:fldCharType="begin"/>
      </w:r>
      <w:r>
        <w:instrText xml:space="preserve"> HYPERLINK "file:///D:\\工作文件夹\\（规财）文件\\2019.10（局十四五规划）\\B---规划处初稿的修改\\2021.7.30\\《湖南省" \l "_Toc78381415" </w:instrText>
      </w:r>
      <w:r>
        <w:fldChar w:fldCharType="separate"/>
      </w:r>
      <w:r>
        <w:rPr>
          <w:rStyle w:val="34"/>
          <w:rFonts w:hint="eastAsia"/>
          <w:sz w:val="28"/>
          <w:szCs w:val="28"/>
        </w:rPr>
        <w:t>第三章</w:t>
      </w:r>
      <w:r>
        <w:rPr>
          <w:rStyle w:val="34"/>
          <w:sz w:val="28"/>
          <w:szCs w:val="28"/>
        </w:rPr>
        <w:t xml:space="preserve">  </w:t>
      </w:r>
      <w:r>
        <w:rPr>
          <w:rStyle w:val="34"/>
          <w:rFonts w:hint="eastAsia"/>
          <w:sz w:val="28"/>
          <w:szCs w:val="28"/>
        </w:rPr>
        <w:t>重点任务</w:t>
      </w:r>
      <w:r>
        <w:rPr>
          <w:rStyle w:val="34"/>
          <w:sz w:val="28"/>
          <w:szCs w:val="28"/>
        </w:rPr>
        <w:tab/>
      </w:r>
      <w:r>
        <w:fldChar w:fldCharType="begin"/>
      </w:r>
      <w:r>
        <w:rPr>
          <w:rStyle w:val="34"/>
          <w:sz w:val="28"/>
          <w:szCs w:val="28"/>
        </w:rPr>
        <w:instrText xml:space="preserve"> PAGEREF _Toc78381415 \h </w:instrText>
      </w:r>
      <w:r>
        <w:fldChar w:fldCharType="separate"/>
      </w:r>
      <w:r>
        <w:rPr>
          <w:rStyle w:val="34"/>
          <w:sz w:val="28"/>
          <w:szCs w:val="28"/>
        </w:rPr>
        <w:t>18</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"_Toc78381416" </w:instrText>
      </w:r>
      <w:r>
        <w:fldChar w:fldCharType="separate"/>
      </w:r>
      <w:r>
        <w:rPr>
          <w:rStyle w:val="34"/>
          <w:b w:val="0"/>
          <w:sz w:val="28"/>
          <w:szCs w:val="28"/>
        </w:rPr>
        <w:t xml:space="preserve">3.1 </w:t>
      </w:r>
      <w:r>
        <w:rPr>
          <w:rStyle w:val="34"/>
          <w:rFonts w:hint="eastAsia"/>
          <w:b w:val="0"/>
          <w:sz w:val="28"/>
          <w:szCs w:val="28"/>
        </w:rPr>
        <w:t>严抓生态保护修复</w:t>
      </w:r>
      <w:r>
        <w:rPr>
          <w:rStyle w:val="34"/>
          <w:b w:val="0"/>
          <w:sz w:val="28"/>
          <w:szCs w:val="28"/>
        </w:rPr>
        <w:tab/>
      </w:r>
      <w:r>
        <w:fldChar w:fldCharType="begin"/>
      </w:r>
      <w:r>
        <w:rPr>
          <w:rStyle w:val="34"/>
          <w:b w:val="0"/>
          <w:sz w:val="28"/>
          <w:szCs w:val="28"/>
        </w:rPr>
        <w:instrText xml:space="preserve"> PAGEREF _Toc78381416 \h </w:instrText>
      </w:r>
      <w:r>
        <w:fldChar w:fldCharType="separate"/>
      </w:r>
      <w:r>
        <w:rPr>
          <w:rStyle w:val="34"/>
          <w:b w:val="0"/>
          <w:sz w:val="28"/>
          <w:szCs w:val="28"/>
        </w:rPr>
        <w:t>18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"_Toc78381417" </w:instrText>
      </w:r>
      <w:r>
        <w:fldChar w:fldCharType="separate"/>
      </w:r>
      <w:r>
        <w:rPr>
          <w:rStyle w:val="34"/>
          <w:szCs w:val="28"/>
        </w:rPr>
        <w:t xml:space="preserve">3.1.1 </w:t>
      </w:r>
      <w:r>
        <w:rPr>
          <w:rStyle w:val="34"/>
          <w:rFonts w:hint="eastAsia"/>
          <w:szCs w:val="28"/>
        </w:rPr>
        <w:t>自然保护地体系建设</w:t>
      </w:r>
      <w:r>
        <w:rPr>
          <w:rStyle w:val="34"/>
          <w:szCs w:val="28"/>
        </w:rPr>
        <w:tab/>
      </w:r>
      <w:r>
        <w:fldChar w:fldCharType="begin"/>
      </w:r>
      <w:r>
        <w:rPr>
          <w:rStyle w:val="34"/>
          <w:szCs w:val="28"/>
        </w:rPr>
        <w:instrText xml:space="preserve"> PAGEREF _Toc78381417 \h </w:instrText>
      </w:r>
      <w:r>
        <w:fldChar w:fldCharType="separate"/>
      </w:r>
      <w:r>
        <w:rPr>
          <w:rStyle w:val="34"/>
          <w:szCs w:val="28"/>
        </w:rPr>
        <w:t>18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"_Toc78381418" </w:instrText>
      </w:r>
      <w:r>
        <w:fldChar w:fldCharType="separate"/>
      </w:r>
      <w:r>
        <w:rPr>
          <w:rStyle w:val="34"/>
          <w:szCs w:val="28"/>
        </w:rPr>
        <w:t xml:space="preserve">3.1.2 </w:t>
      </w:r>
      <w:r>
        <w:rPr>
          <w:rStyle w:val="34"/>
          <w:rFonts w:hint="eastAsia"/>
          <w:szCs w:val="28"/>
        </w:rPr>
        <w:t>生物多样性保护</w:t>
      </w:r>
      <w:r>
        <w:rPr>
          <w:rStyle w:val="34"/>
          <w:szCs w:val="28"/>
        </w:rPr>
        <w:tab/>
      </w:r>
      <w:r>
        <w:fldChar w:fldCharType="begin"/>
      </w:r>
      <w:r>
        <w:rPr>
          <w:rStyle w:val="34"/>
          <w:szCs w:val="28"/>
        </w:rPr>
        <w:instrText xml:space="preserve"> PAGEREF _Toc78381418 \h </w:instrText>
      </w:r>
      <w:r>
        <w:fldChar w:fldCharType="separate"/>
      </w:r>
      <w:r>
        <w:rPr>
          <w:rStyle w:val="34"/>
          <w:szCs w:val="28"/>
        </w:rPr>
        <w:t>21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"_Toc78381419" </w:instrText>
      </w:r>
      <w:r>
        <w:fldChar w:fldCharType="separate"/>
      </w:r>
      <w:r>
        <w:rPr>
          <w:rStyle w:val="34"/>
          <w:szCs w:val="28"/>
        </w:rPr>
        <w:t xml:space="preserve">3.1.3 </w:t>
      </w:r>
      <w:r>
        <w:rPr>
          <w:rStyle w:val="34"/>
          <w:rFonts w:hint="eastAsia"/>
          <w:szCs w:val="28"/>
        </w:rPr>
        <w:t>森林草原湿地保护修复</w:t>
      </w:r>
      <w:r>
        <w:rPr>
          <w:rStyle w:val="34"/>
          <w:szCs w:val="28"/>
        </w:rPr>
        <w:tab/>
      </w:r>
      <w:r>
        <w:fldChar w:fldCharType="begin"/>
      </w:r>
      <w:r>
        <w:rPr>
          <w:rStyle w:val="34"/>
          <w:szCs w:val="28"/>
        </w:rPr>
        <w:instrText xml:space="preserve"> PAGEREF _Toc78381419 \h </w:instrText>
      </w:r>
      <w:r>
        <w:fldChar w:fldCharType="separate"/>
      </w:r>
      <w:r>
        <w:rPr>
          <w:rStyle w:val="34"/>
          <w:szCs w:val="28"/>
        </w:rPr>
        <w:t>22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"_Toc78381420" </w:instrText>
      </w:r>
      <w:r>
        <w:fldChar w:fldCharType="separate"/>
      </w:r>
      <w:r>
        <w:rPr>
          <w:rStyle w:val="34"/>
          <w:szCs w:val="28"/>
        </w:rPr>
        <w:t xml:space="preserve">3.1.4 </w:t>
      </w:r>
      <w:r>
        <w:rPr>
          <w:rStyle w:val="34"/>
          <w:rFonts w:hint="eastAsia"/>
          <w:szCs w:val="28"/>
        </w:rPr>
        <w:t>林业草原防灾</w:t>
      </w:r>
      <w:r>
        <w:rPr>
          <w:rStyle w:val="34"/>
          <w:rFonts w:hint="eastAsia"/>
          <w:bCs/>
          <w:szCs w:val="28"/>
        </w:rPr>
        <w:t>减灾</w:t>
      </w:r>
      <w:r>
        <w:rPr>
          <w:rStyle w:val="34"/>
          <w:szCs w:val="28"/>
        </w:rPr>
        <w:tab/>
      </w:r>
      <w:r>
        <w:fldChar w:fldCharType="begin"/>
      </w:r>
      <w:r>
        <w:rPr>
          <w:rStyle w:val="34"/>
          <w:szCs w:val="28"/>
        </w:rPr>
        <w:instrText xml:space="preserve"> PAGEREF _Toc78381420 \h </w:instrText>
      </w:r>
      <w:r>
        <w:fldChar w:fldCharType="separate"/>
      </w:r>
      <w:r>
        <w:rPr>
          <w:rStyle w:val="34"/>
          <w:szCs w:val="28"/>
        </w:rPr>
        <w:t>25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"_Toc78381421" </w:instrText>
      </w:r>
      <w:r>
        <w:fldChar w:fldCharType="separate"/>
      </w:r>
      <w:r>
        <w:rPr>
          <w:rStyle w:val="34"/>
          <w:szCs w:val="28"/>
        </w:rPr>
        <w:t xml:space="preserve">3.1.5 </w:t>
      </w:r>
      <w:r>
        <w:rPr>
          <w:rStyle w:val="34"/>
          <w:rFonts w:hint="eastAsia"/>
          <w:szCs w:val="28"/>
        </w:rPr>
        <w:t>科学绿化</w:t>
      </w:r>
      <w:r>
        <w:rPr>
          <w:rStyle w:val="34"/>
          <w:szCs w:val="28"/>
        </w:rPr>
        <w:tab/>
      </w:r>
      <w:r>
        <w:fldChar w:fldCharType="begin"/>
      </w:r>
      <w:r>
        <w:rPr>
          <w:rStyle w:val="34"/>
          <w:szCs w:val="28"/>
        </w:rPr>
        <w:instrText xml:space="preserve"> PAGEREF _Toc78381421 \h </w:instrText>
      </w:r>
      <w:r>
        <w:fldChar w:fldCharType="separate"/>
      </w:r>
      <w:r>
        <w:rPr>
          <w:rStyle w:val="34"/>
          <w:szCs w:val="28"/>
        </w:rPr>
        <w:t>26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"_Toc78381422" </w:instrText>
      </w:r>
      <w:r>
        <w:fldChar w:fldCharType="separate"/>
      </w:r>
      <w:r>
        <w:rPr>
          <w:rStyle w:val="34"/>
          <w:szCs w:val="28"/>
        </w:rPr>
        <w:t xml:space="preserve">3.1.6 </w:t>
      </w:r>
      <w:r>
        <w:rPr>
          <w:rStyle w:val="34"/>
          <w:rFonts w:hint="eastAsia"/>
          <w:szCs w:val="28"/>
        </w:rPr>
        <w:t>碳中和能力</w:t>
      </w:r>
      <w:r>
        <w:rPr>
          <w:rStyle w:val="34"/>
          <w:rFonts w:hint="eastAsia"/>
          <w:bCs/>
          <w:szCs w:val="28"/>
        </w:rPr>
        <w:t>提升</w:t>
      </w:r>
      <w:r>
        <w:rPr>
          <w:rStyle w:val="34"/>
          <w:szCs w:val="28"/>
        </w:rPr>
        <w:tab/>
      </w:r>
      <w:r>
        <w:fldChar w:fldCharType="begin"/>
      </w:r>
      <w:r>
        <w:rPr>
          <w:rStyle w:val="34"/>
          <w:szCs w:val="28"/>
        </w:rPr>
        <w:instrText xml:space="preserve"> PAGEREF _Toc78381422 \h </w:instrText>
      </w:r>
      <w:r>
        <w:fldChar w:fldCharType="separate"/>
      </w:r>
      <w:r>
        <w:rPr>
          <w:rStyle w:val="34"/>
          <w:szCs w:val="28"/>
        </w:rPr>
        <w:t>27</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"_Toc78381423" </w:instrText>
      </w:r>
      <w:r>
        <w:fldChar w:fldCharType="separate"/>
      </w:r>
      <w:r>
        <w:rPr>
          <w:rStyle w:val="34"/>
          <w:b w:val="0"/>
          <w:sz w:val="28"/>
          <w:szCs w:val="28"/>
        </w:rPr>
        <w:t xml:space="preserve">3.2 </w:t>
      </w:r>
      <w:r>
        <w:rPr>
          <w:rStyle w:val="34"/>
          <w:rFonts w:hint="eastAsia"/>
          <w:b w:val="0"/>
          <w:sz w:val="28"/>
          <w:szCs w:val="28"/>
        </w:rPr>
        <w:t>实抓生态</w:t>
      </w:r>
      <w:r>
        <w:rPr>
          <w:rStyle w:val="34"/>
          <w:rFonts w:hint="eastAsia"/>
          <w:b w:val="0"/>
        </w:rPr>
        <w:t>惠民</w:t>
      </w:r>
      <w:r>
        <w:rPr>
          <w:rStyle w:val="34"/>
          <w:rFonts w:hint="eastAsia"/>
          <w:b w:val="0"/>
          <w:sz w:val="28"/>
          <w:szCs w:val="28"/>
        </w:rPr>
        <w:t>服务</w:t>
      </w:r>
      <w:r>
        <w:rPr>
          <w:rStyle w:val="34"/>
          <w:b w:val="0"/>
          <w:sz w:val="28"/>
          <w:szCs w:val="28"/>
        </w:rPr>
        <w:tab/>
      </w:r>
      <w:r>
        <w:fldChar w:fldCharType="begin"/>
      </w:r>
      <w:r>
        <w:rPr>
          <w:rStyle w:val="34"/>
          <w:b w:val="0"/>
          <w:sz w:val="28"/>
          <w:szCs w:val="28"/>
        </w:rPr>
        <w:instrText xml:space="preserve"> PAGEREF _Toc78381423 \h </w:instrText>
      </w:r>
      <w:r>
        <w:fldChar w:fldCharType="separate"/>
      </w:r>
      <w:r>
        <w:rPr>
          <w:rStyle w:val="34"/>
          <w:b w:val="0"/>
          <w:sz w:val="28"/>
          <w:szCs w:val="28"/>
        </w:rPr>
        <w:t>28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"_Toc78381424" </w:instrText>
      </w:r>
      <w:r>
        <w:fldChar w:fldCharType="separate"/>
      </w:r>
      <w:r>
        <w:rPr>
          <w:rStyle w:val="34"/>
          <w:szCs w:val="28"/>
        </w:rPr>
        <w:t xml:space="preserve">3.2.1 </w:t>
      </w:r>
      <w:r>
        <w:rPr>
          <w:rStyle w:val="34"/>
          <w:rFonts w:hint="eastAsia"/>
          <w:szCs w:val="28"/>
        </w:rPr>
        <w:t>生态保护惠民</w:t>
      </w:r>
      <w:r>
        <w:rPr>
          <w:rStyle w:val="34"/>
          <w:szCs w:val="28"/>
        </w:rPr>
        <w:tab/>
      </w:r>
      <w:r>
        <w:fldChar w:fldCharType="begin"/>
      </w:r>
      <w:r>
        <w:rPr>
          <w:rStyle w:val="34"/>
          <w:szCs w:val="28"/>
        </w:rPr>
        <w:instrText xml:space="preserve"> PAGEREF _Toc78381424 \h </w:instrText>
      </w:r>
      <w:r>
        <w:fldChar w:fldCharType="separate"/>
      </w:r>
      <w:r>
        <w:rPr>
          <w:rStyle w:val="34"/>
          <w:szCs w:val="28"/>
        </w:rPr>
        <w:t>28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"_Toc78381425" </w:instrText>
      </w:r>
      <w:r>
        <w:fldChar w:fldCharType="separate"/>
      </w:r>
      <w:r>
        <w:rPr>
          <w:rStyle w:val="34"/>
          <w:szCs w:val="28"/>
        </w:rPr>
        <w:t xml:space="preserve">3.2.2 </w:t>
      </w:r>
      <w:r>
        <w:rPr>
          <w:rStyle w:val="34"/>
          <w:rFonts w:hint="eastAsia"/>
          <w:szCs w:val="28"/>
        </w:rPr>
        <w:t>绿色产业</w:t>
      </w:r>
      <w:r>
        <w:rPr>
          <w:rStyle w:val="34"/>
          <w:rFonts w:hint="eastAsia"/>
          <w:bCs/>
          <w:szCs w:val="28"/>
        </w:rPr>
        <w:t>惠民</w:t>
      </w:r>
      <w:r>
        <w:rPr>
          <w:rStyle w:val="34"/>
          <w:szCs w:val="28"/>
        </w:rPr>
        <w:tab/>
      </w:r>
      <w:r>
        <w:fldChar w:fldCharType="begin"/>
      </w:r>
      <w:r>
        <w:rPr>
          <w:rStyle w:val="34"/>
          <w:szCs w:val="28"/>
        </w:rPr>
        <w:instrText xml:space="preserve"> PAGEREF _Toc78381425 \h </w:instrText>
      </w:r>
      <w:r>
        <w:fldChar w:fldCharType="separate"/>
      </w:r>
      <w:r>
        <w:rPr>
          <w:rStyle w:val="34"/>
          <w:szCs w:val="28"/>
        </w:rPr>
        <w:t>28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"_Toc78381426" </w:instrText>
      </w:r>
      <w:r>
        <w:fldChar w:fldCharType="separate"/>
      </w:r>
      <w:r>
        <w:rPr>
          <w:rStyle w:val="34"/>
          <w:szCs w:val="28"/>
        </w:rPr>
        <w:t xml:space="preserve">3.2.3 </w:t>
      </w:r>
      <w:r>
        <w:rPr>
          <w:rStyle w:val="34"/>
          <w:rFonts w:hint="eastAsia"/>
          <w:szCs w:val="28"/>
        </w:rPr>
        <w:t>科技服务惠民</w:t>
      </w:r>
      <w:r>
        <w:rPr>
          <w:rStyle w:val="34"/>
          <w:szCs w:val="28"/>
        </w:rPr>
        <w:tab/>
      </w:r>
      <w:r>
        <w:fldChar w:fldCharType="begin"/>
      </w:r>
      <w:r>
        <w:rPr>
          <w:rStyle w:val="34"/>
          <w:szCs w:val="28"/>
        </w:rPr>
        <w:instrText xml:space="preserve"> PAGEREF _Toc78381426 \h </w:instrText>
      </w:r>
      <w:r>
        <w:fldChar w:fldCharType="separate"/>
      </w:r>
      <w:r>
        <w:rPr>
          <w:rStyle w:val="34"/>
          <w:szCs w:val="28"/>
        </w:rPr>
        <w:t>31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"_Toc78381427" </w:instrText>
      </w:r>
      <w:r>
        <w:fldChar w:fldCharType="separate"/>
      </w:r>
      <w:r>
        <w:rPr>
          <w:rStyle w:val="34"/>
          <w:szCs w:val="28"/>
        </w:rPr>
        <w:t xml:space="preserve">3.2.4 </w:t>
      </w:r>
      <w:r>
        <w:rPr>
          <w:rStyle w:val="34"/>
          <w:rFonts w:hint="eastAsia"/>
          <w:szCs w:val="28"/>
        </w:rPr>
        <w:t>绿化美化惠民</w:t>
      </w:r>
      <w:r>
        <w:rPr>
          <w:rStyle w:val="34"/>
          <w:szCs w:val="28"/>
        </w:rPr>
        <w:tab/>
      </w:r>
      <w:r>
        <w:fldChar w:fldCharType="begin"/>
      </w:r>
      <w:r>
        <w:rPr>
          <w:rStyle w:val="34"/>
          <w:szCs w:val="28"/>
        </w:rPr>
        <w:instrText xml:space="preserve"> PAGEREF _Toc78381427 \h </w:instrText>
      </w:r>
      <w:r>
        <w:fldChar w:fldCharType="separate"/>
      </w:r>
      <w:r>
        <w:rPr>
          <w:rStyle w:val="34"/>
          <w:szCs w:val="28"/>
        </w:rPr>
        <w:t>32</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"_Toc78381428" </w:instrText>
      </w:r>
      <w:r>
        <w:fldChar w:fldCharType="separate"/>
      </w:r>
      <w:r>
        <w:rPr>
          <w:rStyle w:val="34"/>
          <w:b w:val="0"/>
          <w:sz w:val="28"/>
          <w:szCs w:val="28"/>
        </w:rPr>
        <w:t xml:space="preserve">3.3 </w:t>
      </w:r>
      <w:r>
        <w:rPr>
          <w:rStyle w:val="34"/>
          <w:rFonts w:hint="eastAsia"/>
          <w:b w:val="0"/>
          <w:sz w:val="28"/>
          <w:szCs w:val="28"/>
        </w:rPr>
        <w:t>深抓治理</w:t>
      </w:r>
      <w:r>
        <w:rPr>
          <w:rStyle w:val="34"/>
          <w:rFonts w:hint="eastAsia"/>
          <w:b w:val="0"/>
        </w:rPr>
        <w:t>体系</w:t>
      </w:r>
      <w:r>
        <w:rPr>
          <w:rStyle w:val="34"/>
          <w:rFonts w:hint="eastAsia"/>
          <w:b w:val="0"/>
          <w:sz w:val="28"/>
          <w:szCs w:val="28"/>
        </w:rPr>
        <w:t>现代化</w:t>
      </w:r>
      <w:r>
        <w:rPr>
          <w:rStyle w:val="34"/>
          <w:b w:val="0"/>
          <w:sz w:val="28"/>
          <w:szCs w:val="28"/>
        </w:rPr>
        <w:tab/>
      </w:r>
      <w:r>
        <w:fldChar w:fldCharType="begin"/>
      </w:r>
      <w:r>
        <w:rPr>
          <w:rStyle w:val="34"/>
          <w:b w:val="0"/>
          <w:sz w:val="28"/>
          <w:szCs w:val="28"/>
        </w:rPr>
        <w:instrText xml:space="preserve"> PAGEREF _Toc78381428 \h </w:instrText>
      </w:r>
      <w:r>
        <w:fldChar w:fldCharType="separate"/>
      </w:r>
      <w:r>
        <w:rPr>
          <w:rStyle w:val="34"/>
          <w:b w:val="0"/>
          <w:sz w:val="28"/>
          <w:szCs w:val="28"/>
        </w:rPr>
        <w:t>33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"_Toc78381429" </w:instrText>
      </w:r>
      <w:r>
        <w:fldChar w:fldCharType="separate"/>
      </w:r>
      <w:r>
        <w:rPr>
          <w:rStyle w:val="34"/>
          <w:szCs w:val="28"/>
        </w:rPr>
        <w:t xml:space="preserve">3.3.1 </w:t>
      </w:r>
      <w:r>
        <w:rPr>
          <w:rStyle w:val="34"/>
          <w:rFonts w:hint="eastAsia"/>
          <w:szCs w:val="28"/>
        </w:rPr>
        <w:t>完善制度</w:t>
      </w:r>
      <w:r>
        <w:rPr>
          <w:rStyle w:val="34"/>
          <w:rFonts w:hint="eastAsia"/>
          <w:bCs/>
          <w:szCs w:val="28"/>
        </w:rPr>
        <w:t>体系</w:t>
      </w:r>
      <w:r>
        <w:rPr>
          <w:rStyle w:val="34"/>
          <w:szCs w:val="28"/>
        </w:rPr>
        <w:tab/>
      </w:r>
      <w:r>
        <w:fldChar w:fldCharType="begin"/>
      </w:r>
      <w:r>
        <w:rPr>
          <w:rStyle w:val="34"/>
          <w:szCs w:val="28"/>
        </w:rPr>
        <w:instrText xml:space="preserve"> PAGEREF _Toc78381429 \h </w:instrText>
      </w:r>
      <w:r>
        <w:fldChar w:fldCharType="separate"/>
      </w:r>
      <w:r>
        <w:rPr>
          <w:rStyle w:val="34"/>
          <w:szCs w:val="28"/>
        </w:rPr>
        <w:t>33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"_Toc78381430" </w:instrText>
      </w:r>
      <w:r>
        <w:fldChar w:fldCharType="separate"/>
      </w:r>
      <w:r>
        <w:rPr>
          <w:rStyle w:val="34"/>
          <w:szCs w:val="28"/>
        </w:rPr>
        <w:t xml:space="preserve">3.3.2 </w:t>
      </w:r>
      <w:r>
        <w:rPr>
          <w:rStyle w:val="34"/>
          <w:rFonts w:hint="eastAsia"/>
          <w:szCs w:val="28"/>
        </w:rPr>
        <w:t>深化林业改革</w:t>
      </w:r>
      <w:r>
        <w:rPr>
          <w:rStyle w:val="34"/>
          <w:szCs w:val="28"/>
        </w:rPr>
        <w:tab/>
      </w:r>
      <w:r>
        <w:fldChar w:fldCharType="begin"/>
      </w:r>
      <w:r>
        <w:rPr>
          <w:rStyle w:val="34"/>
          <w:szCs w:val="28"/>
        </w:rPr>
        <w:instrText xml:space="preserve"> PAGEREF _Toc78381430 \h </w:instrText>
      </w:r>
      <w:r>
        <w:fldChar w:fldCharType="separate"/>
      </w:r>
      <w:r>
        <w:rPr>
          <w:rStyle w:val="34"/>
          <w:szCs w:val="28"/>
        </w:rPr>
        <w:t>35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"_Toc78381431" </w:instrText>
      </w:r>
      <w:r>
        <w:fldChar w:fldCharType="separate"/>
      </w:r>
      <w:r>
        <w:rPr>
          <w:rStyle w:val="34"/>
          <w:bCs/>
          <w:szCs w:val="28"/>
        </w:rPr>
        <w:t xml:space="preserve">3.3.3 </w:t>
      </w:r>
      <w:r>
        <w:rPr>
          <w:rStyle w:val="34"/>
          <w:rFonts w:hint="eastAsia"/>
          <w:bCs/>
          <w:szCs w:val="28"/>
        </w:rPr>
        <w:t>常抓生态文化</w:t>
      </w:r>
      <w:r>
        <w:rPr>
          <w:rStyle w:val="34"/>
          <w:szCs w:val="28"/>
        </w:rPr>
        <w:tab/>
      </w:r>
      <w:r>
        <w:fldChar w:fldCharType="begin"/>
      </w:r>
      <w:r>
        <w:rPr>
          <w:rStyle w:val="34"/>
          <w:szCs w:val="28"/>
        </w:rPr>
        <w:instrText xml:space="preserve"> PAGEREF _Toc78381431 \h </w:instrText>
      </w:r>
      <w:r>
        <w:fldChar w:fldCharType="separate"/>
      </w:r>
      <w:r>
        <w:rPr>
          <w:rStyle w:val="34"/>
          <w:szCs w:val="28"/>
        </w:rPr>
        <w:t>36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"_Toc78381432" </w:instrText>
      </w:r>
      <w:r>
        <w:fldChar w:fldCharType="separate"/>
      </w:r>
      <w:r>
        <w:rPr>
          <w:rStyle w:val="34"/>
          <w:szCs w:val="28"/>
        </w:rPr>
        <w:t xml:space="preserve">3.3.4 </w:t>
      </w:r>
      <w:r>
        <w:rPr>
          <w:rStyle w:val="34"/>
          <w:rFonts w:hint="eastAsia"/>
          <w:szCs w:val="28"/>
        </w:rPr>
        <w:t>完善法治建设</w:t>
      </w:r>
      <w:r>
        <w:rPr>
          <w:rStyle w:val="34"/>
          <w:szCs w:val="28"/>
        </w:rPr>
        <w:tab/>
      </w:r>
      <w:r>
        <w:fldChar w:fldCharType="begin"/>
      </w:r>
      <w:r>
        <w:rPr>
          <w:rStyle w:val="34"/>
          <w:szCs w:val="28"/>
        </w:rPr>
        <w:instrText xml:space="preserve"> PAGEREF _Toc78381432 \h </w:instrText>
      </w:r>
      <w:r>
        <w:fldChar w:fldCharType="separate"/>
      </w:r>
      <w:r>
        <w:rPr>
          <w:rStyle w:val="34"/>
          <w:szCs w:val="28"/>
        </w:rPr>
        <w:t>38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"_Toc78381433" </w:instrText>
      </w:r>
      <w:r>
        <w:fldChar w:fldCharType="separate"/>
      </w:r>
      <w:r>
        <w:rPr>
          <w:rStyle w:val="34"/>
          <w:szCs w:val="28"/>
        </w:rPr>
        <w:t>3.3.5</w:t>
      </w:r>
      <w:r>
        <w:rPr>
          <w:rStyle w:val="34"/>
          <w:bCs/>
          <w:szCs w:val="28"/>
        </w:rPr>
        <w:t xml:space="preserve"> </w:t>
      </w:r>
      <w:r>
        <w:rPr>
          <w:rStyle w:val="34"/>
          <w:rFonts w:hint="eastAsia"/>
          <w:szCs w:val="28"/>
        </w:rPr>
        <w:t>推动科技创新</w:t>
      </w:r>
      <w:r>
        <w:rPr>
          <w:rStyle w:val="34"/>
          <w:szCs w:val="28"/>
        </w:rPr>
        <w:tab/>
      </w:r>
      <w:r>
        <w:fldChar w:fldCharType="begin"/>
      </w:r>
      <w:r>
        <w:rPr>
          <w:rStyle w:val="34"/>
          <w:szCs w:val="28"/>
        </w:rPr>
        <w:instrText xml:space="preserve"> PAGEREF _Toc78381433 \h </w:instrText>
      </w:r>
      <w:r>
        <w:fldChar w:fldCharType="separate"/>
      </w:r>
      <w:r>
        <w:rPr>
          <w:rStyle w:val="34"/>
          <w:szCs w:val="28"/>
        </w:rPr>
        <w:t>39</w:t>
      </w:r>
      <w:r>
        <w:fldChar w:fldCharType="end"/>
      </w:r>
      <w:r>
        <w:fldChar w:fldCharType="end"/>
      </w:r>
    </w:p>
    <w:p>
      <w:pPr>
        <w:pStyle w:val="22"/>
        <w:tabs>
          <w:tab w:val="right" w:leader="dot" w:pos="8494"/>
        </w:tabs>
        <w:wordWrap/>
        <w:spacing w:line="560" w:lineRule="exact"/>
        <w:rPr>
          <w:rFonts w:ascii="Times New Roman" w:hAnsi="Times New Roman" w:eastAsia="仿宋_GB2312"/>
          <w:bCs w:val="0"/>
          <w:caps w:val="0"/>
          <w:sz w:val="28"/>
          <w:szCs w:val="28"/>
        </w:rPr>
      </w:pPr>
      <w:r>
        <w:fldChar w:fldCharType="begin"/>
      </w:r>
      <w:r>
        <w:instrText xml:space="preserve"> HYPERLINK "file:///D:\\工作文件夹\\（规财）文件\\2019.10（局十四五规划）\\B---规划处初稿的修改\\2021.7.30\\《湖南省" \l "_Toc78381434" </w:instrText>
      </w:r>
      <w:r>
        <w:fldChar w:fldCharType="separate"/>
      </w:r>
      <w:r>
        <w:rPr>
          <w:rStyle w:val="34"/>
          <w:rFonts w:hint="eastAsia"/>
          <w:sz w:val="28"/>
          <w:szCs w:val="28"/>
        </w:rPr>
        <w:t>第四章</w:t>
      </w:r>
      <w:r>
        <w:rPr>
          <w:rStyle w:val="34"/>
          <w:sz w:val="28"/>
          <w:szCs w:val="28"/>
        </w:rPr>
        <w:t xml:space="preserve">  </w:t>
      </w:r>
      <w:r>
        <w:rPr>
          <w:rStyle w:val="34"/>
          <w:rFonts w:hint="eastAsia"/>
          <w:sz w:val="28"/>
          <w:szCs w:val="28"/>
        </w:rPr>
        <w:t>重大工程项目</w:t>
      </w:r>
      <w:r>
        <w:rPr>
          <w:rStyle w:val="34"/>
          <w:sz w:val="28"/>
          <w:szCs w:val="28"/>
        </w:rPr>
        <w:tab/>
      </w:r>
      <w:r>
        <w:fldChar w:fldCharType="begin"/>
      </w:r>
      <w:r>
        <w:rPr>
          <w:rStyle w:val="34"/>
          <w:sz w:val="28"/>
          <w:szCs w:val="28"/>
        </w:rPr>
        <w:instrText xml:space="preserve"> PAGEREF _Toc78381434 \h </w:instrText>
      </w:r>
      <w:r>
        <w:fldChar w:fldCharType="separate"/>
      </w:r>
      <w:r>
        <w:rPr>
          <w:rStyle w:val="34"/>
          <w:sz w:val="28"/>
          <w:szCs w:val="28"/>
        </w:rPr>
        <w:t>41</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"_Toc78381435" </w:instrText>
      </w:r>
      <w:r>
        <w:fldChar w:fldCharType="separate"/>
      </w:r>
      <w:r>
        <w:rPr>
          <w:rStyle w:val="34"/>
          <w:b w:val="0"/>
          <w:sz w:val="28"/>
          <w:szCs w:val="28"/>
        </w:rPr>
        <w:t xml:space="preserve">4.1 </w:t>
      </w:r>
      <w:r>
        <w:rPr>
          <w:rStyle w:val="34"/>
          <w:rFonts w:hint="eastAsia"/>
          <w:b w:val="0"/>
          <w:sz w:val="28"/>
          <w:szCs w:val="28"/>
        </w:rPr>
        <w:t>生态保护与修复领域</w:t>
      </w:r>
      <w:r>
        <w:rPr>
          <w:rStyle w:val="34"/>
          <w:b w:val="0"/>
          <w:sz w:val="28"/>
          <w:szCs w:val="28"/>
        </w:rPr>
        <w:tab/>
      </w:r>
      <w:r>
        <w:fldChar w:fldCharType="begin"/>
      </w:r>
      <w:r>
        <w:rPr>
          <w:rStyle w:val="34"/>
          <w:b w:val="0"/>
          <w:sz w:val="28"/>
          <w:szCs w:val="28"/>
        </w:rPr>
        <w:instrText xml:space="preserve"> PAGEREF _Toc78381435 \h </w:instrText>
      </w:r>
      <w:r>
        <w:fldChar w:fldCharType="separate"/>
      </w:r>
      <w:r>
        <w:rPr>
          <w:rStyle w:val="34"/>
          <w:b w:val="0"/>
          <w:sz w:val="28"/>
          <w:szCs w:val="28"/>
        </w:rPr>
        <w:t>41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"_Toc78381436" </w:instrText>
      </w:r>
      <w:r>
        <w:fldChar w:fldCharType="separate"/>
      </w:r>
      <w:r>
        <w:rPr>
          <w:rStyle w:val="34"/>
          <w:szCs w:val="28"/>
        </w:rPr>
        <w:t xml:space="preserve">4.1.1 </w:t>
      </w:r>
      <w:r>
        <w:rPr>
          <w:rStyle w:val="34"/>
          <w:rFonts w:hint="eastAsia"/>
          <w:szCs w:val="28"/>
        </w:rPr>
        <w:t>省级生态廊道建设示范工程</w:t>
      </w:r>
      <w:r>
        <w:rPr>
          <w:rStyle w:val="34"/>
          <w:szCs w:val="28"/>
        </w:rPr>
        <w:tab/>
      </w:r>
      <w:r>
        <w:fldChar w:fldCharType="begin"/>
      </w:r>
      <w:r>
        <w:rPr>
          <w:rStyle w:val="34"/>
          <w:szCs w:val="28"/>
        </w:rPr>
        <w:instrText xml:space="preserve"> PAGEREF _Toc78381436 \h </w:instrText>
      </w:r>
      <w:r>
        <w:fldChar w:fldCharType="separate"/>
      </w:r>
      <w:r>
        <w:rPr>
          <w:rStyle w:val="34"/>
          <w:szCs w:val="28"/>
        </w:rPr>
        <w:t>41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"_Toc78381437" </w:instrText>
      </w:r>
      <w:r>
        <w:fldChar w:fldCharType="separate"/>
      </w:r>
      <w:r>
        <w:rPr>
          <w:rStyle w:val="34"/>
          <w:szCs w:val="28"/>
        </w:rPr>
        <w:t xml:space="preserve">4.1.2 </w:t>
      </w:r>
      <w:r>
        <w:rPr>
          <w:rStyle w:val="34"/>
          <w:rFonts w:hint="eastAsia"/>
          <w:szCs w:val="28"/>
        </w:rPr>
        <w:t>绿心地区生态保护与修复示范工程</w:t>
      </w:r>
      <w:r>
        <w:rPr>
          <w:rStyle w:val="34"/>
          <w:szCs w:val="28"/>
        </w:rPr>
        <w:tab/>
      </w:r>
      <w:r>
        <w:fldChar w:fldCharType="begin"/>
      </w:r>
      <w:r>
        <w:rPr>
          <w:rStyle w:val="34"/>
          <w:szCs w:val="28"/>
        </w:rPr>
        <w:instrText xml:space="preserve"> PAGEREF _Toc78381437 \h </w:instrText>
      </w:r>
      <w:r>
        <w:fldChar w:fldCharType="separate"/>
      </w:r>
      <w:r>
        <w:rPr>
          <w:rStyle w:val="34"/>
          <w:szCs w:val="28"/>
        </w:rPr>
        <w:t>41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"_Toc78381438" </w:instrText>
      </w:r>
      <w:r>
        <w:fldChar w:fldCharType="separate"/>
      </w:r>
      <w:r>
        <w:rPr>
          <w:rStyle w:val="34"/>
          <w:szCs w:val="28"/>
        </w:rPr>
        <w:t xml:space="preserve">4.1.3 </w:t>
      </w:r>
      <w:r>
        <w:rPr>
          <w:rStyle w:val="34"/>
          <w:rFonts w:hint="eastAsia"/>
          <w:szCs w:val="28"/>
        </w:rPr>
        <w:t>国土绿化试点示范工程</w:t>
      </w:r>
      <w:r>
        <w:rPr>
          <w:rStyle w:val="34"/>
          <w:szCs w:val="28"/>
        </w:rPr>
        <w:tab/>
      </w:r>
      <w:r>
        <w:fldChar w:fldCharType="begin"/>
      </w:r>
      <w:r>
        <w:rPr>
          <w:rStyle w:val="34"/>
          <w:szCs w:val="28"/>
        </w:rPr>
        <w:instrText xml:space="preserve"> PAGEREF _Toc78381438 \h </w:instrText>
      </w:r>
      <w:r>
        <w:fldChar w:fldCharType="separate"/>
      </w:r>
      <w:r>
        <w:rPr>
          <w:rStyle w:val="34"/>
          <w:szCs w:val="28"/>
        </w:rPr>
        <w:t>42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"_Toc78381439" </w:instrText>
      </w:r>
      <w:r>
        <w:fldChar w:fldCharType="separate"/>
      </w:r>
      <w:r>
        <w:rPr>
          <w:rStyle w:val="34"/>
          <w:szCs w:val="28"/>
        </w:rPr>
        <w:t xml:space="preserve">4.1.4 </w:t>
      </w:r>
      <w:r>
        <w:rPr>
          <w:rStyle w:val="34"/>
          <w:rFonts w:hint="eastAsia"/>
          <w:szCs w:val="28"/>
        </w:rPr>
        <w:t>国家</w:t>
      </w:r>
      <w:r>
        <w:rPr>
          <w:rStyle w:val="34"/>
          <w:rFonts w:hint="eastAsia"/>
          <w:bCs/>
          <w:szCs w:val="28"/>
        </w:rPr>
        <w:t>储备</w:t>
      </w:r>
      <w:r>
        <w:rPr>
          <w:rStyle w:val="34"/>
          <w:rFonts w:hint="eastAsia"/>
          <w:szCs w:val="28"/>
        </w:rPr>
        <w:t>林建设示范工程</w:t>
      </w:r>
      <w:r>
        <w:rPr>
          <w:rStyle w:val="34"/>
          <w:szCs w:val="28"/>
        </w:rPr>
        <w:tab/>
      </w:r>
      <w:r>
        <w:fldChar w:fldCharType="begin"/>
      </w:r>
      <w:r>
        <w:rPr>
          <w:rStyle w:val="34"/>
          <w:szCs w:val="28"/>
        </w:rPr>
        <w:instrText xml:space="preserve"> PAGEREF _Toc78381439 \h </w:instrText>
      </w:r>
      <w:r>
        <w:fldChar w:fldCharType="separate"/>
      </w:r>
      <w:r>
        <w:rPr>
          <w:rStyle w:val="34"/>
          <w:szCs w:val="28"/>
        </w:rPr>
        <w:t>42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"_Toc78381440" </w:instrText>
      </w:r>
      <w:r>
        <w:fldChar w:fldCharType="separate"/>
      </w:r>
      <w:r>
        <w:rPr>
          <w:rStyle w:val="34"/>
          <w:szCs w:val="28"/>
        </w:rPr>
        <w:t xml:space="preserve">4.1.5 </w:t>
      </w:r>
      <w:r>
        <w:rPr>
          <w:rStyle w:val="34"/>
          <w:rFonts w:hint="eastAsia"/>
          <w:szCs w:val="28"/>
        </w:rPr>
        <w:t>重点</w:t>
      </w:r>
      <w:r>
        <w:rPr>
          <w:rStyle w:val="34"/>
          <w:rFonts w:hint="eastAsia"/>
          <w:bCs/>
          <w:szCs w:val="28"/>
        </w:rPr>
        <w:t>区域</w:t>
      </w:r>
      <w:r>
        <w:rPr>
          <w:rStyle w:val="34"/>
          <w:rFonts w:hint="eastAsia"/>
          <w:szCs w:val="28"/>
        </w:rPr>
        <w:t>生态保护和修复示范工程</w:t>
      </w:r>
      <w:r>
        <w:rPr>
          <w:rStyle w:val="34"/>
          <w:szCs w:val="28"/>
        </w:rPr>
        <w:tab/>
      </w:r>
      <w:r>
        <w:fldChar w:fldCharType="begin"/>
      </w:r>
      <w:r>
        <w:rPr>
          <w:rStyle w:val="34"/>
          <w:szCs w:val="28"/>
        </w:rPr>
        <w:instrText xml:space="preserve"> PAGEREF _Toc78381440 \h </w:instrText>
      </w:r>
      <w:r>
        <w:fldChar w:fldCharType="separate"/>
      </w:r>
      <w:r>
        <w:rPr>
          <w:rStyle w:val="34"/>
          <w:szCs w:val="28"/>
        </w:rPr>
        <w:t>43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"_Toc78381441" </w:instrText>
      </w:r>
      <w:r>
        <w:fldChar w:fldCharType="separate"/>
      </w:r>
      <w:r>
        <w:rPr>
          <w:rStyle w:val="34"/>
          <w:szCs w:val="28"/>
        </w:rPr>
        <w:t xml:space="preserve">4.1.6 </w:t>
      </w:r>
      <w:r>
        <w:rPr>
          <w:rStyle w:val="34"/>
          <w:rFonts w:hint="eastAsia"/>
          <w:bCs/>
          <w:szCs w:val="28"/>
        </w:rPr>
        <w:t>欧洲投资银行</w:t>
      </w:r>
      <w:r>
        <w:rPr>
          <w:rStyle w:val="34"/>
          <w:rFonts w:hint="eastAsia"/>
          <w:szCs w:val="28"/>
        </w:rPr>
        <w:t>贷款湖南森林提质增效示范工程</w:t>
      </w:r>
      <w:r>
        <w:rPr>
          <w:rStyle w:val="34"/>
          <w:szCs w:val="28"/>
        </w:rPr>
        <w:tab/>
      </w:r>
      <w:r>
        <w:fldChar w:fldCharType="begin"/>
      </w:r>
      <w:r>
        <w:rPr>
          <w:rStyle w:val="34"/>
          <w:szCs w:val="28"/>
        </w:rPr>
        <w:instrText xml:space="preserve"> PAGEREF _Toc78381441 \h </w:instrText>
      </w:r>
      <w:r>
        <w:fldChar w:fldCharType="separate"/>
      </w:r>
      <w:r>
        <w:rPr>
          <w:rStyle w:val="34"/>
          <w:szCs w:val="28"/>
        </w:rPr>
        <w:t>43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"_Toc78381442" </w:instrText>
      </w:r>
      <w:r>
        <w:fldChar w:fldCharType="separate"/>
      </w:r>
      <w:r>
        <w:rPr>
          <w:rStyle w:val="34"/>
          <w:szCs w:val="28"/>
        </w:rPr>
        <w:t xml:space="preserve">4.1.7 </w:t>
      </w:r>
      <w:r>
        <w:rPr>
          <w:rStyle w:val="34"/>
          <w:rFonts w:hint="eastAsia"/>
          <w:szCs w:val="28"/>
        </w:rPr>
        <w:t>退耕还林还草工程</w:t>
      </w:r>
      <w:r>
        <w:rPr>
          <w:rStyle w:val="34"/>
          <w:szCs w:val="28"/>
        </w:rPr>
        <w:tab/>
      </w:r>
      <w:r>
        <w:fldChar w:fldCharType="begin"/>
      </w:r>
      <w:r>
        <w:rPr>
          <w:rStyle w:val="34"/>
          <w:szCs w:val="28"/>
        </w:rPr>
        <w:instrText xml:space="preserve"> PAGEREF _Toc78381442 \h </w:instrText>
      </w:r>
      <w:r>
        <w:fldChar w:fldCharType="separate"/>
      </w:r>
      <w:r>
        <w:rPr>
          <w:rStyle w:val="34"/>
          <w:szCs w:val="28"/>
        </w:rPr>
        <w:t>44</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"_Toc78381443" </w:instrText>
      </w:r>
      <w:r>
        <w:fldChar w:fldCharType="separate"/>
      </w:r>
      <w:r>
        <w:rPr>
          <w:rStyle w:val="34"/>
          <w:szCs w:val="28"/>
        </w:rPr>
        <w:t xml:space="preserve">4.1.8 </w:t>
      </w:r>
      <w:r>
        <w:rPr>
          <w:rStyle w:val="34"/>
          <w:rFonts w:hint="eastAsia"/>
          <w:szCs w:val="28"/>
        </w:rPr>
        <w:t>森林</w:t>
      </w:r>
      <w:r>
        <w:rPr>
          <w:rStyle w:val="34"/>
          <w:rFonts w:hint="eastAsia"/>
          <w:bCs/>
          <w:szCs w:val="28"/>
        </w:rPr>
        <w:t>抚育</w:t>
      </w:r>
      <w:r>
        <w:rPr>
          <w:rStyle w:val="34"/>
          <w:rFonts w:hint="eastAsia"/>
          <w:szCs w:val="28"/>
        </w:rPr>
        <w:t>建设工程</w:t>
      </w:r>
      <w:r>
        <w:rPr>
          <w:rStyle w:val="34"/>
          <w:szCs w:val="28"/>
        </w:rPr>
        <w:tab/>
      </w:r>
      <w:r>
        <w:fldChar w:fldCharType="begin"/>
      </w:r>
      <w:r>
        <w:rPr>
          <w:rStyle w:val="34"/>
          <w:szCs w:val="28"/>
        </w:rPr>
        <w:instrText xml:space="preserve"> PAGEREF _Toc78381443 \h </w:instrText>
      </w:r>
      <w:r>
        <w:fldChar w:fldCharType="separate"/>
      </w:r>
      <w:r>
        <w:rPr>
          <w:rStyle w:val="34"/>
          <w:szCs w:val="28"/>
        </w:rPr>
        <w:t>44</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"_Toc78381444" </w:instrText>
      </w:r>
      <w:r>
        <w:fldChar w:fldCharType="separate"/>
      </w:r>
      <w:r>
        <w:rPr>
          <w:rStyle w:val="34"/>
          <w:szCs w:val="28"/>
        </w:rPr>
        <w:t xml:space="preserve">4.1.9 </w:t>
      </w:r>
      <w:r>
        <w:rPr>
          <w:rStyle w:val="34"/>
          <w:rFonts w:hint="eastAsia"/>
          <w:szCs w:val="28"/>
        </w:rPr>
        <w:t>林业碳汇</w:t>
      </w:r>
      <w:r>
        <w:rPr>
          <w:rStyle w:val="34"/>
          <w:rFonts w:hint="eastAsia"/>
          <w:bCs/>
          <w:szCs w:val="28"/>
        </w:rPr>
        <w:t>发展</w:t>
      </w:r>
      <w:r>
        <w:rPr>
          <w:rStyle w:val="34"/>
          <w:rFonts w:hint="eastAsia"/>
          <w:szCs w:val="28"/>
        </w:rPr>
        <w:t>工程</w:t>
      </w:r>
      <w:r>
        <w:rPr>
          <w:rStyle w:val="34"/>
          <w:szCs w:val="28"/>
        </w:rPr>
        <w:tab/>
      </w:r>
      <w:r>
        <w:fldChar w:fldCharType="begin"/>
      </w:r>
      <w:r>
        <w:rPr>
          <w:rStyle w:val="34"/>
          <w:szCs w:val="28"/>
        </w:rPr>
        <w:instrText xml:space="preserve"> PAGEREF _Toc78381444 \h </w:instrText>
      </w:r>
      <w:r>
        <w:fldChar w:fldCharType="separate"/>
      </w:r>
      <w:r>
        <w:rPr>
          <w:rStyle w:val="34"/>
          <w:szCs w:val="28"/>
        </w:rPr>
        <w:t>45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"_Toc78381445" </w:instrText>
      </w:r>
      <w:r>
        <w:fldChar w:fldCharType="separate"/>
      </w:r>
      <w:r>
        <w:rPr>
          <w:rStyle w:val="34"/>
          <w:szCs w:val="28"/>
        </w:rPr>
        <w:t xml:space="preserve">4.1.10 </w:t>
      </w:r>
      <w:r>
        <w:rPr>
          <w:rStyle w:val="34"/>
          <w:rFonts w:hint="eastAsia"/>
          <w:bCs/>
          <w:szCs w:val="28"/>
        </w:rPr>
        <w:t>自然保护</w:t>
      </w:r>
      <w:r>
        <w:rPr>
          <w:rStyle w:val="34"/>
          <w:rFonts w:hint="eastAsia"/>
          <w:szCs w:val="28"/>
        </w:rPr>
        <w:t>地保护修复工程</w:t>
      </w:r>
      <w:r>
        <w:rPr>
          <w:rStyle w:val="34"/>
          <w:szCs w:val="28"/>
        </w:rPr>
        <w:tab/>
      </w:r>
      <w:r>
        <w:fldChar w:fldCharType="begin"/>
      </w:r>
      <w:r>
        <w:rPr>
          <w:rStyle w:val="34"/>
          <w:szCs w:val="28"/>
        </w:rPr>
        <w:instrText xml:space="preserve"> PAGEREF _Toc78381445 \h </w:instrText>
      </w:r>
      <w:r>
        <w:fldChar w:fldCharType="separate"/>
      </w:r>
      <w:r>
        <w:rPr>
          <w:rStyle w:val="34"/>
          <w:szCs w:val="28"/>
        </w:rPr>
        <w:t>45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"_Toc78381446" </w:instrText>
      </w:r>
      <w:r>
        <w:fldChar w:fldCharType="separate"/>
      </w:r>
      <w:r>
        <w:rPr>
          <w:rStyle w:val="34"/>
          <w:szCs w:val="28"/>
        </w:rPr>
        <w:t xml:space="preserve">4.1.11 </w:t>
      </w:r>
      <w:r>
        <w:rPr>
          <w:rStyle w:val="34"/>
          <w:rFonts w:hint="eastAsia"/>
          <w:bCs/>
          <w:szCs w:val="28"/>
        </w:rPr>
        <w:t>生物多样性</w:t>
      </w:r>
      <w:r>
        <w:rPr>
          <w:rStyle w:val="34"/>
          <w:rFonts w:hint="eastAsia"/>
          <w:szCs w:val="28"/>
        </w:rPr>
        <w:t>保护工程</w:t>
      </w:r>
      <w:r>
        <w:rPr>
          <w:rStyle w:val="34"/>
          <w:szCs w:val="28"/>
        </w:rPr>
        <w:tab/>
      </w:r>
      <w:r>
        <w:fldChar w:fldCharType="begin"/>
      </w:r>
      <w:r>
        <w:rPr>
          <w:rStyle w:val="34"/>
          <w:szCs w:val="28"/>
        </w:rPr>
        <w:instrText xml:space="preserve"> PAGEREF _Toc78381446 \h </w:instrText>
      </w:r>
      <w:r>
        <w:fldChar w:fldCharType="separate"/>
      </w:r>
      <w:r>
        <w:rPr>
          <w:rStyle w:val="34"/>
          <w:szCs w:val="28"/>
        </w:rPr>
        <w:t>46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"_Toc78381447" </w:instrText>
      </w:r>
      <w:r>
        <w:fldChar w:fldCharType="separate"/>
      </w:r>
      <w:r>
        <w:rPr>
          <w:rStyle w:val="34"/>
          <w:szCs w:val="28"/>
        </w:rPr>
        <w:t xml:space="preserve">4.1.12 </w:t>
      </w:r>
      <w:r>
        <w:rPr>
          <w:rStyle w:val="34"/>
          <w:rFonts w:hint="eastAsia"/>
          <w:szCs w:val="28"/>
        </w:rPr>
        <w:t>天然林（公益林）保护修复工程</w:t>
      </w:r>
      <w:r>
        <w:rPr>
          <w:rStyle w:val="34"/>
          <w:szCs w:val="28"/>
        </w:rPr>
        <w:tab/>
      </w:r>
      <w:r>
        <w:fldChar w:fldCharType="begin"/>
      </w:r>
      <w:r>
        <w:rPr>
          <w:rStyle w:val="34"/>
          <w:szCs w:val="28"/>
        </w:rPr>
        <w:instrText xml:space="preserve"> PAGEREF _Toc78381447 \h </w:instrText>
      </w:r>
      <w:r>
        <w:fldChar w:fldCharType="separate"/>
      </w:r>
      <w:r>
        <w:rPr>
          <w:rStyle w:val="34"/>
          <w:szCs w:val="28"/>
        </w:rPr>
        <w:t>47</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"_Toc78381448" </w:instrText>
      </w:r>
      <w:r>
        <w:fldChar w:fldCharType="separate"/>
      </w:r>
      <w:r>
        <w:rPr>
          <w:rStyle w:val="34"/>
          <w:szCs w:val="28"/>
        </w:rPr>
        <w:t xml:space="preserve">4.1.13 </w:t>
      </w:r>
      <w:r>
        <w:rPr>
          <w:rStyle w:val="34"/>
          <w:rFonts w:hint="eastAsia"/>
          <w:szCs w:val="28"/>
        </w:rPr>
        <w:t>湿地保护修复工程</w:t>
      </w:r>
      <w:r>
        <w:rPr>
          <w:rStyle w:val="34"/>
          <w:szCs w:val="28"/>
        </w:rPr>
        <w:tab/>
      </w:r>
      <w:r>
        <w:fldChar w:fldCharType="begin"/>
      </w:r>
      <w:r>
        <w:rPr>
          <w:rStyle w:val="34"/>
          <w:szCs w:val="28"/>
        </w:rPr>
        <w:instrText xml:space="preserve"> PAGEREF _Toc78381448 \h </w:instrText>
      </w:r>
      <w:r>
        <w:fldChar w:fldCharType="separate"/>
      </w:r>
      <w:r>
        <w:rPr>
          <w:rStyle w:val="34"/>
          <w:szCs w:val="28"/>
        </w:rPr>
        <w:t>48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"_Toc78381449" </w:instrText>
      </w:r>
      <w:r>
        <w:fldChar w:fldCharType="separate"/>
      </w:r>
      <w:r>
        <w:rPr>
          <w:rStyle w:val="34"/>
          <w:szCs w:val="28"/>
        </w:rPr>
        <w:t xml:space="preserve">4.1.14 </w:t>
      </w:r>
      <w:r>
        <w:rPr>
          <w:rStyle w:val="34"/>
          <w:rFonts w:hint="eastAsia"/>
          <w:szCs w:val="28"/>
        </w:rPr>
        <w:t>林草种质资源保护利用工程</w:t>
      </w:r>
      <w:r>
        <w:rPr>
          <w:rStyle w:val="34"/>
          <w:szCs w:val="28"/>
        </w:rPr>
        <w:tab/>
      </w:r>
      <w:r>
        <w:fldChar w:fldCharType="begin"/>
      </w:r>
      <w:r>
        <w:rPr>
          <w:rStyle w:val="34"/>
          <w:szCs w:val="28"/>
        </w:rPr>
        <w:instrText xml:space="preserve"> PAGEREF _Toc78381449 \h </w:instrText>
      </w:r>
      <w:r>
        <w:fldChar w:fldCharType="separate"/>
      </w:r>
      <w:r>
        <w:rPr>
          <w:rStyle w:val="34"/>
          <w:szCs w:val="28"/>
        </w:rPr>
        <w:t>50</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"_Toc78381450" </w:instrText>
      </w:r>
      <w:r>
        <w:fldChar w:fldCharType="separate"/>
      </w:r>
      <w:r>
        <w:rPr>
          <w:rStyle w:val="34"/>
          <w:szCs w:val="28"/>
        </w:rPr>
        <w:t xml:space="preserve">4.1.15 </w:t>
      </w:r>
      <w:r>
        <w:rPr>
          <w:rStyle w:val="34"/>
          <w:rFonts w:hint="eastAsia"/>
          <w:szCs w:val="28"/>
        </w:rPr>
        <w:t>古树名木保护工程</w:t>
      </w:r>
      <w:r>
        <w:rPr>
          <w:rStyle w:val="34"/>
          <w:szCs w:val="28"/>
        </w:rPr>
        <w:tab/>
      </w:r>
      <w:r>
        <w:fldChar w:fldCharType="begin"/>
      </w:r>
      <w:r>
        <w:rPr>
          <w:rStyle w:val="34"/>
          <w:szCs w:val="28"/>
        </w:rPr>
        <w:instrText xml:space="preserve"> PAGEREF _Toc78381450 \h </w:instrText>
      </w:r>
      <w:r>
        <w:fldChar w:fldCharType="separate"/>
      </w:r>
      <w:r>
        <w:rPr>
          <w:rStyle w:val="34"/>
          <w:szCs w:val="28"/>
        </w:rPr>
        <w:t>51</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"_Toc78381451" </w:instrText>
      </w:r>
      <w:r>
        <w:fldChar w:fldCharType="separate"/>
      </w:r>
      <w:r>
        <w:rPr>
          <w:rStyle w:val="34"/>
          <w:b w:val="0"/>
          <w:sz w:val="28"/>
          <w:szCs w:val="28"/>
        </w:rPr>
        <w:t xml:space="preserve">4.2 </w:t>
      </w:r>
      <w:r>
        <w:rPr>
          <w:rStyle w:val="34"/>
          <w:rFonts w:hint="eastAsia"/>
          <w:b w:val="0"/>
          <w:sz w:val="28"/>
          <w:szCs w:val="28"/>
        </w:rPr>
        <w:t>生态产业建设领域</w:t>
      </w:r>
      <w:r>
        <w:rPr>
          <w:rStyle w:val="34"/>
          <w:b w:val="0"/>
          <w:sz w:val="28"/>
          <w:szCs w:val="28"/>
        </w:rPr>
        <w:tab/>
      </w:r>
      <w:r>
        <w:fldChar w:fldCharType="begin"/>
      </w:r>
      <w:r>
        <w:rPr>
          <w:rStyle w:val="34"/>
          <w:b w:val="0"/>
          <w:sz w:val="28"/>
          <w:szCs w:val="28"/>
        </w:rPr>
        <w:instrText xml:space="preserve"> PAGEREF _Toc78381451 \h </w:instrText>
      </w:r>
      <w:r>
        <w:fldChar w:fldCharType="separate"/>
      </w:r>
      <w:r>
        <w:rPr>
          <w:rStyle w:val="34"/>
          <w:b w:val="0"/>
          <w:sz w:val="28"/>
          <w:szCs w:val="28"/>
        </w:rPr>
        <w:t>51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"_Toc78381452" </w:instrText>
      </w:r>
      <w:r>
        <w:fldChar w:fldCharType="separate"/>
      </w:r>
      <w:r>
        <w:rPr>
          <w:rStyle w:val="34"/>
          <w:szCs w:val="28"/>
        </w:rPr>
        <w:t xml:space="preserve">4.2.1 </w:t>
      </w:r>
      <w:r>
        <w:rPr>
          <w:rStyle w:val="34"/>
          <w:rFonts w:hint="eastAsia"/>
          <w:szCs w:val="28"/>
        </w:rPr>
        <w:t>生态旅游和森林康养产业发展示范工程</w:t>
      </w:r>
      <w:r>
        <w:rPr>
          <w:rStyle w:val="34"/>
          <w:szCs w:val="28"/>
        </w:rPr>
        <w:tab/>
      </w:r>
      <w:r>
        <w:fldChar w:fldCharType="begin"/>
      </w:r>
      <w:r>
        <w:rPr>
          <w:rStyle w:val="34"/>
          <w:szCs w:val="28"/>
        </w:rPr>
        <w:instrText xml:space="preserve"> PAGEREF _Toc78381452 \h </w:instrText>
      </w:r>
      <w:r>
        <w:fldChar w:fldCharType="separate"/>
      </w:r>
      <w:r>
        <w:rPr>
          <w:rStyle w:val="34"/>
          <w:szCs w:val="28"/>
        </w:rPr>
        <w:t>51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"_Toc78381453" </w:instrText>
      </w:r>
      <w:r>
        <w:fldChar w:fldCharType="separate"/>
      </w:r>
      <w:r>
        <w:rPr>
          <w:rStyle w:val="34"/>
          <w:szCs w:val="28"/>
        </w:rPr>
        <w:t xml:space="preserve">4.2.2 </w:t>
      </w:r>
      <w:r>
        <w:rPr>
          <w:rStyle w:val="34"/>
          <w:rFonts w:hint="eastAsia"/>
          <w:szCs w:val="28"/>
        </w:rPr>
        <w:t>油茶产业发展示范工程</w:t>
      </w:r>
      <w:r>
        <w:rPr>
          <w:rStyle w:val="34"/>
          <w:szCs w:val="28"/>
        </w:rPr>
        <w:tab/>
      </w:r>
      <w:r>
        <w:fldChar w:fldCharType="begin"/>
      </w:r>
      <w:r>
        <w:rPr>
          <w:rStyle w:val="34"/>
          <w:szCs w:val="28"/>
        </w:rPr>
        <w:instrText xml:space="preserve"> PAGEREF _Toc78381453 \h </w:instrText>
      </w:r>
      <w:r>
        <w:fldChar w:fldCharType="separate"/>
      </w:r>
      <w:r>
        <w:rPr>
          <w:rStyle w:val="34"/>
          <w:szCs w:val="28"/>
        </w:rPr>
        <w:t>52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"_Toc78381454" </w:instrText>
      </w:r>
      <w:r>
        <w:fldChar w:fldCharType="separate"/>
      </w:r>
      <w:r>
        <w:rPr>
          <w:rStyle w:val="34"/>
          <w:szCs w:val="28"/>
        </w:rPr>
        <w:t xml:space="preserve">4.2.3 </w:t>
      </w:r>
      <w:r>
        <w:rPr>
          <w:rStyle w:val="34"/>
          <w:rFonts w:hint="eastAsia"/>
          <w:szCs w:val="28"/>
        </w:rPr>
        <w:t>竹木</w:t>
      </w:r>
      <w:r>
        <w:rPr>
          <w:rStyle w:val="34"/>
          <w:rFonts w:hint="eastAsia"/>
          <w:bCs/>
          <w:szCs w:val="28"/>
        </w:rPr>
        <w:t>产业</w:t>
      </w:r>
      <w:r>
        <w:rPr>
          <w:rStyle w:val="34"/>
          <w:rFonts w:hint="eastAsia"/>
          <w:szCs w:val="28"/>
        </w:rPr>
        <w:t>发展示范工程</w:t>
      </w:r>
      <w:r>
        <w:rPr>
          <w:rStyle w:val="34"/>
          <w:szCs w:val="28"/>
        </w:rPr>
        <w:tab/>
      </w:r>
      <w:r>
        <w:fldChar w:fldCharType="begin"/>
      </w:r>
      <w:r>
        <w:rPr>
          <w:rStyle w:val="34"/>
          <w:szCs w:val="28"/>
        </w:rPr>
        <w:instrText xml:space="preserve"> PAGEREF _Toc78381454 \h </w:instrText>
      </w:r>
      <w:r>
        <w:fldChar w:fldCharType="separate"/>
      </w:r>
      <w:r>
        <w:rPr>
          <w:rStyle w:val="34"/>
          <w:szCs w:val="28"/>
        </w:rPr>
        <w:t>52</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"_Toc78381455" </w:instrText>
      </w:r>
      <w:r>
        <w:fldChar w:fldCharType="separate"/>
      </w:r>
      <w:r>
        <w:rPr>
          <w:rStyle w:val="34"/>
          <w:szCs w:val="28"/>
        </w:rPr>
        <w:t xml:space="preserve">4.2.4 </w:t>
      </w:r>
      <w:r>
        <w:rPr>
          <w:rStyle w:val="34"/>
          <w:rFonts w:hint="eastAsia"/>
          <w:szCs w:val="28"/>
        </w:rPr>
        <w:t>林下</w:t>
      </w:r>
      <w:r>
        <w:rPr>
          <w:rStyle w:val="34"/>
          <w:rFonts w:hint="eastAsia"/>
          <w:bCs/>
          <w:szCs w:val="28"/>
        </w:rPr>
        <w:t>经济</w:t>
      </w:r>
      <w:r>
        <w:rPr>
          <w:rStyle w:val="34"/>
          <w:rFonts w:hint="eastAsia"/>
          <w:szCs w:val="28"/>
        </w:rPr>
        <w:t>产业发展示范工程</w:t>
      </w:r>
      <w:r>
        <w:rPr>
          <w:rStyle w:val="34"/>
          <w:szCs w:val="28"/>
        </w:rPr>
        <w:tab/>
      </w:r>
      <w:r>
        <w:fldChar w:fldCharType="begin"/>
      </w:r>
      <w:r>
        <w:rPr>
          <w:rStyle w:val="34"/>
          <w:szCs w:val="28"/>
        </w:rPr>
        <w:instrText xml:space="preserve"> PAGEREF _Toc78381455 \h </w:instrText>
      </w:r>
      <w:r>
        <w:fldChar w:fldCharType="separate"/>
      </w:r>
      <w:r>
        <w:rPr>
          <w:rStyle w:val="34"/>
          <w:szCs w:val="28"/>
        </w:rPr>
        <w:t>53</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"_Toc78381456" </w:instrText>
      </w:r>
      <w:r>
        <w:fldChar w:fldCharType="separate"/>
      </w:r>
      <w:r>
        <w:rPr>
          <w:rStyle w:val="34"/>
          <w:szCs w:val="28"/>
        </w:rPr>
        <w:t xml:space="preserve">4.2.5 </w:t>
      </w:r>
      <w:r>
        <w:rPr>
          <w:rStyle w:val="34"/>
          <w:rFonts w:hint="eastAsia"/>
          <w:szCs w:val="28"/>
        </w:rPr>
        <w:t>花卉苗木产业发展示范工程</w:t>
      </w:r>
      <w:r>
        <w:rPr>
          <w:rStyle w:val="34"/>
          <w:szCs w:val="28"/>
        </w:rPr>
        <w:tab/>
      </w:r>
      <w:r>
        <w:fldChar w:fldCharType="begin"/>
      </w:r>
      <w:r>
        <w:rPr>
          <w:rStyle w:val="34"/>
          <w:szCs w:val="28"/>
        </w:rPr>
        <w:instrText xml:space="preserve"> PAGEREF _Toc78381456 \h </w:instrText>
      </w:r>
      <w:r>
        <w:fldChar w:fldCharType="separate"/>
      </w:r>
      <w:r>
        <w:rPr>
          <w:rStyle w:val="34"/>
          <w:szCs w:val="28"/>
        </w:rPr>
        <w:t>53</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"_Toc78381457" </w:instrText>
      </w:r>
      <w:r>
        <w:fldChar w:fldCharType="separate"/>
      </w:r>
      <w:r>
        <w:rPr>
          <w:rStyle w:val="34"/>
          <w:b w:val="0"/>
          <w:sz w:val="28"/>
          <w:szCs w:val="28"/>
        </w:rPr>
        <w:t xml:space="preserve">4.3 </w:t>
      </w:r>
      <w:r>
        <w:rPr>
          <w:rStyle w:val="34"/>
          <w:rFonts w:hint="eastAsia"/>
          <w:b w:val="0"/>
          <w:sz w:val="28"/>
          <w:szCs w:val="28"/>
        </w:rPr>
        <w:t>生态文化</w:t>
      </w:r>
      <w:r>
        <w:rPr>
          <w:rStyle w:val="34"/>
          <w:rFonts w:hint="eastAsia"/>
          <w:b w:val="0"/>
        </w:rPr>
        <w:t>建设</w:t>
      </w:r>
      <w:r>
        <w:rPr>
          <w:rStyle w:val="34"/>
          <w:rFonts w:hint="eastAsia"/>
          <w:b w:val="0"/>
          <w:sz w:val="28"/>
          <w:szCs w:val="28"/>
        </w:rPr>
        <w:t>领域</w:t>
      </w:r>
      <w:r>
        <w:rPr>
          <w:rStyle w:val="34"/>
          <w:b w:val="0"/>
          <w:sz w:val="28"/>
          <w:szCs w:val="28"/>
        </w:rPr>
        <w:tab/>
      </w:r>
      <w:r>
        <w:fldChar w:fldCharType="begin"/>
      </w:r>
      <w:r>
        <w:rPr>
          <w:rStyle w:val="34"/>
          <w:b w:val="0"/>
          <w:sz w:val="28"/>
          <w:szCs w:val="28"/>
        </w:rPr>
        <w:instrText xml:space="preserve"> PAGEREF _Toc78381457 \h </w:instrText>
      </w:r>
      <w:r>
        <w:fldChar w:fldCharType="separate"/>
      </w:r>
      <w:r>
        <w:rPr>
          <w:rStyle w:val="34"/>
          <w:b w:val="0"/>
          <w:sz w:val="28"/>
          <w:szCs w:val="28"/>
        </w:rPr>
        <w:t>55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"_Toc78381458" </w:instrText>
      </w:r>
      <w:r>
        <w:fldChar w:fldCharType="separate"/>
      </w:r>
      <w:r>
        <w:rPr>
          <w:rStyle w:val="34"/>
          <w:szCs w:val="28"/>
        </w:rPr>
        <w:t xml:space="preserve">4.3.1 </w:t>
      </w:r>
      <w:r>
        <w:rPr>
          <w:rStyle w:val="34"/>
          <w:rFonts w:hint="eastAsia"/>
          <w:szCs w:val="28"/>
        </w:rPr>
        <w:t>植物科学馆</w:t>
      </w:r>
      <w:r>
        <w:rPr>
          <w:rStyle w:val="34"/>
          <w:rFonts w:hint="eastAsia"/>
          <w:bCs/>
          <w:szCs w:val="28"/>
        </w:rPr>
        <w:t>建设</w:t>
      </w:r>
      <w:r>
        <w:rPr>
          <w:rStyle w:val="34"/>
          <w:rFonts w:hint="eastAsia"/>
          <w:szCs w:val="28"/>
        </w:rPr>
        <w:t>示范工程</w:t>
      </w:r>
      <w:r>
        <w:rPr>
          <w:rStyle w:val="34"/>
          <w:szCs w:val="28"/>
        </w:rPr>
        <w:tab/>
      </w:r>
      <w:r>
        <w:fldChar w:fldCharType="begin"/>
      </w:r>
      <w:r>
        <w:rPr>
          <w:rStyle w:val="34"/>
          <w:szCs w:val="28"/>
        </w:rPr>
        <w:instrText xml:space="preserve"> PAGEREF _Toc78381458 \h </w:instrText>
      </w:r>
      <w:r>
        <w:fldChar w:fldCharType="separate"/>
      </w:r>
      <w:r>
        <w:rPr>
          <w:rStyle w:val="34"/>
          <w:szCs w:val="28"/>
        </w:rPr>
        <w:t>55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"_Toc78381459" </w:instrText>
      </w:r>
      <w:r>
        <w:fldChar w:fldCharType="separate"/>
      </w:r>
      <w:r>
        <w:rPr>
          <w:rStyle w:val="34"/>
          <w:szCs w:val="28"/>
        </w:rPr>
        <w:t xml:space="preserve">4.3.2 </w:t>
      </w:r>
      <w:r>
        <w:rPr>
          <w:rStyle w:val="34"/>
          <w:rFonts w:hint="eastAsia"/>
          <w:szCs w:val="28"/>
        </w:rPr>
        <w:t>森林城市</w:t>
      </w:r>
      <w:r>
        <w:rPr>
          <w:rStyle w:val="34"/>
          <w:rFonts w:hint="eastAsia"/>
          <w:bCs/>
          <w:szCs w:val="28"/>
        </w:rPr>
        <w:t>建设</w:t>
      </w:r>
      <w:r>
        <w:rPr>
          <w:rStyle w:val="34"/>
          <w:rFonts w:hint="eastAsia"/>
          <w:szCs w:val="28"/>
        </w:rPr>
        <w:t>工程</w:t>
      </w:r>
      <w:r>
        <w:rPr>
          <w:rStyle w:val="34"/>
          <w:szCs w:val="28"/>
        </w:rPr>
        <w:tab/>
      </w:r>
      <w:r>
        <w:fldChar w:fldCharType="begin"/>
      </w:r>
      <w:r>
        <w:rPr>
          <w:rStyle w:val="34"/>
          <w:szCs w:val="28"/>
        </w:rPr>
        <w:instrText xml:space="preserve"> PAGEREF _Toc78381459 \h </w:instrText>
      </w:r>
      <w:r>
        <w:fldChar w:fldCharType="separate"/>
      </w:r>
      <w:r>
        <w:rPr>
          <w:rStyle w:val="34"/>
          <w:szCs w:val="28"/>
        </w:rPr>
        <w:t>55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"_Toc78381460" </w:instrText>
      </w:r>
      <w:r>
        <w:fldChar w:fldCharType="separate"/>
      </w:r>
      <w:r>
        <w:rPr>
          <w:rStyle w:val="34"/>
          <w:szCs w:val="28"/>
        </w:rPr>
        <w:t xml:space="preserve">4.3.3 </w:t>
      </w:r>
      <w:r>
        <w:rPr>
          <w:rStyle w:val="34"/>
          <w:rFonts w:hint="eastAsia"/>
          <w:szCs w:val="28"/>
        </w:rPr>
        <w:t>乡村绿化美化建设工程</w:t>
      </w:r>
      <w:r>
        <w:rPr>
          <w:rStyle w:val="34"/>
          <w:szCs w:val="28"/>
        </w:rPr>
        <w:tab/>
      </w:r>
      <w:r>
        <w:fldChar w:fldCharType="begin"/>
      </w:r>
      <w:r>
        <w:rPr>
          <w:rStyle w:val="34"/>
          <w:szCs w:val="28"/>
        </w:rPr>
        <w:instrText xml:space="preserve"> PAGEREF _Toc78381460 \h </w:instrText>
      </w:r>
      <w:r>
        <w:fldChar w:fldCharType="separate"/>
      </w:r>
      <w:r>
        <w:rPr>
          <w:rStyle w:val="34"/>
          <w:szCs w:val="28"/>
        </w:rPr>
        <w:t>55</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"_Toc78381461" </w:instrText>
      </w:r>
      <w:r>
        <w:fldChar w:fldCharType="separate"/>
      </w:r>
      <w:r>
        <w:rPr>
          <w:rStyle w:val="34"/>
          <w:szCs w:val="28"/>
        </w:rPr>
        <w:t xml:space="preserve">4.3.4 </w:t>
      </w:r>
      <w:r>
        <w:rPr>
          <w:rStyle w:val="34"/>
          <w:rFonts w:hint="eastAsia"/>
          <w:szCs w:val="28"/>
        </w:rPr>
        <w:t>自然教育与生态文明教育基地建设工程</w:t>
      </w:r>
      <w:r>
        <w:rPr>
          <w:rStyle w:val="34"/>
          <w:szCs w:val="28"/>
        </w:rPr>
        <w:tab/>
      </w:r>
      <w:r>
        <w:fldChar w:fldCharType="begin"/>
      </w:r>
      <w:r>
        <w:rPr>
          <w:rStyle w:val="34"/>
          <w:szCs w:val="28"/>
        </w:rPr>
        <w:instrText xml:space="preserve"> PAGEREF _Toc78381461 \h </w:instrText>
      </w:r>
      <w:r>
        <w:fldChar w:fldCharType="separate"/>
      </w:r>
      <w:r>
        <w:rPr>
          <w:rStyle w:val="34"/>
          <w:szCs w:val="28"/>
        </w:rPr>
        <w:t>56</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"_Toc78381462" </w:instrText>
      </w:r>
      <w:r>
        <w:fldChar w:fldCharType="separate"/>
      </w:r>
      <w:r>
        <w:rPr>
          <w:rStyle w:val="34"/>
          <w:b w:val="0"/>
          <w:sz w:val="28"/>
          <w:szCs w:val="28"/>
        </w:rPr>
        <w:t xml:space="preserve">4.4 </w:t>
      </w:r>
      <w:r>
        <w:rPr>
          <w:rStyle w:val="34"/>
          <w:rFonts w:hint="eastAsia"/>
          <w:b w:val="0"/>
          <w:sz w:val="28"/>
          <w:szCs w:val="28"/>
        </w:rPr>
        <w:t>生态发展支撑领域</w:t>
      </w:r>
      <w:r>
        <w:rPr>
          <w:rStyle w:val="34"/>
          <w:b w:val="0"/>
          <w:sz w:val="28"/>
          <w:szCs w:val="28"/>
        </w:rPr>
        <w:tab/>
      </w:r>
      <w:r>
        <w:fldChar w:fldCharType="begin"/>
      </w:r>
      <w:r>
        <w:rPr>
          <w:rStyle w:val="34"/>
          <w:b w:val="0"/>
          <w:sz w:val="28"/>
          <w:szCs w:val="28"/>
        </w:rPr>
        <w:instrText xml:space="preserve"> PAGEREF _Toc78381462 \h </w:instrText>
      </w:r>
      <w:r>
        <w:fldChar w:fldCharType="separate"/>
      </w:r>
      <w:r>
        <w:rPr>
          <w:rStyle w:val="34"/>
          <w:b w:val="0"/>
          <w:sz w:val="28"/>
          <w:szCs w:val="28"/>
        </w:rPr>
        <w:t>56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"_Toc78381463" </w:instrText>
      </w:r>
      <w:r>
        <w:fldChar w:fldCharType="separate"/>
      </w:r>
      <w:r>
        <w:rPr>
          <w:rStyle w:val="34"/>
          <w:szCs w:val="28"/>
        </w:rPr>
        <w:t>4.4.1 “</w:t>
      </w:r>
      <w:r>
        <w:rPr>
          <w:rStyle w:val="34"/>
          <w:rFonts w:hint="eastAsia"/>
          <w:szCs w:val="28"/>
        </w:rPr>
        <w:t>中国油茶科创谷</w:t>
      </w:r>
      <w:r>
        <w:rPr>
          <w:rStyle w:val="34"/>
          <w:szCs w:val="28"/>
        </w:rPr>
        <w:t>”</w:t>
      </w:r>
      <w:r>
        <w:rPr>
          <w:rStyle w:val="34"/>
          <w:rFonts w:hint="eastAsia"/>
          <w:szCs w:val="28"/>
        </w:rPr>
        <w:t>示范工程</w:t>
      </w:r>
      <w:r>
        <w:rPr>
          <w:rStyle w:val="34"/>
          <w:szCs w:val="28"/>
        </w:rPr>
        <w:tab/>
      </w:r>
      <w:r>
        <w:fldChar w:fldCharType="begin"/>
      </w:r>
      <w:r>
        <w:rPr>
          <w:rStyle w:val="34"/>
          <w:szCs w:val="28"/>
        </w:rPr>
        <w:instrText xml:space="preserve"> PAGEREF _Toc78381463 \h </w:instrText>
      </w:r>
      <w:r>
        <w:fldChar w:fldCharType="separate"/>
      </w:r>
      <w:r>
        <w:rPr>
          <w:rStyle w:val="34"/>
          <w:szCs w:val="28"/>
        </w:rPr>
        <w:t>56</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"_Toc78381464" </w:instrText>
      </w:r>
      <w:r>
        <w:fldChar w:fldCharType="separate"/>
      </w:r>
      <w:r>
        <w:rPr>
          <w:rStyle w:val="34"/>
          <w:szCs w:val="28"/>
        </w:rPr>
        <w:t xml:space="preserve">4.4.2 </w:t>
      </w:r>
      <w:r>
        <w:rPr>
          <w:rStyle w:val="34"/>
          <w:rFonts w:hint="eastAsia"/>
          <w:szCs w:val="28"/>
        </w:rPr>
        <w:t>林业草原科技攻关与创新建设工程</w:t>
      </w:r>
      <w:r>
        <w:rPr>
          <w:rStyle w:val="34"/>
          <w:szCs w:val="28"/>
        </w:rPr>
        <w:tab/>
      </w:r>
      <w:r>
        <w:fldChar w:fldCharType="begin"/>
      </w:r>
      <w:r>
        <w:rPr>
          <w:rStyle w:val="34"/>
          <w:szCs w:val="28"/>
        </w:rPr>
        <w:instrText xml:space="preserve"> PAGEREF _Toc78381464 \h </w:instrText>
      </w:r>
      <w:r>
        <w:fldChar w:fldCharType="separate"/>
      </w:r>
      <w:r>
        <w:rPr>
          <w:rStyle w:val="34"/>
          <w:szCs w:val="28"/>
        </w:rPr>
        <w:t>57</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"_Toc78381465" </w:instrText>
      </w:r>
      <w:r>
        <w:fldChar w:fldCharType="separate"/>
      </w:r>
      <w:r>
        <w:rPr>
          <w:rStyle w:val="34"/>
          <w:szCs w:val="28"/>
        </w:rPr>
        <w:t xml:space="preserve">4.4.3 </w:t>
      </w:r>
      <w:r>
        <w:rPr>
          <w:rStyle w:val="34"/>
          <w:rFonts w:hint="eastAsia"/>
          <w:szCs w:val="28"/>
        </w:rPr>
        <w:t>林业草原灾害防控工程</w:t>
      </w:r>
      <w:r>
        <w:rPr>
          <w:rStyle w:val="34"/>
          <w:szCs w:val="28"/>
        </w:rPr>
        <w:tab/>
      </w:r>
      <w:r>
        <w:fldChar w:fldCharType="begin"/>
      </w:r>
      <w:r>
        <w:rPr>
          <w:rStyle w:val="34"/>
          <w:szCs w:val="28"/>
        </w:rPr>
        <w:instrText xml:space="preserve"> PAGEREF _Toc78381465 \h </w:instrText>
      </w:r>
      <w:r>
        <w:fldChar w:fldCharType="separate"/>
      </w:r>
      <w:r>
        <w:rPr>
          <w:rStyle w:val="34"/>
          <w:szCs w:val="28"/>
        </w:rPr>
        <w:t>58</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"_Toc78381466" </w:instrText>
      </w:r>
      <w:r>
        <w:fldChar w:fldCharType="separate"/>
      </w:r>
      <w:r>
        <w:rPr>
          <w:rStyle w:val="34"/>
          <w:szCs w:val="28"/>
        </w:rPr>
        <w:t xml:space="preserve">4.4.4 </w:t>
      </w:r>
      <w:r>
        <w:rPr>
          <w:rStyle w:val="34"/>
          <w:rFonts w:hint="eastAsia"/>
          <w:szCs w:val="28"/>
        </w:rPr>
        <w:t>国有林场基础设施</w:t>
      </w:r>
      <w:r>
        <w:rPr>
          <w:rStyle w:val="34"/>
          <w:rFonts w:hint="eastAsia"/>
          <w:bCs/>
          <w:szCs w:val="28"/>
        </w:rPr>
        <w:t>建设</w:t>
      </w:r>
      <w:r>
        <w:rPr>
          <w:rStyle w:val="34"/>
          <w:rFonts w:hint="eastAsia"/>
          <w:szCs w:val="28"/>
        </w:rPr>
        <w:t>工程</w:t>
      </w:r>
      <w:r>
        <w:rPr>
          <w:rStyle w:val="34"/>
          <w:szCs w:val="28"/>
        </w:rPr>
        <w:tab/>
      </w:r>
      <w:r>
        <w:fldChar w:fldCharType="begin"/>
      </w:r>
      <w:r>
        <w:rPr>
          <w:rStyle w:val="34"/>
          <w:szCs w:val="28"/>
        </w:rPr>
        <w:instrText xml:space="preserve"> PAGEREF _Toc78381466 \h </w:instrText>
      </w:r>
      <w:r>
        <w:fldChar w:fldCharType="separate"/>
      </w:r>
      <w:r>
        <w:rPr>
          <w:rStyle w:val="34"/>
          <w:szCs w:val="28"/>
        </w:rPr>
        <w:t>60</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"_Toc78381467" </w:instrText>
      </w:r>
      <w:r>
        <w:fldChar w:fldCharType="separate"/>
      </w:r>
      <w:r>
        <w:rPr>
          <w:rStyle w:val="34"/>
          <w:szCs w:val="28"/>
        </w:rPr>
        <w:t xml:space="preserve">4.4.5 </w:t>
      </w:r>
      <w:r>
        <w:rPr>
          <w:rStyle w:val="34"/>
          <w:rFonts w:hint="eastAsia"/>
          <w:szCs w:val="28"/>
        </w:rPr>
        <w:t>基层林业站标准化</w:t>
      </w:r>
      <w:r>
        <w:rPr>
          <w:rStyle w:val="34"/>
          <w:rFonts w:hint="eastAsia"/>
          <w:bCs/>
          <w:szCs w:val="28"/>
        </w:rPr>
        <w:t>建设</w:t>
      </w:r>
      <w:r>
        <w:rPr>
          <w:rStyle w:val="34"/>
          <w:rFonts w:hint="eastAsia"/>
          <w:szCs w:val="28"/>
        </w:rPr>
        <w:t>和能力提升建设工程</w:t>
      </w:r>
      <w:r>
        <w:rPr>
          <w:rStyle w:val="34"/>
          <w:szCs w:val="28"/>
        </w:rPr>
        <w:tab/>
      </w:r>
      <w:r>
        <w:fldChar w:fldCharType="begin"/>
      </w:r>
      <w:r>
        <w:rPr>
          <w:rStyle w:val="34"/>
          <w:szCs w:val="28"/>
        </w:rPr>
        <w:instrText xml:space="preserve"> PAGEREF _Toc78381467 \h </w:instrText>
      </w:r>
      <w:r>
        <w:fldChar w:fldCharType="separate"/>
      </w:r>
      <w:r>
        <w:rPr>
          <w:rStyle w:val="34"/>
          <w:szCs w:val="28"/>
        </w:rPr>
        <w:t>61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"_Toc78381468" </w:instrText>
      </w:r>
      <w:r>
        <w:fldChar w:fldCharType="separate"/>
      </w:r>
      <w:r>
        <w:rPr>
          <w:rStyle w:val="34"/>
          <w:szCs w:val="28"/>
        </w:rPr>
        <w:t xml:space="preserve">4.4.6 </w:t>
      </w:r>
      <w:r>
        <w:rPr>
          <w:rStyle w:val="34"/>
          <w:rFonts w:hint="eastAsia"/>
          <w:szCs w:val="28"/>
        </w:rPr>
        <w:t>优质种苗保障工程</w:t>
      </w:r>
      <w:r>
        <w:rPr>
          <w:rStyle w:val="34"/>
          <w:szCs w:val="28"/>
        </w:rPr>
        <w:tab/>
      </w:r>
      <w:r>
        <w:fldChar w:fldCharType="begin"/>
      </w:r>
      <w:r>
        <w:rPr>
          <w:rStyle w:val="34"/>
          <w:szCs w:val="28"/>
        </w:rPr>
        <w:instrText xml:space="preserve"> PAGEREF _Toc78381468 \h </w:instrText>
      </w:r>
      <w:r>
        <w:fldChar w:fldCharType="separate"/>
      </w:r>
      <w:r>
        <w:rPr>
          <w:rStyle w:val="34"/>
          <w:szCs w:val="28"/>
        </w:rPr>
        <w:t>61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"_Toc78381469" </w:instrText>
      </w:r>
      <w:r>
        <w:fldChar w:fldCharType="separate"/>
      </w:r>
      <w:r>
        <w:rPr>
          <w:rStyle w:val="34"/>
          <w:szCs w:val="28"/>
        </w:rPr>
        <w:t xml:space="preserve">4.4.7 </w:t>
      </w:r>
      <w:r>
        <w:rPr>
          <w:rStyle w:val="34"/>
          <w:rFonts w:hint="eastAsia"/>
          <w:szCs w:val="28"/>
        </w:rPr>
        <w:t>林业再信息化建设</w:t>
      </w:r>
      <w:r>
        <w:rPr>
          <w:rStyle w:val="34"/>
          <w:rFonts w:hint="eastAsia"/>
          <w:bCs/>
          <w:szCs w:val="28"/>
        </w:rPr>
        <w:t>工程</w:t>
      </w:r>
      <w:r>
        <w:rPr>
          <w:rStyle w:val="34"/>
          <w:szCs w:val="28"/>
        </w:rPr>
        <w:tab/>
      </w:r>
      <w:r>
        <w:fldChar w:fldCharType="begin"/>
      </w:r>
      <w:r>
        <w:rPr>
          <w:rStyle w:val="34"/>
          <w:szCs w:val="28"/>
        </w:rPr>
        <w:instrText xml:space="preserve"> PAGEREF _Toc78381469 \h </w:instrText>
      </w:r>
      <w:r>
        <w:fldChar w:fldCharType="separate"/>
      </w:r>
      <w:r>
        <w:rPr>
          <w:rStyle w:val="34"/>
          <w:szCs w:val="28"/>
        </w:rPr>
        <w:t>61</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"_Toc78381470" </w:instrText>
      </w:r>
      <w:r>
        <w:fldChar w:fldCharType="separate"/>
      </w:r>
      <w:r>
        <w:rPr>
          <w:rStyle w:val="34"/>
          <w:szCs w:val="28"/>
        </w:rPr>
        <w:t xml:space="preserve">4.4.8 </w:t>
      </w:r>
      <w:r>
        <w:rPr>
          <w:rStyle w:val="34"/>
          <w:rFonts w:hint="eastAsia"/>
          <w:szCs w:val="28"/>
        </w:rPr>
        <w:t>全省林业法治建设工程</w:t>
      </w:r>
      <w:r>
        <w:rPr>
          <w:rStyle w:val="34"/>
          <w:szCs w:val="28"/>
        </w:rPr>
        <w:tab/>
      </w:r>
      <w:r>
        <w:fldChar w:fldCharType="begin"/>
      </w:r>
      <w:r>
        <w:rPr>
          <w:rStyle w:val="34"/>
          <w:szCs w:val="28"/>
        </w:rPr>
        <w:instrText xml:space="preserve"> PAGEREF _Toc78381470 \h </w:instrText>
      </w:r>
      <w:r>
        <w:fldChar w:fldCharType="separate"/>
      </w:r>
      <w:r>
        <w:rPr>
          <w:rStyle w:val="34"/>
          <w:szCs w:val="28"/>
        </w:rPr>
        <w:t>64</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"_Toc78381471" </w:instrText>
      </w:r>
      <w:r>
        <w:fldChar w:fldCharType="separate"/>
      </w:r>
      <w:r>
        <w:rPr>
          <w:rStyle w:val="34"/>
          <w:szCs w:val="28"/>
        </w:rPr>
        <w:t xml:space="preserve">4.4.9 </w:t>
      </w:r>
      <w:r>
        <w:rPr>
          <w:rStyle w:val="34"/>
          <w:rFonts w:hint="eastAsia"/>
          <w:szCs w:val="28"/>
        </w:rPr>
        <w:t>家庭林场和林业</w:t>
      </w:r>
      <w:r>
        <w:rPr>
          <w:rStyle w:val="34"/>
          <w:rFonts w:hint="eastAsia"/>
          <w:bCs/>
          <w:szCs w:val="28"/>
        </w:rPr>
        <w:t>合作社</w:t>
      </w:r>
      <w:r>
        <w:rPr>
          <w:rStyle w:val="34"/>
          <w:rFonts w:hint="eastAsia"/>
          <w:szCs w:val="28"/>
        </w:rPr>
        <w:t>能力提升工程</w:t>
      </w:r>
      <w:r>
        <w:rPr>
          <w:rStyle w:val="34"/>
          <w:szCs w:val="28"/>
        </w:rPr>
        <w:tab/>
      </w:r>
      <w:r>
        <w:fldChar w:fldCharType="begin"/>
      </w:r>
      <w:r>
        <w:rPr>
          <w:rStyle w:val="34"/>
          <w:szCs w:val="28"/>
        </w:rPr>
        <w:instrText xml:space="preserve"> PAGEREF _Toc78381471 \h </w:instrText>
      </w:r>
      <w:r>
        <w:fldChar w:fldCharType="separate"/>
      </w:r>
      <w:r>
        <w:rPr>
          <w:rStyle w:val="34"/>
          <w:szCs w:val="28"/>
        </w:rPr>
        <w:t>64</w:t>
      </w:r>
      <w:r>
        <w:fldChar w:fldCharType="end"/>
      </w:r>
      <w:r>
        <w:fldChar w:fldCharType="end"/>
      </w:r>
    </w:p>
    <w:p>
      <w:pPr>
        <w:pStyle w:val="14"/>
        <w:tabs>
          <w:tab w:val="right" w:leader="dot" w:pos="8494"/>
        </w:tabs>
        <w:spacing w:line="560" w:lineRule="exact"/>
        <w:ind w:left="0" w:firstLine="560" w:firstLineChars="200"/>
        <w:rPr>
          <w:rFonts w:ascii="Times New Roman" w:hAnsi="Times New Roman" w:eastAsia="仿宋_GB2312"/>
          <w:iCs w:val="0"/>
          <w:szCs w:val="28"/>
        </w:rPr>
      </w:pPr>
      <w:r>
        <w:fldChar w:fldCharType="begin"/>
      </w:r>
      <w:r>
        <w:instrText xml:space="preserve"> HYPERLINK "file:///D:\\工作文件夹\\（规财）文件\\2019.10（局十四五规划）\\B---规划处初稿的修改\\2021.7.30\\《湖南省" \l "_Toc78381472" </w:instrText>
      </w:r>
      <w:r>
        <w:fldChar w:fldCharType="separate"/>
      </w:r>
      <w:r>
        <w:rPr>
          <w:rStyle w:val="34"/>
          <w:szCs w:val="28"/>
        </w:rPr>
        <w:t xml:space="preserve">4.4.10 </w:t>
      </w:r>
      <w:r>
        <w:rPr>
          <w:rStyle w:val="34"/>
          <w:rFonts w:hint="eastAsia"/>
          <w:szCs w:val="28"/>
        </w:rPr>
        <w:t>林业基层人才培养工程</w:t>
      </w:r>
      <w:r>
        <w:rPr>
          <w:rStyle w:val="34"/>
          <w:szCs w:val="28"/>
        </w:rPr>
        <w:tab/>
      </w:r>
      <w:r>
        <w:fldChar w:fldCharType="begin"/>
      </w:r>
      <w:r>
        <w:rPr>
          <w:rStyle w:val="34"/>
          <w:szCs w:val="28"/>
        </w:rPr>
        <w:instrText xml:space="preserve"> PAGEREF _Toc78381472 \h </w:instrText>
      </w:r>
      <w:r>
        <w:fldChar w:fldCharType="separate"/>
      </w:r>
      <w:r>
        <w:rPr>
          <w:rStyle w:val="34"/>
          <w:szCs w:val="28"/>
        </w:rPr>
        <w:t>64</w:t>
      </w:r>
      <w:r>
        <w:fldChar w:fldCharType="end"/>
      </w:r>
      <w:r>
        <w:fldChar w:fldCharType="end"/>
      </w:r>
    </w:p>
    <w:p>
      <w:pPr>
        <w:pStyle w:val="22"/>
        <w:tabs>
          <w:tab w:val="right" w:leader="dot" w:pos="8494"/>
        </w:tabs>
        <w:wordWrap/>
        <w:spacing w:line="560" w:lineRule="exact"/>
        <w:rPr>
          <w:rFonts w:ascii="Times New Roman" w:hAnsi="Times New Roman" w:eastAsia="仿宋_GB2312"/>
          <w:bCs w:val="0"/>
          <w:caps w:val="0"/>
          <w:sz w:val="28"/>
          <w:szCs w:val="28"/>
        </w:rPr>
      </w:pPr>
      <w:r>
        <w:fldChar w:fldCharType="begin"/>
      </w:r>
      <w:r>
        <w:instrText xml:space="preserve"> HYPERLINK "file:///D:\\工作文件夹\\（规财）文件\\2019.10（局十四五规划）\\B---规划处初稿的修改\\2021.7.30\\《湖南省" \l "_Toc78381473" </w:instrText>
      </w:r>
      <w:r>
        <w:fldChar w:fldCharType="separate"/>
      </w:r>
      <w:r>
        <w:rPr>
          <w:rStyle w:val="34"/>
          <w:rFonts w:hint="eastAsia"/>
          <w:sz w:val="28"/>
          <w:szCs w:val="28"/>
        </w:rPr>
        <w:t>第五章</w:t>
      </w:r>
      <w:r>
        <w:rPr>
          <w:rStyle w:val="34"/>
          <w:sz w:val="28"/>
          <w:szCs w:val="28"/>
        </w:rPr>
        <w:t xml:space="preserve">  </w:t>
      </w:r>
      <w:r>
        <w:rPr>
          <w:rStyle w:val="34"/>
          <w:rFonts w:hint="eastAsia"/>
          <w:sz w:val="28"/>
          <w:szCs w:val="28"/>
        </w:rPr>
        <w:t>环境影响评价</w:t>
      </w:r>
      <w:r>
        <w:rPr>
          <w:rStyle w:val="34"/>
          <w:sz w:val="28"/>
          <w:szCs w:val="28"/>
        </w:rPr>
        <w:tab/>
      </w:r>
      <w:r>
        <w:fldChar w:fldCharType="begin"/>
      </w:r>
      <w:r>
        <w:rPr>
          <w:rStyle w:val="34"/>
          <w:sz w:val="28"/>
          <w:szCs w:val="28"/>
        </w:rPr>
        <w:instrText xml:space="preserve"> PAGEREF _Toc78381473 \h </w:instrText>
      </w:r>
      <w:r>
        <w:fldChar w:fldCharType="separate"/>
      </w:r>
      <w:r>
        <w:rPr>
          <w:rStyle w:val="34"/>
          <w:sz w:val="28"/>
          <w:szCs w:val="28"/>
        </w:rPr>
        <w:t>65</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"_Toc78381474" </w:instrText>
      </w:r>
      <w:r>
        <w:fldChar w:fldCharType="separate"/>
      </w:r>
      <w:r>
        <w:rPr>
          <w:rStyle w:val="34"/>
          <w:b w:val="0"/>
          <w:sz w:val="28"/>
          <w:szCs w:val="28"/>
        </w:rPr>
        <w:t xml:space="preserve">5.1 </w:t>
      </w:r>
      <w:r>
        <w:rPr>
          <w:rStyle w:val="34"/>
          <w:rFonts w:hint="eastAsia"/>
          <w:b w:val="0"/>
          <w:sz w:val="28"/>
          <w:szCs w:val="28"/>
        </w:rPr>
        <w:t>环境影响</w:t>
      </w:r>
      <w:r>
        <w:rPr>
          <w:rStyle w:val="34"/>
          <w:rFonts w:hint="eastAsia"/>
          <w:b w:val="0"/>
        </w:rPr>
        <w:t>分析</w:t>
      </w:r>
      <w:r>
        <w:rPr>
          <w:rStyle w:val="34"/>
          <w:b w:val="0"/>
          <w:sz w:val="28"/>
          <w:szCs w:val="28"/>
        </w:rPr>
        <w:tab/>
      </w:r>
      <w:r>
        <w:fldChar w:fldCharType="begin"/>
      </w:r>
      <w:r>
        <w:rPr>
          <w:rStyle w:val="34"/>
          <w:b w:val="0"/>
          <w:sz w:val="28"/>
          <w:szCs w:val="28"/>
        </w:rPr>
        <w:instrText xml:space="preserve"> PAGEREF _Toc78381474 \h </w:instrText>
      </w:r>
      <w:r>
        <w:fldChar w:fldCharType="separate"/>
      </w:r>
      <w:r>
        <w:rPr>
          <w:rStyle w:val="34"/>
          <w:b w:val="0"/>
          <w:sz w:val="28"/>
          <w:szCs w:val="28"/>
        </w:rPr>
        <w:t>65</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"_Toc78381475" </w:instrText>
      </w:r>
      <w:r>
        <w:fldChar w:fldCharType="separate"/>
      </w:r>
      <w:r>
        <w:rPr>
          <w:rStyle w:val="34"/>
          <w:b w:val="0"/>
          <w:sz w:val="28"/>
          <w:szCs w:val="28"/>
        </w:rPr>
        <w:t xml:space="preserve">5.2 </w:t>
      </w:r>
      <w:r>
        <w:rPr>
          <w:rStyle w:val="34"/>
          <w:rFonts w:hint="eastAsia"/>
          <w:b w:val="0"/>
          <w:sz w:val="28"/>
          <w:szCs w:val="28"/>
        </w:rPr>
        <w:t>环境保护措施</w:t>
      </w:r>
      <w:r>
        <w:rPr>
          <w:rStyle w:val="34"/>
          <w:b w:val="0"/>
          <w:sz w:val="28"/>
          <w:szCs w:val="28"/>
        </w:rPr>
        <w:tab/>
      </w:r>
      <w:r>
        <w:fldChar w:fldCharType="begin"/>
      </w:r>
      <w:r>
        <w:rPr>
          <w:rStyle w:val="34"/>
          <w:b w:val="0"/>
          <w:sz w:val="28"/>
          <w:szCs w:val="28"/>
        </w:rPr>
        <w:instrText xml:space="preserve"> PAGEREF _Toc78381475 \h </w:instrText>
      </w:r>
      <w:r>
        <w:fldChar w:fldCharType="separate"/>
      </w:r>
      <w:r>
        <w:rPr>
          <w:rStyle w:val="34"/>
          <w:b w:val="0"/>
          <w:sz w:val="28"/>
          <w:szCs w:val="28"/>
        </w:rPr>
        <w:t>65</w:t>
      </w:r>
      <w:r>
        <w:fldChar w:fldCharType="end"/>
      </w:r>
      <w:r>
        <w:fldChar w:fldCharType="end"/>
      </w:r>
    </w:p>
    <w:p>
      <w:pPr>
        <w:pStyle w:val="22"/>
        <w:tabs>
          <w:tab w:val="right" w:leader="dot" w:pos="8494"/>
        </w:tabs>
        <w:wordWrap/>
        <w:spacing w:line="560" w:lineRule="exact"/>
        <w:rPr>
          <w:rFonts w:ascii="Times New Roman" w:hAnsi="Times New Roman" w:eastAsia="仿宋_GB2312"/>
          <w:bCs w:val="0"/>
          <w:caps w:val="0"/>
          <w:sz w:val="28"/>
          <w:szCs w:val="28"/>
        </w:rPr>
      </w:pPr>
      <w:r>
        <w:fldChar w:fldCharType="begin"/>
      </w:r>
      <w:r>
        <w:instrText xml:space="preserve"> HYPERLINK "file:///D:\\工作文件夹\\（规财）文件\\2019.10（局十四五规划）\\B---规划处初稿的修改\\2021.7.30\\《湖南省" \l "_Toc78381476" </w:instrText>
      </w:r>
      <w:r>
        <w:fldChar w:fldCharType="separate"/>
      </w:r>
      <w:r>
        <w:rPr>
          <w:rStyle w:val="34"/>
          <w:rFonts w:hint="eastAsia"/>
          <w:sz w:val="28"/>
          <w:szCs w:val="28"/>
        </w:rPr>
        <w:t>第六章</w:t>
      </w:r>
      <w:r>
        <w:rPr>
          <w:rStyle w:val="34"/>
          <w:sz w:val="28"/>
          <w:szCs w:val="28"/>
        </w:rPr>
        <w:t xml:space="preserve">  </w:t>
      </w:r>
      <w:r>
        <w:rPr>
          <w:rStyle w:val="34"/>
          <w:rFonts w:hint="eastAsia"/>
          <w:sz w:val="28"/>
          <w:szCs w:val="28"/>
        </w:rPr>
        <w:t>保障措施</w:t>
      </w:r>
      <w:r>
        <w:rPr>
          <w:rStyle w:val="34"/>
          <w:sz w:val="28"/>
          <w:szCs w:val="28"/>
        </w:rPr>
        <w:tab/>
      </w:r>
      <w:r>
        <w:fldChar w:fldCharType="begin"/>
      </w:r>
      <w:r>
        <w:rPr>
          <w:rStyle w:val="34"/>
          <w:sz w:val="28"/>
          <w:szCs w:val="28"/>
        </w:rPr>
        <w:instrText xml:space="preserve"> PAGEREF _Toc78381476 \h </w:instrText>
      </w:r>
      <w:r>
        <w:fldChar w:fldCharType="separate"/>
      </w:r>
      <w:r>
        <w:rPr>
          <w:rStyle w:val="34"/>
          <w:sz w:val="28"/>
          <w:szCs w:val="28"/>
        </w:rPr>
        <w:t>- 67 -</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"_Toc78381477" </w:instrText>
      </w:r>
      <w:r>
        <w:fldChar w:fldCharType="separate"/>
      </w:r>
      <w:r>
        <w:rPr>
          <w:rStyle w:val="34"/>
          <w:b w:val="0"/>
          <w:sz w:val="28"/>
          <w:szCs w:val="28"/>
        </w:rPr>
        <w:t xml:space="preserve">6.1 </w:t>
      </w:r>
      <w:r>
        <w:rPr>
          <w:rStyle w:val="34"/>
          <w:rFonts w:hint="eastAsia"/>
          <w:b w:val="0"/>
          <w:sz w:val="28"/>
          <w:szCs w:val="28"/>
        </w:rPr>
        <w:t>组织保障</w:t>
      </w:r>
      <w:r>
        <w:rPr>
          <w:rStyle w:val="34"/>
          <w:b w:val="0"/>
          <w:sz w:val="28"/>
          <w:szCs w:val="28"/>
        </w:rPr>
        <w:tab/>
      </w:r>
      <w:r>
        <w:fldChar w:fldCharType="begin"/>
      </w:r>
      <w:r>
        <w:rPr>
          <w:rStyle w:val="34"/>
          <w:b w:val="0"/>
          <w:sz w:val="28"/>
          <w:szCs w:val="28"/>
        </w:rPr>
        <w:instrText xml:space="preserve"> PAGEREF _Toc78381477 \h </w:instrText>
      </w:r>
      <w:r>
        <w:fldChar w:fldCharType="separate"/>
      </w:r>
      <w:r>
        <w:rPr>
          <w:rStyle w:val="34"/>
          <w:b w:val="0"/>
          <w:sz w:val="28"/>
          <w:szCs w:val="28"/>
        </w:rPr>
        <w:t>- 67 -</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"_Toc78381478" </w:instrText>
      </w:r>
      <w:r>
        <w:fldChar w:fldCharType="separate"/>
      </w:r>
      <w:r>
        <w:rPr>
          <w:rStyle w:val="34"/>
          <w:b w:val="0"/>
          <w:sz w:val="28"/>
          <w:szCs w:val="28"/>
        </w:rPr>
        <w:t xml:space="preserve">6.2 </w:t>
      </w:r>
      <w:r>
        <w:rPr>
          <w:rStyle w:val="34"/>
          <w:rFonts w:hint="eastAsia"/>
          <w:b w:val="0"/>
          <w:sz w:val="28"/>
          <w:szCs w:val="28"/>
        </w:rPr>
        <w:t>法制保障</w:t>
      </w:r>
      <w:r>
        <w:rPr>
          <w:rStyle w:val="34"/>
          <w:b w:val="0"/>
          <w:sz w:val="28"/>
          <w:szCs w:val="28"/>
        </w:rPr>
        <w:tab/>
      </w:r>
      <w:r>
        <w:fldChar w:fldCharType="begin"/>
      </w:r>
      <w:r>
        <w:rPr>
          <w:rStyle w:val="34"/>
          <w:b w:val="0"/>
          <w:sz w:val="28"/>
          <w:szCs w:val="28"/>
        </w:rPr>
        <w:instrText xml:space="preserve"> PAGEREF _Toc78381478 \h </w:instrText>
      </w:r>
      <w:r>
        <w:fldChar w:fldCharType="separate"/>
      </w:r>
      <w:r>
        <w:rPr>
          <w:rStyle w:val="34"/>
          <w:b w:val="0"/>
          <w:sz w:val="28"/>
          <w:szCs w:val="28"/>
        </w:rPr>
        <w:t>- 67 -</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"_Toc78381479" </w:instrText>
      </w:r>
      <w:r>
        <w:fldChar w:fldCharType="separate"/>
      </w:r>
      <w:r>
        <w:rPr>
          <w:rStyle w:val="34"/>
          <w:b w:val="0"/>
          <w:sz w:val="28"/>
          <w:szCs w:val="28"/>
        </w:rPr>
        <w:t xml:space="preserve">6.3 </w:t>
      </w:r>
      <w:r>
        <w:rPr>
          <w:rStyle w:val="34"/>
          <w:rFonts w:hint="eastAsia"/>
          <w:b w:val="0"/>
          <w:sz w:val="28"/>
          <w:szCs w:val="28"/>
        </w:rPr>
        <w:t>政策保障</w:t>
      </w:r>
      <w:r>
        <w:rPr>
          <w:rStyle w:val="34"/>
          <w:b w:val="0"/>
          <w:sz w:val="28"/>
          <w:szCs w:val="28"/>
        </w:rPr>
        <w:tab/>
      </w:r>
      <w:r>
        <w:fldChar w:fldCharType="begin"/>
      </w:r>
      <w:r>
        <w:rPr>
          <w:rStyle w:val="34"/>
          <w:b w:val="0"/>
          <w:sz w:val="28"/>
          <w:szCs w:val="28"/>
        </w:rPr>
        <w:instrText xml:space="preserve"> PAGEREF _Toc78381479 \h </w:instrText>
      </w:r>
      <w:r>
        <w:fldChar w:fldCharType="separate"/>
      </w:r>
      <w:r>
        <w:rPr>
          <w:rStyle w:val="34"/>
          <w:b w:val="0"/>
          <w:sz w:val="28"/>
          <w:szCs w:val="28"/>
        </w:rPr>
        <w:t>- 68 -</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b w:val="0"/>
          <w:sz w:val="28"/>
          <w:szCs w:val="28"/>
        </w:rPr>
      </w:pPr>
      <w:r>
        <w:fldChar w:fldCharType="begin"/>
      </w:r>
      <w:r>
        <w:instrText xml:space="preserve"> HYPERLINK "file:///D:\\工作文件夹\\（规财）文件\\2019.10（局十四五规划）\\B---规划处初稿的修改\\2021.7.30\\《湖南省" \l "_Toc78381480" </w:instrText>
      </w:r>
      <w:r>
        <w:fldChar w:fldCharType="separate"/>
      </w:r>
      <w:r>
        <w:rPr>
          <w:rStyle w:val="34"/>
          <w:b w:val="0"/>
          <w:sz w:val="28"/>
          <w:szCs w:val="28"/>
        </w:rPr>
        <w:t xml:space="preserve">6.4 </w:t>
      </w:r>
      <w:r>
        <w:rPr>
          <w:rStyle w:val="34"/>
          <w:rFonts w:hint="eastAsia"/>
          <w:b w:val="0"/>
          <w:sz w:val="28"/>
          <w:szCs w:val="28"/>
        </w:rPr>
        <w:t>资金保障</w:t>
      </w:r>
      <w:r>
        <w:rPr>
          <w:rStyle w:val="34"/>
          <w:b w:val="0"/>
          <w:sz w:val="28"/>
          <w:szCs w:val="28"/>
        </w:rPr>
        <w:tab/>
      </w:r>
      <w:r>
        <w:fldChar w:fldCharType="begin"/>
      </w:r>
      <w:r>
        <w:rPr>
          <w:rStyle w:val="34"/>
          <w:b w:val="0"/>
          <w:sz w:val="28"/>
          <w:szCs w:val="28"/>
        </w:rPr>
        <w:instrText xml:space="preserve"> PAGEREF _Toc78381480 \h </w:instrText>
      </w:r>
      <w:r>
        <w:fldChar w:fldCharType="separate"/>
      </w:r>
      <w:r>
        <w:rPr>
          <w:rStyle w:val="34"/>
          <w:b w:val="0"/>
          <w:sz w:val="28"/>
          <w:szCs w:val="28"/>
        </w:rPr>
        <w:t>- 69 -</w:t>
      </w:r>
      <w:r>
        <w:fldChar w:fldCharType="end"/>
      </w:r>
      <w:r>
        <w:fldChar w:fldCharType="end"/>
      </w:r>
    </w:p>
    <w:p>
      <w:pPr>
        <w:pStyle w:val="26"/>
        <w:tabs>
          <w:tab w:val="right" w:leader="dot" w:pos="8494"/>
        </w:tabs>
        <w:spacing w:line="560" w:lineRule="exact"/>
        <w:ind w:left="0" w:firstLine="301" w:firstLineChars="100"/>
        <w:rPr>
          <w:rFonts w:ascii="Times New Roman" w:hAnsi="Times New Roman" w:eastAsia="仿宋_GB2312"/>
          <w:sz w:val="28"/>
          <w:szCs w:val="28"/>
        </w:rPr>
      </w:pPr>
      <w:r>
        <w:fldChar w:fldCharType="begin"/>
      </w:r>
      <w:r>
        <w:instrText xml:space="preserve"> HYPERLINK "file:///D:\\工作文件夹\\（规财）文件\\2019.10（局十四五规划）\\B---规划处初稿的修改\\2021.7.30\\《湖南省" \l "_Toc78381481" </w:instrText>
      </w:r>
      <w:r>
        <w:fldChar w:fldCharType="separate"/>
      </w:r>
      <w:r>
        <w:rPr>
          <w:rStyle w:val="34"/>
          <w:b w:val="0"/>
          <w:sz w:val="28"/>
          <w:szCs w:val="28"/>
        </w:rPr>
        <w:t xml:space="preserve">6.5 </w:t>
      </w:r>
      <w:r>
        <w:rPr>
          <w:rStyle w:val="34"/>
          <w:rFonts w:hint="eastAsia"/>
          <w:b w:val="0"/>
          <w:sz w:val="28"/>
          <w:szCs w:val="28"/>
        </w:rPr>
        <w:t>技术保障</w:t>
      </w:r>
      <w:r>
        <w:rPr>
          <w:rStyle w:val="34"/>
          <w:b w:val="0"/>
          <w:sz w:val="28"/>
          <w:szCs w:val="28"/>
        </w:rPr>
        <w:tab/>
      </w:r>
      <w:r>
        <w:fldChar w:fldCharType="begin"/>
      </w:r>
      <w:r>
        <w:rPr>
          <w:rStyle w:val="34"/>
          <w:b w:val="0"/>
          <w:sz w:val="28"/>
          <w:szCs w:val="28"/>
        </w:rPr>
        <w:instrText xml:space="preserve"> PAGEREF _Toc78381481 \h </w:instrText>
      </w:r>
      <w:r>
        <w:fldChar w:fldCharType="separate"/>
      </w:r>
      <w:r>
        <w:rPr>
          <w:rStyle w:val="34"/>
          <w:b w:val="0"/>
          <w:sz w:val="28"/>
          <w:szCs w:val="28"/>
        </w:rPr>
        <w:t>- 69 -</w:t>
      </w:r>
      <w:r>
        <w:fldChar w:fldCharType="end"/>
      </w:r>
      <w:r>
        <w:fldChar w:fldCharType="end"/>
      </w:r>
      <w:r>
        <w:fldChar w:fldCharType="end"/>
      </w:r>
    </w:p>
    <w:p>
      <w:pPr>
        <w:widowControl/>
        <w:jc w:val="left"/>
        <w:rPr>
          <w:rFonts w:eastAsia="方正小标宋简体"/>
          <w:bCs/>
          <w:sz w:val="36"/>
          <w:szCs w:val="36"/>
          <w:lang w:val="zh-CN"/>
        </w:rPr>
        <w:sectPr>
          <w:pgSz w:w="11906" w:h="16838"/>
          <w:pgMar w:top="1418" w:right="1701" w:bottom="1418" w:left="1701" w:header="851" w:footer="992" w:gutter="0"/>
          <w:pgNumType w:fmt="upperRoman" w:start="1"/>
          <w:cols w:space="720" w:num="1"/>
          <w:docGrid w:type="lines" w:linePitch="312" w:charSpace="0"/>
        </w:sectPr>
      </w:pPr>
    </w:p>
    <w:p>
      <w:pPr>
        <w:pStyle w:val="2"/>
        <w:spacing w:after="312"/>
        <w:rPr>
          <w:rFonts w:ascii="Times New Roman" w:hAnsi="Times New Roman" w:cs="Times New Roman"/>
          <w:sz w:val="36"/>
          <w:szCs w:val="36"/>
        </w:rPr>
      </w:pPr>
      <w:bookmarkStart w:id="2" w:name="_Toc78381384"/>
      <w:r>
        <w:rPr>
          <w:rFonts w:hint="eastAsia" w:ascii="Times New Roman" w:hAnsi="Times New Roman"/>
          <w:sz w:val="36"/>
          <w:szCs w:val="36"/>
        </w:rPr>
        <w:t>第一章</w:t>
      </w:r>
      <w:r>
        <w:rPr>
          <w:rFonts w:ascii="Times New Roman" w:hAnsi="Times New Roman" w:cs="Times New Roman"/>
          <w:sz w:val="36"/>
          <w:szCs w:val="36"/>
        </w:rPr>
        <w:t xml:space="preserve">  </w:t>
      </w:r>
      <w:r>
        <w:rPr>
          <w:rFonts w:hint="eastAsia" w:ascii="Times New Roman" w:hAnsi="Times New Roman"/>
          <w:sz w:val="36"/>
          <w:szCs w:val="36"/>
        </w:rPr>
        <w:t>“十三五”回顾</w:t>
      </w:r>
      <w:bookmarkEnd w:id="1"/>
      <w:bookmarkEnd w:id="2"/>
    </w:p>
    <w:p>
      <w:pPr>
        <w:pStyle w:val="4"/>
        <w:ind w:firstLine="640" w:firstLineChars="200"/>
        <w:rPr>
          <w:rFonts w:ascii="Times New Roman" w:hAnsi="Times New Roman" w:eastAsia="黑体" w:cs="Times New Roman"/>
          <w:sz w:val="32"/>
          <w:szCs w:val="32"/>
        </w:rPr>
      </w:pPr>
      <w:bookmarkStart w:id="3" w:name="_Toc78381385"/>
      <w:bookmarkStart w:id="4" w:name="_Toc78296728"/>
      <w:bookmarkStart w:id="5" w:name="_Toc40077713"/>
      <w:bookmarkStart w:id="6" w:name="_Toc39852066"/>
      <w:r>
        <w:rPr>
          <w:rFonts w:ascii="Times New Roman" w:hAnsi="Times New Roman" w:eastAsia="黑体" w:cs="Times New Roman"/>
          <w:sz w:val="32"/>
          <w:szCs w:val="32"/>
        </w:rPr>
        <w:t xml:space="preserve">1.1 </w:t>
      </w:r>
      <w:r>
        <w:rPr>
          <w:rFonts w:hint="eastAsia" w:ascii="Times New Roman" w:hAnsi="Times New Roman" w:eastAsia="黑体"/>
          <w:sz w:val="32"/>
          <w:szCs w:val="32"/>
        </w:rPr>
        <w:t>建设成效</w:t>
      </w:r>
      <w:bookmarkEnd w:id="3"/>
      <w:bookmarkEnd w:id="4"/>
    </w:p>
    <w:p>
      <w:pPr>
        <w:pStyle w:val="6"/>
        <w:ind w:firstLine="643" w:firstLineChars="200"/>
        <w:rPr>
          <w:rStyle w:val="30"/>
          <w:rFonts w:eastAsia="楷体"/>
          <w:b w:val="0"/>
        </w:rPr>
      </w:pPr>
      <w:bookmarkStart w:id="7" w:name="_Toc78381386"/>
      <w:r>
        <w:rPr>
          <w:rStyle w:val="30"/>
          <w:rFonts w:eastAsia="楷体"/>
        </w:rPr>
        <w:t xml:space="preserve">1.1.1 </w:t>
      </w:r>
      <w:r>
        <w:rPr>
          <w:rStyle w:val="30"/>
          <w:rFonts w:hint="eastAsia" w:eastAsia="楷体"/>
        </w:rPr>
        <w:t>主要任务指标全部完成</w:t>
      </w:r>
      <w:bookmarkEnd w:id="7"/>
    </w:p>
    <w:p>
      <w:pPr>
        <w:pStyle w:val="93"/>
        <w:spacing w:line="560" w:lineRule="exact"/>
        <w:ind w:firstLine="640"/>
        <w:rPr>
          <w:sz w:val="32"/>
          <w:szCs w:val="32"/>
        </w:rPr>
      </w:pPr>
      <w:r>
        <w:rPr>
          <w:sz w:val="32"/>
          <w:szCs w:val="32"/>
        </w:rPr>
        <w:t>“</w:t>
      </w:r>
      <w:r>
        <w:rPr>
          <w:rFonts w:hint="eastAsia"/>
          <w:sz w:val="32"/>
          <w:szCs w:val="32"/>
        </w:rPr>
        <w:t>十三五</w:t>
      </w:r>
      <w:r>
        <w:rPr>
          <w:sz w:val="32"/>
          <w:szCs w:val="32"/>
        </w:rPr>
        <w:t>”</w:t>
      </w:r>
      <w:r>
        <w:rPr>
          <w:rFonts w:hint="eastAsia"/>
          <w:sz w:val="32"/>
          <w:szCs w:val="32"/>
        </w:rPr>
        <w:t>期间，全省林业系统深入贯彻习近平生态文明思想，全面推进生态保护、生态修复、生态惠民，圆满完成了《湖南林业发展</w:t>
      </w:r>
      <w:r>
        <w:rPr>
          <w:sz w:val="32"/>
          <w:szCs w:val="32"/>
        </w:rPr>
        <w:t>“</w:t>
      </w:r>
      <w:r>
        <w:rPr>
          <w:rFonts w:hint="eastAsia"/>
          <w:sz w:val="32"/>
          <w:szCs w:val="32"/>
        </w:rPr>
        <w:t>十三五</w:t>
      </w:r>
      <w:r>
        <w:rPr>
          <w:sz w:val="32"/>
          <w:szCs w:val="32"/>
        </w:rPr>
        <w:t>”</w:t>
      </w:r>
      <w:r>
        <w:rPr>
          <w:rFonts w:hint="eastAsia"/>
          <w:sz w:val="32"/>
          <w:szCs w:val="32"/>
        </w:rPr>
        <w:t>规划》所制订的规划目标和工作任务。至规划期末，森林覆盖率由</w:t>
      </w:r>
      <w:r>
        <w:rPr>
          <w:sz w:val="32"/>
          <w:szCs w:val="32"/>
        </w:rPr>
        <w:t>59.57%</w:t>
      </w:r>
      <w:r>
        <w:rPr>
          <w:rFonts w:hint="eastAsia"/>
          <w:sz w:val="32"/>
          <w:szCs w:val="32"/>
        </w:rPr>
        <w:t>增加到</w:t>
      </w:r>
      <w:r>
        <w:rPr>
          <w:sz w:val="32"/>
          <w:szCs w:val="32"/>
        </w:rPr>
        <w:t>59.96%</w:t>
      </w:r>
      <w:r>
        <w:rPr>
          <w:rFonts w:hint="eastAsia"/>
          <w:sz w:val="32"/>
          <w:szCs w:val="32"/>
        </w:rPr>
        <w:t>，增长</w:t>
      </w:r>
      <w:r>
        <w:rPr>
          <w:sz w:val="32"/>
          <w:szCs w:val="32"/>
        </w:rPr>
        <w:t>0.39%</w:t>
      </w:r>
      <w:r>
        <w:rPr>
          <w:rFonts w:hint="eastAsia"/>
          <w:sz w:val="32"/>
          <w:szCs w:val="32"/>
        </w:rPr>
        <w:t>；森林蓄积量由</w:t>
      </w:r>
      <w:r>
        <w:rPr>
          <w:sz w:val="32"/>
          <w:szCs w:val="32"/>
        </w:rPr>
        <w:t>5.05</w:t>
      </w:r>
      <w:r>
        <w:rPr>
          <w:rFonts w:hint="eastAsia"/>
          <w:sz w:val="32"/>
          <w:szCs w:val="32"/>
        </w:rPr>
        <w:t>亿立方米增加到</w:t>
      </w:r>
      <w:r>
        <w:rPr>
          <w:sz w:val="32"/>
          <w:szCs w:val="32"/>
        </w:rPr>
        <w:t>5.88</w:t>
      </w:r>
      <w:r>
        <w:rPr>
          <w:rFonts w:hint="eastAsia"/>
          <w:sz w:val="32"/>
          <w:szCs w:val="32"/>
        </w:rPr>
        <w:t>亿立方米，增长</w:t>
      </w:r>
      <w:r>
        <w:rPr>
          <w:sz w:val="32"/>
          <w:szCs w:val="32"/>
        </w:rPr>
        <w:t>16.44%</w:t>
      </w:r>
      <w:r>
        <w:rPr>
          <w:rFonts w:hint="eastAsia"/>
          <w:sz w:val="32"/>
          <w:szCs w:val="32"/>
        </w:rPr>
        <w:t>；林业产业总产值由</w:t>
      </w:r>
      <w:r>
        <w:rPr>
          <w:sz w:val="32"/>
          <w:szCs w:val="32"/>
        </w:rPr>
        <w:t>3225</w:t>
      </w:r>
      <w:r>
        <w:rPr>
          <w:rFonts w:hint="eastAsia"/>
          <w:sz w:val="32"/>
          <w:szCs w:val="32"/>
        </w:rPr>
        <w:t>亿元增加到</w:t>
      </w:r>
      <w:r>
        <w:rPr>
          <w:sz w:val="32"/>
          <w:szCs w:val="32"/>
        </w:rPr>
        <w:t>5099</w:t>
      </w:r>
      <w:r>
        <w:rPr>
          <w:rFonts w:hint="eastAsia"/>
          <w:sz w:val="32"/>
          <w:szCs w:val="32"/>
        </w:rPr>
        <w:t>亿元，增长</w:t>
      </w:r>
      <w:r>
        <w:rPr>
          <w:sz w:val="32"/>
          <w:szCs w:val="32"/>
        </w:rPr>
        <w:t>58.11%</w:t>
      </w:r>
      <w:r>
        <w:rPr>
          <w:rFonts w:hint="eastAsia"/>
          <w:sz w:val="32"/>
          <w:szCs w:val="32"/>
        </w:rPr>
        <w:t>；森林火灾受害率控制在</w:t>
      </w:r>
      <w:r>
        <w:rPr>
          <w:sz w:val="32"/>
          <w:szCs w:val="32"/>
        </w:rPr>
        <w:t>0.9‰</w:t>
      </w:r>
      <w:r>
        <w:rPr>
          <w:rFonts w:hint="eastAsia"/>
          <w:sz w:val="32"/>
          <w:szCs w:val="32"/>
        </w:rPr>
        <w:t>以内；林业有害生物成灾率控制在国家下达的指标之内。全国</w:t>
      </w:r>
      <w:r>
        <w:rPr>
          <w:sz w:val="32"/>
          <w:szCs w:val="32"/>
        </w:rPr>
        <w:t>100</w:t>
      </w:r>
      <w:r>
        <w:rPr>
          <w:rFonts w:hint="eastAsia"/>
          <w:sz w:val="32"/>
          <w:szCs w:val="32"/>
        </w:rPr>
        <w:t>个区域重点生态保护修复项目中涉及湖南的</w:t>
      </w:r>
      <w:r>
        <w:rPr>
          <w:sz w:val="32"/>
          <w:szCs w:val="32"/>
        </w:rPr>
        <w:t>7</w:t>
      </w:r>
      <w:r>
        <w:rPr>
          <w:rFonts w:hint="eastAsia"/>
          <w:sz w:val="32"/>
          <w:szCs w:val="32"/>
        </w:rPr>
        <w:t>大项目结合国家重大工程或本省工程项目持续推进。各项工作实现了稳中有进、进中向好，为实现高质量保护修复、高质量绿色发展、高质量改革创新、高质量机制保障奠定了基础。</w:t>
      </w:r>
    </w:p>
    <w:p>
      <w:pPr>
        <w:pStyle w:val="6"/>
        <w:ind w:firstLine="643" w:firstLineChars="200"/>
        <w:rPr>
          <w:rStyle w:val="30"/>
          <w:rFonts w:eastAsia="楷体"/>
          <w:b w:val="0"/>
        </w:rPr>
      </w:pPr>
      <w:bookmarkStart w:id="8" w:name="_Toc78381387"/>
      <w:r>
        <w:rPr>
          <w:rStyle w:val="30"/>
          <w:rFonts w:eastAsia="楷体"/>
        </w:rPr>
        <w:t xml:space="preserve">1.1.2 </w:t>
      </w:r>
      <w:r>
        <w:rPr>
          <w:rStyle w:val="30"/>
          <w:rFonts w:hint="eastAsia" w:eastAsia="楷体"/>
        </w:rPr>
        <w:t>重大战略任务全面推进</w:t>
      </w:r>
      <w:bookmarkEnd w:id="8"/>
    </w:p>
    <w:p>
      <w:pPr>
        <w:pStyle w:val="93"/>
        <w:spacing w:line="560" w:lineRule="exact"/>
        <w:ind w:firstLine="640"/>
        <w:rPr>
          <w:sz w:val="32"/>
          <w:szCs w:val="32"/>
        </w:rPr>
      </w:pPr>
      <w:r>
        <w:rPr>
          <w:rFonts w:hint="eastAsia"/>
          <w:bCs/>
          <w:sz w:val="32"/>
          <w:szCs w:val="32"/>
        </w:rPr>
        <w:t>一是构建</w:t>
      </w:r>
      <w:r>
        <w:rPr>
          <w:bCs/>
          <w:sz w:val="32"/>
          <w:szCs w:val="32"/>
        </w:rPr>
        <w:t>“</w:t>
      </w:r>
      <w:r>
        <w:rPr>
          <w:rFonts w:hint="eastAsia"/>
          <w:bCs/>
          <w:sz w:val="32"/>
          <w:szCs w:val="32"/>
        </w:rPr>
        <w:t>一江一湖三山四水</w:t>
      </w:r>
      <w:r>
        <w:rPr>
          <w:bCs/>
          <w:sz w:val="32"/>
          <w:szCs w:val="32"/>
        </w:rPr>
        <w:t>”</w:t>
      </w:r>
      <w:r>
        <w:rPr>
          <w:rFonts w:hint="eastAsia"/>
          <w:bCs/>
          <w:sz w:val="32"/>
          <w:szCs w:val="32"/>
        </w:rPr>
        <w:t>生态屏障。</w:t>
      </w:r>
      <w:r>
        <w:rPr>
          <w:rFonts w:hint="eastAsia"/>
          <w:sz w:val="32"/>
          <w:szCs w:val="32"/>
        </w:rPr>
        <w:t>开展洞庭湖生态环境专项整治。截止</w:t>
      </w:r>
      <w:r>
        <w:rPr>
          <w:sz w:val="32"/>
          <w:szCs w:val="32"/>
        </w:rPr>
        <w:t>2020</w:t>
      </w:r>
      <w:r>
        <w:rPr>
          <w:rFonts w:hint="eastAsia"/>
          <w:sz w:val="32"/>
          <w:szCs w:val="32"/>
        </w:rPr>
        <w:t>年底共清退洞庭湖自然保护区杨树面积</w:t>
      </w:r>
      <w:r>
        <w:rPr>
          <w:sz w:val="32"/>
          <w:szCs w:val="32"/>
          <w:lang w:val="en-US"/>
        </w:rPr>
        <w:t>2.57</w:t>
      </w:r>
      <w:r>
        <w:rPr>
          <w:rFonts w:hint="eastAsia"/>
          <w:sz w:val="32"/>
          <w:szCs w:val="32"/>
        </w:rPr>
        <w:t>万公顷。进一步加强国土绿化和森林经营。全省累计完成人工造林</w:t>
      </w:r>
      <w:r>
        <w:rPr>
          <w:sz w:val="32"/>
          <w:szCs w:val="32"/>
        </w:rPr>
        <w:t>88.07</w:t>
      </w:r>
      <w:r>
        <w:rPr>
          <w:rFonts w:hint="eastAsia"/>
          <w:sz w:val="32"/>
          <w:szCs w:val="32"/>
        </w:rPr>
        <w:t>万公顷，封山育林</w:t>
      </w:r>
      <w:r>
        <w:rPr>
          <w:sz w:val="32"/>
          <w:szCs w:val="32"/>
        </w:rPr>
        <w:t>84.08</w:t>
      </w:r>
      <w:r>
        <w:rPr>
          <w:rFonts w:hint="eastAsia"/>
          <w:sz w:val="32"/>
          <w:szCs w:val="32"/>
        </w:rPr>
        <w:t>万公顷，退化林修复</w:t>
      </w:r>
      <w:r>
        <w:rPr>
          <w:sz w:val="32"/>
          <w:szCs w:val="32"/>
        </w:rPr>
        <w:t>94.43</w:t>
      </w:r>
      <w:r>
        <w:rPr>
          <w:rFonts w:hint="eastAsia"/>
          <w:sz w:val="32"/>
          <w:szCs w:val="32"/>
        </w:rPr>
        <w:t>万公顷，森林抚育面积</w:t>
      </w:r>
      <w:r>
        <w:rPr>
          <w:sz w:val="32"/>
          <w:szCs w:val="32"/>
        </w:rPr>
        <w:t>264.68</w:t>
      </w:r>
      <w:r>
        <w:rPr>
          <w:rFonts w:hint="eastAsia"/>
          <w:sz w:val="32"/>
          <w:szCs w:val="32"/>
        </w:rPr>
        <w:t>万公顷。推进湘、资、沅、澧联治。以湘江治理为重点，系统推进资江、沅江、澧水流域水污染治理、水生态修复、水资源保护。不断加大“一湖四水”全流域省级以上湿地公园的保护力度。</w:t>
      </w:r>
      <w:r>
        <w:rPr>
          <w:rFonts w:hint="eastAsia"/>
          <w:bCs/>
          <w:sz w:val="32"/>
          <w:szCs w:val="32"/>
        </w:rPr>
        <w:t>二是做优做强林业产业。健全现代林业产业体系，全力助推乡村振兴，加快推进林业现代化。着力培育油茶、竹木、生态旅游和森林康养、林下经济、花卉苗木五大千亿级产业。三是大力推进创新驱动。不断扩大全省碳汇林面积，进一步探索区域森林生态补偿机制。借助市场机制和法律手段，初步建立起符合国际规则与中国实际的技术支撑体系，形成了较为完善的碳汇计量和监测体系。科技创新成效显著，取得省级以上科技成果</w:t>
      </w:r>
      <w:r>
        <w:rPr>
          <w:bCs/>
          <w:sz w:val="32"/>
          <w:szCs w:val="32"/>
        </w:rPr>
        <w:t>150</w:t>
      </w:r>
      <w:r>
        <w:rPr>
          <w:rFonts w:hint="eastAsia"/>
          <w:bCs/>
          <w:sz w:val="32"/>
          <w:szCs w:val="32"/>
        </w:rPr>
        <w:t>多项、科技奖励</w:t>
      </w:r>
      <w:r>
        <w:rPr>
          <w:bCs/>
          <w:sz w:val="32"/>
          <w:szCs w:val="32"/>
        </w:rPr>
        <w:t>114</w:t>
      </w:r>
      <w:r>
        <w:rPr>
          <w:rFonts w:hint="eastAsia"/>
          <w:bCs/>
          <w:sz w:val="32"/>
          <w:szCs w:val="32"/>
        </w:rPr>
        <w:t>项，其中获省部级科技奖励一等奖</w:t>
      </w:r>
      <w:r>
        <w:rPr>
          <w:bCs/>
          <w:sz w:val="32"/>
          <w:szCs w:val="32"/>
        </w:rPr>
        <w:t>14</w:t>
      </w:r>
      <w:r>
        <w:rPr>
          <w:rFonts w:hint="eastAsia"/>
          <w:bCs/>
          <w:sz w:val="32"/>
          <w:szCs w:val="32"/>
        </w:rPr>
        <w:t>项；获批省部共建木本油料资源利用国家重点实验室、国家林草局与省政府共建</w:t>
      </w:r>
      <w:r>
        <w:rPr>
          <w:bCs/>
          <w:sz w:val="32"/>
          <w:szCs w:val="32"/>
        </w:rPr>
        <w:t>“</w:t>
      </w:r>
      <w:r>
        <w:rPr>
          <w:rFonts w:hint="eastAsia"/>
          <w:bCs/>
          <w:sz w:val="32"/>
          <w:szCs w:val="32"/>
        </w:rPr>
        <w:t>中国油茶科创谷</w:t>
      </w:r>
      <w:r>
        <w:rPr>
          <w:bCs/>
          <w:sz w:val="32"/>
          <w:szCs w:val="32"/>
        </w:rPr>
        <w:t>”</w:t>
      </w:r>
      <w:r>
        <w:rPr>
          <w:rFonts w:hint="eastAsia"/>
          <w:bCs/>
          <w:sz w:val="32"/>
          <w:szCs w:val="32"/>
        </w:rPr>
        <w:t>等国家级创新平台</w:t>
      </w:r>
      <w:r>
        <w:rPr>
          <w:bCs/>
          <w:sz w:val="32"/>
          <w:szCs w:val="32"/>
        </w:rPr>
        <w:t>4</w:t>
      </w:r>
      <w:r>
        <w:rPr>
          <w:rFonts w:hint="eastAsia"/>
          <w:bCs/>
          <w:sz w:val="32"/>
          <w:szCs w:val="32"/>
        </w:rPr>
        <w:t>个；标准体系不断完善，有效促进林草提质增效。四是切实加强依法治林。依法及时调整行政权力事项清单，梳理责任事项清单，对责任事项明确了责任处室和对象范围，并在省政府一体化平台公布。《湖南省森林公园条例》《湖南省森林防火若干规定》，《长株潭城市群生态绿心地区保护条例》（修订）、《湖南省实施〈中华人民共和国种子法〉办法》（修订）、《湖南省野生动植物资源保护条例》（修订）等一系列林业法规陆续出台，林业普法工作持续加强。</w:t>
      </w:r>
    </w:p>
    <w:p>
      <w:pPr>
        <w:pStyle w:val="6"/>
        <w:ind w:firstLine="643" w:firstLineChars="200"/>
        <w:rPr>
          <w:rStyle w:val="30"/>
          <w:rFonts w:eastAsia="楷体"/>
          <w:b w:val="0"/>
        </w:rPr>
      </w:pPr>
      <w:bookmarkStart w:id="9" w:name="_Toc78381388"/>
      <w:r>
        <w:rPr>
          <w:rStyle w:val="30"/>
          <w:rFonts w:eastAsia="楷体"/>
        </w:rPr>
        <w:t xml:space="preserve">1.1.3 </w:t>
      </w:r>
      <w:r>
        <w:rPr>
          <w:rStyle w:val="30"/>
          <w:rFonts w:hint="eastAsia" w:eastAsia="楷体"/>
        </w:rPr>
        <w:t>重大改革任务全面落实</w:t>
      </w:r>
      <w:bookmarkEnd w:id="9"/>
    </w:p>
    <w:p>
      <w:pPr>
        <w:pStyle w:val="93"/>
        <w:spacing w:line="560" w:lineRule="exact"/>
        <w:ind w:firstLine="640"/>
        <w:rPr>
          <w:sz w:val="32"/>
          <w:szCs w:val="32"/>
        </w:rPr>
      </w:pPr>
      <w:r>
        <w:rPr>
          <w:rFonts w:hint="eastAsia"/>
          <w:bCs/>
          <w:sz w:val="32"/>
          <w:szCs w:val="32"/>
        </w:rPr>
        <w:t>一是集体林权制度改革不断深化。集体林地“三权分置”试点取得成效，林权权益保护不断加强，全省集体林地确权率、发证率分别达</w:t>
      </w:r>
      <w:r>
        <w:rPr>
          <w:bCs/>
          <w:sz w:val="32"/>
          <w:szCs w:val="32"/>
        </w:rPr>
        <w:t>97.8%</w:t>
      </w:r>
      <w:r>
        <w:rPr>
          <w:rFonts w:hint="eastAsia"/>
          <w:bCs/>
          <w:sz w:val="32"/>
          <w:szCs w:val="32"/>
        </w:rPr>
        <w:t>和</w:t>
      </w:r>
      <w:r>
        <w:rPr>
          <w:bCs/>
          <w:sz w:val="32"/>
          <w:szCs w:val="32"/>
        </w:rPr>
        <w:t>95.3%</w:t>
      </w:r>
      <w:r>
        <w:rPr>
          <w:rFonts w:hint="eastAsia"/>
          <w:bCs/>
          <w:sz w:val="32"/>
          <w:szCs w:val="32"/>
        </w:rPr>
        <w:t>。建立了工商资本参与林权流转的准入和监管制度，集体林权流转交易纳入了公共资源交易目录，林权流转交易更加规范；开展了家庭林场和省级林业示范社认定工作，新型林业经营主体蓬勃发展；怀化市、浏阳市成功创建了国家集体林业综合改革试验区，一批改革经验做法被国家林草局认可和推广。二是全力助推国有林场改革。</w:t>
      </w:r>
      <w:r>
        <w:rPr>
          <w:rFonts w:hint="eastAsia"/>
          <w:sz w:val="32"/>
          <w:szCs w:val="32"/>
        </w:rPr>
        <w:t>全省</w:t>
      </w:r>
      <w:r>
        <w:rPr>
          <w:sz w:val="32"/>
          <w:szCs w:val="32"/>
        </w:rPr>
        <w:t>216</w:t>
      </w:r>
      <w:r>
        <w:rPr>
          <w:rFonts w:hint="eastAsia"/>
          <w:sz w:val="32"/>
          <w:szCs w:val="32"/>
        </w:rPr>
        <w:t>个国有林场定性为公益性单位，社会保障</w:t>
      </w:r>
      <w:r>
        <w:rPr>
          <w:sz w:val="32"/>
          <w:szCs w:val="32"/>
        </w:rPr>
        <w:t>100%</w:t>
      </w:r>
      <w:r>
        <w:rPr>
          <w:rFonts w:hint="eastAsia"/>
          <w:sz w:val="32"/>
          <w:szCs w:val="32"/>
        </w:rPr>
        <w:t>落实，完成了国有林场阶段性改革任务。</w:t>
      </w:r>
    </w:p>
    <w:p>
      <w:pPr>
        <w:pStyle w:val="6"/>
        <w:ind w:firstLine="643" w:firstLineChars="200"/>
        <w:rPr>
          <w:rStyle w:val="30"/>
          <w:rFonts w:eastAsia="楷体"/>
          <w:b w:val="0"/>
        </w:rPr>
      </w:pPr>
      <w:bookmarkStart w:id="10" w:name="_Toc78381389"/>
      <w:r>
        <w:rPr>
          <w:rStyle w:val="30"/>
          <w:rFonts w:eastAsia="楷体"/>
        </w:rPr>
        <w:t xml:space="preserve">1.1.4 </w:t>
      </w:r>
      <w:r>
        <w:rPr>
          <w:rStyle w:val="30"/>
          <w:rFonts w:hint="eastAsia" w:eastAsia="楷体"/>
        </w:rPr>
        <w:t>林业管服能力全面提升</w:t>
      </w:r>
      <w:bookmarkEnd w:id="10"/>
    </w:p>
    <w:p>
      <w:pPr>
        <w:pStyle w:val="93"/>
        <w:spacing w:line="560" w:lineRule="exact"/>
        <w:ind w:firstLine="640"/>
        <w:rPr>
          <w:sz w:val="32"/>
          <w:szCs w:val="32"/>
        </w:rPr>
      </w:pPr>
      <w:r>
        <w:rPr>
          <w:rFonts w:hint="eastAsia"/>
          <w:bCs/>
          <w:sz w:val="32"/>
          <w:szCs w:val="32"/>
        </w:rPr>
        <w:t>一是再信息化行动稳步推进。编制了林业生态大数据体系建设规划，</w:t>
      </w:r>
      <w:r>
        <w:rPr>
          <w:bCs/>
          <w:sz w:val="32"/>
          <w:szCs w:val="32"/>
        </w:rPr>
        <w:t>“</w:t>
      </w:r>
      <w:r>
        <w:rPr>
          <w:rFonts w:hint="eastAsia"/>
          <w:bCs/>
          <w:sz w:val="32"/>
          <w:szCs w:val="32"/>
        </w:rPr>
        <w:t>互联网</w:t>
      </w:r>
      <w:r>
        <w:rPr>
          <w:bCs/>
          <w:sz w:val="32"/>
          <w:szCs w:val="32"/>
        </w:rPr>
        <w:t>+</w:t>
      </w:r>
      <w:r>
        <w:rPr>
          <w:rFonts w:hint="eastAsia"/>
          <w:bCs/>
          <w:sz w:val="32"/>
          <w:szCs w:val="32"/>
        </w:rPr>
        <w:t>政务服务</w:t>
      </w:r>
      <w:r>
        <w:rPr>
          <w:bCs/>
          <w:sz w:val="32"/>
          <w:szCs w:val="32"/>
        </w:rPr>
        <w:t>”</w:t>
      </w:r>
      <w:r>
        <w:rPr>
          <w:rFonts w:hint="eastAsia"/>
          <w:bCs/>
          <w:sz w:val="32"/>
          <w:szCs w:val="32"/>
        </w:rPr>
        <w:t>一体化平台上线运营。政务公开全面规范，有效提升了政务效率。二是法治化水平持续提升。</w:t>
      </w:r>
      <w:r>
        <w:rPr>
          <w:bCs/>
          <w:sz w:val="32"/>
          <w:szCs w:val="32"/>
        </w:rPr>
        <w:t>21</w:t>
      </w:r>
      <w:r>
        <w:rPr>
          <w:rFonts w:hint="eastAsia"/>
          <w:bCs/>
          <w:sz w:val="32"/>
          <w:szCs w:val="32"/>
        </w:rPr>
        <w:t>件规范性文件顺利出台，立法工作受到省政府法制办通报表扬，普法工作先后获评</w:t>
      </w:r>
      <w:r>
        <w:rPr>
          <w:bCs/>
          <w:sz w:val="32"/>
          <w:szCs w:val="32"/>
        </w:rPr>
        <w:t>2017</w:t>
      </w:r>
      <w:r>
        <w:rPr>
          <w:rFonts w:hint="eastAsia"/>
          <w:bCs/>
          <w:sz w:val="32"/>
          <w:szCs w:val="32"/>
        </w:rPr>
        <w:t>年度省直国家机关</w:t>
      </w:r>
      <w:r>
        <w:rPr>
          <w:bCs/>
          <w:sz w:val="32"/>
          <w:szCs w:val="32"/>
        </w:rPr>
        <w:t>“</w:t>
      </w:r>
      <w:r>
        <w:rPr>
          <w:rFonts w:hint="eastAsia"/>
          <w:bCs/>
          <w:sz w:val="32"/>
          <w:szCs w:val="32"/>
        </w:rPr>
        <w:t>谁执法谁普法</w:t>
      </w:r>
      <w:r>
        <w:rPr>
          <w:bCs/>
          <w:sz w:val="32"/>
          <w:szCs w:val="32"/>
        </w:rPr>
        <w:t>”</w:t>
      </w:r>
      <w:r>
        <w:rPr>
          <w:rFonts w:hint="eastAsia"/>
          <w:bCs/>
          <w:sz w:val="32"/>
          <w:szCs w:val="32"/>
        </w:rPr>
        <w:t>考核优秀单位、全省</w:t>
      </w:r>
      <w:r>
        <w:rPr>
          <w:bCs/>
          <w:sz w:val="32"/>
          <w:szCs w:val="32"/>
        </w:rPr>
        <w:t>“</w:t>
      </w:r>
      <w:r>
        <w:rPr>
          <w:rFonts w:hint="eastAsia"/>
          <w:bCs/>
          <w:sz w:val="32"/>
          <w:szCs w:val="32"/>
        </w:rPr>
        <w:t>七五</w:t>
      </w:r>
      <w:r>
        <w:rPr>
          <w:bCs/>
          <w:sz w:val="32"/>
          <w:szCs w:val="32"/>
        </w:rPr>
        <w:t>”</w:t>
      </w:r>
      <w:r>
        <w:rPr>
          <w:rFonts w:hint="eastAsia"/>
          <w:bCs/>
          <w:sz w:val="32"/>
          <w:szCs w:val="32"/>
        </w:rPr>
        <w:t>普法中期先进单位。三是规范化管理不断完善。项目监管严格规范，政府采购管理实施细则等项目资金管理制度不断完善。四是专业化建设深入开展。</w:t>
      </w:r>
      <w:r>
        <w:rPr>
          <w:rFonts w:hint="eastAsia"/>
          <w:sz w:val="32"/>
          <w:szCs w:val="32"/>
        </w:rPr>
        <w:t>全行业专业能力、专业精神不断提升。</w:t>
      </w:r>
    </w:p>
    <w:p>
      <w:pPr>
        <w:pStyle w:val="4"/>
        <w:ind w:firstLine="640" w:firstLineChars="200"/>
        <w:rPr>
          <w:rFonts w:eastAsia="黑体"/>
          <w:bCs w:val="0"/>
          <w:sz w:val="32"/>
          <w:szCs w:val="32"/>
        </w:rPr>
      </w:pPr>
      <w:bookmarkStart w:id="11" w:name="_Toc78296729"/>
      <w:bookmarkStart w:id="12" w:name="_Toc78381390"/>
      <w:bookmarkStart w:id="13" w:name="_Toc76396467"/>
      <w:r>
        <w:rPr>
          <w:rFonts w:ascii="Times New Roman" w:hAnsi="Times New Roman" w:eastAsia="黑体" w:cs="Times New Roman"/>
          <w:sz w:val="32"/>
          <w:szCs w:val="32"/>
        </w:rPr>
        <w:t xml:space="preserve">1.2 </w:t>
      </w:r>
      <w:r>
        <w:rPr>
          <w:rFonts w:hint="eastAsia" w:eastAsia="黑体"/>
          <w:bCs w:val="0"/>
          <w:sz w:val="32"/>
          <w:szCs w:val="32"/>
        </w:rPr>
        <w:t>主要问题</w:t>
      </w:r>
      <w:bookmarkEnd w:id="11"/>
      <w:bookmarkEnd w:id="12"/>
      <w:bookmarkEnd w:id="13"/>
    </w:p>
    <w:p>
      <w:pPr>
        <w:pStyle w:val="6"/>
        <w:ind w:firstLine="643" w:firstLineChars="200"/>
        <w:rPr>
          <w:rStyle w:val="30"/>
          <w:rFonts w:eastAsia="楷体"/>
          <w:b w:val="0"/>
        </w:rPr>
      </w:pPr>
      <w:bookmarkStart w:id="14" w:name="_Toc78381391"/>
      <w:r>
        <w:rPr>
          <w:rStyle w:val="30"/>
          <w:rFonts w:eastAsia="楷体"/>
        </w:rPr>
        <w:t xml:space="preserve">1.2.1 </w:t>
      </w:r>
      <w:r>
        <w:rPr>
          <w:rStyle w:val="30"/>
          <w:rFonts w:hint="eastAsia" w:eastAsia="楷体"/>
        </w:rPr>
        <w:t>林草资源保护</w:t>
      </w:r>
      <w:bookmarkEnd w:id="14"/>
      <w:r>
        <w:rPr>
          <w:rStyle w:val="30"/>
          <w:rFonts w:hint="eastAsia" w:eastAsia="楷体"/>
        </w:rPr>
        <w:t>待加强</w:t>
      </w:r>
    </w:p>
    <w:p>
      <w:pPr>
        <w:pStyle w:val="93"/>
        <w:spacing w:line="560" w:lineRule="exact"/>
        <w:ind w:firstLine="640"/>
        <w:rPr>
          <w:sz w:val="32"/>
          <w:szCs w:val="32"/>
          <w:lang w:val="en-US"/>
        </w:rPr>
      </w:pPr>
      <w:r>
        <w:rPr>
          <w:rFonts w:hint="eastAsia"/>
          <w:sz w:val="32"/>
          <w:szCs w:val="32"/>
          <w:lang w:val="en-US"/>
        </w:rPr>
        <w:t>我省森林、草地、湿地资源分布广泛，保护、监管工作的开展亦需由相当的人力、物力和行政执行力方能起到理想的保护成效。随着经济社会快速发展，对林草资源的需求量日益增加，过度开发森林资源的现象仍存在，林草资源遭到破坏的现象时有发生，基层技术力量、执法力量相对薄弱，在森林资源管护工作中缺少有效的行政支撑，影响到森林资源的可持续发展。</w:t>
      </w:r>
    </w:p>
    <w:p>
      <w:pPr>
        <w:pStyle w:val="93"/>
        <w:spacing w:line="560" w:lineRule="exact"/>
        <w:ind w:firstLine="640"/>
        <w:rPr>
          <w:sz w:val="32"/>
          <w:szCs w:val="32"/>
          <w:lang w:val="en-US"/>
        </w:rPr>
      </w:pPr>
    </w:p>
    <w:p>
      <w:pPr>
        <w:pStyle w:val="93"/>
        <w:spacing w:line="240" w:lineRule="auto"/>
        <w:ind w:firstLine="0" w:firstLineChars="0"/>
        <w:rPr>
          <w:sz w:val="32"/>
          <w:szCs w:val="32"/>
          <w:lang w:val="en-US"/>
        </w:rPr>
      </w:pPr>
      <w:r>
        <w:rPr>
          <w:sz w:val="32"/>
          <w:szCs w:val="32"/>
          <w:lang w:val="en-US"/>
        </w:rPr>
        <w:drawing>
          <wp:inline distT="0" distB="0" distL="0" distR="0">
            <wp:extent cx="5400675" cy="6962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00675" cy="6962775"/>
                    </a:xfrm>
                    <a:prstGeom prst="rect">
                      <a:avLst/>
                    </a:prstGeom>
                    <a:noFill/>
                    <a:ln>
                      <a:noFill/>
                    </a:ln>
                  </pic:spPr>
                </pic:pic>
              </a:graphicData>
            </a:graphic>
          </wp:inline>
        </w:drawing>
      </w:r>
    </w:p>
    <w:p>
      <w:pPr>
        <w:pStyle w:val="93"/>
        <w:spacing w:line="560" w:lineRule="exact"/>
        <w:ind w:firstLine="0" w:firstLineChars="0"/>
        <w:jc w:val="center"/>
        <w:rPr>
          <w:rFonts w:eastAsia="黑体"/>
          <w:sz w:val="32"/>
          <w:szCs w:val="32"/>
          <w:lang w:val="en-US"/>
        </w:rPr>
      </w:pPr>
      <w:r>
        <w:rPr>
          <w:rFonts w:hint="eastAsia" w:eastAsia="黑体"/>
          <w:sz w:val="32"/>
          <w:szCs w:val="32"/>
          <w:lang w:val="en-US"/>
        </w:rPr>
        <w:t>图</w:t>
      </w:r>
      <w:r>
        <w:rPr>
          <w:rFonts w:eastAsia="黑体"/>
          <w:sz w:val="32"/>
          <w:szCs w:val="32"/>
          <w:lang w:val="en-US"/>
        </w:rPr>
        <w:t xml:space="preserve">1-1 </w:t>
      </w:r>
      <w:r>
        <w:rPr>
          <w:rFonts w:hint="eastAsia" w:eastAsia="黑体"/>
          <w:bCs/>
          <w:sz w:val="32"/>
          <w:szCs w:val="32"/>
          <w:lang w:val="en-US"/>
        </w:rPr>
        <w:t>资源现状图</w:t>
      </w:r>
    </w:p>
    <w:p>
      <w:pPr>
        <w:pStyle w:val="6"/>
        <w:ind w:firstLine="643" w:firstLineChars="200"/>
        <w:rPr>
          <w:rStyle w:val="30"/>
          <w:rFonts w:eastAsia="楷体"/>
          <w:b w:val="0"/>
        </w:rPr>
      </w:pPr>
      <w:bookmarkStart w:id="15" w:name="_Toc78381392"/>
      <w:r>
        <w:rPr>
          <w:rStyle w:val="30"/>
          <w:rFonts w:eastAsia="楷体"/>
        </w:rPr>
        <w:t xml:space="preserve">1.2.2 </w:t>
      </w:r>
      <w:r>
        <w:rPr>
          <w:rStyle w:val="30"/>
          <w:rFonts w:hint="eastAsia" w:eastAsia="楷体"/>
        </w:rPr>
        <w:t>林草资源质量待提高</w:t>
      </w:r>
      <w:bookmarkEnd w:id="15"/>
    </w:p>
    <w:p>
      <w:pPr>
        <w:pStyle w:val="93"/>
        <w:spacing w:line="560" w:lineRule="exact"/>
        <w:ind w:firstLine="640"/>
        <w:rPr>
          <w:sz w:val="32"/>
          <w:szCs w:val="32"/>
          <w:lang w:val="en-US"/>
        </w:rPr>
      </w:pPr>
      <w:r>
        <w:rPr>
          <w:rFonts w:hint="eastAsia"/>
          <w:bCs/>
          <w:sz w:val="32"/>
          <w:szCs w:val="32"/>
          <w:lang w:val="en-US"/>
        </w:rPr>
        <w:t>全省自然生态不缺绿量、但缺绿质，森林还需调优，湿地还需提质，城乡还需添绿，产业还需增效，管服还需做精。生态补偿标准不高，林业基础设施薄弱，绿色大省亟待向生态强省转型。</w:t>
      </w:r>
      <w:r>
        <w:rPr>
          <w:bCs/>
          <w:sz w:val="32"/>
          <w:szCs w:val="32"/>
          <w:lang w:val="en-US"/>
        </w:rPr>
        <w:t>“</w:t>
      </w:r>
      <w:r>
        <w:rPr>
          <w:rFonts w:hint="eastAsia"/>
          <w:bCs/>
          <w:sz w:val="32"/>
          <w:szCs w:val="32"/>
          <w:lang w:val="en-US"/>
        </w:rPr>
        <w:t>三山</w:t>
      </w:r>
      <w:r>
        <w:rPr>
          <w:bCs/>
          <w:sz w:val="32"/>
          <w:szCs w:val="32"/>
          <w:lang w:val="en-US"/>
        </w:rPr>
        <w:t>”</w:t>
      </w:r>
      <w:r>
        <w:rPr>
          <w:rFonts w:hint="eastAsia"/>
          <w:bCs/>
          <w:sz w:val="32"/>
          <w:szCs w:val="32"/>
          <w:lang w:val="en-US"/>
        </w:rPr>
        <w:t>等重点林区与石漠化地区、矿区之间，森林生态与湿地生态、城市生态之间，生态建设与生态保护、生态修复之间，都存在着区域性、系统性的不平衡。</w:t>
      </w:r>
    </w:p>
    <w:p>
      <w:pPr>
        <w:pStyle w:val="6"/>
        <w:ind w:firstLine="643" w:firstLineChars="200"/>
        <w:rPr>
          <w:rStyle w:val="30"/>
          <w:rFonts w:eastAsia="楷体"/>
          <w:b w:val="0"/>
        </w:rPr>
      </w:pPr>
      <w:bookmarkStart w:id="16" w:name="_Toc78381393"/>
      <w:r>
        <w:rPr>
          <w:rStyle w:val="30"/>
          <w:rFonts w:eastAsia="楷体"/>
        </w:rPr>
        <w:t xml:space="preserve">1.2.3 </w:t>
      </w:r>
      <w:r>
        <w:rPr>
          <w:rStyle w:val="30"/>
          <w:rFonts w:hint="eastAsia" w:eastAsia="楷体"/>
        </w:rPr>
        <w:t>现代化治理能力待提升</w:t>
      </w:r>
      <w:bookmarkEnd w:id="16"/>
    </w:p>
    <w:p>
      <w:pPr>
        <w:pStyle w:val="93"/>
        <w:spacing w:line="560" w:lineRule="exact"/>
        <w:ind w:firstLine="640"/>
        <w:rPr>
          <w:sz w:val="32"/>
          <w:szCs w:val="32"/>
          <w:lang w:val="en-US"/>
        </w:rPr>
      </w:pPr>
      <w:r>
        <w:rPr>
          <w:rFonts w:hint="eastAsia"/>
          <w:sz w:val="32"/>
          <w:szCs w:val="32"/>
          <w:lang w:val="en-US"/>
        </w:rPr>
        <w:t>治理机制上，现代化、国际化、市场化的管理模式还不完善，林草资源保护与管理的信息化水平仍待进一步提高，治理能力提升不快。林草资源点多面广，一些资源底数不清，没有完全实现</w:t>
      </w:r>
      <w:r>
        <w:rPr>
          <w:sz w:val="32"/>
          <w:szCs w:val="32"/>
          <w:lang w:val="en-US"/>
        </w:rPr>
        <w:t>“</w:t>
      </w:r>
      <w:r>
        <w:rPr>
          <w:rFonts w:hint="eastAsia"/>
          <w:sz w:val="32"/>
          <w:szCs w:val="32"/>
          <w:lang w:val="en-US"/>
        </w:rPr>
        <w:t>一张图</w:t>
      </w:r>
      <w:r>
        <w:rPr>
          <w:sz w:val="32"/>
          <w:szCs w:val="32"/>
          <w:lang w:val="en-US"/>
        </w:rPr>
        <w:t>”</w:t>
      </w:r>
      <w:r>
        <w:rPr>
          <w:rFonts w:hint="eastAsia"/>
          <w:sz w:val="32"/>
          <w:szCs w:val="32"/>
          <w:lang w:val="en-US"/>
        </w:rPr>
        <w:t>管理，管控、监测、评估等方面仍不够精准，信息化的管理手段、技术支撑仍需完善。国有林场改革、集体林权制度改革的深化、拓展不够有力，如林权交易推广、林场经营转型等缺乏有效的后续举措。</w:t>
      </w:r>
    </w:p>
    <w:p>
      <w:pPr>
        <w:pStyle w:val="6"/>
        <w:ind w:firstLine="643" w:firstLineChars="200"/>
        <w:rPr>
          <w:rStyle w:val="30"/>
          <w:rFonts w:eastAsia="楷体"/>
          <w:b w:val="0"/>
        </w:rPr>
      </w:pPr>
      <w:bookmarkStart w:id="17" w:name="_Toc78381394"/>
      <w:r>
        <w:rPr>
          <w:rStyle w:val="30"/>
          <w:rFonts w:eastAsia="楷体"/>
        </w:rPr>
        <w:t xml:space="preserve">1.2.4 </w:t>
      </w:r>
      <w:r>
        <w:rPr>
          <w:rStyle w:val="30"/>
          <w:rFonts w:hint="eastAsia" w:eastAsia="楷体"/>
        </w:rPr>
        <w:t>支撑保障能力</w:t>
      </w:r>
      <w:bookmarkEnd w:id="17"/>
      <w:r>
        <w:rPr>
          <w:rStyle w:val="30"/>
          <w:rFonts w:hint="eastAsia" w:eastAsia="楷体"/>
        </w:rPr>
        <w:t>待强化</w:t>
      </w:r>
    </w:p>
    <w:p>
      <w:pPr>
        <w:pStyle w:val="93"/>
        <w:spacing w:line="560" w:lineRule="exact"/>
        <w:ind w:firstLine="640"/>
        <w:rPr>
          <w:sz w:val="32"/>
          <w:szCs w:val="32"/>
          <w:lang w:val="en-US"/>
        </w:rPr>
      </w:pPr>
      <w:r>
        <w:rPr>
          <w:rFonts w:hint="eastAsia"/>
          <w:sz w:val="32"/>
          <w:szCs w:val="32"/>
          <w:lang w:val="en-US"/>
        </w:rPr>
        <w:t>全省林草科技创新研发平台不够，研发平台建设投入不足，成果转化较慢；科研自主、集成创新能力较弱，引领性、关键性科技成果储备不足。随着森林公安转隶、基层林业站划转、木材检查站职能整合，林业基层运行发生深刻变化。现有的森林资源管理人员和基层技术人员存在年龄结构老化、技术手段落后、设施设备不足等问题，森林资源监测、管理基础设施长期得不到建设，林业基层站、营林站、护林点、林道、集材道、机械设备等建设和购置远不能满足现代林业管理工作的需要，影响森林资源管理活动的正常开展。</w:t>
      </w:r>
    </w:p>
    <w:p>
      <w:pPr>
        <w:pStyle w:val="4"/>
        <w:ind w:firstLine="640" w:firstLineChars="200"/>
        <w:rPr>
          <w:rFonts w:ascii="Times New Roman" w:hAnsi="Times New Roman" w:eastAsia="黑体" w:cs="Times New Roman"/>
          <w:bCs w:val="0"/>
          <w:sz w:val="32"/>
          <w:szCs w:val="32"/>
        </w:rPr>
      </w:pPr>
      <w:bookmarkStart w:id="18" w:name="_Toc78296730"/>
      <w:bookmarkStart w:id="19" w:name="_Toc78381395"/>
      <w:bookmarkStart w:id="20" w:name="_Toc76396468"/>
      <w:r>
        <w:rPr>
          <w:rFonts w:ascii="Times New Roman" w:hAnsi="Times New Roman" w:eastAsia="黑体" w:cs="Times New Roman"/>
          <w:bCs w:val="0"/>
          <w:sz w:val="32"/>
          <w:szCs w:val="32"/>
        </w:rPr>
        <w:t xml:space="preserve">1.3 </w:t>
      </w:r>
      <w:r>
        <w:rPr>
          <w:rFonts w:hint="eastAsia" w:ascii="Times New Roman" w:hAnsi="Times New Roman" w:eastAsia="黑体"/>
          <w:bCs w:val="0"/>
          <w:sz w:val="32"/>
          <w:szCs w:val="32"/>
        </w:rPr>
        <w:t>分析建议</w:t>
      </w:r>
      <w:bookmarkEnd w:id="18"/>
      <w:bookmarkEnd w:id="19"/>
      <w:bookmarkEnd w:id="20"/>
    </w:p>
    <w:p>
      <w:pPr>
        <w:pStyle w:val="6"/>
        <w:ind w:firstLine="643" w:firstLineChars="200"/>
        <w:rPr>
          <w:rStyle w:val="30"/>
          <w:rFonts w:eastAsia="楷体"/>
          <w:b w:val="0"/>
        </w:rPr>
      </w:pPr>
      <w:bookmarkStart w:id="21" w:name="_Toc78381396"/>
      <w:r>
        <w:rPr>
          <w:rStyle w:val="30"/>
          <w:rFonts w:eastAsia="楷体"/>
        </w:rPr>
        <w:t xml:space="preserve">1.3.1 </w:t>
      </w:r>
      <w:r>
        <w:rPr>
          <w:rStyle w:val="30"/>
          <w:rFonts w:hint="eastAsia" w:eastAsia="楷体"/>
        </w:rPr>
        <w:t>全方位强化生态保护</w:t>
      </w:r>
      <w:bookmarkEnd w:id="21"/>
    </w:p>
    <w:p>
      <w:pPr>
        <w:pStyle w:val="93"/>
        <w:spacing w:line="560" w:lineRule="exact"/>
        <w:ind w:firstLine="640"/>
        <w:rPr>
          <w:sz w:val="32"/>
          <w:szCs w:val="32"/>
        </w:rPr>
      </w:pPr>
      <w:r>
        <w:rPr>
          <w:rFonts w:hint="eastAsia"/>
          <w:bCs/>
          <w:sz w:val="32"/>
          <w:szCs w:val="32"/>
          <w:lang w:val="en-US"/>
        </w:rPr>
        <w:t>全面保护各类自然资源，严明保护范围，严格保护措施，严惩破坏行为。强化林地和自然保护地保护、强化森林资源保护、强化湿地资源保护、强化野生动植物资源保护。强化森林草原火灾监测预警体系，</w:t>
      </w:r>
      <w:r>
        <w:rPr>
          <w:rFonts w:hint="eastAsia"/>
          <w:sz w:val="32"/>
          <w:szCs w:val="32"/>
        </w:rPr>
        <w:t>大力构建林业草原有害生物的监测预警、检疫御灾、疫情项目治理体系、防治减灾和服务保障体系。</w:t>
      </w:r>
    </w:p>
    <w:p>
      <w:pPr>
        <w:pStyle w:val="6"/>
        <w:ind w:firstLine="643" w:firstLineChars="200"/>
        <w:rPr>
          <w:rStyle w:val="30"/>
          <w:rFonts w:eastAsia="楷体"/>
          <w:b w:val="0"/>
        </w:rPr>
      </w:pPr>
      <w:bookmarkStart w:id="22" w:name="_Toc78381397"/>
      <w:r>
        <w:rPr>
          <w:rStyle w:val="30"/>
          <w:rFonts w:eastAsia="楷体"/>
        </w:rPr>
        <w:t xml:space="preserve">1.3.2 </w:t>
      </w:r>
      <w:r>
        <w:rPr>
          <w:rStyle w:val="30"/>
          <w:rFonts w:hint="eastAsia" w:eastAsia="楷体"/>
        </w:rPr>
        <w:t>高标准实施生态提质</w:t>
      </w:r>
      <w:bookmarkEnd w:id="22"/>
    </w:p>
    <w:p>
      <w:pPr>
        <w:pStyle w:val="93"/>
        <w:spacing w:line="560" w:lineRule="exact"/>
        <w:ind w:firstLine="640"/>
        <w:rPr>
          <w:sz w:val="32"/>
          <w:szCs w:val="32"/>
          <w:lang w:val="en-US"/>
        </w:rPr>
      </w:pPr>
      <w:r>
        <w:rPr>
          <w:rFonts w:hint="eastAsia"/>
          <w:bCs/>
          <w:sz w:val="32"/>
          <w:szCs w:val="32"/>
          <w:lang w:val="en-US"/>
        </w:rPr>
        <w:t>推进大规模生态修复工程。全方位推进生态修复，不断增强全省生态承载力，推动湿地生态提质，重点立足点、线、带、片抓好重要生态系统区域生态脆弱区修复，实施一批重大修复工程。着力实现造林、造绿、造景、造福、造富有机统一的多重效应。</w:t>
      </w:r>
      <w:r>
        <w:rPr>
          <w:rFonts w:hint="eastAsia"/>
          <w:sz w:val="32"/>
          <w:szCs w:val="32"/>
        </w:rPr>
        <w:t>进一步夯实林业碳汇基础，通过技术和行政手段，提升我省碳中和能力。</w:t>
      </w:r>
    </w:p>
    <w:p>
      <w:pPr>
        <w:pStyle w:val="6"/>
        <w:ind w:firstLine="643" w:firstLineChars="200"/>
        <w:rPr>
          <w:rStyle w:val="30"/>
          <w:rFonts w:eastAsia="楷体"/>
          <w:b w:val="0"/>
        </w:rPr>
      </w:pPr>
      <w:bookmarkStart w:id="23" w:name="_Toc78381398"/>
      <w:r>
        <w:rPr>
          <w:rStyle w:val="30"/>
          <w:rFonts w:eastAsia="楷体"/>
        </w:rPr>
        <w:t xml:space="preserve">1.3.3 </w:t>
      </w:r>
      <w:r>
        <w:rPr>
          <w:rStyle w:val="30"/>
          <w:rFonts w:hint="eastAsia" w:eastAsia="楷体"/>
        </w:rPr>
        <w:t>立体化推进生态惠民</w:t>
      </w:r>
      <w:bookmarkEnd w:id="23"/>
    </w:p>
    <w:p>
      <w:pPr>
        <w:pStyle w:val="93"/>
        <w:spacing w:line="560" w:lineRule="exact"/>
        <w:ind w:firstLine="640"/>
        <w:rPr>
          <w:sz w:val="32"/>
          <w:szCs w:val="32"/>
          <w:lang w:val="en-US"/>
        </w:rPr>
      </w:pPr>
      <w:r>
        <w:rPr>
          <w:rFonts w:hint="eastAsia"/>
          <w:bCs/>
          <w:sz w:val="32"/>
          <w:szCs w:val="32"/>
          <w:lang w:val="en-US"/>
        </w:rPr>
        <w:t>按照供给侧结构性改革、乡村振兴战略的要求，全面提升林业产业发展的质量和效益，着重发展油茶、竹木、生态旅游和森林康养、林下经济、花卉苗木五大千亿产业。加快林草科技推广与示范。加大科技人才队伍建设。持续推进科技特派员帮扶行动。推进乡村振兴和幸福社区建设。</w:t>
      </w:r>
    </w:p>
    <w:p>
      <w:pPr>
        <w:pStyle w:val="6"/>
        <w:ind w:firstLine="643" w:firstLineChars="200"/>
        <w:rPr>
          <w:rStyle w:val="30"/>
          <w:rFonts w:eastAsia="楷体"/>
          <w:b w:val="0"/>
        </w:rPr>
      </w:pPr>
      <w:bookmarkStart w:id="24" w:name="_Toc78381399"/>
      <w:r>
        <w:rPr>
          <w:rStyle w:val="30"/>
          <w:rFonts w:eastAsia="楷体"/>
        </w:rPr>
        <w:t xml:space="preserve">1.3.4 </w:t>
      </w:r>
      <w:r>
        <w:rPr>
          <w:rStyle w:val="30"/>
          <w:rFonts w:hint="eastAsia" w:eastAsia="楷体"/>
        </w:rPr>
        <w:t>多维度深化改革创新</w:t>
      </w:r>
      <w:bookmarkEnd w:id="24"/>
    </w:p>
    <w:p>
      <w:pPr>
        <w:pStyle w:val="93"/>
        <w:spacing w:line="560" w:lineRule="exact"/>
        <w:ind w:firstLine="640"/>
        <w:rPr>
          <w:sz w:val="32"/>
          <w:szCs w:val="32"/>
          <w:lang w:val="en-US"/>
        </w:rPr>
      </w:pPr>
      <w:r>
        <w:rPr>
          <w:rFonts w:hint="eastAsia"/>
          <w:sz w:val="32"/>
          <w:szCs w:val="32"/>
          <w:lang w:val="en-US"/>
        </w:rPr>
        <w:t>坚持把改革作为林业现代化建设的动力源泉，着力完善体制机制，释放林业发展活力，重点是全面推行林长制，并深化国有林场改革、集体林权制度改革。</w:t>
      </w:r>
      <w:r>
        <w:rPr>
          <w:rFonts w:hint="eastAsia"/>
          <w:bCs/>
          <w:sz w:val="32"/>
          <w:szCs w:val="32"/>
          <w:lang w:val="en-US"/>
        </w:rPr>
        <w:t>构建现代化林业治理体系。</w:t>
      </w:r>
      <w:r>
        <w:rPr>
          <w:rFonts w:hint="eastAsia"/>
          <w:sz w:val="32"/>
          <w:szCs w:val="32"/>
          <w:lang w:val="en-US"/>
        </w:rPr>
        <w:t>紧扣基层实际，着力推进林业治理体系和治理能力现代化，重点提升林业治理能力、提升服务基层能力、提升科技创新能力、提升文化引领能力。</w:t>
      </w:r>
    </w:p>
    <w:p>
      <w:pPr>
        <w:widowControl/>
        <w:spacing w:beforeAutospacing="1"/>
        <w:jc w:val="left"/>
        <w:rPr>
          <w:rFonts w:eastAsia="仿宋_GB2312"/>
          <w:kern w:val="0"/>
          <w:sz w:val="32"/>
          <w:szCs w:val="32"/>
        </w:rPr>
        <w:sectPr>
          <w:pgSz w:w="11906" w:h="16838"/>
          <w:pgMar w:top="1418" w:right="1701" w:bottom="1418" w:left="1701" w:header="851" w:footer="992" w:gutter="0"/>
          <w:pgNumType w:start="1"/>
          <w:cols w:space="720" w:num="1"/>
          <w:docGrid w:type="lines" w:linePitch="312" w:charSpace="0"/>
        </w:sectPr>
      </w:pPr>
    </w:p>
    <w:p>
      <w:pPr>
        <w:pStyle w:val="2"/>
        <w:spacing w:after="312"/>
        <w:rPr>
          <w:rFonts w:ascii="Times New Roman" w:hAnsi="Times New Roman" w:cs="Times New Roman"/>
          <w:sz w:val="36"/>
          <w:szCs w:val="36"/>
        </w:rPr>
      </w:pPr>
      <w:bookmarkStart w:id="25" w:name="_Toc78381400"/>
      <w:bookmarkStart w:id="26" w:name="_Toc78296731"/>
      <w:r>
        <w:rPr>
          <w:rFonts w:hint="eastAsia" w:ascii="Times New Roman" w:hAnsi="Times New Roman"/>
          <w:sz w:val="36"/>
          <w:szCs w:val="36"/>
        </w:rPr>
        <w:t>第二章</w:t>
      </w:r>
      <w:r>
        <w:rPr>
          <w:rFonts w:ascii="Times New Roman" w:hAnsi="Times New Roman" w:cs="Times New Roman"/>
          <w:sz w:val="36"/>
          <w:szCs w:val="36"/>
        </w:rPr>
        <w:t xml:space="preserve">  </w:t>
      </w:r>
      <w:r>
        <w:rPr>
          <w:rFonts w:hint="eastAsia" w:ascii="Times New Roman" w:hAnsi="Times New Roman"/>
          <w:sz w:val="36"/>
          <w:szCs w:val="36"/>
        </w:rPr>
        <w:t>总体思路</w:t>
      </w:r>
      <w:bookmarkEnd w:id="25"/>
      <w:bookmarkEnd w:id="26"/>
    </w:p>
    <w:p>
      <w:pPr>
        <w:pStyle w:val="4"/>
        <w:ind w:firstLine="640" w:firstLineChars="200"/>
        <w:rPr>
          <w:rFonts w:ascii="Times New Roman" w:hAnsi="Times New Roman" w:eastAsia="黑体" w:cs="Times New Roman"/>
          <w:sz w:val="32"/>
          <w:szCs w:val="32"/>
        </w:rPr>
      </w:pPr>
      <w:bookmarkStart w:id="27" w:name="_Toc78296732"/>
      <w:bookmarkStart w:id="28" w:name="_Toc78381401"/>
      <w:r>
        <w:rPr>
          <w:rFonts w:ascii="Times New Roman" w:hAnsi="Times New Roman" w:eastAsia="黑体" w:cs="Times New Roman"/>
          <w:sz w:val="32"/>
          <w:szCs w:val="32"/>
        </w:rPr>
        <w:t xml:space="preserve">2.1 </w:t>
      </w:r>
      <w:r>
        <w:rPr>
          <w:rFonts w:hint="eastAsia" w:ascii="Times New Roman" w:hAnsi="Times New Roman" w:eastAsia="黑体"/>
          <w:sz w:val="32"/>
          <w:szCs w:val="32"/>
        </w:rPr>
        <w:t>指导思想</w:t>
      </w:r>
      <w:bookmarkEnd w:id="5"/>
      <w:bookmarkEnd w:id="6"/>
      <w:bookmarkEnd w:id="27"/>
      <w:bookmarkEnd w:id="28"/>
    </w:p>
    <w:p>
      <w:pPr>
        <w:pStyle w:val="93"/>
        <w:spacing w:line="560" w:lineRule="exact"/>
        <w:ind w:firstLine="640"/>
        <w:rPr>
          <w:rFonts w:ascii="Times New Roman"/>
          <w:sz w:val="32"/>
          <w:szCs w:val="32"/>
        </w:rPr>
      </w:pPr>
      <w:bookmarkStart w:id="29" w:name="_Toc40077714"/>
      <w:bookmarkStart w:id="30" w:name="_Toc39852067"/>
      <w:r>
        <w:rPr>
          <w:rFonts w:hint="eastAsia"/>
          <w:sz w:val="32"/>
          <w:szCs w:val="32"/>
        </w:rPr>
        <w:t>以习近平新时代中国特色社会主义思想为遵循，全面贯彻党的十九大和十九届二中、三中、四中、五中全会精神，认真践行习近平生态文明思想和</w:t>
      </w:r>
      <w:r>
        <w:rPr>
          <w:sz w:val="32"/>
          <w:szCs w:val="32"/>
        </w:rPr>
        <w:t>“</w:t>
      </w:r>
      <w:r>
        <w:rPr>
          <w:rFonts w:hint="eastAsia"/>
          <w:sz w:val="32"/>
          <w:szCs w:val="32"/>
        </w:rPr>
        <w:t>绿水青山就是金山银山</w:t>
      </w:r>
      <w:r>
        <w:rPr>
          <w:sz w:val="32"/>
          <w:szCs w:val="32"/>
        </w:rPr>
        <w:t>”</w:t>
      </w:r>
      <w:r>
        <w:rPr>
          <w:rFonts w:hint="eastAsia"/>
          <w:sz w:val="32"/>
          <w:szCs w:val="32"/>
        </w:rPr>
        <w:t>理念，坚决贯彻习近平总书记考察湖南重要讲话精神，严格落实湖南省委省政府和国家林草局决策部署，以建设生态强省为总目标，以推动高质量发展为总导向，以改革创新为根本动力，以满足人民日益增长的美好生态需要为根本目的，以全面推行林长制为抓手，统筹山水林田湖草沙系统治理，深入推进生态保护、生态提质、生态惠民，着力构建</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林业生态安全格局，全面提升林业治理体系和治理能力现代化水平，助推全省生态功能整体性提升，为实施</w:t>
      </w:r>
      <w:r>
        <w:rPr>
          <w:sz w:val="32"/>
          <w:szCs w:val="32"/>
        </w:rPr>
        <w:t>“</w:t>
      </w:r>
      <w:r>
        <w:rPr>
          <w:rFonts w:hint="eastAsia"/>
          <w:sz w:val="32"/>
          <w:szCs w:val="32"/>
        </w:rPr>
        <w:t>三高四新</w:t>
      </w:r>
      <w:r>
        <w:rPr>
          <w:sz w:val="32"/>
          <w:szCs w:val="32"/>
        </w:rPr>
        <w:t>”</w:t>
      </w:r>
      <w:r>
        <w:rPr>
          <w:rFonts w:hint="eastAsia"/>
          <w:sz w:val="32"/>
          <w:szCs w:val="32"/>
        </w:rPr>
        <w:t>战略、奋力建设现代化新湖南作出积极贡献。</w:t>
      </w:r>
    </w:p>
    <w:p>
      <w:pPr>
        <w:pStyle w:val="4"/>
        <w:ind w:firstLine="640" w:firstLineChars="200"/>
        <w:rPr>
          <w:rFonts w:ascii="Times New Roman" w:hAnsi="Times New Roman" w:eastAsia="黑体" w:cs="Times New Roman"/>
          <w:sz w:val="32"/>
          <w:szCs w:val="32"/>
        </w:rPr>
      </w:pPr>
      <w:bookmarkStart w:id="31" w:name="_Toc78381402"/>
      <w:bookmarkStart w:id="32" w:name="_Toc78296733"/>
      <w:r>
        <w:rPr>
          <w:rFonts w:ascii="Times New Roman" w:hAnsi="Times New Roman" w:eastAsia="黑体" w:cs="Times New Roman"/>
          <w:sz w:val="32"/>
          <w:szCs w:val="32"/>
        </w:rPr>
        <w:t xml:space="preserve">2.2 </w:t>
      </w:r>
      <w:r>
        <w:rPr>
          <w:rFonts w:hint="eastAsia" w:ascii="Times New Roman" w:hAnsi="Times New Roman" w:eastAsia="黑体"/>
          <w:sz w:val="32"/>
          <w:szCs w:val="32"/>
        </w:rPr>
        <w:t>基本原则</w:t>
      </w:r>
      <w:bookmarkEnd w:id="29"/>
      <w:bookmarkEnd w:id="30"/>
      <w:bookmarkEnd w:id="31"/>
      <w:bookmarkEnd w:id="32"/>
      <w:r>
        <w:rPr>
          <w:rFonts w:ascii="Times New Roman" w:hAnsi="Times New Roman" w:eastAsia="黑体" w:cs="Times New Roman"/>
          <w:sz w:val="32"/>
          <w:szCs w:val="32"/>
        </w:rPr>
        <w:tab/>
      </w:r>
    </w:p>
    <w:p>
      <w:pPr>
        <w:pStyle w:val="6"/>
        <w:ind w:firstLine="640" w:firstLineChars="200"/>
        <w:rPr>
          <w:rStyle w:val="30"/>
          <w:rFonts w:eastAsia="楷体"/>
          <w:b w:val="0"/>
        </w:rPr>
      </w:pPr>
      <w:bookmarkStart w:id="33" w:name="_Toc78381403"/>
      <w:bookmarkStart w:id="34" w:name="_Toc40077717"/>
      <w:bookmarkStart w:id="35" w:name="_Toc39852068"/>
      <w:bookmarkStart w:id="36" w:name="_Toc40077715"/>
      <w:r>
        <w:rPr>
          <w:rStyle w:val="30"/>
          <w:rFonts w:eastAsia="楷体"/>
        </w:rPr>
        <w:t xml:space="preserve">2.2.1 </w:t>
      </w:r>
      <w:r>
        <w:rPr>
          <w:rStyle w:val="30"/>
          <w:rFonts w:hint="eastAsia" w:eastAsia="楷体"/>
        </w:rPr>
        <w:t>坚持生态优先、绿色发展</w:t>
      </w:r>
      <w:bookmarkEnd w:id="33"/>
      <w:bookmarkEnd w:id="34"/>
    </w:p>
    <w:p>
      <w:pPr>
        <w:pStyle w:val="93"/>
        <w:spacing w:line="560" w:lineRule="exact"/>
        <w:ind w:firstLine="640"/>
        <w:rPr>
          <w:sz w:val="32"/>
          <w:szCs w:val="32"/>
        </w:rPr>
      </w:pPr>
      <w:r>
        <w:rPr>
          <w:rFonts w:hint="eastAsia"/>
          <w:sz w:val="32"/>
          <w:szCs w:val="32"/>
        </w:rPr>
        <w:t>贯彻落实习近平生态文明思想，牢固树立创新、协调、绿色、开放、共享五大理念，尊重自然、顺应自然、保护自然，正确处理好保护与发展的关系，统筹山水林田湖草沙系统治理，走生态产业化、产业生态化的绿色发展道路。</w:t>
      </w:r>
    </w:p>
    <w:p>
      <w:pPr>
        <w:pStyle w:val="6"/>
        <w:ind w:firstLine="640" w:firstLineChars="200"/>
        <w:rPr>
          <w:rStyle w:val="30"/>
          <w:rFonts w:eastAsia="楷体"/>
          <w:b w:val="0"/>
        </w:rPr>
      </w:pPr>
      <w:bookmarkStart w:id="37" w:name="_Toc78381404"/>
      <w:r>
        <w:rPr>
          <w:rStyle w:val="30"/>
          <w:rFonts w:eastAsia="楷体"/>
        </w:rPr>
        <w:t xml:space="preserve">2.2.2 </w:t>
      </w:r>
      <w:r>
        <w:rPr>
          <w:rStyle w:val="30"/>
          <w:rFonts w:hint="eastAsia" w:eastAsia="楷体"/>
        </w:rPr>
        <w:t>坚持依法治林、严格保护</w:t>
      </w:r>
      <w:bookmarkEnd w:id="37"/>
    </w:p>
    <w:p>
      <w:pPr>
        <w:pStyle w:val="93"/>
        <w:spacing w:line="560" w:lineRule="exact"/>
        <w:ind w:firstLine="640"/>
        <w:rPr>
          <w:sz w:val="32"/>
          <w:szCs w:val="32"/>
        </w:rPr>
      </w:pPr>
      <w:r>
        <w:rPr>
          <w:rFonts w:hint="eastAsia"/>
          <w:sz w:val="32"/>
          <w:szCs w:val="32"/>
        </w:rPr>
        <w:t>按照党的十八届四中全会提出</w:t>
      </w:r>
      <w:r>
        <w:rPr>
          <w:sz w:val="32"/>
          <w:szCs w:val="32"/>
        </w:rPr>
        <w:t>“</w:t>
      </w:r>
      <w:r>
        <w:rPr>
          <w:rFonts w:hint="eastAsia"/>
          <w:sz w:val="32"/>
          <w:szCs w:val="32"/>
        </w:rPr>
        <w:t>用最严格的法律制度保护生态环境，促进生态文明建设</w:t>
      </w:r>
      <w:r>
        <w:rPr>
          <w:sz w:val="32"/>
          <w:szCs w:val="32"/>
        </w:rPr>
        <w:t>”</w:t>
      </w:r>
      <w:r>
        <w:rPr>
          <w:rFonts w:hint="eastAsia"/>
          <w:sz w:val="32"/>
          <w:szCs w:val="32"/>
        </w:rPr>
        <w:t>的要求，坚持依法治林管林，坚守保护和发展</w:t>
      </w:r>
      <w:r>
        <w:rPr>
          <w:sz w:val="32"/>
          <w:szCs w:val="32"/>
        </w:rPr>
        <w:t>“</w:t>
      </w:r>
      <w:r>
        <w:rPr>
          <w:rFonts w:hint="eastAsia"/>
          <w:sz w:val="32"/>
          <w:szCs w:val="32"/>
        </w:rPr>
        <w:t>两条底线</w:t>
      </w:r>
      <w:r>
        <w:rPr>
          <w:sz w:val="32"/>
          <w:szCs w:val="32"/>
        </w:rPr>
        <w:t>”</w:t>
      </w:r>
      <w:r>
        <w:rPr>
          <w:rFonts w:hint="eastAsia"/>
          <w:sz w:val="32"/>
          <w:szCs w:val="32"/>
        </w:rPr>
        <w:t>，贯彻落实《中华人民共和国森林法》《中华人民共和国长江保护法》，</w:t>
      </w:r>
      <w:r>
        <w:rPr>
          <w:rFonts w:hint="eastAsia"/>
          <w:bCs/>
          <w:sz w:val="32"/>
          <w:szCs w:val="32"/>
        </w:rPr>
        <w:t>以维护和提高林业资源生态功能作为出发点和落脚点，</w:t>
      </w:r>
      <w:r>
        <w:rPr>
          <w:rFonts w:hint="eastAsia"/>
          <w:sz w:val="32"/>
          <w:szCs w:val="32"/>
        </w:rPr>
        <w:t>确保森林、草地、湿地和生物多样性得到严格保护，</w:t>
      </w:r>
      <w:r>
        <w:rPr>
          <w:rFonts w:hint="eastAsia"/>
          <w:bCs/>
          <w:sz w:val="32"/>
          <w:szCs w:val="32"/>
        </w:rPr>
        <w:t>实现生态资源增量增质增效，为坚守生态红线提供法律支撑。</w:t>
      </w:r>
    </w:p>
    <w:p>
      <w:pPr>
        <w:pStyle w:val="6"/>
        <w:ind w:firstLine="640" w:firstLineChars="200"/>
        <w:rPr>
          <w:rStyle w:val="30"/>
          <w:rFonts w:eastAsia="楷体"/>
          <w:b w:val="0"/>
        </w:rPr>
      </w:pPr>
      <w:bookmarkStart w:id="38" w:name="_Toc78381405"/>
      <w:bookmarkStart w:id="39" w:name="_Toc40077719"/>
      <w:r>
        <w:rPr>
          <w:rStyle w:val="30"/>
          <w:rFonts w:eastAsia="楷体"/>
        </w:rPr>
        <w:t xml:space="preserve">2.2.3 </w:t>
      </w:r>
      <w:r>
        <w:rPr>
          <w:rStyle w:val="30"/>
          <w:rFonts w:hint="eastAsia" w:eastAsia="楷体"/>
        </w:rPr>
        <w:t>坚持以人为本、生态惠民</w:t>
      </w:r>
      <w:bookmarkEnd w:id="38"/>
      <w:bookmarkEnd w:id="39"/>
    </w:p>
    <w:p>
      <w:pPr>
        <w:pStyle w:val="93"/>
        <w:spacing w:line="560" w:lineRule="exact"/>
        <w:ind w:firstLine="640"/>
        <w:rPr>
          <w:rStyle w:val="30"/>
          <w:rFonts w:eastAsia="楷体"/>
          <w:b w:val="0"/>
        </w:rPr>
      </w:pPr>
      <w:r>
        <w:rPr>
          <w:rFonts w:hint="eastAsia"/>
          <w:sz w:val="32"/>
          <w:szCs w:val="32"/>
        </w:rPr>
        <w:t>在加强生态保护的基础上，做强生态旅游与康养，推进三产融合，加强林业品牌培育，持续发展现代林业经济，不断推进生态建设和环境美化，持续优化生态产品供给，不断提升公众的生态福祉。</w:t>
      </w:r>
    </w:p>
    <w:bookmarkEnd w:id="35"/>
    <w:bookmarkEnd w:id="36"/>
    <w:p>
      <w:pPr>
        <w:pStyle w:val="6"/>
        <w:ind w:firstLine="640" w:firstLineChars="200"/>
        <w:rPr>
          <w:rStyle w:val="30"/>
          <w:rFonts w:eastAsia="楷体"/>
          <w:b w:val="0"/>
        </w:rPr>
      </w:pPr>
      <w:bookmarkStart w:id="40" w:name="_Toc40077716"/>
      <w:bookmarkStart w:id="41" w:name="_Toc78381406"/>
      <w:r>
        <w:rPr>
          <w:rStyle w:val="30"/>
          <w:rFonts w:eastAsia="楷体"/>
        </w:rPr>
        <w:t xml:space="preserve">2.2.4 </w:t>
      </w:r>
      <w:r>
        <w:rPr>
          <w:rStyle w:val="30"/>
          <w:rFonts w:hint="eastAsia" w:eastAsia="楷体"/>
        </w:rPr>
        <w:t>坚持协调推进、</w:t>
      </w:r>
      <w:bookmarkEnd w:id="40"/>
      <w:r>
        <w:rPr>
          <w:rStyle w:val="30"/>
          <w:rFonts w:hint="eastAsia" w:eastAsia="楷体"/>
        </w:rPr>
        <w:t>突出重点</w:t>
      </w:r>
      <w:bookmarkEnd w:id="41"/>
    </w:p>
    <w:p>
      <w:pPr>
        <w:pStyle w:val="93"/>
        <w:spacing w:line="560" w:lineRule="exact"/>
        <w:ind w:firstLine="640"/>
        <w:rPr>
          <w:sz w:val="32"/>
          <w:szCs w:val="32"/>
        </w:rPr>
      </w:pPr>
      <w:r>
        <w:rPr>
          <w:rFonts w:hint="eastAsia"/>
          <w:sz w:val="32"/>
          <w:szCs w:val="32"/>
        </w:rPr>
        <w:t>坚持科学保护，统筹安排、长远谋划，又立足当前、实事求是，遵守生态系统整体性、系统性及其内在规律，着力解决对经济社会可持续发展制约性强、群众反映强烈的突出生态保护、生态提质、生态治理问题，全力推动湖南林业现代化建设和高质量发展。</w:t>
      </w:r>
    </w:p>
    <w:p>
      <w:pPr>
        <w:pStyle w:val="6"/>
        <w:ind w:firstLine="640" w:firstLineChars="200"/>
        <w:rPr>
          <w:rStyle w:val="30"/>
          <w:rFonts w:eastAsia="楷体"/>
          <w:b w:val="0"/>
        </w:rPr>
      </w:pPr>
      <w:bookmarkStart w:id="42" w:name="_Toc78381407"/>
      <w:r>
        <w:rPr>
          <w:rStyle w:val="30"/>
          <w:rFonts w:eastAsia="楷体"/>
        </w:rPr>
        <w:t xml:space="preserve">2.2.5 </w:t>
      </w:r>
      <w:r>
        <w:rPr>
          <w:rStyle w:val="30"/>
          <w:rFonts w:hint="eastAsia" w:eastAsia="楷体"/>
        </w:rPr>
        <w:t>坚持创新驱动、深化改革</w:t>
      </w:r>
      <w:bookmarkEnd w:id="42"/>
    </w:p>
    <w:p>
      <w:pPr>
        <w:pStyle w:val="93"/>
        <w:spacing w:line="560" w:lineRule="exact"/>
        <w:ind w:firstLine="640"/>
        <w:rPr>
          <w:sz w:val="32"/>
          <w:szCs w:val="32"/>
        </w:rPr>
      </w:pPr>
      <w:r>
        <w:rPr>
          <w:rFonts w:hint="eastAsia"/>
          <w:sz w:val="32"/>
          <w:szCs w:val="32"/>
        </w:rPr>
        <w:t>坚持制度创新、科技创新、协同创新，完善林业制度，打造具有核心竞争力的林业科技创新高地，强化生态惠民举措，充分发挥制度保障和科技第一生产力作用。强化制度完善与科技发展工作，依托林业草原新职能新职责，更好地支撑生态建设、引领产业升级、服务社会民生，为推进林业现代化、建设生态文明提供有力支撑。</w:t>
      </w:r>
    </w:p>
    <w:p>
      <w:pPr>
        <w:pStyle w:val="6"/>
        <w:ind w:firstLine="640" w:firstLineChars="200"/>
        <w:rPr>
          <w:rStyle w:val="30"/>
          <w:rFonts w:eastAsia="楷体"/>
          <w:b w:val="0"/>
        </w:rPr>
      </w:pPr>
      <w:bookmarkStart w:id="43" w:name="_Toc78381408"/>
      <w:bookmarkStart w:id="44" w:name="_Toc40077718"/>
      <w:r>
        <w:rPr>
          <w:rStyle w:val="30"/>
          <w:rFonts w:eastAsia="楷体"/>
        </w:rPr>
        <w:t xml:space="preserve">2.2.6 </w:t>
      </w:r>
      <w:r>
        <w:rPr>
          <w:rStyle w:val="30"/>
          <w:rFonts w:hint="eastAsia" w:eastAsia="楷体"/>
        </w:rPr>
        <w:t>坚持开放合作、共建共享</w:t>
      </w:r>
      <w:bookmarkEnd w:id="43"/>
      <w:bookmarkEnd w:id="44"/>
    </w:p>
    <w:p>
      <w:pPr>
        <w:pStyle w:val="93"/>
        <w:spacing w:line="560" w:lineRule="exact"/>
        <w:ind w:firstLine="640"/>
        <w:rPr>
          <w:sz w:val="32"/>
          <w:szCs w:val="32"/>
        </w:rPr>
      </w:pPr>
      <w:r>
        <w:rPr>
          <w:rFonts w:hint="eastAsia"/>
          <w:sz w:val="32"/>
          <w:szCs w:val="32"/>
        </w:rPr>
        <w:t>积极融入</w:t>
      </w:r>
      <w:r>
        <w:rPr>
          <w:sz w:val="32"/>
          <w:szCs w:val="32"/>
        </w:rPr>
        <w:t>“</w:t>
      </w:r>
      <w:r>
        <w:rPr>
          <w:rFonts w:hint="eastAsia"/>
          <w:sz w:val="32"/>
          <w:szCs w:val="32"/>
        </w:rPr>
        <w:t>一带一路</w:t>
      </w:r>
      <w:r>
        <w:rPr>
          <w:sz w:val="32"/>
          <w:szCs w:val="32"/>
        </w:rPr>
        <w:t>”</w:t>
      </w:r>
      <w:r>
        <w:rPr>
          <w:rFonts w:hint="eastAsia"/>
          <w:sz w:val="32"/>
          <w:szCs w:val="32"/>
        </w:rPr>
        <w:t>，推进湖南自贸区建设，对接粤港澳大湾区，全面深化与芬兰、挪威、德国、法国等国家和世界银行、欧洲投资银行等国际金融组织的林业交流合作。突出加强与</w:t>
      </w:r>
      <w:r>
        <w:rPr>
          <w:sz w:val="32"/>
          <w:szCs w:val="32"/>
        </w:rPr>
        <w:t>“</w:t>
      </w:r>
      <w:r>
        <w:rPr>
          <w:rFonts w:hint="eastAsia"/>
          <w:sz w:val="32"/>
          <w:szCs w:val="32"/>
        </w:rPr>
        <w:t>长三角</w:t>
      </w:r>
      <w:r>
        <w:rPr>
          <w:sz w:val="32"/>
          <w:szCs w:val="32"/>
        </w:rPr>
        <w:t>”</w:t>
      </w:r>
      <w:r>
        <w:rPr>
          <w:rFonts w:hint="eastAsia"/>
          <w:sz w:val="32"/>
          <w:szCs w:val="32"/>
        </w:rPr>
        <w:t>、</w:t>
      </w:r>
      <w:r>
        <w:rPr>
          <w:sz w:val="32"/>
          <w:szCs w:val="32"/>
        </w:rPr>
        <w:t>“</w:t>
      </w:r>
      <w:r>
        <w:rPr>
          <w:rFonts w:hint="eastAsia"/>
          <w:sz w:val="32"/>
          <w:szCs w:val="32"/>
        </w:rPr>
        <w:t>珠三角</w:t>
      </w:r>
      <w:r>
        <w:rPr>
          <w:sz w:val="32"/>
          <w:szCs w:val="32"/>
        </w:rPr>
        <w:t>”</w:t>
      </w:r>
      <w:r>
        <w:rPr>
          <w:rFonts w:hint="eastAsia"/>
          <w:sz w:val="32"/>
          <w:szCs w:val="32"/>
        </w:rPr>
        <w:t>地区的产业互动，</w:t>
      </w:r>
      <w:r>
        <w:rPr>
          <w:sz w:val="32"/>
          <w:szCs w:val="32"/>
        </w:rPr>
        <w:t>“</w:t>
      </w:r>
      <w:r>
        <w:rPr>
          <w:rFonts w:hint="eastAsia"/>
          <w:sz w:val="32"/>
          <w:szCs w:val="32"/>
        </w:rPr>
        <w:t>以商招商、精准招商</w:t>
      </w:r>
      <w:r>
        <w:rPr>
          <w:sz w:val="32"/>
          <w:szCs w:val="32"/>
        </w:rPr>
        <w:t>”</w:t>
      </w:r>
      <w:r>
        <w:rPr>
          <w:rFonts w:hint="eastAsia"/>
          <w:sz w:val="32"/>
          <w:szCs w:val="32"/>
        </w:rPr>
        <w:t>，引入一批战略性林业产业合作伙伴；持续优化林业营商环境，大力深化</w:t>
      </w:r>
      <w:r>
        <w:rPr>
          <w:sz w:val="32"/>
          <w:szCs w:val="32"/>
        </w:rPr>
        <w:t>“</w:t>
      </w:r>
      <w:r>
        <w:rPr>
          <w:rFonts w:hint="eastAsia"/>
          <w:sz w:val="32"/>
          <w:szCs w:val="32"/>
        </w:rPr>
        <w:t>放管服</w:t>
      </w:r>
      <w:r>
        <w:rPr>
          <w:sz w:val="32"/>
          <w:szCs w:val="32"/>
        </w:rPr>
        <w:t>”</w:t>
      </w:r>
      <w:r>
        <w:rPr>
          <w:rFonts w:hint="eastAsia"/>
          <w:sz w:val="32"/>
          <w:szCs w:val="32"/>
        </w:rPr>
        <w:t>改革，全力扶持民营经济发展，积极帮助解决土地、融资、用工、经营等方面的困难，全面营造重商、亲商、富商、安商的良好环境。</w:t>
      </w:r>
    </w:p>
    <w:p>
      <w:pPr>
        <w:pStyle w:val="4"/>
        <w:spacing w:line="560" w:lineRule="exact"/>
        <w:ind w:firstLine="640" w:firstLineChars="200"/>
        <w:rPr>
          <w:rFonts w:ascii="Times New Roman" w:hAnsi="Times New Roman" w:eastAsia="黑体" w:cs="Times New Roman"/>
          <w:sz w:val="32"/>
          <w:szCs w:val="32"/>
        </w:rPr>
      </w:pPr>
      <w:bookmarkStart w:id="45" w:name="_Toc78381409"/>
      <w:bookmarkStart w:id="46" w:name="_Toc78296734"/>
      <w:bookmarkStart w:id="47" w:name="_Toc40077720"/>
      <w:r>
        <w:rPr>
          <w:rFonts w:ascii="Times New Roman" w:hAnsi="Times New Roman" w:eastAsia="黑体" w:cs="Times New Roman"/>
          <w:sz w:val="32"/>
          <w:szCs w:val="32"/>
        </w:rPr>
        <w:t xml:space="preserve">2.3 </w:t>
      </w:r>
      <w:r>
        <w:rPr>
          <w:rFonts w:hint="eastAsia" w:ascii="Times New Roman" w:hAnsi="Times New Roman" w:eastAsia="黑体"/>
          <w:sz w:val="32"/>
          <w:szCs w:val="32"/>
        </w:rPr>
        <w:t>发展目标</w:t>
      </w:r>
      <w:bookmarkEnd w:id="45"/>
      <w:bookmarkEnd w:id="46"/>
      <w:bookmarkEnd w:id="47"/>
      <w:r>
        <w:rPr>
          <w:rFonts w:ascii="Times New Roman" w:hAnsi="Times New Roman" w:eastAsia="黑体" w:cs="Times New Roman"/>
          <w:sz w:val="32"/>
          <w:szCs w:val="32"/>
        </w:rPr>
        <w:tab/>
      </w:r>
    </w:p>
    <w:p>
      <w:pPr>
        <w:pStyle w:val="6"/>
        <w:ind w:firstLine="640" w:firstLineChars="200"/>
        <w:rPr>
          <w:rStyle w:val="30"/>
          <w:rFonts w:eastAsia="楷体"/>
          <w:b w:val="0"/>
        </w:rPr>
      </w:pPr>
      <w:bookmarkStart w:id="48" w:name="_Toc78381410"/>
      <w:bookmarkStart w:id="49" w:name="_Toc40077721"/>
      <w:r>
        <w:rPr>
          <w:rStyle w:val="30"/>
          <w:rFonts w:eastAsia="楷体"/>
        </w:rPr>
        <w:t xml:space="preserve">2.3.1 </w:t>
      </w:r>
      <w:r>
        <w:rPr>
          <w:rStyle w:val="30"/>
          <w:rFonts w:hint="eastAsia" w:eastAsia="楷体"/>
        </w:rPr>
        <w:t>近期（</w:t>
      </w:r>
      <w:r>
        <w:rPr>
          <w:rStyle w:val="30"/>
          <w:rFonts w:eastAsia="楷体"/>
        </w:rPr>
        <w:t>2021</w:t>
      </w:r>
      <w:r>
        <w:rPr>
          <w:rStyle w:val="30"/>
          <w:rFonts w:hint="eastAsia" w:eastAsia="楷体"/>
        </w:rPr>
        <w:t>～</w:t>
      </w:r>
      <w:r>
        <w:rPr>
          <w:rStyle w:val="30"/>
          <w:rFonts w:eastAsia="楷体"/>
        </w:rPr>
        <w:t>2025</w:t>
      </w:r>
      <w:r>
        <w:rPr>
          <w:rStyle w:val="30"/>
          <w:rFonts w:hint="eastAsia" w:eastAsia="楷体"/>
        </w:rPr>
        <w:t>年）发展目标</w:t>
      </w:r>
      <w:bookmarkEnd w:id="48"/>
      <w:bookmarkEnd w:id="49"/>
    </w:p>
    <w:p>
      <w:pPr>
        <w:pStyle w:val="93"/>
        <w:spacing w:line="560" w:lineRule="exact"/>
        <w:ind w:firstLine="640"/>
        <w:rPr>
          <w:rFonts w:eastAsia="仿宋"/>
          <w:sz w:val="32"/>
          <w:szCs w:val="32"/>
        </w:rPr>
      </w:pPr>
      <w:r>
        <w:rPr>
          <w:rFonts w:hint="eastAsia"/>
          <w:sz w:val="32"/>
          <w:szCs w:val="32"/>
        </w:rPr>
        <w:t>到</w:t>
      </w:r>
      <w:r>
        <w:rPr>
          <w:sz w:val="32"/>
          <w:szCs w:val="32"/>
        </w:rPr>
        <w:t>2025</w:t>
      </w:r>
      <w:r>
        <w:rPr>
          <w:rFonts w:hint="eastAsia"/>
          <w:sz w:val="32"/>
          <w:szCs w:val="32"/>
        </w:rPr>
        <w:t>年全省林业实现资源总量稳步增加，资源质量提升，资源结构优化，森林草原等生态系统稳定性明显增强，林业治理体系更加完善，治理能力明显提高。全省森林覆盖率（林木绿化率）稳定在</w:t>
      </w:r>
      <w:r>
        <w:rPr>
          <w:sz w:val="32"/>
          <w:szCs w:val="32"/>
        </w:rPr>
        <w:t>59%</w:t>
      </w:r>
      <w:r>
        <w:rPr>
          <w:rFonts w:hint="eastAsia"/>
          <w:sz w:val="32"/>
          <w:szCs w:val="32"/>
        </w:rPr>
        <w:t>以上，森林蓄积不低于</w:t>
      </w:r>
      <w:r>
        <w:rPr>
          <w:sz w:val="32"/>
          <w:szCs w:val="32"/>
        </w:rPr>
        <w:t>7.1</w:t>
      </w:r>
      <w:r>
        <w:rPr>
          <w:rFonts w:hint="eastAsia"/>
          <w:sz w:val="32"/>
          <w:szCs w:val="32"/>
        </w:rPr>
        <w:t>亿立方米，草原综合植被盖度稳定在</w:t>
      </w:r>
      <w:r>
        <w:rPr>
          <w:sz w:val="32"/>
          <w:szCs w:val="32"/>
        </w:rPr>
        <w:t>87%</w:t>
      </w:r>
      <w:r>
        <w:rPr>
          <w:rFonts w:hint="eastAsia"/>
          <w:sz w:val="32"/>
          <w:szCs w:val="32"/>
        </w:rPr>
        <w:t>以上，湿地保护率稳定在</w:t>
      </w:r>
      <w:r>
        <w:rPr>
          <w:sz w:val="32"/>
          <w:szCs w:val="32"/>
        </w:rPr>
        <w:t>72%</w:t>
      </w:r>
      <w:r>
        <w:rPr>
          <w:rFonts w:hint="eastAsia"/>
          <w:sz w:val="32"/>
          <w:szCs w:val="32"/>
        </w:rPr>
        <w:t>以上，自然保护地面积占比稳定在</w:t>
      </w:r>
      <w:r>
        <w:rPr>
          <w:sz w:val="32"/>
          <w:szCs w:val="32"/>
        </w:rPr>
        <w:t>11%</w:t>
      </w:r>
      <w:r>
        <w:rPr>
          <w:rFonts w:hint="eastAsia"/>
          <w:sz w:val="32"/>
          <w:szCs w:val="32"/>
        </w:rPr>
        <w:t>左右，国家重点保护野生动植物种数保护率</w:t>
      </w:r>
      <w:r>
        <w:rPr>
          <w:sz w:val="32"/>
          <w:szCs w:val="32"/>
        </w:rPr>
        <w:t>85%</w:t>
      </w:r>
      <w:r>
        <w:rPr>
          <w:rFonts w:hint="eastAsia"/>
          <w:sz w:val="32"/>
          <w:szCs w:val="32"/>
        </w:rPr>
        <w:t>以上，森林火灾受害率控制在</w:t>
      </w:r>
      <w:r>
        <w:rPr>
          <w:sz w:val="32"/>
          <w:szCs w:val="32"/>
        </w:rPr>
        <w:t>0.9‰</w:t>
      </w:r>
      <w:r>
        <w:rPr>
          <w:rFonts w:hint="eastAsia"/>
          <w:sz w:val="32"/>
          <w:szCs w:val="32"/>
        </w:rPr>
        <w:t>以内，林业有害生物成灾率控制在国家下达的指标之内。生态环境持续改善，生态安全屏障更加牢固，生态服务功能、生态承载力全面提升，林业科技自主创新能力显著提升，产业结构和布局更趋合理，积极保障优质生态产品，加快实现生态系统稳定、生态功能齐全、生态文化繁荣，既有</w:t>
      </w:r>
      <w:r>
        <w:rPr>
          <w:sz w:val="32"/>
          <w:szCs w:val="32"/>
        </w:rPr>
        <w:t>“</w:t>
      </w:r>
      <w:r>
        <w:rPr>
          <w:rFonts w:hint="eastAsia"/>
          <w:sz w:val="32"/>
          <w:szCs w:val="32"/>
        </w:rPr>
        <w:t>绿量</w:t>
      </w:r>
      <w:r>
        <w:rPr>
          <w:sz w:val="32"/>
          <w:szCs w:val="32"/>
        </w:rPr>
        <w:t>”</w:t>
      </w:r>
      <w:r>
        <w:rPr>
          <w:rFonts w:hint="eastAsia"/>
          <w:sz w:val="32"/>
          <w:szCs w:val="32"/>
        </w:rPr>
        <w:t>、又有</w:t>
      </w:r>
      <w:r>
        <w:rPr>
          <w:sz w:val="32"/>
          <w:szCs w:val="32"/>
        </w:rPr>
        <w:t>“</w:t>
      </w:r>
      <w:r>
        <w:rPr>
          <w:rFonts w:hint="eastAsia"/>
          <w:sz w:val="32"/>
          <w:szCs w:val="32"/>
        </w:rPr>
        <w:t>绿质</w:t>
      </w:r>
      <w:r>
        <w:rPr>
          <w:sz w:val="32"/>
          <w:szCs w:val="32"/>
        </w:rPr>
        <w:t>”</w:t>
      </w:r>
      <w:r>
        <w:rPr>
          <w:rFonts w:hint="eastAsia"/>
          <w:sz w:val="32"/>
          <w:szCs w:val="32"/>
        </w:rPr>
        <w:t>，不仅有数量上</w:t>
      </w:r>
      <w:r>
        <w:rPr>
          <w:sz w:val="32"/>
          <w:szCs w:val="32"/>
        </w:rPr>
        <w:t>“</w:t>
      </w:r>
      <w:r>
        <w:rPr>
          <w:rFonts w:hint="eastAsia"/>
          <w:sz w:val="32"/>
          <w:szCs w:val="32"/>
        </w:rPr>
        <w:t>大</w:t>
      </w:r>
      <w:r>
        <w:rPr>
          <w:sz w:val="32"/>
          <w:szCs w:val="32"/>
        </w:rPr>
        <w:t>”</w:t>
      </w:r>
      <w:r>
        <w:rPr>
          <w:rFonts w:hint="eastAsia"/>
          <w:sz w:val="32"/>
          <w:szCs w:val="32"/>
        </w:rPr>
        <w:t>、更有质量上</w:t>
      </w:r>
      <w:r>
        <w:rPr>
          <w:sz w:val="32"/>
          <w:szCs w:val="32"/>
        </w:rPr>
        <w:t>“</w:t>
      </w:r>
      <w:r>
        <w:rPr>
          <w:rFonts w:hint="eastAsia"/>
          <w:sz w:val="32"/>
          <w:szCs w:val="32"/>
        </w:rPr>
        <w:t>强</w:t>
      </w:r>
      <w:r>
        <w:rPr>
          <w:sz w:val="32"/>
          <w:szCs w:val="32"/>
        </w:rPr>
        <w:t>”</w:t>
      </w:r>
      <w:r>
        <w:rPr>
          <w:rFonts w:hint="eastAsia"/>
          <w:sz w:val="32"/>
          <w:szCs w:val="32"/>
        </w:rPr>
        <w:t>的生态强省建设目标。</w:t>
      </w:r>
    </w:p>
    <w:p>
      <w:pPr>
        <w:pStyle w:val="6"/>
        <w:ind w:firstLine="640" w:firstLineChars="200"/>
        <w:rPr>
          <w:rStyle w:val="30"/>
          <w:rFonts w:eastAsia="楷体"/>
          <w:b w:val="0"/>
        </w:rPr>
      </w:pPr>
      <w:bookmarkStart w:id="50" w:name="_Toc40077722"/>
      <w:bookmarkStart w:id="51" w:name="_Toc78381411"/>
      <w:r>
        <w:rPr>
          <w:rStyle w:val="30"/>
          <w:rFonts w:eastAsia="楷体"/>
        </w:rPr>
        <w:t xml:space="preserve">2.3.2 </w:t>
      </w:r>
      <w:r>
        <w:rPr>
          <w:rStyle w:val="30"/>
          <w:rFonts w:hint="eastAsia" w:eastAsia="楷体"/>
        </w:rPr>
        <w:t>远期（</w:t>
      </w:r>
      <w:r>
        <w:rPr>
          <w:rStyle w:val="30"/>
          <w:rFonts w:eastAsia="楷体"/>
        </w:rPr>
        <w:t>2026</w:t>
      </w:r>
      <w:r>
        <w:rPr>
          <w:rStyle w:val="30"/>
          <w:rFonts w:hint="eastAsia" w:eastAsia="楷体"/>
        </w:rPr>
        <w:t>～</w:t>
      </w:r>
      <w:r>
        <w:rPr>
          <w:rStyle w:val="30"/>
          <w:rFonts w:eastAsia="楷体"/>
        </w:rPr>
        <w:t>2035</w:t>
      </w:r>
      <w:r>
        <w:rPr>
          <w:rStyle w:val="30"/>
          <w:rFonts w:hint="eastAsia" w:eastAsia="楷体"/>
        </w:rPr>
        <w:t>年）发展目标</w:t>
      </w:r>
      <w:bookmarkEnd w:id="50"/>
      <w:bookmarkEnd w:id="51"/>
    </w:p>
    <w:p>
      <w:pPr>
        <w:pStyle w:val="93"/>
        <w:spacing w:line="560" w:lineRule="exact"/>
        <w:ind w:firstLine="640"/>
        <w:rPr>
          <w:sz w:val="32"/>
          <w:szCs w:val="32"/>
        </w:rPr>
      </w:pPr>
      <w:r>
        <w:rPr>
          <w:rFonts w:hint="eastAsia"/>
          <w:sz w:val="32"/>
          <w:szCs w:val="32"/>
        </w:rPr>
        <w:t>到</w:t>
      </w:r>
      <w:r>
        <w:rPr>
          <w:sz w:val="32"/>
          <w:szCs w:val="32"/>
        </w:rPr>
        <w:t>2035</w:t>
      </w:r>
      <w:r>
        <w:rPr>
          <w:rFonts w:hint="eastAsia"/>
          <w:sz w:val="32"/>
          <w:szCs w:val="32"/>
        </w:rPr>
        <w:t>年，基本建成生态强省，基本实现现代化新湖南美好愿景，生态环境根本好转，森林草原等生态系统整体功能全面提高，稳定性全面增强，林业治理体系和治理能力现代化基本实现。全省森林覆盖率（林木绿化率）达</w:t>
      </w:r>
      <w:r>
        <w:rPr>
          <w:sz w:val="32"/>
          <w:szCs w:val="32"/>
        </w:rPr>
        <w:t>60%</w:t>
      </w:r>
      <w:r>
        <w:rPr>
          <w:rFonts w:hint="eastAsia"/>
          <w:sz w:val="32"/>
          <w:szCs w:val="32"/>
        </w:rPr>
        <w:t>，森林蓄积不低于</w:t>
      </w:r>
      <w:r>
        <w:rPr>
          <w:sz w:val="32"/>
          <w:szCs w:val="32"/>
        </w:rPr>
        <w:t>10</w:t>
      </w:r>
      <w:r>
        <w:rPr>
          <w:rFonts w:hint="eastAsia"/>
          <w:sz w:val="32"/>
          <w:szCs w:val="32"/>
        </w:rPr>
        <w:t>亿立方米，草原综合植被盖度稳定在</w:t>
      </w:r>
      <w:r>
        <w:rPr>
          <w:sz w:val="32"/>
          <w:szCs w:val="32"/>
        </w:rPr>
        <w:t>87%</w:t>
      </w:r>
      <w:r>
        <w:rPr>
          <w:rFonts w:hint="eastAsia"/>
          <w:sz w:val="32"/>
          <w:szCs w:val="32"/>
        </w:rPr>
        <w:t>以上，湿地保护率达</w:t>
      </w:r>
      <w:r>
        <w:rPr>
          <w:sz w:val="32"/>
          <w:szCs w:val="32"/>
        </w:rPr>
        <w:t>75%</w:t>
      </w:r>
      <w:r>
        <w:rPr>
          <w:rFonts w:hint="eastAsia"/>
          <w:sz w:val="32"/>
          <w:szCs w:val="32"/>
        </w:rPr>
        <w:t>，自然保护地面积占比稳定在</w:t>
      </w:r>
      <w:r>
        <w:rPr>
          <w:sz w:val="32"/>
          <w:szCs w:val="32"/>
        </w:rPr>
        <w:t>12%</w:t>
      </w:r>
      <w:r>
        <w:rPr>
          <w:rFonts w:hint="eastAsia"/>
          <w:sz w:val="32"/>
          <w:szCs w:val="32"/>
        </w:rPr>
        <w:t>左右，国家重点保护野生动植物种数保护率</w:t>
      </w:r>
      <w:r>
        <w:rPr>
          <w:sz w:val="32"/>
          <w:szCs w:val="32"/>
        </w:rPr>
        <w:t>85%</w:t>
      </w:r>
      <w:r>
        <w:rPr>
          <w:rFonts w:hint="eastAsia"/>
          <w:sz w:val="32"/>
          <w:szCs w:val="32"/>
        </w:rPr>
        <w:t>以上，森林火灾受害率控制在</w:t>
      </w:r>
      <w:r>
        <w:rPr>
          <w:sz w:val="32"/>
          <w:szCs w:val="32"/>
        </w:rPr>
        <w:t>0.9‰</w:t>
      </w:r>
      <w:r>
        <w:rPr>
          <w:rFonts w:hint="eastAsia"/>
          <w:sz w:val="32"/>
          <w:szCs w:val="32"/>
        </w:rPr>
        <w:t>以内，林业有害生物成灾率控制在国家下达的指标之内。森林资源得到有效保育，森林总量持续平稳增加、森林质量明显提高、森林效能显著增强。构建起完善的</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林业生态安全格局，森林、草地与湿地生态系统良性发展，基本满足湖南省生态保护、绿色经济高质量发展、优质生态产品和林农充分就业的需求。</w:t>
      </w:r>
    </w:p>
    <w:p>
      <w:pPr>
        <w:jc w:val="center"/>
      </w:pPr>
      <w:r>
        <w:rPr>
          <w:rFonts w:hint="eastAsia" w:eastAsia="黑体"/>
          <w:kern w:val="0"/>
          <w:sz w:val="28"/>
          <w:szCs w:val="28"/>
        </w:rPr>
        <w:t>湖南省</w:t>
      </w:r>
      <w:r>
        <w:rPr>
          <w:rFonts w:eastAsia="黑体"/>
          <w:kern w:val="0"/>
          <w:sz w:val="28"/>
          <w:szCs w:val="28"/>
        </w:rPr>
        <w:t>“</w:t>
      </w:r>
      <w:r>
        <w:rPr>
          <w:rFonts w:hint="eastAsia" w:eastAsia="黑体"/>
          <w:kern w:val="0"/>
          <w:sz w:val="28"/>
          <w:szCs w:val="28"/>
        </w:rPr>
        <w:t>十四五</w:t>
      </w:r>
      <w:r>
        <w:rPr>
          <w:rFonts w:eastAsia="黑体"/>
          <w:kern w:val="0"/>
          <w:sz w:val="28"/>
          <w:szCs w:val="28"/>
        </w:rPr>
        <w:t>”</w:t>
      </w:r>
      <w:r>
        <w:rPr>
          <w:rFonts w:hint="eastAsia" w:eastAsia="黑体"/>
          <w:kern w:val="0"/>
          <w:sz w:val="28"/>
          <w:szCs w:val="28"/>
        </w:rPr>
        <w:t>林业发展近期和远期主要指标表</w:t>
      </w:r>
    </w:p>
    <w:tbl>
      <w:tblPr>
        <w:tblStyle w:val="36"/>
        <w:tblW w:w="84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4256"/>
        <w:gridCol w:w="838"/>
        <w:gridCol w:w="945"/>
        <w:gridCol w:w="943"/>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b/>
                <w:bCs/>
                <w:kern w:val="0"/>
                <w:sz w:val="22"/>
              </w:rPr>
            </w:pPr>
            <w:r>
              <w:rPr>
                <w:rFonts w:hint="eastAsia" w:eastAsia="仿宋_GB2312"/>
                <w:b/>
                <w:bCs/>
                <w:kern w:val="0"/>
                <w:sz w:val="22"/>
              </w:rPr>
              <w:t>序号</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b/>
                <w:bCs/>
                <w:kern w:val="0"/>
                <w:sz w:val="22"/>
              </w:rPr>
            </w:pPr>
            <w:r>
              <w:rPr>
                <w:rFonts w:hint="eastAsia" w:eastAsia="仿宋_GB2312"/>
                <w:b/>
                <w:bCs/>
                <w:kern w:val="0"/>
                <w:sz w:val="22"/>
              </w:rPr>
              <w:t>指标</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b/>
                <w:bCs/>
                <w:kern w:val="0"/>
                <w:sz w:val="22"/>
              </w:rPr>
            </w:pPr>
            <w:r>
              <w:rPr>
                <w:rFonts w:hint="eastAsia" w:eastAsia="仿宋_GB2312"/>
                <w:b/>
                <w:bCs/>
                <w:kern w:val="0"/>
                <w:sz w:val="22"/>
              </w:rPr>
              <w:t>属性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b/>
                <w:bCs/>
                <w:kern w:val="0"/>
                <w:sz w:val="22"/>
              </w:rPr>
            </w:pPr>
            <w:r>
              <w:rPr>
                <w:rFonts w:eastAsia="仿宋_GB2312"/>
                <w:b/>
                <w:bCs/>
                <w:kern w:val="0"/>
                <w:sz w:val="22"/>
              </w:rPr>
              <w:t>2020</w:t>
            </w:r>
            <w:r>
              <w:rPr>
                <w:rFonts w:hint="eastAsia" w:eastAsia="仿宋_GB2312"/>
                <w:b/>
                <w:bCs/>
                <w:kern w:val="0"/>
                <w:sz w:val="22"/>
              </w:rPr>
              <w:t>年</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b/>
                <w:bCs/>
                <w:kern w:val="0"/>
                <w:sz w:val="22"/>
              </w:rPr>
            </w:pPr>
            <w:r>
              <w:rPr>
                <w:rFonts w:eastAsia="仿宋_GB2312"/>
                <w:b/>
                <w:bCs/>
                <w:kern w:val="0"/>
                <w:sz w:val="22"/>
              </w:rPr>
              <w:t>2025</w:t>
            </w:r>
            <w:r>
              <w:rPr>
                <w:rFonts w:hint="eastAsia" w:eastAsia="仿宋_GB2312"/>
                <w:b/>
                <w:bCs/>
                <w:kern w:val="0"/>
                <w:sz w:val="22"/>
              </w:rPr>
              <w:t>年</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b/>
                <w:bCs/>
                <w:kern w:val="0"/>
                <w:sz w:val="22"/>
              </w:rPr>
            </w:pPr>
            <w:r>
              <w:rPr>
                <w:rFonts w:eastAsia="仿宋_GB2312"/>
                <w:b/>
                <w:bCs/>
                <w:kern w:val="0"/>
                <w:sz w:val="22"/>
              </w:rPr>
              <w:t>2035</w:t>
            </w:r>
            <w:r>
              <w:rPr>
                <w:rFonts w:hint="eastAsia" w:eastAsia="仿宋_GB2312"/>
                <w:b/>
                <w:bCs/>
                <w:kern w:val="0"/>
                <w:sz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森林覆盖率（林木绿化率）（</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约束性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59.96</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≥59</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2</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森林蓄积量（万立方米）</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约束性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58811.19</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≥71000</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3</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乔木林单位面积蓄积量（立方米</w:t>
            </w:r>
            <w:r>
              <w:rPr>
                <w:rFonts w:eastAsia="仿宋_GB2312"/>
                <w:kern w:val="0"/>
                <w:szCs w:val="21"/>
              </w:rPr>
              <w:t>/</w:t>
            </w:r>
            <w:r>
              <w:rPr>
                <w:rFonts w:hint="eastAsia" w:eastAsia="仿宋_GB2312"/>
                <w:kern w:val="0"/>
                <w:szCs w:val="21"/>
              </w:rPr>
              <w:t>公顷）</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65.03</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≥72</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4</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szCs w:val="21"/>
              </w:rPr>
              <w:t>草原综合植被盖度（</w:t>
            </w:r>
            <w:r>
              <w:rPr>
                <w:rFonts w:eastAsia="仿宋_GB2312"/>
                <w:szCs w:val="21"/>
              </w:rPr>
              <w:t>%</w:t>
            </w:r>
            <w:r>
              <w:rPr>
                <w:rFonts w:hint="eastAsia" w:eastAsia="仿宋_GB2312"/>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87.04</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≥87</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5</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湿地保护率（</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75.77</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≥72</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6</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自然保护地面积占比（</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10.78</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11</w:t>
            </w:r>
            <w:r>
              <w:rPr>
                <w:rFonts w:hint="eastAsia" w:eastAsia="仿宋_GB2312"/>
                <w:kern w:val="0"/>
                <w:szCs w:val="21"/>
              </w:rPr>
              <w:t>左右</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12</w:t>
            </w:r>
            <w:r>
              <w:rPr>
                <w:rFonts w:hint="eastAsia" w:eastAsia="仿宋_GB2312"/>
                <w:kern w:val="0"/>
                <w:szCs w:val="21"/>
              </w:rPr>
              <w:t>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7</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国家重点保护野生动</w:t>
            </w:r>
            <w:r>
              <w:rPr>
                <w:rFonts w:eastAsia="仿宋_GB2312"/>
                <w:kern w:val="0"/>
                <w:szCs w:val="21"/>
              </w:rPr>
              <w:t>/</w:t>
            </w:r>
            <w:r>
              <w:rPr>
                <w:rFonts w:hint="eastAsia" w:eastAsia="仿宋_GB2312"/>
                <w:kern w:val="0"/>
                <w:szCs w:val="21"/>
              </w:rPr>
              <w:t>植物种数保护率（</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95.81</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≥85</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8</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森林火灾受害率（</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≤0.9</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≤0.9</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9</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林业有害生物成灾率（</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2833" w:type="dxa"/>
            <w:gridSpan w:val="3"/>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控制在国家下达的指标之内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10</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林业产业总产值（亿元）</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5099</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≥6500</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11</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森林生态系统服务价值（亿元）</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11763.22</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≥10000</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_GB2312"/>
                <w:kern w:val="0"/>
                <w:szCs w:val="21"/>
              </w:rPr>
              <w:t>12</w:t>
            </w:r>
          </w:p>
        </w:tc>
        <w:tc>
          <w:tcPr>
            <w:tcW w:w="4256"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spacing w:line="300" w:lineRule="exact"/>
              <w:jc w:val="left"/>
              <w:rPr>
                <w:rFonts w:eastAsia="仿宋_GB2312"/>
                <w:kern w:val="0"/>
                <w:szCs w:val="21"/>
              </w:rPr>
            </w:pPr>
            <w:r>
              <w:rPr>
                <w:rFonts w:hint="eastAsia" w:eastAsia="仿宋_GB2312"/>
                <w:kern w:val="0"/>
                <w:szCs w:val="21"/>
              </w:rPr>
              <w:t>林业科技进步贡献率（</w:t>
            </w:r>
            <w:r>
              <w:rPr>
                <w:rFonts w:eastAsia="仿宋_GB2312"/>
                <w:kern w:val="0"/>
                <w:szCs w:val="21"/>
              </w:rPr>
              <w:t>%</w:t>
            </w:r>
            <w:r>
              <w:rPr>
                <w:rFonts w:hint="eastAsia" w:eastAsia="仿宋_GB2312"/>
                <w:kern w:val="0"/>
                <w:szCs w:val="21"/>
              </w:rPr>
              <w:t>）</w:t>
            </w:r>
          </w:p>
        </w:tc>
        <w:tc>
          <w:tcPr>
            <w:tcW w:w="83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hint="eastAsia" w:eastAsia="仿宋_GB2312"/>
                <w:kern w:val="0"/>
                <w:szCs w:val="21"/>
              </w:rPr>
              <w:t>预期性</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55</w:t>
            </w:r>
          </w:p>
        </w:tc>
        <w:tc>
          <w:tcPr>
            <w:tcW w:w="94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63</w:t>
            </w:r>
          </w:p>
        </w:tc>
        <w:tc>
          <w:tcPr>
            <w:tcW w:w="94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spacing w:line="300" w:lineRule="exact"/>
              <w:jc w:val="center"/>
              <w:rPr>
                <w:rFonts w:eastAsia="仿宋_GB2312"/>
                <w:kern w:val="0"/>
                <w:szCs w:val="21"/>
              </w:rPr>
            </w:pPr>
            <w:r>
              <w:rPr>
                <w:rFonts w:eastAsia="仿宋"/>
                <w:kern w:val="0"/>
                <w:szCs w:val="21"/>
              </w:rPr>
              <w:t>68</w:t>
            </w:r>
          </w:p>
        </w:tc>
      </w:tr>
    </w:tbl>
    <w:p>
      <w:pPr>
        <w:pStyle w:val="93"/>
        <w:spacing w:line="240" w:lineRule="auto"/>
        <w:ind w:firstLine="0" w:firstLineChars="0"/>
        <w:rPr>
          <w:rFonts w:ascii="Times New Roman" w:eastAsia="黑体"/>
          <w:sz w:val="32"/>
          <w:szCs w:val="32"/>
        </w:rPr>
      </w:pPr>
      <w:bookmarkStart w:id="52" w:name="_Toc78296735"/>
      <w:bookmarkStart w:id="53" w:name="_Toc78381412"/>
      <w:bookmarkStart w:id="54" w:name="_Toc40077723"/>
      <w:r>
        <w:rPr>
          <w:rFonts w:eastAsia="黑体"/>
          <w:sz w:val="32"/>
          <w:szCs w:val="32"/>
          <w:lang w:val="en-US"/>
        </w:rPr>
        <w:drawing>
          <wp:inline distT="0" distB="0" distL="0" distR="0">
            <wp:extent cx="5400675" cy="6972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00675" cy="6972300"/>
                    </a:xfrm>
                    <a:prstGeom prst="rect">
                      <a:avLst/>
                    </a:prstGeom>
                    <a:noFill/>
                    <a:ln>
                      <a:noFill/>
                    </a:ln>
                  </pic:spPr>
                </pic:pic>
              </a:graphicData>
            </a:graphic>
          </wp:inline>
        </w:drawing>
      </w:r>
    </w:p>
    <w:p>
      <w:pPr>
        <w:pStyle w:val="93"/>
        <w:spacing w:line="560" w:lineRule="exact"/>
        <w:ind w:firstLine="0" w:firstLineChars="0"/>
        <w:jc w:val="center"/>
        <w:rPr>
          <w:rFonts w:eastAsia="黑体"/>
          <w:sz w:val="32"/>
          <w:szCs w:val="32"/>
        </w:rPr>
      </w:pPr>
      <w:r>
        <w:rPr>
          <w:rFonts w:hint="eastAsia" w:eastAsia="黑体"/>
          <w:sz w:val="32"/>
          <w:szCs w:val="32"/>
        </w:rPr>
        <w:t>图</w:t>
      </w:r>
      <w:r>
        <w:rPr>
          <w:rFonts w:eastAsia="黑体"/>
          <w:sz w:val="32"/>
          <w:szCs w:val="32"/>
        </w:rPr>
        <w:t xml:space="preserve">2-1 </w:t>
      </w:r>
      <w:r>
        <w:rPr>
          <w:rFonts w:hint="eastAsia" w:eastAsia="黑体"/>
          <w:sz w:val="32"/>
          <w:szCs w:val="32"/>
        </w:rPr>
        <w:t>林业发展规划总图</w:t>
      </w:r>
    </w:p>
    <w:p>
      <w:pPr>
        <w:pStyle w:val="93"/>
        <w:spacing w:line="560" w:lineRule="exact"/>
        <w:ind w:firstLine="0" w:firstLineChars="0"/>
        <w:jc w:val="center"/>
        <w:rPr>
          <w:rFonts w:eastAsia="黑体"/>
          <w:sz w:val="32"/>
          <w:szCs w:val="32"/>
        </w:rPr>
      </w:pPr>
    </w:p>
    <w:p>
      <w:pPr>
        <w:pStyle w:val="93"/>
        <w:spacing w:line="560" w:lineRule="exact"/>
        <w:ind w:firstLine="0" w:firstLineChars="0"/>
        <w:jc w:val="center"/>
        <w:rPr>
          <w:rFonts w:eastAsia="黑体"/>
          <w:sz w:val="32"/>
          <w:szCs w:val="32"/>
        </w:rPr>
      </w:pPr>
    </w:p>
    <w:p>
      <w:pPr>
        <w:pStyle w:val="93"/>
        <w:spacing w:line="560" w:lineRule="exact"/>
        <w:ind w:firstLine="0" w:firstLineChars="0"/>
        <w:jc w:val="center"/>
        <w:rPr>
          <w:rFonts w:eastAsia="黑体"/>
          <w:sz w:val="32"/>
          <w:szCs w:val="32"/>
        </w:rPr>
      </w:pPr>
    </w:p>
    <w:p>
      <w:pPr>
        <w:pStyle w:val="4"/>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2.4 </w:t>
      </w:r>
      <w:r>
        <w:rPr>
          <w:rFonts w:hint="eastAsia" w:ascii="Times New Roman" w:hAnsi="Times New Roman" w:eastAsia="黑体"/>
          <w:sz w:val="32"/>
          <w:szCs w:val="32"/>
        </w:rPr>
        <w:t>空间布局</w:t>
      </w:r>
      <w:bookmarkEnd w:id="52"/>
      <w:bookmarkEnd w:id="53"/>
    </w:p>
    <w:p>
      <w:pPr>
        <w:pStyle w:val="6"/>
        <w:ind w:firstLine="640" w:firstLineChars="200"/>
        <w:rPr>
          <w:rStyle w:val="30"/>
          <w:rFonts w:eastAsia="楷体"/>
          <w:b w:val="0"/>
        </w:rPr>
      </w:pPr>
      <w:bookmarkStart w:id="55" w:name="_Toc78381413"/>
      <w:r>
        <w:rPr>
          <w:rStyle w:val="30"/>
          <w:rFonts w:eastAsia="楷体"/>
        </w:rPr>
        <w:t xml:space="preserve">2.4.1 </w:t>
      </w:r>
      <w:r>
        <w:rPr>
          <w:rStyle w:val="30"/>
          <w:rFonts w:hint="eastAsia" w:eastAsia="楷体"/>
        </w:rPr>
        <w:t>林业生态安全格局</w:t>
      </w:r>
      <w:bookmarkEnd w:id="55"/>
    </w:p>
    <w:bookmarkEnd w:id="54"/>
    <w:p>
      <w:pPr>
        <w:pStyle w:val="93"/>
        <w:spacing w:line="560" w:lineRule="exact"/>
        <w:ind w:firstLine="640"/>
        <w:rPr>
          <w:sz w:val="32"/>
          <w:szCs w:val="32"/>
        </w:rPr>
      </w:pPr>
      <w:r>
        <w:rPr>
          <w:rFonts w:hint="eastAsia"/>
          <w:sz w:val="32"/>
          <w:szCs w:val="32"/>
        </w:rPr>
        <w:t>依据经济社会发展水平、人口资源环境状况、生态发展特点，基于湖南特有的地形地貌，以江、湖及山川、河流为骨架脉络，对接国家</w:t>
      </w:r>
      <w:r>
        <w:rPr>
          <w:sz w:val="32"/>
          <w:szCs w:val="32"/>
        </w:rPr>
        <w:t>“</w:t>
      </w:r>
      <w:r>
        <w:rPr>
          <w:rFonts w:hint="eastAsia"/>
          <w:sz w:val="32"/>
          <w:szCs w:val="32"/>
        </w:rPr>
        <w:t>三区四带</w:t>
      </w:r>
      <w:r>
        <w:rPr>
          <w:sz w:val="32"/>
          <w:szCs w:val="32"/>
        </w:rPr>
        <w:t>”</w:t>
      </w:r>
      <w:r>
        <w:rPr>
          <w:rFonts w:hint="eastAsia"/>
          <w:sz w:val="32"/>
          <w:szCs w:val="32"/>
        </w:rPr>
        <w:t>林草保护发展布局中</w:t>
      </w:r>
      <w:r>
        <w:rPr>
          <w:sz w:val="32"/>
          <w:szCs w:val="32"/>
        </w:rPr>
        <w:t>“</w:t>
      </w:r>
      <w:r>
        <w:rPr>
          <w:rFonts w:hint="eastAsia"/>
          <w:sz w:val="32"/>
          <w:szCs w:val="32"/>
        </w:rPr>
        <w:t>长江重点生态区（含川滇生态屏障）</w:t>
      </w:r>
      <w:r>
        <w:rPr>
          <w:sz w:val="32"/>
          <w:szCs w:val="32"/>
        </w:rPr>
        <w:t>”</w:t>
      </w:r>
      <w:r>
        <w:rPr>
          <w:rFonts w:hint="eastAsia"/>
          <w:sz w:val="32"/>
          <w:szCs w:val="32"/>
        </w:rPr>
        <w:t>、</w:t>
      </w:r>
      <w:r>
        <w:rPr>
          <w:sz w:val="32"/>
          <w:szCs w:val="32"/>
        </w:rPr>
        <w:t>“</w:t>
      </w:r>
      <w:r>
        <w:rPr>
          <w:rFonts w:hint="eastAsia"/>
          <w:sz w:val="32"/>
          <w:szCs w:val="32"/>
        </w:rPr>
        <w:t>南方丘陵山地带</w:t>
      </w:r>
      <w:r>
        <w:rPr>
          <w:sz w:val="32"/>
          <w:szCs w:val="32"/>
        </w:rPr>
        <w:t>”</w:t>
      </w:r>
      <w:r>
        <w:rPr>
          <w:rFonts w:hint="eastAsia"/>
          <w:sz w:val="32"/>
          <w:szCs w:val="32"/>
        </w:rPr>
        <w:t>生态安全战略格局和省委省政府关于推进长株潭一体化和绿心中央公园建设部署，优化筑牢全省</w:t>
      </w:r>
      <w:r>
        <w:rPr>
          <w:sz w:val="32"/>
          <w:szCs w:val="32"/>
        </w:rPr>
        <w:t>“</w:t>
      </w:r>
      <w:r>
        <w:rPr>
          <w:rFonts w:hint="eastAsia"/>
          <w:sz w:val="32"/>
          <w:szCs w:val="32"/>
        </w:rPr>
        <w:t>一江一湖三山四水</w:t>
      </w:r>
      <w:r>
        <w:rPr>
          <w:sz w:val="32"/>
          <w:szCs w:val="32"/>
        </w:rPr>
        <w:t>”</w:t>
      </w:r>
      <w:r>
        <w:rPr>
          <w:rFonts w:hint="eastAsia"/>
          <w:sz w:val="32"/>
          <w:szCs w:val="32"/>
        </w:rPr>
        <w:t>生态屏障，</w:t>
      </w:r>
      <w:r>
        <w:rPr>
          <w:sz w:val="32"/>
          <w:szCs w:val="32"/>
        </w:rPr>
        <w:t>“</w:t>
      </w:r>
      <w:r>
        <w:rPr>
          <w:rFonts w:hint="eastAsia"/>
          <w:sz w:val="32"/>
          <w:szCs w:val="32"/>
        </w:rPr>
        <w:t>四水</w:t>
      </w:r>
      <w:r>
        <w:rPr>
          <w:sz w:val="32"/>
          <w:szCs w:val="32"/>
        </w:rPr>
        <w:t>”</w:t>
      </w:r>
      <w:r>
        <w:rPr>
          <w:rFonts w:hint="eastAsia"/>
          <w:sz w:val="32"/>
          <w:szCs w:val="32"/>
        </w:rPr>
        <w:t>协同，</w:t>
      </w:r>
      <w:r>
        <w:rPr>
          <w:sz w:val="32"/>
          <w:szCs w:val="32"/>
        </w:rPr>
        <w:t>“</w:t>
      </w:r>
      <w:r>
        <w:rPr>
          <w:rFonts w:hint="eastAsia"/>
          <w:sz w:val="32"/>
          <w:szCs w:val="32"/>
        </w:rPr>
        <w:t>江湖</w:t>
      </w:r>
      <w:r>
        <w:rPr>
          <w:sz w:val="32"/>
          <w:szCs w:val="32"/>
        </w:rPr>
        <w:t>”</w:t>
      </w:r>
      <w:r>
        <w:rPr>
          <w:rFonts w:hint="eastAsia"/>
          <w:sz w:val="32"/>
          <w:szCs w:val="32"/>
        </w:rPr>
        <w:t>联动，推进形成（长）江、（洞庭）湖、（三）山、（四）水一体化的</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林业生态安全格局，为全面推进生态保护修复、生态惠民、生态服务的战略任务及重点工程项目奠定基础。</w:t>
      </w:r>
    </w:p>
    <w:p>
      <w:pPr>
        <w:pStyle w:val="93"/>
        <w:spacing w:line="560" w:lineRule="exact"/>
        <w:ind w:firstLine="640"/>
        <w:rPr>
          <w:sz w:val="32"/>
          <w:szCs w:val="32"/>
        </w:rPr>
      </w:pPr>
    </w:p>
    <w:p>
      <w:pPr>
        <w:pStyle w:val="93"/>
        <w:spacing w:line="240" w:lineRule="auto"/>
        <w:ind w:firstLine="0" w:firstLineChars="0"/>
        <w:jc w:val="center"/>
        <w:rPr>
          <w:sz w:val="32"/>
          <w:szCs w:val="32"/>
        </w:rPr>
      </w:pPr>
      <w:r>
        <w:rPr>
          <w:sz w:val="32"/>
          <w:szCs w:val="32"/>
          <w:lang w:val="en-US"/>
        </w:rPr>
        <w:drawing>
          <wp:inline distT="0" distB="0" distL="0" distR="0">
            <wp:extent cx="5514975" cy="7134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4975" cy="7134225"/>
                    </a:xfrm>
                    <a:prstGeom prst="rect">
                      <a:avLst/>
                    </a:prstGeom>
                    <a:noFill/>
                    <a:ln>
                      <a:noFill/>
                    </a:ln>
                  </pic:spPr>
                </pic:pic>
              </a:graphicData>
            </a:graphic>
          </wp:inline>
        </w:drawing>
      </w:r>
    </w:p>
    <w:p>
      <w:pPr>
        <w:pStyle w:val="93"/>
        <w:spacing w:line="560" w:lineRule="exact"/>
        <w:ind w:firstLine="0" w:firstLineChars="0"/>
        <w:jc w:val="center"/>
        <w:rPr>
          <w:rFonts w:eastAsia="黑体"/>
          <w:sz w:val="32"/>
          <w:szCs w:val="32"/>
        </w:rPr>
      </w:pPr>
      <w:r>
        <w:rPr>
          <w:rFonts w:hint="eastAsia" w:eastAsia="黑体"/>
          <w:sz w:val="32"/>
          <w:szCs w:val="32"/>
        </w:rPr>
        <w:t>图</w:t>
      </w:r>
      <w:r>
        <w:rPr>
          <w:rFonts w:eastAsia="黑体"/>
          <w:sz w:val="32"/>
          <w:szCs w:val="32"/>
        </w:rPr>
        <w:t xml:space="preserve">2-2 </w:t>
      </w:r>
      <w:r>
        <w:rPr>
          <w:rFonts w:hint="eastAsia" w:eastAsia="黑体"/>
          <w:sz w:val="32"/>
          <w:szCs w:val="32"/>
        </w:rPr>
        <w:t>林业生态安全格局图</w:t>
      </w:r>
    </w:p>
    <w:p>
      <w:pPr>
        <w:pStyle w:val="93"/>
        <w:spacing w:line="560" w:lineRule="exact"/>
        <w:ind w:firstLine="640"/>
        <w:rPr>
          <w:bCs/>
          <w:sz w:val="32"/>
          <w:szCs w:val="32"/>
        </w:rPr>
      </w:pPr>
    </w:p>
    <w:p>
      <w:pPr>
        <w:pStyle w:val="93"/>
        <w:spacing w:line="560" w:lineRule="exact"/>
        <w:ind w:firstLine="640"/>
        <w:rPr>
          <w:bCs/>
          <w:sz w:val="32"/>
          <w:szCs w:val="32"/>
        </w:rPr>
      </w:pPr>
    </w:p>
    <w:p>
      <w:pPr>
        <w:pStyle w:val="93"/>
        <w:spacing w:line="560" w:lineRule="exact"/>
        <w:ind w:firstLine="640"/>
        <w:rPr>
          <w:bCs/>
          <w:sz w:val="32"/>
          <w:szCs w:val="32"/>
        </w:rPr>
      </w:pPr>
    </w:p>
    <w:p>
      <w:pPr>
        <w:pStyle w:val="93"/>
        <w:spacing w:line="560" w:lineRule="exact"/>
        <w:ind w:firstLine="640"/>
        <w:rPr>
          <w:bCs/>
          <w:sz w:val="32"/>
          <w:szCs w:val="32"/>
        </w:rPr>
      </w:pPr>
      <w:r>
        <w:rPr>
          <w:rFonts w:hint="eastAsia"/>
          <w:bCs/>
          <w:sz w:val="32"/>
          <w:szCs w:val="32"/>
        </w:rPr>
        <w:t>（</w:t>
      </w:r>
      <w:r>
        <w:rPr>
          <w:bCs/>
          <w:sz w:val="32"/>
          <w:szCs w:val="32"/>
        </w:rPr>
        <w:t>1</w:t>
      </w:r>
      <w:r>
        <w:rPr>
          <w:rFonts w:hint="eastAsia"/>
          <w:bCs/>
          <w:sz w:val="32"/>
          <w:szCs w:val="32"/>
        </w:rPr>
        <w:t>）</w:t>
      </w:r>
      <w:r>
        <w:rPr>
          <w:bCs/>
          <w:sz w:val="32"/>
          <w:szCs w:val="32"/>
        </w:rPr>
        <w:t>“</w:t>
      </w:r>
      <w:r>
        <w:rPr>
          <w:rFonts w:hint="eastAsia"/>
          <w:bCs/>
          <w:sz w:val="32"/>
          <w:szCs w:val="32"/>
        </w:rPr>
        <w:t>一江一湖三山四水</w:t>
      </w:r>
      <w:r>
        <w:rPr>
          <w:bCs/>
          <w:sz w:val="32"/>
          <w:szCs w:val="32"/>
        </w:rPr>
        <w:t>”</w:t>
      </w:r>
      <w:r>
        <w:rPr>
          <w:rFonts w:hint="eastAsia"/>
          <w:bCs/>
          <w:sz w:val="32"/>
          <w:szCs w:val="32"/>
        </w:rPr>
        <w:t>为根本</w:t>
      </w:r>
    </w:p>
    <w:p>
      <w:pPr>
        <w:pStyle w:val="93"/>
        <w:spacing w:line="560" w:lineRule="exact"/>
        <w:ind w:firstLine="640"/>
        <w:rPr>
          <w:sz w:val="32"/>
          <w:szCs w:val="32"/>
        </w:rPr>
      </w:pPr>
      <w:r>
        <w:rPr>
          <w:rFonts w:hint="eastAsia"/>
          <w:sz w:val="32"/>
          <w:szCs w:val="32"/>
        </w:rPr>
        <w:t>①</w:t>
      </w:r>
      <w:r>
        <w:rPr>
          <w:sz w:val="32"/>
          <w:szCs w:val="32"/>
        </w:rPr>
        <w:t>“</w:t>
      </w:r>
      <w:r>
        <w:rPr>
          <w:rFonts w:hint="eastAsia"/>
          <w:sz w:val="32"/>
          <w:szCs w:val="32"/>
        </w:rPr>
        <w:t>一江</w:t>
      </w:r>
      <w:r>
        <w:rPr>
          <w:sz w:val="32"/>
          <w:szCs w:val="32"/>
        </w:rPr>
        <w:t>”</w:t>
      </w:r>
      <w:r>
        <w:rPr>
          <w:rFonts w:hint="eastAsia"/>
          <w:sz w:val="32"/>
          <w:szCs w:val="32"/>
        </w:rPr>
        <w:t>即湖南境内</w:t>
      </w:r>
      <w:r>
        <w:rPr>
          <w:sz w:val="32"/>
          <w:szCs w:val="32"/>
        </w:rPr>
        <w:t>163</w:t>
      </w:r>
      <w:r>
        <w:rPr>
          <w:rFonts w:hint="eastAsia"/>
          <w:sz w:val="32"/>
          <w:szCs w:val="32"/>
        </w:rPr>
        <w:t>公里的长江岸线</w:t>
      </w:r>
    </w:p>
    <w:p>
      <w:pPr>
        <w:pStyle w:val="93"/>
        <w:spacing w:line="560" w:lineRule="exact"/>
        <w:ind w:firstLine="640"/>
        <w:rPr>
          <w:sz w:val="32"/>
          <w:szCs w:val="32"/>
        </w:rPr>
      </w:pPr>
      <w:r>
        <w:rPr>
          <w:rFonts w:hint="eastAsia"/>
          <w:sz w:val="32"/>
          <w:szCs w:val="32"/>
        </w:rPr>
        <w:t>严格落实《中华人民共和国长江保护法》，加大长江岸线保护修复力度，重塑绿色生态新长江岸线，构建江湖交汇、山湖交融、河山一体的生态网络，共同维护区域生态基底。实施长江岸线专项保护行动，加强长江生态廊道、湖滨生态保护带、河湖生态廊道等区域生态廊道的相互衔接，保护好一江碧水。</w:t>
      </w:r>
    </w:p>
    <w:p>
      <w:pPr>
        <w:pStyle w:val="93"/>
        <w:spacing w:line="560" w:lineRule="exact"/>
        <w:ind w:firstLine="640"/>
        <w:rPr>
          <w:sz w:val="32"/>
          <w:szCs w:val="32"/>
        </w:rPr>
      </w:pPr>
      <w:r>
        <w:rPr>
          <w:rFonts w:hint="eastAsia"/>
          <w:sz w:val="32"/>
          <w:szCs w:val="32"/>
        </w:rPr>
        <w:t>②</w:t>
      </w:r>
      <w:r>
        <w:rPr>
          <w:sz w:val="32"/>
          <w:szCs w:val="32"/>
        </w:rPr>
        <w:t>“</w:t>
      </w:r>
      <w:r>
        <w:rPr>
          <w:rFonts w:hint="eastAsia"/>
          <w:sz w:val="32"/>
          <w:szCs w:val="32"/>
        </w:rPr>
        <w:t>一湖</w:t>
      </w:r>
      <w:r>
        <w:rPr>
          <w:sz w:val="32"/>
          <w:szCs w:val="32"/>
        </w:rPr>
        <w:t>”</w:t>
      </w:r>
      <w:r>
        <w:rPr>
          <w:rFonts w:hint="eastAsia"/>
          <w:sz w:val="32"/>
          <w:szCs w:val="32"/>
        </w:rPr>
        <w:t>即被称为</w:t>
      </w:r>
      <w:r>
        <w:rPr>
          <w:sz w:val="32"/>
          <w:szCs w:val="32"/>
        </w:rPr>
        <w:t>“</w:t>
      </w:r>
      <w:r>
        <w:rPr>
          <w:rFonts w:hint="eastAsia"/>
          <w:sz w:val="32"/>
          <w:szCs w:val="32"/>
        </w:rPr>
        <w:t>长江之肾</w:t>
      </w:r>
      <w:r>
        <w:rPr>
          <w:sz w:val="32"/>
          <w:szCs w:val="32"/>
        </w:rPr>
        <w:t>”</w:t>
      </w:r>
      <w:r>
        <w:rPr>
          <w:rFonts w:hint="eastAsia"/>
          <w:sz w:val="32"/>
          <w:szCs w:val="32"/>
        </w:rPr>
        <w:t>的洞庭湖</w:t>
      </w:r>
    </w:p>
    <w:p>
      <w:pPr>
        <w:pStyle w:val="93"/>
        <w:spacing w:line="560" w:lineRule="exact"/>
        <w:ind w:firstLine="640"/>
        <w:rPr>
          <w:sz w:val="32"/>
          <w:szCs w:val="32"/>
        </w:rPr>
      </w:pPr>
      <w:r>
        <w:rPr>
          <w:rFonts w:hint="eastAsia" w:cs="仿宋_GB2312"/>
          <w:sz w:val="32"/>
          <w:szCs w:val="32"/>
        </w:rPr>
        <w:t>加强</w:t>
      </w:r>
      <w:r>
        <w:rPr>
          <w:rFonts w:hint="eastAsia"/>
          <w:sz w:val="32"/>
          <w:szCs w:val="32"/>
        </w:rPr>
        <w:t>洞庭湖湖泊保护、</w:t>
      </w:r>
      <w:r>
        <w:rPr>
          <w:rFonts w:hint="eastAsia" w:cs="仿宋_GB2312"/>
          <w:sz w:val="32"/>
          <w:szCs w:val="32"/>
        </w:rPr>
        <w:t>生物多样性保护、动植物栖息地保护、</w:t>
      </w:r>
      <w:r>
        <w:rPr>
          <w:rFonts w:hint="eastAsia"/>
          <w:sz w:val="32"/>
          <w:szCs w:val="32"/>
        </w:rPr>
        <w:t>湖滨绿色生态岸线保护</w:t>
      </w:r>
      <w:r>
        <w:rPr>
          <w:rFonts w:hint="eastAsia" w:cs="仿宋_GB2312"/>
          <w:sz w:val="32"/>
          <w:szCs w:val="32"/>
        </w:rPr>
        <w:t>，</w:t>
      </w:r>
      <w:r>
        <w:rPr>
          <w:rFonts w:hint="eastAsia"/>
          <w:sz w:val="32"/>
          <w:szCs w:val="32"/>
        </w:rPr>
        <w:t>切实有效维护洞庭湖洲滩湿地与之依存的国际重要湿地、国家重要湿地、自然保护区等基础性生态源地。</w:t>
      </w:r>
      <w:r>
        <w:rPr>
          <w:rFonts w:hint="eastAsia" w:cs="仿宋_GB2312"/>
          <w:sz w:val="32"/>
          <w:szCs w:val="32"/>
        </w:rPr>
        <w:t>实施河湖联通、水生态修复、已侵占破坏湿地修复</w:t>
      </w:r>
      <w:r>
        <w:rPr>
          <w:rFonts w:hint="eastAsia"/>
          <w:sz w:val="32"/>
          <w:szCs w:val="32"/>
        </w:rPr>
        <w:t>，开展洞庭湖生物多样性与可持续发展利用项目，推进东、南洞庭湖国际重要湿地保护与恢复工程及三峡后续项目湿地保护修复工程，探索建立湿地生态效益补偿长效机制。</w:t>
      </w:r>
    </w:p>
    <w:p>
      <w:pPr>
        <w:pStyle w:val="93"/>
        <w:spacing w:line="560" w:lineRule="exact"/>
        <w:ind w:firstLine="640"/>
        <w:rPr>
          <w:sz w:val="32"/>
          <w:szCs w:val="32"/>
        </w:rPr>
      </w:pPr>
      <w:r>
        <w:rPr>
          <w:rFonts w:hint="eastAsia"/>
          <w:sz w:val="32"/>
          <w:szCs w:val="32"/>
        </w:rPr>
        <w:t>③</w:t>
      </w:r>
      <w:r>
        <w:rPr>
          <w:sz w:val="32"/>
          <w:szCs w:val="32"/>
        </w:rPr>
        <w:t>“</w:t>
      </w:r>
      <w:r>
        <w:rPr>
          <w:rFonts w:hint="eastAsia"/>
          <w:sz w:val="32"/>
          <w:szCs w:val="32"/>
        </w:rPr>
        <w:t>三山</w:t>
      </w:r>
      <w:r>
        <w:rPr>
          <w:sz w:val="32"/>
          <w:szCs w:val="32"/>
        </w:rPr>
        <w:t>”</w:t>
      </w:r>
      <w:r>
        <w:rPr>
          <w:rFonts w:hint="eastAsia"/>
          <w:sz w:val="32"/>
          <w:szCs w:val="32"/>
        </w:rPr>
        <w:t>即武陵</w:t>
      </w:r>
      <w:r>
        <w:rPr>
          <w:sz w:val="32"/>
          <w:szCs w:val="32"/>
        </w:rPr>
        <w:t>-</w:t>
      </w:r>
      <w:r>
        <w:rPr>
          <w:rFonts w:hint="eastAsia"/>
          <w:sz w:val="32"/>
          <w:szCs w:val="32"/>
        </w:rPr>
        <w:t>雪峰、罗霄</w:t>
      </w:r>
      <w:r>
        <w:rPr>
          <w:sz w:val="32"/>
          <w:szCs w:val="32"/>
        </w:rPr>
        <w:t>-</w:t>
      </w:r>
      <w:r>
        <w:rPr>
          <w:rFonts w:hint="eastAsia"/>
          <w:sz w:val="32"/>
          <w:szCs w:val="32"/>
        </w:rPr>
        <w:t>幕阜、南岭</w:t>
      </w:r>
      <w:r>
        <w:rPr>
          <w:sz w:val="32"/>
          <w:szCs w:val="32"/>
        </w:rPr>
        <w:t>3</w:t>
      </w:r>
      <w:r>
        <w:rPr>
          <w:rFonts w:hint="eastAsia"/>
          <w:sz w:val="32"/>
          <w:szCs w:val="32"/>
        </w:rPr>
        <w:t>个山脉为构架的生态屏障区域</w:t>
      </w:r>
    </w:p>
    <w:p>
      <w:pPr>
        <w:pStyle w:val="93"/>
        <w:spacing w:line="560" w:lineRule="exact"/>
        <w:ind w:firstLine="640"/>
        <w:rPr>
          <w:rFonts w:cs="仿宋_GB2312"/>
          <w:sz w:val="32"/>
          <w:szCs w:val="32"/>
        </w:rPr>
      </w:pPr>
      <w:r>
        <w:rPr>
          <w:rFonts w:hint="eastAsia" w:cs="仿宋_GB2312"/>
          <w:sz w:val="32"/>
          <w:szCs w:val="32"/>
        </w:rPr>
        <w:t>贯彻落实《全国重要生态系统保护和修复重大工程总体规划（</w:t>
      </w:r>
      <w:r>
        <w:rPr>
          <w:rFonts w:cs="仿宋_GB2312"/>
          <w:sz w:val="32"/>
          <w:szCs w:val="32"/>
        </w:rPr>
        <w:t>2021-2035</w:t>
      </w:r>
      <w:r>
        <w:rPr>
          <w:rFonts w:hint="eastAsia" w:cs="仿宋_GB2312"/>
          <w:sz w:val="32"/>
          <w:szCs w:val="32"/>
        </w:rPr>
        <w:t>年）》《南方丘陵山地带生态保护和修复重大工程建设规划（</w:t>
      </w:r>
      <w:r>
        <w:rPr>
          <w:rFonts w:cs="仿宋_GB2312"/>
          <w:sz w:val="32"/>
          <w:szCs w:val="32"/>
        </w:rPr>
        <w:t>2021-2035</w:t>
      </w:r>
      <w:r>
        <w:rPr>
          <w:rFonts w:hint="eastAsia" w:cs="仿宋_GB2312"/>
          <w:sz w:val="32"/>
          <w:szCs w:val="32"/>
        </w:rPr>
        <w:t>年）》</w:t>
      </w:r>
      <w:bookmarkStart w:id="56" w:name="_Toc26733"/>
      <w:bookmarkStart w:id="57" w:name="_Toc20235"/>
      <w:r>
        <w:rPr>
          <w:rFonts w:hint="eastAsia" w:cs="仿宋_GB2312"/>
          <w:sz w:val="32"/>
          <w:szCs w:val="32"/>
        </w:rPr>
        <w:t>中重点区域生态保护修复建设任务，实施武陵</w:t>
      </w:r>
      <w:r>
        <w:rPr>
          <w:rFonts w:cs="仿宋_GB2312"/>
          <w:sz w:val="32"/>
          <w:szCs w:val="32"/>
        </w:rPr>
        <w:t>—</w:t>
      </w:r>
      <w:r>
        <w:rPr>
          <w:rFonts w:hint="eastAsia" w:cs="仿宋_GB2312"/>
          <w:sz w:val="32"/>
          <w:szCs w:val="32"/>
        </w:rPr>
        <w:t>雪峰山区生物多样性与水源涵养</w:t>
      </w:r>
      <w:bookmarkEnd w:id="56"/>
      <w:bookmarkEnd w:id="57"/>
      <w:r>
        <w:rPr>
          <w:rFonts w:hint="eastAsia" w:cs="仿宋_GB2312"/>
          <w:sz w:val="32"/>
          <w:szCs w:val="32"/>
        </w:rPr>
        <w:t>建设、</w:t>
      </w:r>
      <w:bookmarkStart w:id="58" w:name="_Toc29002"/>
      <w:bookmarkStart w:id="59" w:name="_Toc650"/>
      <w:r>
        <w:rPr>
          <w:rFonts w:hint="eastAsia" w:cs="仿宋_GB2312"/>
          <w:sz w:val="32"/>
          <w:szCs w:val="32"/>
        </w:rPr>
        <w:t>罗霄</w:t>
      </w:r>
      <w:r>
        <w:rPr>
          <w:rFonts w:cs="仿宋_GB2312"/>
          <w:sz w:val="32"/>
          <w:szCs w:val="32"/>
        </w:rPr>
        <w:t>—</w:t>
      </w:r>
      <w:r>
        <w:rPr>
          <w:rFonts w:hint="eastAsia" w:cs="仿宋_GB2312"/>
          <w:sz w:val="32"/>
          <w:szCs w:val="32"/>
        </w:rPr>
        <w:t>幕阜山区生物多样性</w:t>
      </w:r>
      <w:bookmarkEnd w:id="58"/>
      <w:bookmarkEnd w:id="59"/>
      <w:r>
        <w:rPr>
          <w:rFonts w:hint="eastAsia" w:cs="仿宋_GB2312"/>
          <w:sz w:val="32"/>
          <w:szCs w:val="32"/>
        </w:rPr>
        <w:t>保护建设、南岭山地带生物多样性与水源涵养建设等重大工程项目，强化区域生物多样性维护、水源涵养和水土保持主体功能。</w:t>
      </w:r>
    </w:p>
    <w:p>
      <w:pPr>
        <w:pStyle w:val="93"/>
        <w:spacing w:line="560" w:lineRule="exact"/>
        <w:ind w:firstLine="640"/>
        <w:rPr>
          <w:sz w:val="32"/>
          <w:szCs w:val="32"/>
        </w:rPr>
      </w:pPr>
      <w:r>
        <w:rPr>
          <w:rFonts w:hint="eastAsia"/>
          <w:sz w:val="32"/>
          <w:szCs w:val="32"/>
        </w:rPr>
        <w:t>④</w:t>
      </w:r>
      <w:r>
        <w:rPr>
          <w:sz w:val="32"/>
          <w:szCs w:val="32"/>
        </w:rPr>
        <w:t>“</w:t>
      </w:r>
      <w:r>
        <w:rPr>
          <w:rFonts w:hint="eastAsia"/>
          <w:sz w:val="32"/>
          <w:szCs w:val="32"/>
        </w:rPr>
        <w:t>四水</w:t>
      </w:r>
      <w:r>
        <w:rPr>
          <w:sz w:val="32"/>
          <w:szCs w:val="32"/>
        </w:rPr>
        <w:t>”</w:t>
      </w:r>
      <w:r>
        <w:rPr>
          <w:rFonts w:hint="eastAsia"/>
          <w:sz w:val="32"/>
          <w:szCs w:val="32"/>
        </w:rPr>
        <w:t>即湘江、资江、沅江、澧水的水域和源头及其一、二级支流区域</w:t>
      </w:r>
    </w:p>
    <w:p>
      <w:pPr>
        <w:pStyle w:val="93"/>
        <w:spacing w:line="560" w:lineRule="exact"/>
        <w:ind w:firstLine="672"/>
        <w:rPr>
          <w:sz w:val="36"/>
          <w:szCs w:val="32"/>
        </w:rPr>
      </w:pPr>
      <w:r>
        <w:rPr>
          <w:rFonts w:hint="eastAsia" w:hAnsi="仿宋"/>
          <w:spacing w:val="8"/>
          <w:sz w:val="32"/>
          <w:szCs w:val="30"/>
        </w:rPr>
        <w:t>加大对</w:t>
      </w:r>
      <w:r>
        <w:rPr>
          <w:spacing w:val="8"/>
          <w:sz w:val="32"/>
          <w:szCs w:val="30"/>
        </w:rPr>
        <w:t>“</w:t>
      </w:r>
      <w:r>
        <w:rPr>
          <w:rFonts w:hint="eastAsia"/>
          <w:spacing w:val="8"/>
          <w:sz w:val="32"/>
          <w:szCs w:val="30"/>
        </w:rPr>
        <w:t>四水</w:t>
      </w:r>
      <w:r>
        <w:rPr>
          <w:spacing w:val="8"/>
          <w:sz w:val="32"/>
          <w:szCs w:val="30"/>
        </w:rPr>
        <w:t>”</w:t>
      </w:r>
      <w:r>
        <w:rPr>
          <w:rFonts w:hint="eastAsia" w:hAnsi="仿宋"/>
          <w:spacing w:val="8"/>
          <w:sz w:val="32"/>
          <w:szCs w:val="30"/>
        </w:rPr>
        <w:t>流域综合治理、森林质量精准提升的支持力度，实施水源涵养林建设、水土流失治理、石漠化治理等生态保护修复工程，构建全流域生态涵养带，推动流域岸线生态恢复，</w:t>
      </w:r>
      <w:r>
        <w:rPr>
          <w:rFonts w:hint="eastAsia"/>
          <w:sz w:val="32"/>
          <w:szCs w:val="32"/>
        </w:rPr>
        <w:t>发挥</w:t>
      </w:r>
      <w:r>
        <w:rPr>
          <w:sz w:val="32"/>
          <w:szCs w:val="32"/>
        </w:rPr>
        <w:t>“</w:t>
      </w:r>
      <w:r>
        <w:rPr>
          <w:rFonts w:hint="eastAsia"/>
          <w:sz w:val="32"/>
          <w:szCs w:val="32"/>
        </w:rPr>
        <w:t>四水</w:t>
      </w:r>
      <w:r>
        <w:rPr>
          <w:sz w:val="32"/>
          <w:szCs w:val="32"/>
        </w:rPr>
        <w:t>”</w:t>
      </w:r>
      <w:r>
        <w:rPr>
          <w:rFonts w:hint="eastAsia"/>
          <w:sz w:val="32"/>
          <w:szCs w:val="32"/>
        </w:rPr>
        <w:t>流域的洪水调蓄、水源涵养、气候调节和生物多样性保护等生态功能。</w:t>
      </w:r>
    </w:p>
    <w:p>
      <w:pPr>
        <w:pStyle w:val="93"/>
        <w:spacing w:line="560" w:lineRule="exact"/>
        <w:ind w:firstLine="640"/>
        <w:rPr>
          <w:rFonts w:ascii="Times New Roman"/>
          <w:bCs/>
          <w:sz w:val="32"/>
          <w:szCs w:val="32"/>
        </w:rPr>
      </w:pPr>
      <w:r>
        <w:rPr>
          <w:rFonts w:hint="eastAsia"/>
          <w:bCs/>
          <w:sz w:val="32"/>
          <w:szCs w:val="32"/>
        </w:rPr>
        <w:t>（</w:t>
      </w:r>
      <w:r>
        <w:rPr>
          <w:bCs/>
          <w:sz w:val="32"/>
          <w:szCs w:val="32"/>
        </w:rPr>
        <w:t>2</w:t>
      </w:r>
      <w:r>
        <w:rPr>
          <w:rFonts w:hint="eastAsia"/>
          <w:bCs/>
          <w:sz w:val="32"/>
          <w:szCs w:val="32"/>
        </w:rPr>
        <w:t>）</w:t>
      </w:r>
      <w:r>
        <w:rPr>
          <w:bCs/>
          <w:sz w:val="32"/>
          <w:szCs w:val="32"/>
        </w:rPr>
        <w:t>“</w:t>
      </w:r>
      <w:r>
        <w:rPr>
          <w:rFonts w:hint="eastAsia"/>
          <w:bCs/>
          <w:sz w:val="32"/>
          <w:szCs w:val="32"/>
        </w:rPr>
        <w:t>一心</w:t>
      </w:r>
      <w:r>
        <w:rPr>
          <w:bCs/>
          <w:sz w:val="32"/>
          <w:szCs w:val="32"/>
        </w:rPr>
        <w:t>”</w:t>
      </w:r>
      <w:r>
        <w:rPr>
          <w:rFonts w:hint="eastAsia"/>
          <w:bCs/>
          <w:sz w:val="32"/>
          <w:szCs w:val="32"/>
        </w:rPr>
        <w:t>为样板</w:t>
      </w:r>
    </w:p>
    <w:p>
      <w:pPr>
        <w:pStyle w:val="93"/>
        <w:spacing w:line="560" w:lineRule="exact"/>
        <w:ind w:firstLine="640"/>
        <w:rPr>
          <w:sz w:val="32"/>
          <w:szCs w:val="32"/>
        </w:rPr>
      </w:pPr>
      <w:r>
        <w:rPr>
          <w:sz w:val="32"/>
          <w:szCs w:val="32"/>
        </w:rPr>
        <w:t>“</w:t>
      </w:r>
      <w:r>
        <w:rPr>
          <w:rFonts w:hint="eastAsia"/>
          <w:sz w:val="32"/>
          <w:szCs w:val="32"/>
        </w:rPr>
        <w:t>一心</w:t>
      </w:r>
      <w:r>
        <w:rPr>
          <w:sz w:val="32"/>
          <w:szCs w:val="32"/>
        </w:rPr>
        <w:t>”</w:t>
      </w:r>
      <w:r>
        <w:rPr>
          <w:rFonts w:hint="eastAsia"/>
          <w:sz w:val="32"/>
          <w:szCs w:val="32"/>
        </w:rPr>
        <w:t>即长株潭城市群生态绿心地区，是全省绿色融合发展、生态系统品质提升的示范样板。</w:t>
      </w:r>
    </w:p>
    <w:p>
      <w:pPr>
        <w:pStyle w:val="93"/>
        <w:spacing w:line="560" w:lineRule="exact"/>
        <w:ind w:firstLine="640"/>
        <w:rPr>
          <w:sz w:val="32"/>
          <w:szCs w:val="32"/>
        </w:rPr>
      </w:pPr>
      <w:r>
        <w:rPr>
          <w:rFonts w:hint="eastAsia"/>
          <w:sz w:val="32"/>
          <w:szCs w:val="32"/>
        </w:rPr>
        <w:t>按照习近平总书记对长株潭城市群生态绿心地区建设重要指示，立足长株潭一体化战略布局，准确认识绿心生态屏障的主要功能，全面贯彻落实《湖南省长株潭城市群生态绿心地区保护条例》，开展大尺度、网络化绿心生态提质行动，构筑绿心生态网络空间格局，加快建设世界级品质的城市生态绿心之地，不断完善绿心生态环境共保联治机制，着力打造长株潭城市群的</w:t>
      </w:r>
      <w:r>
        <w:rPr>
          <w:sz w:val="32"/>
          <w:szCs w:val="32"/>
        </w:rPr>
        <w:t>“</w:t>
      </w:r>
      <w:r>
        <w:rPr>
          <w:rFonts w:hint="eastAsia"/>
          <w:sz w:val="32"/>
          <w:szCs w:val="32"/>
        </w:rPr>
        <w:t>中央公园</w:t>
      </w:r>
      <w:r>
        <w:rPr>
          <w:sz w:val="32"/>
          <w:szCs w:val="32"/>
        </w:rPr>
        <w:t>”</w:t>
      </w:r>
      <w:r>
        <w:rPr>
          <w:rFonts w:hint="eastAsia"/>
          <w:sz w:val="32"/>
          <w:szCs w:val="32"/>
        </w:rPr>
        <w:t>。</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w:t>
      </w:r>
      <w:r>
        <w:rPr>
          <w:sz w:val="32"/>
          <w:szCs w:val="32"/>
        </w:rPr>
        <w:t>“</w:t>
      </w:r>
      <w:r>
        <w:rPr>
          <w:rFonts w:hint="eastAsia"/>
          <w:sz w:val="32"/>
          <w:szCs w:val="32"/>
        </w:rPr>
        <w:t>多廊</w:t>
      </w:r>
      <w:r>
        <w:rPr>
          <w:sz w:val="32"/>
          <w:szCs w:val="32"/>
        </w:rPr>
        <w:t>”</w:t>
      </w:r>
      <w:r>
        <w:rPr>
          <w:rFonts w:hint="eastAsia"/>
          <w:sz w:val="32"/>
          <w:szCs w:val="32"/>
        </w:rPr>
        <w:t>为纽带</w:t>
      </w:r>
    </w:p>
    <w:p>
      <w:pPr>
        <w:pStyle w:val="93"/>
        <w:spacing w:line="560" w:lineRule="exact"/>
        <w:ind w:firstLine="640"/>
        <w:rPr>
          <w:sz w:val="32"/>
          <w:szCs w:val="32"/>
        </w:rPr>
      </w:pPr>
      <w:r>
        <w:rPr>
          <w:sz w:val="32"/>
          <w:szCs w:val="32"/>
        </w:rPr>
        <w:t>“</w:t>
      </w:r>
      <w:r>
        <w:rPr>
          <w:rFonts w:hint="eastAsia"/>
          <w:sz w:val="32"/>
          <w:szCs w:val="32"/>
        </w:rPr>
        <w:t>多廊</w:t>
      </w:r>
      <w:r>
        <w:rPr>
          <w:sz w:val="32"/>
          <w:szCs w:val="32"/>
        </w:rPr>
        <w:t>”</w:t>
      </w:r>
      <w:r>
        <w:rPr>
          <w:rFonts w:hint="eastAsia"/>
          <w:sz w:val="32"/>
          <w:szCs w:val="32"/>
        </w:rPr>
        <w:t>即多条多级生态廊道，是将</w:t>
      </w:r>
      <w:r>
        <w:rPr>
          <w:sz w:val="32"/>
          <w:szCs w:val="32"/>
        </w:rPr>
        <w:t>“</w:t>
      </w:r>
      <w:r>
        <w:rPr>
          <w:rFonts w:hint="eastAsia"/>
          <w:sz w:val="32"/>
          <w:szCs w:val="32"/>
        </w:rPr>
        <w:t>一江一湖三山四水</w:t>
      </w:r>
      <w:r>
        <w:rPr>
          <w:sz w:val="32"/>
          <w:szCs w:val="32"/>
        </w:rPr>
        <w:t>”</w:t>
      </w:r>
      <w:r>
        <w:rPr>
          <w:rFonts w:hint="eastAsia"/>
          <w:sz w:val="32"/>
          <w:szCs w:val="32"/>
        </w:rPr>
        <w:t>连接成互连互通、有机联系、相辅相成生态联系的纽带。</w:t>
      </w:r>
    </w:p>
    <w:p>
      <w:pPr>
        <w:pStyle w:val="93"/>
        <w:spacing w:line="560" w:lineRule="exact"/>
        <w:ind w:firstLine="640"/>
        <w:rPr>
          <w:sz w:val="32"/>
          <w:szCs w:val="32"/>
        </w:rPr>
      </w:pPr>
      <w:r>
        <w:rPr>
          <w:rFonts w:hint="eastAsia"/>
          <w:sz w:val="32"/>
          <w:szCs w:val="32"/>
        </w:rPr>
        <w:t>全面推进省、市、县级生态廊道建设。以河道生态整治和河道外两岸造林绿化为重点，建设湘江、资江、沅江、澧水等河流生态廊道，打造湘江千里滨水走廊示范项目。着眼于重点生态功能区和自然保护地之间，围绕山系、水系、衡邵干旱走廊以及重要交通主干道、民用机场周边一定范围内的生态功能区域，建设一批结构稳定、功能完备的省、市、县级生态廊道。以此为纽带，形成全省完整的生态系统和生物多样性保护网络体系。</w:t>
      </w:r>
    </w:p>
    <w:p>
      <w:pPr>
        <w:pStyle w:val="6"/>
        <w:ind w:firstLine="640" w:firstLineChars="200"/>
        <w:rPr>
          <w:rStyle w:val="30"/>
          <w:rFonts w:eastAsia="楷体"/>
          <w:b w:val="0"/>
        </w:rPr>
      </w:pPr>
      <w:bookmarkStart w:id="60" w:name="_Toc78381414"/>
      <w:r>
        <w:rPr>
          <w:rStyle w:val="30"/>
          <w:rFonts w:eastAsia="楷体"/>
        </w:rPr>
        <w:t xml:space="preserve">2.4.2 </w:t>
      </w:r>
      <w:r>
        <w:rPr>
          <w:rStyle w:val="30"/>
          <w:rFonts w:hint="eastAsia" w:eastAsia="楷体"/>
        </w:rPr>
        <w:t>林草功能分区管控</w:t>
      </w:r>
      <w:bookmarkEnd w:id="60"/>
    </w:p>
    <w:p>
      <w:pPr>
        <w:pStyle w:val="93"/>
        <w:spacing w:line="560" w:lineRule="exact"/>
        <w:ind w:firstLine="640"/>
        <w:rPr>
          <w:sz w:val="32"/>
          <w:szCs w:val="32"/>
          <w:lang w:val="en-US"/>
        </w:rPr>
      </w:pPr>
      <w:r>
        <w:rPr>
          <w:rFonts w:hint="eastAsia"/>
          <w:sz w:val="32"/>
          <w:szCs w:val="32"/>
          <w:lang w:val="en-US"/>
        </w:rPr>
        <w:t>按照落实</w:t>
      </w:r>
      <w:r>
        <w:rPr>
          <w:sz w:val="32"/>
          <w:szCs w:val="32"/>
          <w:lang w:val="en-US"/>
        </w:rPr>
        <w:t>“</w:t>
      </w:r>
      <w:r>
        <w:rPr>
          <w:rFonts w:hint="eastAsia"/>
          <w:sz w:val="32"/>
          <w:szCs w:val="32"/>
          <w:lang w:val="en-US"/>
        </w:rPr>
        <w:t>三条控制线</w:t>
      </w:r>
      <w:r>
        <w:rPr>
          <w:sz w:val="32"/>
          <w:szCs w:val="32"/>
          <w:lang w:val="en-US"/>
        </w:rPr>
        <w:t>”</w:t>
      </w:r>
      <w:r>
        <w:rPr>
          <w:rFonts w:hint="eastAsia"/>
          <w:sz w:val="32"/>
          <w:szCs w:val="32"/>
          <w:lang w:val="en-US"/>
        </w:rPr>
        <w:t>（生态保护红线、永久基本农田、城镇开发边界）、衔接</w:t>
      </w:r>
      <w:r>
        <w:rPr>
          <w:sz w:val="32"/>
          <w:szCs w:val="32"/>
          <w:lang w:val="en-US"/>
        </w:rPr>
        <w:t>“</w:t>
      </w:r>
      <w:r>
        <w:rPr>
          <w:rFonts w:hint="eastAsia"/>
          <w:sz w:val="32"/>
          <w:szCs w:val="32"/>
          <w:lang w:val="en-US"/>
        </w:rPr>
        <w:t>三个空间</w:t>
      </w:r>
      <w:r>
        <w:rPr>
          <w:sz w:val="32"/>
          <w:szCs w:val="32"/>
          <w:lang w:val="en-US"/>
        </w:rPr>
        <w:t>”</w:t>
      </w:r>
      <w:r>
        <w:rPr>
          <w:rFonts w:hint="eastAsia"/>
          <w:sz w:val="32"/>
          <w:szCs w:val="32"/>
          <w:lang w:val="en-US"/>
        </w:rPr>
        <w:t>（生态空间、农业空间、城镇空间）、管制</w:t>
      </w:r>
      <w:r>
        <w:rPr>
          <w:sz w:val="32"/>
          <w:szCs w:val="32"/>
          <w:lang w:val="en-US"/>
        </w:rPr>
        <w:t>“</w:t>
      </w:r>
      <w:r>
        <w:rPr>
          <w:rFonts w:hint="eastAsia"/>
          <w:sz w:val="32"/>
          <w:szCs w:val="32"/>
          <w:lang w:val="en-US"/>
        </w:rPr>
        <w:t>三块地</w:t>
      </w:r>
      <w:r>
        <w:rPr>
          <w:sz w:val="32"/>
          <w:szCs w:val="32"/>
          <w:lang w:val="en-US"/>
        </w:rPr>
        <w:t>”</w:t>
      </w:r>
      <w:r>
        <w:rPr>
          <w:rFonts w:hint="eastAsia"/>
          <w:sz w:val="32"/>
          <w:szCs w:val="32"/>
          <w:lang w:val="en-US"/>
        </w:rPr>
        <w:t>（林地、草地、湿地）、用好</w:t>
      </w:r>
      <w:r>
        <w:rPr>
          <w:sz w:val="32"/>
          <w:szCs w:val="32"/>
          <w:lang w:val="en-US"/>
        </w:rPr>
        <w:t>“</w:t>
      </w:r>
      <w:r>
        <w:rPr>
          <w:rFonts w:hint="eastAsia"/>
          <w:sz w:val="32"/>
          <w:szCs w:val="32"/>
          <w:lang w:val="en-US"/>
        </w:rPr>
        <w:t>三种资源</w:t>
      </w:r>
      <w:r>
        <w:rPr>
          <w:sz w:val="32"/>
          <w:szCs w:val="32"/>
          <w:lang w:val="en-US"/>
        </w:rPr>
        <w:t>”</w:t>
      </w:r>
      <w:r>
        <w:rPr>
          <w:rFonts w:hint="eastAsia"/>
          <w:sz w:val="32"/>
          <w:szCs w:val="32"/>
          <w:lang w:val="en-US"/>
        </w:rPr>
        <w:t>（植物资源、动物资源、湿地资源）的基本原则，将全省所有涉林涉草土地和用于林草发展的其他土地根据功能特征和用途管制划分为</w:t>
      </w:r>
      <w:r>
        <w:rPr>
          <w:sz w:val="32"/>
          <w:szCs w:val="32"/>
          <w:lang w:val="en-US"/>
        </w:rPr>
        <w:t>3</w:t>
      </w:r>
      <w:r>
        <w:rPr>
          <w:rFonts w:hint="eastAsia"/>
          <w:sz w:val="32"/>
          <w:szCs w:val="32"/>
          <w:lang w:val="en-US"/>
        </w:rPr>
        <w:t>个林草功能区，即生态保护修复功能区、生态资源利用功能区、林草产业发展功能区，对接国土空间总体规划和国土空间用途管制要求，制定林草功能区管制办法，实行工程项目</w:t>
      </w:r>
      <w:r>
        <w:rPr>
          <w:sz w:val="32"/>
          <w:szCs w:val="32"/>
          <w:lang w:val="en-US"/>
        </w:rPr>
        <w:t>“</w:t>
      </w:r>
      <w:r>
        <w:rPr>
          <w:rFonts w:hint="eastAsia"/>
          <w:sz w:val="32"/>
          <w:szCs w:val="32"/>
          <w:lang w:val="en-US"/>
        </w:rPr>
        <w:t>分区准入制</w:t>
      </w:r>
      <w:r>
        <w:rPr>
          <w:sz w:val="32"/>
          <w:szCs w:val="32"/>
          <w:lang w:val="en-US"/>
        </w:rPr>
        <w:t>”</w:t>
      </w:r>
      <w:r>
        <w:rPr>
          <w:rFonts w:hint="eastAsia"/>
          <w:sz w:val="32"/>
          <w:szCs w:val="32"/>
          <w:lang w:val="en-US"/>
        </w:rPr>
        <w:t>，分别统筹生态、生活、生产三大功能。</w:t>
      </w:r>
    </w:p>
    <w:p>
      <w:pPr>
        <w:pStyle w:val="93"/>
        <w:spacing w:line="560" w:lineRule="exact"/>
        <w:ind w:firstLine="640"/>
        <w:rPr>
          <w:sz w:val="32"/>
          <w:szCs w:val="32"/>
        </w:rPr>
      </w:pPr>
      <w:r>
        <w:rPr>
          <w:rFonts w:hint="eastAsia"/>
          <w:sz w:val="32"/>
          <w:szCs w:val="32"/>
        </w:rPr>
        <w:t>（</w:t>
      </w:r>
      <w:r>
        <w:rPr>
          <w:sz w:val="32"/>
          <w:szCs w:val="32"/>
          <w:lang w:val="en-US"/>
        </w:rPr>
        <w:t>1</w:t>
      </w:r>
      <w:r>
        <w:rPr>
          <w:rFonts w:hint="eastAsia"/>
          <w:sz w:val="32"/>
          <w:szCs w:val="32"/>
        </w:rPr>
        <w:t>）生态保护修复功能区</w:t>
      </w:r>
    </w:p>
    <w:p>
      <w:pPr>
        <w:pStyle w:val="93"/>
        <w:spacing w:line="560" w:lineRule="exact"/>
        <w:ind w:firstLine="640"/>
        <w:rPr>
          <w:sz w:val="32"/>
          <w:szCs w:val="32"/>
        </w:rPr>
      </w:pPr>
      <w:r>
        <w:rPr>
          <w:rFonts w:hint="eastAsia"/>
          <w:sz w:val="32"/>
          <w:szCs w:val="32"/>
        </w:rPr>
        <w:t>生态保护修复功能区是以严格保护、重点修复、生态治理为主要目的，生态区位重要、生态功能突出、生态环境敏感脆弱的区域，是维系全省生态安全的底线。该区应严格执行《生态保护红线管理办法（试行）》《湖南省湿地保护条例》《草原法》和</w:t>
      </w:r>
      <w:r>
        <w:rPr>
          <w:sz w:val="32"/>
          <w:szCs w:val="32"/>
        </w:rPr>
        <w:t>“</w:t>
      </w:r>
      <w:r>
        <w:rPr>
          <w:rFonts w:hint="eastAsia"/>
          <w:sz w:val="32"/>
          <w:szCs w:val="32"/>
        </w:rPr>
        <w:t>三线一单</w:t>
      </w:r>
      <w:r>
        <w:rPr>
          <w:sz w:val="32"/>
          <w:szCs w:val="32"/>
        </w:rPr>
        <w:t>”</w:t>
      </w:r>
      <w:r>
        <w:rPr>
          <w:rFonts w:hint="eastAsia"/>
          <w:sz w:val="32"/>
          <w:szCs w:val="32"/>
        </w:rPr>
        <w:t>生态环境分区管控及自然保护地功能区管控等相关要求，加强生态保护修复，强化生物多样性保护，严格限制人为活动，在对生态功能不造成破坏的前提下，允许划定适当区域适度发展林下经济和生态旅游。</w:t>
      </w:r>
    </w:p>
    <w:p>
      <w:pPr>
        <w:pStyle w:val="93"/>
        <w:spacing w:line="560" w:lineRule="exact"/>
        <w:ind w:firstLine="640"/>
        <w:rPr>
          <w:sz w:val="32"/>
          <w:szCs w:val="32"/>
        </w:rPr>
      </w:pPr>
      <w:r>
        <w:rPr>
          <w:rFonts w:hint="eastAsia"/>
          <w:sz w:val="32"/>
          <w:szCs w:val="32"/>
        </w:rPr>
        <w:t>（</w:t>
      </w:r>
      <w:r>
        <w:rPr>
          <w:sz w:val="32"/>
          <w:szCs w:val="32"/>
          <w:lang w:val="en-US"/>
        </w:rPr>
        <w:t>2</w:t>
      </w:r>
      <w:r>
        <w:rPr>
          <w:rFonts w:hint="eastAsia"/>
          <w:sz w:val="32"/>
          <w:szCs w:val="32"/>
        </w:rPr>
        <w:t>）生态资源利用功能区</w:t>
      </w:r>
    </w:p>
    <w:p>
      <w:pPr>
        <w:pStyle w:val="93"/>
        <w:spacing w:line="560" w:lineRule="exact"/>
        <w:ind w:firstLine="640"/>
        <w:rPr>
          <w:sz w:val="32"/>
          <w:szCs w:val="32"/>
        </w:rPr>
      </w:pPr>
      <w:r>
        <w:rPr>
          <w:rFonts w:hint="eastAsia"/>
          <w:sz w:val="32"/>
          <w:szCs w:val="32"/>
        </w:rPr>
        <w:t>生态资源利用功能区是利用林草资源服务社会经济发展需求的区域，是满足社会公众公益需求的重要阵地。该区应加强资源保护和培育力度，提高保护利用效率，充分发挥生态、经济和社会效益，同时严格控制征占用林地、草地、湿地，严禁非法转用和逆转。</w:t>
      </w:r>
    </w:p>
    <w:p>
      <w:pPr>
        <w:pStyle w:val="93"/>
        <w:spacing w:line="560" w:lineRule="exact"/>
        <w:ind w:firstLine="640"/>
        <w:rPr>
          <w:sz w:val="32"/>
          <w:szCs w:val="32"/>
        </w:rPr>
      </w:pPr>
      <w:r>
        <w:rPr>
          <w:rFonts w:hint="eastAsia"/>
          <w:sz w:val="32"/>
          <w:szCs w:val="32"/>
        </w:rPr>
        <w:t>（</w:t>
      </w:r>
      <w:r>
        <w:rPr>
          <w:sz w:val="32"/>
          <w:szCs w:val="32"/>
          <w:lang w:val="en-US"/>
        </w:rPr>
        <w:t>3</w:t>
      </w:r>
      <w:r>
        <w:rPr>
          <w:rFonts w:hint="eastAsia"/>
          <w:sz w:val="32"/>
          <w:szCs w:val="32"/>
        </w:rPr>
        <w:t>）林草产业发展功能区</w:t>
      </w:r>
    </w:p>
    <w:p>
      <w:pPr>
        <w:pStyle w:val="93"/>
        <w:spacing w:line="560" w:lineRule="exact"/>
        <w:ind w:firstLine="640"/>
        <w:rPr>
          <w:sz w:val="32"/>
          <w:szCs w:val="32"/>
        </w:rPr>
      </w:pPr>
      <w:r>
        <w:rPr>
          <w:rFonts w:hint="eastAsia"/>
          <w:sz w:val="32"/>
          <w:szCs w:val="32"/>
        </w:rPr>
        <w:t>林草产业发展功能区是指为林草产业提供可利用空间，打造林草产业集群发展的重点区域。该区应按照发展现代林业和生态文明建设的战略要求，严格保护并合理科学配置林草资源，发展林业特色产业，积极拓展生态惠民服务，不断提升林业产业的质量和效益。</w:t>
      </w:r>
    </w:p>
    <w:p>
      <w:pPr>
        <w:pStyle w:val="93"/>
        <w:spacing w:line="560" w:lineRule="exact"/>
        <w:ind w:firstLine="640"/>
        <w:rPr>
          <w:sz w:val="32"/>
          <w:szCs w:val="32"/>
        </w:rPr>
      </w:pPr>
    </w:p>
    <w:p>
      <w:pPr>
        <w:pStyle w:val="93"/>
        <w:spacing w:line="560" w:lineRule="exact"/>
        <w:ind w:firstLine="640"/>
        <w:rPr>
          <w:sz w:val="32"/>
          <w:szCs w:val="32"/>
        </w:rPr>
      </w:pPr>
    </w:p>
    <w:p>
      <w:pPr>
        <w:widowControl/>
        <w:spacing w:beforeAutospacing="1"/>
        <w:jc w:val="left"/>
        <w:rPr>
          <w:rFonts w:eastAsia="仿宋_GB2312"/>
          <w:sz w:val="32"/>
          <w:szCs w:val="32"/>
          <w:shd w:val="clear" w:color="auto" w:fill="FFFFFF"/>
        </w:rPr>
        <w:sectPr>
          <w:pgSz w:w="11906" w:h="16838"/>
          <w:pgMar w:top="1418" w:right="1701" w:bottom="1418" w:left="1701" w:header="851" w:footer="992" w:gutter="0"/>
          <w:cols w:space="720" w:num="1"/>
          <w:docGrid w:type="linesAndChars" w:linePitch="312" w:charSpace="0"/>
        </w:sectPr>
      </w:pPr>
    </w:p>
    <w:p>
      <w:pPr>
        <w:pStyle w:val="2"/>
        <w:spacing w:after="312"/>
        <w:rPr>
          <w:rFonts w:ascii="Times New Roman" w:hAnsi="Times New Roman" w:cs="Times New Roman"/>
          <w:sz w:val="36"/>
          <w:szCs w:val="36"/>
        </w:rPr>
      </w:pPr>
      <w:bookmarkStart w:id="61" w:name="_Toc78381415"/>
      <w:bookmarkStart w:id="62" w:name="_Toc40077732"/>
      <w:bookmarkStart w:id="63" w:name="_Toc78296736"/>
      <w:r>
        <w:rPr>
          <w:rFonts w:hint="eastAsia" w:ascii="Times New Roman" w:hAnsi="Times New Roman"/>
          <w:sz w:val="36"/>
          <w:szCs w:val="36"/>
        </w:rPr>
        <w:t>第三章</w:t>
      </w:r>
      <w:r>
        <w:rPr>
          <w:rFonts w:ascii="Times New Roman" w:hAnsi="Times New Roman" w:cs="Times New Roman"/>
          <w:sz w:val="36"/>
          <w:szCs w:val="36"/>
        </w:rPr>
        <w:t xml:space="preserve">  </w:t>
      </w:r>
      <w:r>
        <w:rPr>
          <w:rFonts w:hint="eastAsia" w:ascii="Times New Roman" w:hAnsi="Times New Roman"/>
          <w:sz w:val="36"/>
          <w:szCs w:val="36"/>
        </w:rPr>
        <w:t>重点任务</w:t>
      </w:r>
      <w:bookmarkEnd w:id="61"/>
      <w:bookmarkEnd w:id="62"/>
      <w:bookmarkEnd w:id="63"/>
    </w:p>
    <w:p>
      <w:pPr>
        <w:pStyle w:val="93"/>
        <w:spacing w:line="560" w:lineRule="exact"/>
        <w:ind w:firstLine="640"/>
        <w:rPr>
          <w:rFonts w:ascii="Times New Roman"/>
          <w:sz w:val="32"/>
          <w:szCs w:val="32"/>
        </w:rPr>
      </w:pPr>
      <w:r>
        <w:rPr>
          <w:rFonts w:hint="eastAsia"/>
          <w:sz w:val="32"/>
          <w:szCs w:val="32"/>
        </w:rPr>
        <w:t>围绕生态保护修复、生态惠民服务、治理体系现代化，加强山水林田湖草沙系统治理，推进科学绿化，构建以国家公园为主体的自然保护地体系，持续生物多样性保护，扎实推进生态保护、生态提质、生态惠民，稳步提升林业治理体系和治理能力现代化水平。</w:t>
      </w:r>
    </w:p>
    <w:p>
      <w:pPr>
        <w:pStyle w:val="4"/>
        <w:ind w:firstLine="640" w:firstLineChars="200"/>
        <w:rPr>
          <w:rFonts w:ascii="Times New Roman" w:hAnsi="Times New Roman" w:eastAsia="黑体" w:cs="Times New Roman"/>
          <w:sz w:val="32"/>
          <w:szCs w:val="32"/>
        </w:rPr>
      </w:pPr>
      <w:bookmarkStart w:id="64" w:name="_Toc78296737"/>
      <w:bookmarkStart w:id="65" w:name="_Toc40077733"/>
      <w:bookmarkStart w:id="66" w:name="_Toc78381416"/>
      <w:r>
        <w:rPr>
          <w:rFonts w:ascii="Times New Roman" w:hAnsi="Times New Roman" w:eastAsia="黑体" w:cs="Times New Roman"/>
          <w:sz w:val="32"/>
          <w:szCs w:val="32"/>
        </w:rPr>
        <w:t xml:space="preserve">3.1 </w:t>
      </w:r>
      <w:r>
        <w:rPr>
          <w:rFonts w:hint="eastAsia" w:ascii="Times New Roman" w:hAnsi="Times New Roman" w:eastAsia="黑体"/>
          <w:sz w:val="32"/>
          <w:szCs w:val="32"/>
        </w:rPr>
        <w:t>严抓生态保护修复</w:t>
      </w:r>
      <w:bookmarkEnd w:id="64"/>
      <w:bookmarkEnd w:id="65"/>
      <w:bookmarkEnd w:id="66"/>
      <w:r>
        <w:rPr>
          <w:rFonts w:ascii="Times New Roman" w:hAnsi="Times New Roman" w:eastAsia="黑体" w:cs="Times New Roman"/>
          <w:sz w:val="32"/>
          <w:szCs w:val="32"/>
        </w:rPr>
        <w:tab/>
      </w:r>
    </w:p>
    <w:p>
      <w:pPr>
        <w:pStyle w:val="6"/>
        <w:ind w:firstLine="640" w:firstLineChars="200"/>
        <w:rPr>
          <w:rStyle w:val="30"/>
          <w:rFonts w:eastAsia="楷体"/>
          <w:b w:val="0"/>
          <w:bCs w:val="0"/>
        </w:rPr>
      </w:pPr>
      <w:bookmarkStart w:id="67" w:name="_Toc40077734"/>
      <w:bookmarkStart w:id="68" w:name="_Toc78381417"/>
      <w:r>
        <w:rPr>
          <w:rStyle w:val="30"/>
          <w:rFonts w:eastAsia="楷体"/>
        </w:rPr>
        <w:t xml:space="preserve">3.1.1 </w:t>
      </w:r>
      <w:r>
        <w:rPr>
          <w:rStyle w:val="30"/>
          <w:rFonts w:hint="eastAsia" w:eastAsia="楷体"/>
        </w:rPr>
        <w:t>自然保护地</w:t>
      </w:r>
      <w:bookmarkEnd w:id="67"/>
      <w:r>
        <w:rPr>
          <w:rStyle w:val="30"/>
          <w:rFonts w:hint="eastAsia" w:eastAsia="楷体"/>
        </w:rPr>
        <w:t>体系建设</w:t>
      </w:r>
      <w:bookmarkEnd w:id="68"/>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推进自然保护地整合优化。遵从保护面积不减少、保护强度不降低、保护性质不改变的总体要求，整合各类自然保护地，解决自然保护地区域交叉、空间重叠问题，做到一个保护地、一套机构、一块牌子。合理确定归并后的自然保护地类型和功能定位，优化边界范围和功能分区，解决保护管理分割、保护地破碎和孤岛化问题，实现对自然生态系统的整体保护。</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推动国家公园和自然保护地法的立法和标准化进程。启动修订《湖南省自然保护区管理办法》《湖南省风景名胜区条例》《湖南省地质公园管理办法》，制定以国家公园为主体的自然保护地体系标准化建设工作计划，建立以地方标准和内控标准为主的自然保护地系列标准，形成科学的保障制度体系，不断提升自然保护地治理水平与能力。同时，逐步建立统一的自然保护地内集体林补偿标准，将自然保护地所有林地纳入公益林补偿。推动自然保护地差别化补偿政策制定出台。</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构建自然保护地监测体系。建立自然保护地监测制度，制定相关技术标准，完善监测网络体系，充分发挥林业、生态环境、自然资源、气象、水利、农业、文旅、文物等部门监管平台的监测作用，积极开展自然生态系统、自然景观、自然遗迹、遗产地、生物多样性和人类活动的监测，实现部门数据共享。梳理各类监测网点，优化布局监测网络，建立科学调查监测体系，提升监测能力。运用大数据、云计算、物联网等信息化手段，加强自然保护地监测数据集成分析和综合应用。</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加强自然保护地评估考核。制定自然保护地保护管理评估考核制度，明确评估考核内容，制定评估考核标准，规定评估考核程序。建立科学评估考核机制，及时掌握各类自然保护地建设、保护、管理成效，发布评估结果，深化评估结果应用。建立第三方独立评估工作机制。将评价考核结果纳入生态文明建设目标评价考核体系，作为党政领导班子和领导干部综合评价及责任追究、自然资源资产离任审计的重要参考。</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完善自然保护地基础设施建设。开展自然保护地环境综合整治，推进应急救援、森林防火、垃圾和污水治理、巡护路网、通信网络、保护巡护站房等保护性、公益性基础设施建设。完善巡护游览步道、科普教育、界碑、自然体验、森林康养等服务性基础设施，提供良好生态服务。</w:t>
      </w:r>
    </w:p>
    <w:p>
      <w:pPr>
        <w:pStyle w:val="93"/>
        <w:spacing w:line="560" w:lineRule="exact"/>
        <w:ind w:firstLine="640"/>
        <w:rPr>
          <w:sz w:val="32"/>
          <w:szCs w:val="32"/>
        </w:rPr>
      </w:pPr>
      <w:r>
        <w:rPr>
          <w:rFonts w:hint="eastAsia"/>
          <w:sz w:val="32"/>
          <w:szCs w:val="32"/>
        </w:rPr>
        <w:t>（</w:t>
      </w:r>
      <w:r>
        <w:rPr>
          <w:sz w:val="32"/>
          <w:szCs w:val="32"/>
        </w:rPr>
        <w:t>6</w:t>
      </w:r>
      <w:r>
        <w:rPr>
          <w:rFonts w:hint="eastAsia"/>
          <w:sz w:val="32"/>
          <w:szCs w:val="32"/>
        </w:rPr>
        <w:t>）科学推进湖南省国家公园设立工作。继续完善南山国家公园试点工作，同时在洞庭湖、张家界、罗霄山、南岭等区域，按照国家公园空间布局方案建立若干国家公园。</w:t>
      </w:r>
    </w:p>
    <w:p>
      <w:pPr>
        <w:pStyle w:val="93"/>
        <w:spacing w:line="520" w:lineRule="exact"/>
        <w:ind w:firstLine="640"/>
        <w:rPr>
          <w:sz w:val="32"/>
          <w:szCs w:val="32"/>
        </w:rPr>
      </w:pPr>
      <w:r>
        <w:rPr>
          <w:rFonts w:hint="eastAsia"/>
          <w:sz w:val="32"/>
          <w:szCs w:val="32"/>
        </w:rPr>
        <w:t>（</w:t>
      </w:r>
      <w:r>
        <w:rPr>
          <w:sz w:val="32"/>
          <w:szCs w:val="32"/>
        </w:rPr>
        <w:t>7</w:t>
      </w:r>
      <w:r>
        <w:rPr>
          <w:rFonts w:hint="eastAsia"/>
          <w:sz w:val="32"/>
          <w:szCs w:val="32"/>
        </w:rPr>
        <w:t>）加强自然保护地重要生态系统、重点物种和生物多样性的有效保护。对受损的栖息地开展生态修复与治理；结合自然保护地内珍稀濒危野生动植物保护面临的主要问题和挑战，实施有效的保护救护措施；定期开展专项调查和监测，不断提高自然保护地的保护管理能力和水平。</w:t>
      </w:r>
    </w:p>
    <w:p>
      <w:pPr>
        <w:pStyle w:val="93"/>
        <w:spacing w:line="240" w:lineRule="auto"/>
        <w:ind w:firstLine="0" w:firstLineChars="0"/>
        <w:jc w:val="center"/>
        <w:rPr>
          <w:rFonts w:eastAsia="黑体"/>
          <w:sz w:val="32"/>
          <w:szCs w:val="32"/>
        </w:rPr>
      </w:pPr>
      <w:r>
        <w:rPr>
          <w:rFonts w:eastAsia="黑体"/>
          <w:sz w:val="32"/>
          <w:szCs w:val="32"/>
          <w:lang w:val="en-US"/>
        </w:rPr>
        <w:drawing>
          <wp:inline distT="0" distB="0" distL="0" distR="0">
            <wp:extent cx="5400675" cy="66579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00675" cy="6657975"/>
                    </a:xfrm>
                    <a:prstGeom prst="rect">
                      <a:avLst/>
                    </a:prstGeom>
                    <a:noFill/>
                    <a:ln>
                      <a:noFill/>
                    </a:ln>
                  </pic:spPr>
                </pic:pic>
              </a:graphicData>
            </a:graphic>
          </wp:inline>
        </w:drawing>
      </w:r>
    </w:p>
    <w:p>
      <w:pPr>
        <w:pStyle w:val="93"/>
        <w:spacing w:line="560" w:lineRule="exact"/>
        <w:ind w:firstLine="0" w:firstLineChars="0"/>
        <w:jc w:val="center"/>
        <w:rPr>
          <w:rFonts w:eastAsia="黑体"/>
          <w:sz w:val="32"/>
          <w:szCs w:val="32"/>
        </w:rPr>
      </w:pPr>
      <w:r>
        <w:rPr>
          <w:rFonts w:hint="eastAsia" w:eastAsia="黑体"/>
          <w:sz w:val="32"/>
          <w:szCs w:val="32"/>
        </w:rPr>
        <w:t>图</w:t>
      </w:r>
      <w:r>
        <w:rPr>
          <w:rFonts w:eastAsia="黑体"/>
          <w:sz w:val="32"/>
          <w:szCs w:val="32"/>
        </w:rPr>
        <w:t xml:space="preserve">3-1 </w:t>
      </w:r>
      <w:r>
        <w:rPr>
          <w:rFonts w:hint="eastAsia" w:eastAsia="黑体"/>
          <w:sz w:val="32"/>
          <w:szCs w:val="32"/>
        </w:rPr>
        <w:t>自然保护地规划图</w:t>
      </w:r>
    </w:p>
    <w:p>
      <w:pPr>
        <w:pStyle w:val="93"/>
        <w:spacing w:line="560" w:lineRule="exact"/>
        <w:ind w:firstLine="0" w:firstLineChars="0"/>
        <w:jc w:val="center"/>
        <w:rPr>
          <w:rFonts w:eastAsia="黑体"/>
          <w:sz w:val="32"/>
          <w:szCs w:val="32"/>
        </w:rPr>
      </w:pPr>
    </w:p>
    <w:p>
      <w:pPr>
        <w:pStyle w:val="93"/>
        <w:spacing w:line="560" w:lineRule="exact"/>
        <w:ind w:firstLine="0" w:firstLineChars="0"/>
        <w:jc w:val="center"/>
        <w:rPr>
          <w:rFonts w:eastAsia="黑体"/>
          <w:sz w:val="32"/>
          <w:szCs w:val="32"/>
        </w:rPr>
      </w:pPr>
    </w:p>
    <w:p>
      <w:pPr>
        <w:pStyle w:val="6"/>
        <w:ind w:firstLine="640" w:firstLineChars="200"/>
        <w:rPr>
          <w:rStyle w:val="30"/>
          <w:rFonts w:eastAsia="楷体"/>
          <w:b w:val="0"/>
          <w:bCs w:val="0"/>
        </w:rPr>
      </w:pPr>
      <w:bookmarkStart w:id="69" w:name="_Toc78381418"/>
      <w:bookmarkStart w:id="70" w:name="_Toc40077738"/>
      <w:bookmarkStart w:id="71" w:name="_Toc40077735"/>
      <w:r>
        <w:rPr>
          <w:rStyle w:val="30"/>
          <w:rFonts w:eastAsia="楷体"/>
        </w:rPr>
        <w:t xml:space="preserve">3.1.2 </w:t>
      </w:r>
      <w:r>
        <w:rPr>
          <w:rStyle w:val="30"/>
          <w:rFonts w:hint="eastAsia" w:eastAsia="楷体"/>
        </w:rPr>
        <w:t>生物多样性保护</w:t>
      </w:r>
      <w:bookmarkEnd w:id="69"/>
      <w:bookmarkEnd w:id="70"/>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完善生物多样性调查与数据管理。总结我省生物多样性保护成效，摸清生物多样性本底，发布生物多样性白皮书及生物多样性保护倡议；组织县级行政区开展生物多样性本底调查，建立重点保护野生动植物数据库，推动实现生态系统、物种的有效保护。</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加强珍稀濒危野生动植物及其栖息地生境保护。开展武陵山地生物多样性监测示范，开展珍稀濒危野生动物和极小种群野生植物保护，对生长受到威胁的国家重点保护野生动植物采取拯救措施，保护或者恢复其生长环境，组织建立资源档案；开展野生动物疫源疫病日常监测和专项监测；探索国家重点保护野生动物肇事补偿机制等。加强湖南特有物种、国家重点保护物种及其栖息地保护，推进珍稀濒危物种野化放归和极小种群植物保存回归。</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）加强外来物种管控，贯彻落实《生物安全法》，建立完善外来入侵物种监测预警体系，外来入侵物种得到有效控制。</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）加强生物多样性宣传教育。初步建立生物多样性保护利益相关方伙伴关系，建立公众参与机制。提高公众保护与参与意识，依靠社会各界力量参与生物多样性保护。</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）加强生物多样性法律法规和政策机制建设，建立生物多样性保护省级协调机制，加强部门间横向沟通协作。</w:t>
      </w:r>
    </w:p>
    <w:p>
      <w:pPr>
        <w:pStyle w:val="93"/>
        <w:spacing w:line="240" w:lineRule="auto"/>
        <w:ind w:firstLine="0" w:firstLineChars="0"/>
        <w:rPr>
          <w:sz w:val="32"/>
          <w:szCs w:val="32"/>
        </w:rPr>
      </w:pPr>
      <w:r>
        <w:rPr>
          <w:sz w:val="32"/>
          <w:szCs w:val="32"/>
          <w:lang w:val="en-US"/>
        </w:rPr>
        <w:drawing>
          <wp:inline distT="0" distB="0" distL="0" distR="0">
            <wp:extent cx="5400675" cy="6953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675" cy="6953250"/>
                    </a:xfrm>
                    <a:prstGeom prst="rect">
                      <a:avLst/>
                    </a:prstGeom>
                    <a:noFill/>
                    <a:ln>
                      <a:noFill/>
                    </a:ln>
                  </pic:spPr>
                </pic:pic>
              </a:graphicData>
            </a:graphic>
          </wp:inline>
        </w:drawing>
      </w:r>
    </w:p>
    <w:p>
      <w:pPr>
        <w:pStyle w:val="93"/>
        <w:spacing w:line="560" w:lineRule="exact"/>
        <w:ind w:firstLine="0" w:firstLineChars="0"/>
        <w:jc w:val="center"/>
        <w:rPr>
          <w:rFonts w:eastAsia="黑体"/>
          <w:sz w:val="32"/>
          <w:szCs w:val="32"/>
        </w:rPr>
      </w:pPr>
      <w:r>
        <w:rPr>
          <w:rFonts w:hint="eastAsia" w:eastAsia="黑体"/>
          <w:sz w:val="32"/>
          <w:szCs w:val="32"/>
        </w:rPr>
        <w:t>图</w:t>
      </w:r>
      <w:r>
        <w:rPr>
          <w:rFonts w:eastAsia="黑体"/>
          <w:sz w:val="32"/>
          <w:szCs w:val="32"/>
        </w:rPr>
        <w:t xml:space="preserve">3-2 </w:t>
      </w:r>
      <w:r>
        <w:rPr>
          <w:rFonts w:hint="eastAsia" w:eastAsia="黑体"/>
          <w:sz w:val="32"/>
          <w:szCs w:val="32"/>
        </w:rPr>
        <w:t>资源保护规划图</w:t>
      </w:r>
    </w:p>
    <w:p>
      <w:pPr>
        <w:pStyle w:val="6"/>
        <w:ind w:firstLine="640" w:firstLineChars="200"/>
        <w:rPr>
          <w:rStyle w:val="30"/>
          <w:rFonts w:eastAsia="楷体"/>
          <w:b w:val="0"/>
          <w:bCs w:val="0"/>
        </w:rPr>
      </w:pPr>
      <w:bookmarkStart w:id="72" w:name="_Toc78381419"/>
      <w:r>
        <w:rPr>
          <w:rStyle w:val="30"/>
          <w:rFonts w:eastAsia="楷体"/>
        </w:rPr>
        <w:t xml:space="preserve">3.1.3 </w:t>
      </w:r>
      <w:r>
        <w:rPr>
          <w:rStyle w:val="30"/>
          <w:rFonts w:hint="eastAsia" w:eastAsia="楷体"/>
        </w:rPr>
        <w:t>森林草原湿地</w:t>
      </w:r>
      <w:bookmarkEnd w:id="71"/>
      <w:r>
        <w:rPr>
          <w:rStyle w:val="30"/>
          <w:rFonts w:hint="eastAsia" w:eastAsia="楷体"/>
        </w:rPr>
        <w:t>保护修复</w:t>
      </w:r>
      <w:bookmarkEnd w:id="72"/>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认真贯彻落实《中华人民共和国森林法》《中华人民共和国长江保护法》《天然林保护修复制度方案》，全面保护天然林，确定天然林保护重点区域，将天然林和公益林管理并轨，纳入统一管护体系。全面停止天然林商业性采伐，严格执行森林采伐限额和凭证采伐制度，加强采伐限额执行情况的监督检查，继续巩固森林禁伐限伐成果，推进碳中和工作。推行</w:t>
      </w:r>
      <w:r>
        <w:rPr>
          <w:sz w:val="32"/>
          <w:szCs w:val="32"/>
        </w:rPr>
        <w:t>“</w:t>
      </w:r>
      <w:r>
        <w:rPr>
          <w:rFonts w:hint="eastAsia"/>
          <w:sz w:val="32"/>
          <w:szCs w:val="32"/>
        </w:rPr>
        <w:t>互联网</w:t>
      </w:r>
      <w:r>
        <w:rPr>
          <w:sz w:val="32"/>
          <w:szCs w:val="32"/>
        </w:rPr>
        <w:t>+</w:t>
      </w:r>
      <w:r>
        <w:rPr>
          <w:rFonts w:hint="eastAsia"/>
          <w:sz w:val="32"/>
          <w:szCs w:val="32"/>
        </w:rPr>
        <w:t>采伐管理</w:t>
      </w:r>
      <w:r>
        <w:rPr>
          <w:sz w:val="32"/>
          <w:szCs w:val="32"/>
        </w:rPr>
        <w:t>”</w:t>
      </w:r>
      <w:r>
        <w:rPr>
          <w:rFonts w:hint="eastAsia"/>
          <w:sz w:val="32"/>
          <w:szCs w:val="32"/>
        </w:rPr>
        <w:t>服务，依法推进林木采伐</w:t>
      </w:r>
      <w:r>
        <w:rPr>
          <w:sz w:val="32"/>
          <w:szCs w:val="32"/>
        </w:rPr>
        <w:t>“</w:t>
      </w:r>
      <w:r>
        <w:rPr>
          <w:rFonts w:hint="eastAsia"/>
          <w:sz w:val="32"/>
          <w:szCs w:val="32"/>
        </w:rPr>
        <w:t>放管服</w:t>
      </w:r>
      <w:r>
        <w:rPr>
          <w:sz w:val="32"/>
          <w:szCs w:val="32"/>
        </w:rPr>
        <w:t>”</w:t>
      </w:r>
      <w:r>
        <w:rPr>
          <w:rFonts w:hint="eastAsia"/>
          <w:sz w:val="32"/>
          <w:szCs w:val="32"/>
        </w:rPr>
        <w:t>改革工作。开展新一轮林地保护利用规划，严禁擅自调整林地保护等级、森林类别和林分起源，严格林地用途管控，严格执行占用征收林地定额和供地政策，完善占用征收林地审核审批办法，从严控制林地转为建设用地，严管天然林和公益林占用，认真贯彻落实《国务院办公厅关于科学绿化的指导意见》。围绕</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林业生态安全格局，大力实施重点区域生态保护和修复、退耕还林还草、国家储备林建设、森林抚育建设、生态廊道建设、古树名木保护、林草种质资源保护利用，以及国家林草局确定的</w:t>
      </w:r>
      <w:r>
        <w:rPr>
          <w:sz w:val="32"/>
          <w:szCs w:val="32"/>
        </w:rPr>
        <w:t>“</w:t>
      </w:r>
      <w:r>
        <w:rPr>
          <w:rFonts w:hint="eastAsia"/>
          <w:sz w:val="32"/>
          <w:szCs w:val="32"/>
        </w:rPr>
        <w:t>湖南省长江丘陵山地科学绿化试点示范</w:t>
      </w:r>
      <w:r>
        <w:rPr>
          <w:sz w:val="32"/>
          <w:szCs w:val="32"/>
        </w:rPr>
        <w:t>”</w:t>
      </w:r>
      <w:r>
        <w:rPr>
          <w:rFonts w:hint="eastAsia"/>
          <w:sz w:val="32"/>
          <w:szCs w:val="32"/>
        </w:rPr>
        <w:t>、邵阳市</w:t>
      </w:r>
      <w:r>
        <w:rPr>
          <w:sz w:val="32"/>
          <w:szCs w:val="32"/>
        </w:rPr>
        <w:t>“</w:t>
      </w:r>
      <w:r>
        <w:rPr>
          <w:rFonts w:hint="eastAsia"/>
          <w:sz w:val="32"/>
          <w:szCs w:val="32"/>
        </w:rPr>
        <w:t>湘桂岩溶地区石漠化综合治理重点工程</w:t>
      </w:r>
      <w:r>
        <w:rPr>
          <w:sz w:val="32"/>
          <w:szCs w:val="32"/>
        </w:rPr>
        <w:t>”</w:t>
      </w:r>
      <w:r>
        <w:rPr>
          <w:rFonts w:hint="eastAsia"/>
          <w:sz w:val="32"/>
          <w:szCs w:val="32"/>
        </w:rPr>
        <w:t>、岳阳市和长沙市的</w:t>
      </w:r>
      <w:r>
        <w:rPr>
          <w:sz w:val="32"/>
          <w:szCs w:val="32"/>
        </w:rPr>
        <w:t>“</w:t>
      </w:r>
      <w:r>
        <w:rPr>
          <w:rFonts w:hint="eastAsia"/>
          <w:sz w:val="32"/>
          <w:szCs w:val="32"/>
        </w:rPr>
        <w:t>洞庭湖流域河湖湿地生态保护和恢复工程</w:t>
      </w:r>
      <w:r>
        <w:rPr>
          <w:sz w:val="32"/>
          <w:szCs w:val="32"/>
        </w:rPr>
        <w:t>”</w:t>
      </w:r>
      <w:r>
        <w:rPr>
          <w:rFonts w:hint="eastAsia"/>
          <w:sz w:val="32"/>
          <w:szCs w:val="32"/>
        </w:rPr>
        <w:t>等一批重大工程项目，全面加强我省重要生态系统的保护和修复。</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认真贯彻落实《国务院办公厅关于加强草原保护修复的若干意见》，按照节约优先、保护优先、自然恢复为主的方针，以完善草原保护修复制度、推进草原治理体系和治理能力现代化为主线，推进草原生态修复，促进草原合理利用。建立健全草原调查和监测评价体系，在第三次全国国土调查基础上组织开展草原资源专项调查，构建</w:t>
      </w:r>
      <w:r>
        <w:rPr>
          <w:sz w:val="32"/>
          <w:szCs w:val="32"/>
        </w:rPr>
        <w:t>“</w:t>
      </w:r>
      <w:r>
        <w:rPr>
          <w:rFonts w:hint="eastAsia"/>
          <w:sz w:val="32"/>
          <w:szCs w:val="32"/>
        </w:rPr>
        <w:t>天空地</w:t>
      </w:r>
      <w:r>
        <w:rPr>
          <w:sz w:val="32"/>
          <w:szCs w:val="32"/>
        </w:rPr>
        <w:t>”</w:t>
      </w:r>
      <w:r>
        <w:rPr>
          <w:rFonts w:hint="eastAsia"/>
          <w:sz w:val="32"/>
          <w:szCs w:val="32"/>
        </w:rPr>
        <w:t>一体化草原监测网络，强化草原动态监测。加大草原保护力度，落实基本草原保护制度，严格草原征占用审核审批管理，完善落实禁牧休牧和草畜平衡制度，完善草原自然保护地体系。加快推进草原生态修复，实施草原生态修复治理和退化草原修复工程，加快退化草原植被和土壤恢复，按照宜林则林、宜草则草的原则，统筹推进林草保护修复，促进林草融合。建立健全草种质资源保护利用体系，加强优良草种特别是优质乡土草种选育、扩繁、储备和推广利用。加强和提高草原有害生物及外来入侵物种防治水平。合理利用草原资源，发展适合湖南实际的现代草地畜牧业、草原旅游业。</w:t>
      </w:r>
    </w:p>
    <w:p>
      <w:pPr>
        <w:pStyle w:val="93"/>
        <w:spacing w:line="560" w:lineRule="exact"/>
        <w:ind w:firstLine="640"/>
        <w:rPr>
          <w:sz w:val="32"/>
        </w:rPr>
      </w:pPr>
      <w:bookmarkStart w:id="73" w:name="_Toc40077739"/>
      <w:r>
        <w:rPr>
          <w:rFonts w:hint="eastAsia"/>
          <w:sz w:val="32"/>
          <w:szCs w:val="32"/>
        </w:rPr>
        <w:t>（</w:t>
      </w:r>
      <w:r>
        <w:rPr>
          <w:sz w:val="32"/>
          <w:szCs w:val="32"/>
        </w:rPr>
        <w:t>3</w:t>
      </w:r>
      <w:r>
        <w:rPr>
          <w:rFonts w:hint="eastAsia"/>
          <w:sz w:val="32"/>
          <w:szCs w:val="32"/>
        </w:rPr>
        <w:t>）认真贯彻落实《中华人民共和国长江保护法》《湿地保护修复制度方案》《湖南省湿地保护条例》，建立健全湿地分级管理体系，实行湿地面积总量管控。实行湿地保护目标责任制，探索建立湿地用途监管机制，完善湿地监测评价体系。建立和完善湿地保护修复相关制度体系，实施湿地分级分类管理，全面提升湿地保护管理水平。开展湿地保护与恢复、退耕还湿、湿地生态效益补偿。重点在国家林草局提出的国际重要湿地（湖南东洞庭湖、湖南南洞庭湖湿地和水禽自然保护区、湖南西洞庭湖自然保护区）、国家重要湿地（湖南衡阳江口鸟洲、湖南宜章莽山浪畔湖）、生态区位重要的国家湿地公园，开展湿地植被恢复、连通水系、拆除围网、野生动物栖息地恢复等湿地保护与恢复措施，维护湿地生物多样性，逐步恢复湿地生态功能。</w:t>
      </w:r>
      <w:r>
        <w:rPr>
          <w:rFonts w:hint="eastAsia"/>
          <w:sz w:val="32"/>
        </w:rPr>
        <w:t>在洞庭湖区探索建立湿地补偿机制，推进湿地生态补偿改革，逐步建立不同类别的湿地补偿标准。</w:t>
      </w:r>
    </w:p>
    <w:p>
      <w:pPr>
        <w:pStyle w:val="93"/>
        <w:spacing w:line="240" w:lineRule="auto"/>
        <w:ind w:firstLine="0" w:firstLineChars="0"/>
        <w:rPr>
          <w:sz w:val="32"/>
        </w:rPr>
      </w:pPr>
      <w:r>
        <w:rPr>
          <w:sz w:val="32"/>
          <w:lang w:val="en-US"/>
        </w:rPr>
        <w:drawing>
          <wp:inline distT="0" distB="0" distL="0" distR="0">
            <wp:extent cx="5400675" cy="6915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675" cy="6915150"/>
                    </a:xfrm>
                    <a:prstGeom prst="rect">
                      <a:avLst/>
                    </a:prstGeom>
                    <a:noFill/>
                    <a:ln>
                      <a:noFill/>
                    </a:ln>
                  </pic:spPr>
                </pic:pic>
              </a:graphicData>
            </a:graphic>
          </wp:inline>
        </w:drawing>
      </w:r>
    </w:p>
    <w:p>
      <w:pPr>
        <w:pStyle w:val="93"/>
        <w:spacing w:line="240" w:lineRule="auto"/>
        <w:ind w:firstLine="0" w:firstLineChars="0"/>
        <w:jc w:val="center"/>
        <w:rPr>
          <w:rFonts w:eastAsia="黑体"/>
          <w:sz w:val="32"/>
          <w:szCs w:val="32"/>
        </w:rPr>
      </w:pPr>
      <w:r>
        <w:rPr>
          <w:rFonts w:hint="eastAsia" w:eastAsia="黑体"/>
          <w:sz w:val="32"/>
          <w:szCs w:val="32"/>
        </w:rPr>
        <w:t>图</w:t>
      </w:r>
      <w:r>
        <w:rPr>
          <w:rFonts w:eastAsia="黑体"/>
          <w:sz w:val="32"/>
          <w:szCs w:val="32"/>
        </w:rPr>
        <w:t xml:space="preserve">3-3 </w:t>
      </w:r>
      <w:r>
        <w:rPr>
          <w:rFonts w:hint="eastAsia" w:eastAsia="黑体"/>
          <w:sz w:val="32"/>
          <w:szCs w:val="32"/>
        </w:rPr>
        <w:t>生态修复规划图</w:t>
      </w:r>
    </w:p>
    <w:p>
      <w:pPr>
        <w:pStyle w:val="6"/>
        <w:ind w:firstLine="640" w:firstLineChars="200"/>
        <w:rPr>
          <w:rStyle w:val="30"/>
          <w:rFonts w:eastAsia="楷体"/>
          <w:b w:val="0"/>
          <w:bCs w:val="0"/>
        </w:rPr>
      </w:pPr>
      <w:bookmarkStart w:id="74" w:name="_Toc78381420"/>
      <w:r>
        <w:rPr>
          <w:rStyle w:val="30"/>
          <w:rFonts w:eastAsia="楷体"/>
        </w:rPr>
        <w:t xml:space="preserve">3.1.4 </w:t>
      </w:r>
      <w:r>
        <w:rPr>
          <w:rStyle w:val="30"/>
          <w:rFonts w:hint="eastAsia" w:eastAsia="楷体"/>
        </w:rPr>
        <w:t>林业草原防灾减灾</w:t>
      </w:r>
      <w:bookmarkEnd w:id="73"/>
      <w:bookmarkEnd w:id="74"/>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强化森林火灾监测预警系统、通信和信息系统、队伍与装备能力、林火阻隔系统、应急道路等建设。大幅提高森林消防装备水平，改善基础设施条件，增强监测、预警、林火阻隔、火源管控及火情早期处理能力，实现森林火灾防控现代化、管理工作规范化、扑火设备标准化，森林防火长效机制基本形成，森林火灾防控能力显著提高，实现森林防火治理体系和治理能力现代化。</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大力构建林业有害生物的监测预警、检疫御灾、疫情防控等治理体系、防治减灾体系和服务保障体系，加快林业有害生物防治标准化、规范化、科学化、法制化、信息化建设，全面提高林业有害生物防治能力和工作水平，重大林业有害生物扩散蔓延的趋势得到有效控制，保护森林资源，促进森林健康。</w:t>
      </w:r>
    </w:p>
    <w:p>
      <w:pPr>
        <w:pStyle w:val="6"/>
        <w:ind w:firstLine="640" w:firstLineChars="200"/>
        <w:rPr>
          <w:rStyle w:val="30"/>
          <w:rFonts w:eastAsia="楷体"/>
          <w:b w:val="0"/>
          <w:bCs w:val="0"/>
        </w:rPr>
      </w:pPr>
      <w:bookmarkStart w:id="75" w:name="_Toc78381421"/>
      <w:bookmarkStart w:id="76" w:name="_Toc40077740"/>
      <w:r>
        <w:rPr>
          <w:rStyle w:val="30"/>
          <w:rFonts w:eastAsia="楷体"/>
        </w:rPr>
        <w:t xml:space="preserve">3.1.5 </w:t>
      </w:r>
      <w:r>
        <w:rPr>
          <w:rStyle w:val="30"/>
          <w:rFonts w:hint="eastAsia" w:eastAsia="楷体"/>
        </w:rPr>
        <w:t>科学绿化</w:t>
      </w:r>
      <w:bookmarkEnd w:id="75"/>
      <w:bookmarkEnd w:id="76"/>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推进大规模国土绿化，科学合理安排绿化用地，不断巩固、稳定生态资源总量，持续加大以森林、草地、水草植被为主体的生态系统修复，有效拓展生态空间；大幅度提升生态资源质量，着力提升生态服务功能和林地、草原、湿地生产力，提供更多优质生态产品；大力实施山地、</w:t>
      </w:r>
      <w:r>
        <w:rPr>
          <w:sz w:val="32"/>
          <w:szCs w:val="32"/>
        </w:rPr>
        <w:t>25</w:t>
      </w:r>
      <w:r>
        <w:rPr>
          <w:rFonts w:hint="eastAsia"/>
          <w:sz w:val="32"/>
          <w:szCs w:val="32"/>
        </w:rPr>
        <w:t>度以上坡耕地、城市、乡村、通道、沿江湖（河）科学绿化，加快构建严格保护森林资源的治理体系，着力提升森林生态系统质量和稳定性；下大力气保护好现有生态资源，全面加强森林、草原、湿地、石漠生态系统保护，夯实绿色本底，筑牢生态屏障。</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）严禁违规占用耕地绿化造林，遏制耕地</w:t>
      </w:r>
      <w:r>
        <w:rPr>
          <w:sz w:val="32"/>
          <w:szCs w:val="32"/>
        </w:rPr>
        <w:t>“</w:t>
      </w:r>
      <w:r>
        <w:rPr>
          <w:rFonts w:hint="eastAsia"/>
          <w:sz w:val="32"/>
          <w:szCs w:val="32"/>
        </w:rPr>
        <w:t>非农化</w:t>
      </w:r>
      <w:r>
        <w:rPr>
          <w:sz w:val="32"/>
          <w:szCs w:val="32"/>
        </w:rPr>
        <w:t>”</w:t>
      </w:r>
      <w:r>
        <w:rPr>
          <w:rFonts w:hint="eastAsia"/>
          <w:sz w:val="32"/>
          <w:szCs w:val="32"/>
        </w:rPr>
        <w:t>、防止</w:t>
      </w:r>
      <w:r>
        <w:rPr>
          <w:sz w:val="32"/>
          <w:szCs w:val="32"/>
        </w:rPr>
        <w:t>“</w:t>
      </w:r>
      <w:r>
        <w:rPr>
          <w:rFonts w:hint="eastAsia"/>
          <w:sz w:val="32"/>
          <w:szCs w:val="32"/>
        </w:rPr>
        <w:t>非粮化</w:t>
      </w:r>
      <w:r>
        <w:rPr>
          <w:sz w:val="32"/>
          <w:szCs w:val="32"/>
        </w:rPr>
        <w:t>”</w:t>
      </w:r>
      <w:r>
        <w:rPr>
          <w:rFonts w:hint="eastAsia"/>
          <w:sz w:val="32"/>
          <w:szCs w:val="32"/>
        </w:rPr>
        <w:t>。严禁开山造地、填湖绿化，禁止在河湖管理范围内种植阻碍行洪的林木。</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）深入实施全民义务植树活动，落实部门绿化责任，推广认建认养、</w:t>
      </w:r>
      <w:r>
        <w:rPr>
          <w:sz w:val="32"/>
          <w:szCs w:val="32"/>
        </w:rPr>
        <w:t>“</w:t>
      </w:r>
      <w:r>
        <w:rPr>
          <w:rFonts w:hint="eastAsia"/>
          <w:sz w:val="32"/>
          <w:szCs w:val="32"/>
        </w:rPr>
        <w:t>互联网</w:t>
      </w:r>
      <w:r>
        <w:rPr>
          <w:sz w:val="32"/>
          <w:szCs w:val="32"/>
        </w:rPr>
        <w:t>+”</w:t>
      </w:r>
      <w:r>
        <w:rPr>
          <w:rFonts w:hint="eastAsia"/>
          <w:sz w:val="32"/>
          <w:szCs w:val="32"/>
        </w:rPr>
        <w:t>等义务植树模式，提高全民义务植树尽责率。</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以精准提高森林质量、优化改善林分结构为基础，以增加林木资源储备和优质木材产量为核心，以储备珍贵树种用材林和优质乡土大径材为重点，结合湖南气候条件和资源特色进一步推进木材战略储备林建设，建设一批高水平的国家储备林基地。</w:t>
      </w:r>
    </w:p>
    <w:p>
      <w:pPr>
        <w:pStyle w:val="6"/>
        <w:ind w:firstLine="640" w:firstLineChars="200"/>
        <w:rPr>
          <w:rStyle w:val="30"/>
          <w:rFonts w:eastAsia="楷体"/>
          <w:b w:val="0"/>
          <w:bCs w:val="0"/>
        </w:rPr>
      </w:pPr>
      <w:bookmarkStart w:id="77" w:name="_Toc78381422"/>
      <w:r>
        <w:rPr>
          <w:rStyle w:val="30"/>
          <w:rFonts w:eastAsia="楷体"/>
        </w:rPr>
        <w:t xml:space="preserve">3.1.6 </w:t>
      </w:r>
      <w:r>
        <w:rPr>
          <w:rStyle w:val="30"/>
          <w:rFonts w:hint="eastAsia" w:eastAsia="楷体"/>
        </w:rPr>
        <w:t>碳中和能力提升</w:t>
      </w:r>
      <w:bookmarkEnd w:id="77"/>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w:t>
      </w:r>
      <w:r>
        <w:rPr>
          <w:sz w:val="32"/>
          <w:szCs w:val="32"/>
        </w:rPr>
        <w:t xml:space="preserve"> </w:t>
      </w:r>
      <w:r>
        <w:rPr>
          <w:rFonts w:hint="eastAsia"/>
          <w:sz w:val="32"/>
          <w:szCs w:val="32"/>
        </w:rPr>
        <w:t>进一步夯实林业碳汇基础，通过非常充分的试点示范和林业大数据，摸清全省森林碳汇现状、变化、分布，创新技术方法，建立各类森林碳汇计量监测模型。</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）创新技术手段，探索开展市、县级森林碳汇潜力评价，加强全省森林碳汇项目计量技术研究和湿地碳汇计量监测研究，建立以森林生态系统为主体，涵盖草原、湿地生态系统的林业碳汇计量监测体系。</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进行科学严谨的规划论证，逐步提高森林碳汇对碳中和的能力。坚决落实碳达峰、碳中和要求，持续推进森林扩面提质，加强森林可持续经营，精准提升森林质量，持续增加森林蓄积，增强森林植被和森林土壤碳汇能力。加强森林资源管理，完善森林灾害防控，增强林业抵御自然灾害的能力。</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）推动建立省域范围森林碳汇增量横向补偿机制。积极推进林业碳汇项目交易，引导各地开展重要会议、大型活动碳中和实践，鼓励社会资本参与碳汇林建设。</w:t>
      </w:r>
    </w:p>
    <w:p>
      <w:pPr>
        <w:pStyle w:val="93"/>
        <w:spacing w:line="560" w:lineRule="exact"/>
        <w:ind w:firstLine="640"/>
        <w:rPr>
          <w:sz w:val="32"/>
          <w:szCs w:val="32"/>
        </w:rPr>
      </w:pPr>
    </w:p>
    <w:p>
      <w:pPr>
        <w:pStyle w:val="4"/>
        <w:ind w:firstLine="640" w:firstLineChars="200"/>
        <w:rPr>
          <w:rFonts w:ascii="Times New Roman" w:hAnsi="Times New Roman" w:eastAsia="黑体" w:cs="Times New Roman"/>
          <w:sz w:val="32"/>
          <w:szCs w:val="32"/>
        </w:rPr>
      </w:pPr>
      <w:bookmarkStart w:id="78" w:name="_Toc40077742"/>
      <w:bookmarkStart w:id="79" w:name="_Toc78381423"/>
      <w:bookmarkStart w:id="80" w:name="_Toc78296738"/>
      <w:r>
        <w:rPr>
          <w:rFonts w:ascii="Times New Roman" w:hAnsi="Times New Roman" w:eastAsia="黑体" w:cs="Times New Roman"/>
          <w:sz w:val="32"/>
          <w:szCs w:val="32"/>
        </w:rPr>
        <w:t xml:space="preserve">3.2 </w:t>
      </w:r>
      <w:r>
        <w:rPr>
          <w:rFonts w:hint="eastAsia" w:ascii="Times New Roman" w:hAnsi="Times New Roman" w:eastAsia="黑体"/>
          <w:sz w:val="32"/>
          <w:szCs w:val="32"/>
        </w:rPr>
        <w:t>实抓生态惠民</w:t>
      </w:r>
      <w:bookmarkEnd w:id="78"/>
      <w:r>
        <w:rPr>
          <w:rFonts w:hint="eastAsia" w:ascii="Times New Roman" w:hAnsi="Times New Roman" w:eastAsia="黑体"/>
          <w:sz w:val="32"/>
          <w:szCs w:val="32"/>
        </w:rPr>
        <w:t>服务</w:t>
      </w:r>
      <w:bookmarkEnd w:id="79"/>
      <w:bookmarkEnd w:id="80"/>
    </w:p>
    <w:p>
      <w:pPr>
        <w:pStyle w:val="6"/>
        <w:ind w:firstLine="640" w:firstLineChars="200"/>
        <w:rPr>
          <w:rStyle w:val="30"/>
          <w:rFonts w:eastAsia="楷体"/>
          <w:b w:val="0"/>
          <w:bCs w:val="0"/>
        </w:rPr>
      </w:pPr>
      <w:bookmarkStart w:id="81" w:name="_Toc78381424"/>
      <w:bookmarkStart w:id="82" w:name="_Toc40077743"/>
      <w:r>
        <w:rPr>
          <w:rStyle w:val="30"/>
          <w:rFonts w:eastAsia="楷体"/>
        </w:rPr>
        <w:t xml:space="preserve">3.2.1 </w:t>
      </w:r>
      <w:r>
        <w:rPr>
          <w:rStyle w:val="30"/>
          <w:rFonts w:hint="eastAsia" w:eastAsia="楷体"/>
        </w:rPr>
        <w:t>生态保护惠民</w:t>
      </w:r>
      <w:bookmarkEnd w:id="81"/>
      <w:bookmarkEnd w:id="82"/>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）积极推广林下特色资源培育技术、以工代赈方式的惠民项目。在营造林、森林保护、石漠化治理等生态保护修复领域中积极推广以工代赈方式，扩宽就地就近就业渠道，增加林农收入。</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）落实森林生态效益补偿、天然商品林管护补助和停伐补助、林业生产技能培训等措施。</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）继续实施生态护林员精准落实到人。新增退耕还林任务精准落实到户。金融扶持精准到产业发展和利益分配机制。</w:t>
      </w:r>
    </w:p>
    <w:p>
      <w:pPr>
        <w:pStyle w:val="6"/>
        <w:ind w:firstLine="640" w:firstLineChars="200"/>
        <w:rPr>
          <w:rStyle w:val="30"/>
          <w:rFonts w:eastAsia="楷体"/>
          <w:b w:val="0"/>
          <w:bCs w:val="0"/>
        </w:rPr>
      </w:pPr>
      <w:bookmarkStart w:id="83" w:name="_Toc40077744"/>
      <w:bookmarkStart w:id="84" w:name="_Toc78381425"/>
      <w:r>
        <w:rPr>
          <w:rStyle w:val="30"/>
          <w:rFonts w:eastAsia="楷体"/>
        </w:rPr>
        <w:t xml:space="preserve">3.2.2 </w:t>
      </w:r>
      <w:r>
        <w:rPr>
          <w:rStyle w:val="30"/>
          <w:rFonts w:hint="eastAsia" w:eastAsia="楷体"/>
        </w:rPr>
        <w:t>绿色产业惠民</w:t>
      </w:r>
      <w:bookmarkEnd w:id="83"/>
      <w:bookmarkEnd w:id="84"/>
    </w:p>
    <w:p>
      <w:pPr>
        <w:pStyle w:val="93"/>
        <w:spacing w:line="560" w:lineRule="exact"/>
        <w:ind w:firstLine="640"/>
        <w:rPr>
          <w:sz w:val="32"/>
          <w:szCs w:val="32"/>
        </w:rPr>
      </w:pPr>
      <w:bookmarkStart w:id="85" w:name="_Toc30039_WPSOffice_Level3"/>
      <w:bookmarkStart w:id="86" w:name="_Toc30275405"/>
      <w:r>
        <w:rPr>
          <w:rFonts w:hint="eastAsia"/>
          <w:sz w:val="32"/>
          <w:szCs w:val="32"/>
        </w:rPr>
        <w:t>（</w:t>
      </w:r>
      <w:r>
        <w:rPr>
          <w:sz w:val="32"/>
          <w:szCs w:val="32"/>
        </w:rPr>
        <w:t>1</w:t>
      </w:r>
      <w:r>
        <w:rPr>
          <w:rFonts w:hint="eastAsia"/>
          <w:sz w:val="32"/>
          <w:szCs w:val="32"/>
        </w:rPr>
        <w:t>）大力发展生态旅游和森林康养产业</w:t>
      </w:r>
      <w:bookmarkEnd w:id="85"/>
      <w:bookmarkEnd w:id="86"/>
      <w:r>
        <w:rPr>
          <w:rFonts w:hint="eastAsia"/>
          <w:sz w:val="32"/>
          <w:szCs w:val="32"/>
        </w:rPr>
        <w:t>。制定生态旅游与自然资源保护良性互动的政策机制。推动标准化建设，建立统一的信息统计与发布机制，着力打造</w:t>
      </w:r>
      <w:r>
        <w:rPr>
          <w:sz w:val="32"/>
          <w:szCs w:val="32"/>
        </w:rPr>
        <w:t>“</w:t>
      </w:r>
      <w:r>
        <w:rPr>
          <w:rFonts w:hint="eastAsia"/>
          <w:sz w:val="32"/>
          <w:szCs w:val="32"/>
        </w:rPr>
        <w:t>湖南生态旅游与森林康养</w:t>
      </w:r>
      <w:r>
        <w:rPr>
          <w:sz w:val="32"/>
          <w:szCs w:val="32"/>
        </w:rPr>
        <w:t>”</w:t>
      </w:r>
      <w:r>
        <w:rPr>
          <w:rFonts w:hint="eastAsia"/>
          <w:sz w:val="32"/>
          <w:szCs w:val="32"/>
        </w:rPr>
        <w:t>信息平台。积极培育生态旅游新业态新产品。联合文化和旅游、体育、民政、卫健、中医药等部门开展试点示范基地建设。推行服务质量等级评定制度。打造国家森林步道、康养步道、特色生态旅游目的地、森林康养基地和精品线路、新兴生态旅游地品牌。加强生态旅游宣传推介。引导各地围绕生态旅游开展森林乡村、森林人家、湿地人家建设。探索</w:t>
      </w:r>
      <w:r>
        <w:rPr>
          <w:sz w:val="32"/>
          <w:szCs w:val="32"/>
        </w:rPr>
        <w:t>“</w:t>
      </w:r>
      <w:r>
        <w:rPr>
          <w:rFonts w:hint="eastAsia"/>
          <w:sz w:val="32"/>
          <w:szCs w:val="32"/>
        </w:rPr>
        <w:t>互联网</w:t>
      </w:r>
      <w:r>
        <w:rPr>
          <w:sz w:val="32"/>
          <w:szCs w:val="32"/>
        </w:rPr>
        <w:t>+</w:t>
      </w:r>
      <w:r>
        <w:rPr>
          <w:rFonts w:hint="eastAsia"/>
          <w:sz w:val="32"/>
          <w:szCs w:val="32"/>
        </w:rPr>
        <w:t>旅游</w:t>
      </w:r>
      <w:r>
        <w:rPr>
          <w:sz w:val="32"/>
          <w:szCs w:val="32"/>
        </w:rPr>
        <w:t>”</w:t>
      </w:r>
      <w:r>
        <w:rPr>
          <w:rFonts w:hint="eastAsia"/>
          <w:sz w:val="32"/>
          <w:szCs w:val="32"/>
        </w:rPr>
        <w:t>模式，着力提供更多精细化、个性化旅游服务。</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）大力发展油茶产业。创新油茶产业发展模式，立足共赢做强基地，坚持新造、低改、幼抚并进，创新形成</w:t>
      </w:r>
      <w:r>
        <w:rPr>
          <w:sz w:val="32"/>
          <w:szCs w:val="32"/>
        </w:rPr>
        <w:t>“</w:t>
      </w:r>
      <w:r>
        <w:rPr>
          <w:rFonts w:hint="eastAsia"/>
          <w:sz w:val="32"/>
          <w:szCs w:val="32"/>
        </w:rPr>
        <w:t>企业</w:t>
      </w:r>
      <w:r>
        <w:rPr>
          <w:sz w:val="32"/>
          <w:szCs w:val="32"/>
        </w:rPr>
        <w:t>+</w:t>
      </w:r>
      <w:r>
        <w:rPr>
          <w:rFonts w:hint="eastAsia"/>
          <w:sz w:val="32"/>
          <w:szCs w:val="32"/>
        </w:rPr>
        <w:t>基地</w:t>
      </w:r>
      <w:r>
        <w:rPr>
          <w:sz w:val="32"/>
          <w:szCs w:val="32"/>
        </w:rPr>
        <w:t>+</w:t>
      </w:r>
      <w:r>
        <w:rPr>
          <w:rFonts w:hint="eastAsia"/>
          <w:sz w:val="32"/>
          <w:szCs w:val="32"/>
        </w:rPr>
        <w:t>农户</w:t>
      </w:r>
      <w:r>
        <w:rPr>
          <w:sz w:val="32"/>
          <w:szCs w:val="32"/>
        </w:rPr>
        <w:t>”</w:t>
      </w:r>
      <w:r>
        <w:rPr>
          <w:rFonts w:hint="eastAsia"/>
          <w:sz w:val="32"/>
          <w:szCs w:val="32"/>
        </w:rPr>
        <w:t>、油茶庄园等多种经营模式，提升原材料供给能力。立足市场做优品牌，通过加强宣传、推广，着力打造</w:t>
      </w:r>
      <w:r>
        <w:rPr>
          <w:sz w:val="32"/>
          <w:szCs w:val="32"/>
        </w:rPr>
        <w:t>“</w:t>
      </w:r>
      <w:r>
        <w:rPr>
          <w:rFonts w:hint="eastAsia"/>
          <w:sz w:val="32"/>
          <w:szCs w:val="32"/>
        </w:rPr>
        <w:t>湖南茶油</w:t>
      </w:r>
      <w:r>
        <w:rPr>
          <w:sz w:val="32"/>
          <w:szCs w:val="32"/>
        </w:rPr>
        <w:t>”</w:t>
      </w:r>
      <w:r>
        <w:rPr>
          <w:rFonts w:hint="eastAsia"/>
          <w:sz w:val="32"/>
          <w:szCs w:val="32"/>
        </w:rPr>
        <w:t>公用品牌及交易服务平台，运用新技术开发油茶衍生附产品，推进油茶小作坊升级改造，推动油茶产业迈上中高端发展阶段。支持国有林场、林业企业、林业合作社以及经有关部门认定或登记的专业大户、家庭林场等新型经营主体开展油茶低产低效林改造、高产示范基地建设。</w:t>
      </w:r>
    </w:p>
    <w:p>
      <w:pPr>
        <w:pStyle w:val="93"/>
        <w:spacing w:line="560" w:lineRule="exact"/>
        <w:ind w:firstLine="640"/>
        <w:rPr>
          <w:sz w:val="32"/>
          <w:szCs w:val="32"/>
        </w:rPr>
      </w:pPr>
      <w:bookmarkStart w:id="87" w:name="_Toc32155_WPSOffice_Level3"/>
      <w:bookmarkStart w:id="88" w:name="_Toc30275404"/>
      <w:r>
        <w:rPr>
          <w:rFonts w:hint="eastAsia"/>
          <w:sz w:val="32"/>
          <w:szCs w:val="32"/>
        </w:rPr>
        <w:t>（</w:t>
      </w:r>
      <w:r>
        <w:rPr>
          <w:sz w:val="32"/>
          <w:szCs w:val="32"/>
        </w:rPr>
        <w:t>3</w:t>
      </w:r>
      <w:r>
        <w:rPr>
          <w:rFonts w:hint="eastAsia"/>
          <w:sz w:val="32"/>
          <w:szCs w:val="32"/>
        </w:rPr>
        <w:t>）大力发展竹木产业</w:t>
      </w:r>
      <w:bookmarkEnd w:id="87"/>
      <w:bookmarkEnd w:id="88"/>
      <w:r>
        <w:rPr>
          <w:rFonts w:hint="eastAsia"/>
          <w:sz w:val="32"/>
          <w:szCs w:val="32"/>
        </w:rPr>
        <w:t>。坚持规模化、集约化、品牌化发展，依托全省现有竹木资源分布及产业发展基础，优化产业布局，推进</w:t>
      </w:r>
      <w:r>
        <w:rPr>
          <w:sz w:val="32"/>
          <w:szCs w:val="32"/>
        </w:rPr>
        <w:t>“</w:t>
      </w:r>
      <w:r>
        <w:rPr>
          <w:rFonts w:hint="eastAsia"/>
          <w:sz w:val="32"/>
          <w:szCs w:val="32"/>
        </w:rPr>
        <w:t>湘东湘中、湘南、湘北、湘西南、湘西</w:t>
      </w:r>
      <w:r>
        <w:rPr>
          <w:sz w:val="32"/>
          <w:szCs w:val="32"/>
        </w:rPr>
        <w:t>”</w:t>
      </w:r>
      <w:r>
        <w:rPr>
          <w:rFonts w:hint="eastAsia"/>
          <w:sz w:val="32"/>
          <w:szCs w:val="32"/>
        </w:rPr>
        <w:t>五大竹木片区建设。做精产业品牌，打造一批竹木加工精品产业园区和省级竹产业园，着力打造</w:t>
      </w:r>
      <w:r>
        <w:rPr>
          <w:sz w:val="32"/>
          <w:szCs w:val="32"/>
        </w:rPr>
        <w:t>“</w:t>
      </w:r>
      <w:r>
        <w:rPr>
          <w:rFonts w:hint="eastAsia"/>
          <w:sz w:val="32"/>
          <w:szCs w:val="32"/>
        </w:rPr>
        <w:t>潇湘竹品</w:t>
      </w:r>
      <w:r>
        <w:rPr>
          <w:sz w:val="32"/>
          <w:szCs w:val="32"/>
        </w:rPr>
        <w:t>”</w:t>
      </w:r>
      <w:r>
        <w:rPr>
          <w:rFonts w:hint="eastAsia"/>
          <w:sz w:val="32"/>
          <w:szCs w:val="32"/>
        </w:rPr>
        <w:t>公用品牌。丰富产品种类，着力延长产业链，不断提升产品附加值。</w:t>
      </w:r>
    </w:p>
    <w:p>
      <w:pPr>
        <w:pStyle w:val="93"/>
        <w:spacing w:line="560" w:lineRule="exact"/>
        <w:ind w:firstLine="640"/>
        <w:rPr>
          <w:sz w:val="32"/>
          <w:szCs w:val="32"/>
        </w:rPr>
      </w:pPr>
      <w:bookmarkStart w:id="89" w:name="_Toc30275406"/>
      <w:bookmarkStart w:id="90" w:name="_Toc1160_WPSOffice_Level3"/>
      <w:r>
        <w:rPr>
          <w:rFonts w:hint="eastAsia"/>
          <w:sz w:val="32"/>
          <w:szCs w:val="32"/>
        </w:rPr>
        <w:t>（</w:t>
      </w:r>
      <w:r>
        <w:rPr>
          <w:sz w:val="32"/>
          <w:szCs w:val="32"/>
        </w:rPr>
        <w:t>4</w:t>
      </w:r>
      <w:r>
        <w:rPr>
          <w:rFonts w:hint="eastAsia"/>
          <w:sz w:val="32"/>
          <w:szCs w:val="32"/>
        </w:rPr>
        <w:t>）大力发展林下经济产业</w:t>
      </w:r>
      <w:bookmarkEnd w:id="89"/>
      <w:bookmarkEnd w:id="90"/>
      <w:r>
        <w:rPr>
          <w:rFonts w:hint="eastAsia"/>
          <w:sz w:val="32"/>
          <w:szCs w:val="32"/>
        </w:rPr>
        <w:t>。对接市场打造林菌、林药、林下经济作物等林下种植，林禽林畜、资源昆虫等林下养殖，以及松脂、竹笋、林果等林下产品采集加工等多类型林下经济产业体系，建设一批特色鲜明的林下经济示范基地。深入推进林下经济产品深加工，培育</w:t>
      </w:r>
      <w:r>
        <w:rPr>
          <w:sz w:val="32"/>
          <w:szCs w:val="32"/>
        </w:rPr>
        <w:t>“</w:t>
      </w:r>
      <w:r>
        <w:rPr>
          <w:rFonts w:hint="eastAsia"/>
          <w:sz w:val="32"/>
          <w:szCs w:val="32"/>
        </w:rPr>
        <w:t>一县一业</w:t>
      </w:r>
      <w:r>
        <w:rPr>
          <w:sz w:val="32"/>
          <w:szCs w:val="32"/>
        </w:rPr>
        <w:t>”</w:t>
      </w:r>
      <w:r>
        <w:rPr>
          <w:rFonts w:hint="eastAsia"/>
          <w:sz w:val="32"/>
          <w:szCs w:val="32"/>
        </w:rPr>
        <w:t>、</w:t>
      </w:r>
      <w:r>
        <w:rPr>
          <w:sz w:val="32"/>
          <w:szCs w:val="32"/>
        </w:rPr>
        <w:t>“</w:t>
      </w:r>
      <w:r>
        <w:rPr>
          <w:rFonts w:hint="eastAsia"/>
          <w:sz w:val="32"/>
          <w:szCs w:val="32"/>
        </w:rPr>
        <w:t>一村一品</w:t>
      </w:r>
      <w:r>
        <w:rPr>
          <w:sz w:val="32"/>
          <w:szCs w:val="32"/>
        </w:rPr>
        <w:t>”</w:t>
      </w:r>
      <w:r>
        <w:rPr>
          <w:rFonts w:hint="eastAsia"/>
          <w:sz w:val="32"/>
          <w:szCs w:val="32"/>
        </w:rPr>
        <w:t>林下经济品牌。</w:t>
      </w:r>
    </w:p>
    <w:p>
      <w:pPr>
        <w:pStyle w:val="93"/>
        <w:spacing w:line="560" w:lineRule="exact"/>
        <w:ind w:firstLine="640"/>
        <w:rPr>
          <w:sz w:val="32"/>
          <w:szCs w:val="32"/>
        </w:rPr>
      </w:pPr>
      <w:bookmarkStart w:id="91" w:name="_Toc30275407"/>
      <w:bookmarkStart w:id="92" w:name="_Toc7670_WPSOffice_Level3"/>
      <w:r>
        <w:rPr>
          <w:rFonts w:hint="eastAsia"/>
          <w:sz w:val="32"/>
          <w:szCs w:val="32"/>
        </w:rPr>
        <w:t>（</w:t>
      </w:r>
      <w:r>
        <w:rPr>
          <w:sz w:val="32"/>
          <w:szCs w:val="32"/>
        </w:rPr>
        <w:t>5</w:t>
      </w:r>
      <w:r>
        <w:rPr>
          <w:rFonts w:hint="eastAsia"/>
          <w:sz w:val="32"/>
          <w:szCs w:val="32"/>
        </w:rPr>
        <w:t>）大力发展花卉苗木产业</w:t>
      </w:r>
      <w:bookmarkEnd w:id="91"/>
      <w:bookmarkEnd w:id="92"/>
      <w:r>
        <w:rPr>
          <w:rFonts w:hint="eastAsia"/>
          <w:sz w:val="32"/>
          <w:szCs w:val="32"/>
        </w:rPr>
        <w:t>。大力推广造林绿化苗木新品种和轻基质容器育苗技术，提高绿化苗木生产的标准化水平，打造优势品牌。调整花卉苗木产业结构，提升科技创新能力，合理布局市场流通平台，着力提升质量与效益。加快种苗信息化建设，建立覆盖全省的林草种苗信息服务体系，积极发展订单种苗、合同种苗，鼓励和扶持苗木花卉电子商务的发展。加强种苗企业科技创新能力建设，培育集</w:t>
      </w:r>
      <w:r>
        <w:rPr>
          <w:sz w:val="32"/>
          <w:szCs w:val="32"/>
        </w:rPr>
        <w:t>“</w:t>
      </w:r>
      <w:r>
        <w:rPr>
          <w:rFonts w:hint="eastAsia"/>
          <w:sz w:val="32"/>
          <w:szCs w:val="32"/>
        </w:rPr>
        <w:t>研究开发、规模生产、应用示范、市场开拓</w:t>
      </w:r>
      <w:r>
        <w:rPr>
          <w:sz w:val="32"/>
          <w:szCs w:val="32"/>
        </w:rPr>
        <w:t>”</w:t>
      </w:r>
      <w:r>
        <w:rPr>
          <w:rFonts w:hint="eastAsia"/>
          <w:sz w:val="32"/>
          <w:szCs w:val="32"/>
        </w:rPr>
        <w:t>于一体的科技型龙头企业。</w:t>
      </w:r>
    </w:p>
    <w:p>
      <w:pPr>
        <w:pStyle w:val="93"/>
        <w:spacing w:line="240" w:lineRule="auto"/>
        <w:ind w:left="-140" w:leftChars="-67" w:firstLine="0" w:firstLineChars="0"/>
        <w:rPr>
          <w:sz w:val="32"/>
          <w:szCs w:val="32"/>
        </w:rPr>
      </w:pPr>
      <w:bookmarkStart w:id="93" w:name="_Toc78381426"/>
      <w:bookmarkStart w:id="94" w:name="_Toc40077745"/>
      <w:r>
        <w:rPr>
          <w:sz w:val="32"/>
          <w:szCs w:val="32"/>
          <w:lang w:val="en-US"/>
        </w:rPr>
        <w:drawing>
          <wp:inline distT="0" distB="0" distL="0" distR="0">
            <wp:extent cx="5610225" cy="71818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0225" cy="7181850"/>
                    </a:xfrm>
                    <a:prstGeom prst="rect">
                      <a:avLst/>
                    </a:prstGeom>
                    <a:noFill/>
                    <a:ln>
                      <a:noFill/>
                    </a:ln>
                  </pic:spPr>
                </pic:pic>
              </a:graphicData>
            </a:graphic>
          </wp:inline>
        </w:drawing>
      </w:r>
    </w:p>
    <w:p>
      <w:pPr>
        <w:pStyle w:val="93"/>
        <w:spacing w:line="560" w:lineRule="exact"/>
        <w:ind w:firstLine="0" w:firstLineChars="0"/>
        <w:jc w:val="center"/>
        <w:rPr>
          <w:rFonts w:eastAsia="黑体"/>
          <w:sz w:val="32"/>
          <w:szCs w:val="32"/>
        </w:rPr>
      </w:pPr>
      <w:r>
        <w:rPr>
          <w:rFonts w:hint="eastAsia" w:eastAsia="黑体"/>
          <w:sz w:val="32"/>
          <w:szCs w:val="32"/>
        </w:rPr>
        <w:t>图</w:t>
      </w:r>
      <w:r>
        <w:rPr>
          <w:rFonts w:eastAsia="黑体"/>
          <w:sz w:val="32"/>
          <w:szCs w:val="32"/>
        </w:rPr>
        <w:t xml:space="preserve">3-4 </w:t>
      </w:r>
      <w:r>
        <w:rPr>
          <w:rFonts w:hint="eastAsia" w:eastAsia="黑体"/>
          <w:sz w:val="32"/>
          <w:szCs w:val="32"/>
        </w:rPr>
        <w:t>产业发展规划图</w:t>
      </w:r>
    </w:p>
    <w:p>
      <w:pPr>
        <w:pStyle w:val="93"/>
        <w:spacing w:line="560" w:lineRule="exact"/>
        <w:ind w:firstLine="0" w:firstLineChars="0"/>
        <w:jc w:val="center"/>
        <w:rPr>
          <w:rFonts w:eastAsia="黑体"/>
          <w:sz w:val="32"/>
          <w:szCs w:val="32"/>
        </w:rPr>
      </w:pPr>
    </w:p>
    <w:p>
      <w:pPr>
        <w:pStyle w:val="6"/>
        <w:ind w:firstLine="640" w:firstLineChars="200"/>
        <w:rPr>
          <w:rStyle w:val="30"/>
          <w:rFonts w:eastAsia="楷体"/>
          <w:b w:val="0"/>
          <w:bCs w:val="0"/>
        </w:rPr>
      </w:pPr>
      <w:r>
        <w:rPr>
          <w:rStyle w:val="30"/>
          <w:rFonts w:eastAsia="楷体"/>
        </w:rPr>
        <w:t xml:space="preserve">3.2.3 </w:t>
      </w:r>
      <w:r>
        <w:rPr>
          <w:rStyle w:val="30"/>
          <w:rFonts w:hint="eastAsia" w:eastAsia="楷体"/>
        </w:rPr>
        <w:t>科技服务惠民</w:t>
      </w:r>
      <w:bookmarkEnd w:id="93"/>
      <w:bookmarkEnd w:id="94"/>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加快林草科技推广与示范。建立和完善林草技术推广队伍，完善技术推广体系和技术服务体系，有效增加科技在林业生产中显示度和影响力，显著提高科技支撑林业发展能力。围绕林业生态建设和产业发展对技术的重大需求，重点满足林业科技扶贫、国家储备林建设、油茶等科技支撑需求，在林草良种培育、森林资源高效培育、林草生态修复、林草灾害防控、自然保护地建设、油茶等木本粮油、木竹材和林化产品加工利用、林草机械、林草信息化建设、草原合理利用等领域开展新技术的示范与推广，优先加强林草科技推广示范基地建设。</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加大科技人才队伍建设。建设科技创新专家团队，加强科技领军人才和杰出青年引进培养，完善奖励激励机制，调动科技人员创新积极性和内生动力。加大对省内涉林高等院校的支持力度，在林业系统人才引进等方面给予倾斜，畅通全省林业队伍人才培养与使用通道。</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）持续推进科技特派员帮扶行动。加强科研单位和地方的技术对接，创新特派员服务领域，引导科技特派员开展技术服务和培训，发挥科技在现代林业建设中的重要作用。</w:t>
      </w:r>
    </w:p>
    <w:p>
      <w:pPr>
        <w:pStyle w:val="6"/>
        <w:ind w:firstLine="640" w:firstLineChars="200"/>
        <w:rPr>
          <w:rStyle w:val="30"/>
          <w:rFonts w:eastAsia="楷体"/>
          <w:b w:val="0"/>
          <w:bCs w:val="0"/>
        </w:rPr>
      </w:pPr>
      <w:bookmarkStart w:id="95" w:name="_Toc40077741"/>
      <w:bookmarkStart w:id="96" w:name="_Toc78381427"/>
      <w:r>
        <w:rPr>
          <w:rStyle w:val="30"/>
          <w:rFonts w:eastAsia="楷体"/>
        </w:rPr>
        <w:t xml:space="preserve">3.2.4 </w:t>
      </w:r>
      <w:bookmarkEnd w:id="95"/>
      <w:r>
        <w:rPr>
          <w:rStyle w:val="30"/>
          <w:rFonts w:hint="eastAsia" w:eastAsia="楷体"/>
        </w:rPr>
        <w:t>绿化美化惠民</w:t>
      </w:r>
      <w:bookmarkEnd w:id="96"/>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）推进乡村振兴和森林乡村建设，整村推进村庄绿化美化，建设环村绿化带，营造风景林、风水林、水源涵养林，提高村庄绿化率，全面保护城乡绿化成果，持续增加城乡绿化总量，着力提升城乡绿化美化质量。</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）重点突出乡村的公共休闲绿地、乡村道路、河道（沟渠）绿化、房前屋后绿化、庭院绿化兼顾村庄周边山地绿化。</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）与城市生态绿地系统建设紧密结合，推进城郊型村庄绿化美化，提升公共绿地总量和优化公共绿地布局，增强城市生态功能和服务功能。</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）以增加林农收入为重点，推进农村型村庄绿化美化，注重生态效益、社会效益和经济效益相结合，增加乡村绿化面积，切实改善和提高农民生活环境质量。</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）保护乡村地形地貌、水系水体、林草植被等自然生态资源，慎砍树、禁挖山、不填湖、少拆房。注重乡土味道，保护乡情美景，保护古树名木，维护自然生态的原真性和完整性。</w:t>
      </w:r>
    </w:p>
    <w:p>
      <w:pPr>
        <w:pStyle w:val="93"/>
        <w:spacing w:line="560" w:lineRule="exact"/>
        <w:ind w:firstLine="640"/>
        <w:rPr>
          <w:snapToGrid w:val="0"/>
          <w:sz w:val="32"/>
          <w:szCs w:val="32"/>
        </w:rPr>
      </w:pPr>
      <w:r>
        <w:rPr>
          <w:rFonts w:hint="eastAsia"/>
          <w:sz w:val="32"/>
          <w:szCs w:val="32"/>
        </w:rPr>
        <w:t>（</w:t>
      </w:r>
      <w:r>
        <w:rPr>
          <w:sz w:val="32"/>
          <w:szCs w:val="32"/>
        </w:rPr>
        <w:t>6</w:t>
      </w:r>
      <w:r>
        <w:rPr>
          <w:rFonts w:hint="eastAsia"/>
          <w:sz w:val="32"/>
          <w:szCs w:val="32"/>
        </w:rPr>
        <w:t>）</w:t>
      </w:r>
      <w:r>
        <w:rPr>
          <w:rFonts w:hint="eastAsia"/>
          <w:snapToGrid w:val="0"/>
          <w:sz w:val="32"/>
          <w:szCs w:val="32"/>
        </w:rPr>
        <w:t>优化城市森林生态系统，进一步扩大城市生态空间、提升城市绿化质量、丰富森林文化内涵，实现城市的绿色可持续发展，推进长江流域森林城市和</w:t>
      </w:r>
      <w:r>
        <w:rPr>
          <w:snapToGrid w:val="0"/>
          <w:sz w:val="32"/>
          <w:szCs w:val="32"/>
        </w:rPr>
        <w:t>“</w:t>
      </w:r>
      <w:r>
        <w:rPr>
          <w:rFonts w:hint="eastAsia"/>
          <w:snapToGrid w:val="0"/>
          <w:sz w:val="32"/>
          <w:szCs w:val="32"/>
        </w:rPr>
        <w:t>长株潭</w:t>
      </w:r>
      <w:r>
        <w:rPr>
          <w:snapToGrid w:val="0"/>
          <w:sz w:val="32"/>
          <w:szCs w:val="32"/>
        </w:rPr>
        <w:t>”</w:t>
      </w:r>
      <w:r>
        <w:rPr>
          <w:rFonts w:hint="eastAsia"/>
          <w:snapToGrid w:val="0"/>
          <w:sz w:val="32"/>
          <w:szCs w:val="32"/>
        </w:rPr>
        <w:t>绿心区森林城市群建设。深化森林城市建设，做好国家森林城市动态监测，完善省级森林城市评价体系，提升绿化品味，突出地域特色。</w:t>
      </w:r>
    </w:p>
    <w:p>
      <w:pPr>
        <w:pStyle w:val="93"/>
        <w:spacing w:line="560" w:lineRule="exact"/>
        <w:ind w:firstLine="640"/>
        <w:rPr>
          <w:sz w:val="32"/>
          <w:szCs w:val="32"/>
        </w:rPr>
      </w:pPr>
      <w:r>
        <w:rPr>
          <w:rFonts w:hint="eastAsia"/>
          <w:sz w:val="32"/>
          <w:szCs w:val="32"/>
        </w:rPr>
        <w:t>（</w:t>
      </w:r>
      <w:r>
        <w:rPr>
          <w:sz w:val="32"/>
          <w:szCs w:val="32"/>
        </w:rPr>
        <w:t>7</w:t>
      </w:r>
      <w:r>
        <w:rPr>
          <w:rFonts w:hint="eastAsia"/>
          <w:sz w:val="32"/>
          <w:szCs w:val="32"/>
        </w:rPr>
        <w:t>）尊重自然规律，坚决反对</w:t>
      </w:r>
      <w:r>
        <w:rPr>
          <w:sz w:val="32"/>
          <w:szCs w:val="32"/>
        </w:rPr>
        <w:t>“</w:t>
      </w:r>
      <w:r>
        <w:rPr>
          <w:rFonts w:hint="eastAsia"/>
          <w:sz w:val="32"/>
          <w:szCs w:val="32"/>
        </w:rPr>
        <w:t>大树进城</w:t>
      </w:r>
      <w:r>
        <w:rPr>
          <w:sz w:val="32"/>
          <w:szCs w:val="32"/>
        </w:rPr>
        <w:t>”</w:t>
      </w:r>
      <w:r>
        <w:rPr>
          <w:rFonts w:hint="eastAsia"/>
          <w:sz w:val="32"/>
          <w:szCs w:val="32"/>
        </w:rPr>
        <w:t>等急功近利行为，避免片面追求景观化，切忌行政命令瞎指挥，严禁脱离实际、铺张浪费、劳民伤财搞绿化的面子工程、形象工程。</w:t>
      </w:r>
    </w:p>
    <w:p>
      <w:pPr>
        <w:pStyle w:val="4"/>
        <w:ind w:firstLine="640" w:firstLineChars="200"/>
        <w:rPr>
          <w:rFonts w:ascii="Times New Roman" w:hAnsi="Times New Roman" w:eastAsia="黑体" w:cs="Times New Roman"/>
          <w:sz w:val="32"/>
          <w:szCs w:val="32"/>
        </w:rPr>
      </w:pPr>
      <w:bookmarkStart w:id="97" w:name="_Toc78296739"/>
      <w:bookmarkStart w:id="98" w:name="_Toc40077746"/>
      <w:bookmarkStart w:id="99" w:name="_Toc78381428"/>
      <w:r>
        <w:rPr>
          <w:rFonts w:ascii="Times New Roman" w:hAnsi="Times New Roman" w:eastAsia="黑体" w:cs="Times New Roman"/>
          <w:sz w:val="32"/>
          <w:szCs w:val="32"/>
        </w:rPr>
        <w:t xml:space="preserve">3.3 </w:t>
      </w:r>
      <w:r>
        <w:rPr>
          <w:rFonts w:hint="eastAsia" w:ascii="Times New Roman" w:hAnsi="Times New Roman" w:eastAsia="黑体"/>
          <w:sz w:val="32"/>
          <w:szCs w:val="32"/>
        </w:rPr>
        <w:t>深抓治理体系现代化</w:t>
      </w:r>
      <w:bookmarkEnd w:id="97"/>
      <w:bookmarkEnd w:id="98"/>
      <w:bookmarkEnd w:id="99"/>
    </w:p>
    <w:p>
      <w:pPr>
        <w:pStyle w:val="6"/>
        <w:ind w:firstLine="640" w:firstLineChars="200"/>
        <w:rPr>
          <w:rStyle w:val="30"/>
          <w:rFonts w:eastAsia="楷体"/>
          <w:b w:val="0"/>
          <w:bCs w:val="0"/>
        </w:rPr>
      </w:pPr>
      <w:bookmarkStart w:id="100" w:name="_Toc40077747"/>
      <w:bookmarkStart w:id="101" w:name="_Toc78381429"/>
      <w:r>
        <w:rPr>
          <w:rStyle w:val="30"/>
          <w:rFonts w:eastAsia="楷体"/>
        </w:rPr>
        <w:t xml:space="preserve">3.3.1 </w:t>
      </w:r>
      <w:r>
        <w:rPr>
          <w:rStyle w:val="30"/>
          <w:rFonts w:hint="eastAsia" w:eastAsia="楷体"/>
        </w:rPr>
        <w:t>完善制度体系</w:t>
      </w:r>
      <w:bookmarkEnd w:id="100"/>
      <w:bookmarkEnd w:id="101"/>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）林长制。贯彻落实《中共中央办公厅</w:t>
      </w:r>
      <w:r>
        <w:rPr>
          <w:sz w:val="32"/>
          <w:szCs w:val="32"/>
        </w:rPr>
        <w:t xml:space="preserve"> </w:t>
      </w:r>
      <w:r>
        <w:rPr>
          <w:rFonts w:hint="eastAsia"/>
          <w:sz w:val="32"/>
          <w:szCs w:val="32"/>
        </w:rPr>
        <w:t>国务院办公厅印发〈关于全面推行林长制的意见〉的通知》和《中共湖南省委办公厅</w:t>
      </w:r>
      <w:r>
        <w:rPr>
          <w:sz w:val="32"/>
          <w:szCs w:val="32"/>
          <w:lang w:val="en-US"/>
        </w:rPr>
        <w:t xml:space="preserve"> </w:t>
      </w:r>
      <w:r>
        <w:rPr>
          <w:rFonts w:hint="eastAsia"/>
          <w:sz w:val="32"/>
          <w:szCs w:val="32"/>
          <w:lang w:val="en-US"/>
        </w:rPr>
        <w:t>湖南省人民政府办公厅关于印发</w:t>
      </w:r>
      <w:r>
        <w:rPr>
          <w:rFonts w:hint="eastAsia"/>
          <w:sz w:val="32"/>
          <w:szCs w:val="32"/>
        </w:rPr>
        <w:t>〈关于全面推行林长制的实施意见〉的通知》精神，明确各级党政领导干部保护发展森林草原资源目标责任，构建党政同责、属地负责、部门协同、源头治理、全域覆盖的长效机制，确保山有人管、林有人护、责有人担，以</w:t>
      </w:r>
      <w:r>
        <w:rPr>
          <w:sz w:val="32"/>
          <w:szCs w:val="32"/>
        </w:rPr>
        <w:t>“</w:t>
      </w:r>
      <w:r>
        <w:rPr>
          <w:rFonts w:hint="eastAsia"/>
          <w:sz w:val="32"/>
          <w:szCs w:val="32"/>
        </w:rPr>
        <w:t>林长制</w:t>
      </w:r>
      <w:r>
        <w:rPr>
          <w:sz w:val="32"/>
          <w:szCs w:val="32"/>
        </w:rPr>
        <w:t>”</w:t>
      </w:r>
      <w:r>
        <w:rPr>
          <w:rFonts w:hint="eastAsia"/>
          <w:sz w:val="32"/>
          <w:szCs w:val="32"/>
        </w:rPr>
        <w:t>促进</w:t>
      </w:r>
      <w:r>
        <w:rPr>
          <w:sz w:val="32"/>
          <w:szCs w:val="32"/>
        </w:rPr>
        <w:t>“</w:t>
      </w:r>
      <w:r>
        <w:rPr>
          <w:rFonts w:hint="eastAsia"/>
          <w:sz w:val="32"/>
          <w:szCs w:val="32"/>
        </w:rPr>
        <w:t>林长治</w:t>
      </w:r>
      <w:r>
        <w:rPr>
          <w:sz w:val="32"/>
          <w:szCs w:val="32"/>
        </w:rPr>
        <w:t>”</w:t>
      </w:r>
      <w:r>
        <w:rPr>
          <w:rFonts w:hint="eastAsia"/>
          <w:sz w:val="32"/>
          <w:szCs w:val="32"/>
        </w:rPr>
        <w:t>。</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国土绿化制度。深入实施重大生态工程，建设稳定健康的以林草植被为主的自然生态系统。坚持森林分类经营，完善森林经营制度体系，建立健全以森林经营规划和方案为基础的资源管理机制。大力推进全民义务植树，落实部门绿化责任。推动和规范基本草原划定工作，开展禁牧和草蓄平衡管理示范建设，研究完善草原承包经营制度。</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）森林资源保护制度。坚持用严格的制度、高效的手段保护发展林草种质资源、森林和野生动植物资源。健全地方各级党委政府保护发展森林资源目标责任制，开展领导干部森林资源资产离任审计。</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）草原保护制度。健全草原产权制度，完善草原承包经营制度，完善草原资源用途管制制度，落实基本草原保护制度，提升草原生态系统质量和功能，严格落实禁牧和草畜平衡制度，促进草原资源可持续利用。</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湿地保护修复制度。认真落实《湿地保护修复制度方案》《湖南省湿地保护修复制度工作方案》，加快建立湿地保护修复制度。实施湿地保护修复工程，健全湿地用途监管机制，加强湿地生态保护修复，提升湿地监测评价能力，强化湿地保护修复保障机制。</w:t>
      </w:r>
    </w:p>
    <w:p>
      <w:pPr>
        <w:pStyle w:val="93"/>
        <w:spacing w:line="560" w:lineRule="exact"/>
        <w:ind w:firstLine="640"/>
        <w:rPr>
          <w:sz w:val="32"/>
          <w:szCs w:val="32"/>
        </w:rPr>
      </w:pPr>
      <w:r>
        <w:rPr>
          <w:rFonts w:hint="eastAsia"/>
          <w:sz w:val="32"/>
          <w:szCs w:val="32"/>
        </w:rPr>
        <w:t>（</w:t>
      </w:r>
      <w:r>
        <w:rPr>
          <w:sz w:val="32"/>
          <w:szCs w:val="32"/>
        </w:rPr>
        <w:t>6</w:t>
      </w:r>
      <w:r>
        <w:rPr>
          <w:rFonts w:hint="eastAsia"/>
          <w:sz w:val="32"/>
          <w:szCs w:val="32"/>
        </w:rPr>
        <w:t>）生物多样性保护制度。明确各级党委、政府和部门的生物多样性保护职责。完善法规体系，颁布实施一批生物多样性保护法规。</w:t>
      </w:r>
    </w:p>
    <w:p>
      <w:pPr>
        <w:pStyle w:val="93"/>
        <w:spacing w:line="560" w:lineRule="exact"/>
        <w:ind w:firstLine="640"/>
        <w:rPr>
          <w:sz w:val="32"/>
          <w:szCs w:val="32"/>
        </w:rPr>
      </w:pPr>
      <w:r>
        <w:rPr>
          <w:rFonts w:hint="eastAsia"/>
          <w:sz w:val="32"/>
          <w:szCs w:val="32"/>
        </w:rPr>
        <w:t>（</w:t>
      </w:r>
      <w:r>
        <w:rPr>
          <w:sz w:val="32"/>
          <w:szCs w:val="32"/>
        </w:rPr>
        <w:t>7</w:t>
      </w:r>
      <w:r>
        <w:rPr>
          <w:rFonts w:hint="eastAsia"/>
          <w:sz w:val="32"/>
          <w:szCs w:val="32"/>
        </w:rPr>
        <w:t>）石漠化综合治理制度。认真落实《岩溶地区石漠化综合治理工程项目管理办法》，督促石漠化综合治理工程县加快进展，严格管理，保证质量，按时完成石漠化综合治理工程林业建设任务，巩固石漠化综合治理林业建设成果。科学有序推动国家石漠自然公园的建设和保护工作。</w:t>
      </w:r>
    </w:p>
    <w:p>
      <w:pPr>
        <w:pStyle w:val="93"/>
        <w:spacing w:line="560" w:lineRule="exact"/>
        <w:ind w:firstLine="640"/>
        <w:rPr>
          <w:sz w:val="32"/>
          <w:szCs w:val="32"/>
        </w:rPr>
      </w:pPr>
      <w:r>
        <w:rPr>
          <w:rFonts w:hint="eastAsia"/>
          <w:sz w:val="32"/>
          <w:szCs w:val="32"/>
        </w:rPr>
        <w:t>（</w:t>
      </w:r>
      <w:r>
        <w:rPr>
          <w:sz w:val="32"/>
          <w:szCs w:val="32"/>
        </w:rPr>
        <w:t>8</w:t>
      </w:r>
      <w:r>
        <w:rPr>
          <w:rFonts w:hint="eastAsia"/>
          <w:sz w:val="32"/>
          <w:szCs w:val="32"/>
        </w:rPr>
        <w:t>）自然保护地保护管理制度。全面落实《关于建立以国家公园为主体的自然保护地体系的指导意见》和《中共湖南省委办公厅</w:t>
      </w:r>
      <w:r>
        <w:rPr>
          <w:sz w:val="32"/>
          <w:szCs w:val="32"/>
        </w:rPr>
        <w:t xml:space="preserve"> </w:t>
      </w:r>
      <w:r>
        <w:rPr>
          <w:rFonts w:hint="eastAsia"/>
          <w:sz w:val="32"/>
          <w:szCs w:val="32"/>
        </w:rPr>
        <w:t>湖南省人民政府办公厅印发〈关于建立以国家公园为主体的自然保护地体系的实施意见〉的通知》，对各类自然保护地进行统一管理、全面保护、系统治理。</w:t>
      </w:r>
    </w:p>
    <w:p>
      <w:pPr>
        <w:pStyle w:val="93"/>
        <w:spacing w:line="560" w:lineRule="exact"/>
        <w:ind w:firstLine="640"/>
        <w:rPr>
          <w:sz w:val="32"/>
          <w:szCs w:val="32"/>
        </w:rPr>
      </w:pPr>
      <w:r>
        <w:rPr>
          <w:rFonts w:hint="eastAsia"/>
          <w:sz w:val="32"/>
          <w:szCs w:val="32"/>
        </w:rPr>
        <w:t>（</w:t>
      </w:r>
      <w:r>
        <w:rPr>
          <w:sz w:val="32"/>
          <w:szCs w:val="32"/>
        </w:rPr>
        <w:t>9</w:t>
      </w:r>
      <w:r>
        <w:rPr>
          <w:rFonts w:hint="eastAsia"/>
          <w:sz w:val="32"/>
          <w:szCs w:val="32"/>
        </w:rPr>
        <w:t>）国家公园保护管理制度。坚持国家公园统一设立、规划和评估，推动建立统一规范高效的管理体制，明确国家公园管理机构与地方政府相关职能部门的权责。</w:t>
      </w:r>
    </w:p>
    <w:p>
      <w:pPr>
        <w:pStyle w:val="93"/>
        <w:spacing w:line="560" w:lineRule="exact"/>
        <w:ind w:firstLine="640"/>
        <w:rPr>
          <w:sz w:val="32"/>
          <w:szCs w:val="32"/>
        </w:rPr>
      </w:pPr>
      <w:r>
        <w:rPr>
          <w:rFonts w:hint="eastAsia"/>
          <w:sz w:val="32"/>
          <w:szCs w:val="32"/>
        </w:rPr>
        <w:t>（</w:t>
      </w:r>
      <w:r>
        <w:rPr>
          <w:sz w:val="32"/>
          <w:szCs w:val="32"/>
        </w:rPr>
        <w:t>10</w:t>
      </w:r>
      <w:r>
        <w:rPr>
          <w:rFonts w:hint="eastAsia"/>
          <w:sz w:val="32"/>
          <w:szCs w:val="32"/>
        </w:rPr>
        <w:t>）建立健全林草科技制度。深入贯彻落实国家和省科技体制改革政策，完善《关于加快林业科技创新</w:t>
      </w:r>
      <w:r>
        <w:rPr>
          <w:sz w:val="32"/>
          <w:szCs w:val="32"/>
        </w:rPr>
        <w:t xml:space="preserve"> </w:t>
      </w:r>
      <w:r>
        <w:rPr>
          <w:rFonts w:hint="eastAsia"/>
          <w:sz w:val="32"/>
          <w:szCs w:val="32"/>
        </w:rPr>
        <w:t>促进生态强省建设的意见》，制定科技管理、成果评价、推广项目管理等相关制度，为人才培养、科学研究、平台建设、成果转化、科研管理、科学技术普及等方面提供制度保障。</w:t>
      </w:r>
    </w:p>
    <w:p>
      <w:pPr>
        <w:pStyle w:val="93"/>
        <w:spacing w:line="560" w:lineRule="exact"/>
        <w:ind w:firstLine="640"/>
        <w:rPr>
          <w:sz w:val="32"/>
          <w:szCs w:val="32"/>
        </w:rPr>
      </w:pPr>
      <w:bookmarkStart w:id="102" w:name="_Toc40077748"/>
      <w:r>
        <w:rPr>
          <w:rFonts w:hint="eastAsia"/>
          <w:sz w:val="32"/>
          <w:szCs w:val="32"/>
        </w:rPr>
        <w:t>（</w:t>
      </w:r>
      <w:r>
        <w:rPr>
          <w:sz w:val="32"/>
          <w:szCs w:val="32"/>
        </w:rPr>
        <w:t>11</w:t>
      </w:r>
      <w:r>
        <w:rPr>
          <w:rFonts w:hint="eastAsia"/>
          <w:sz w:val="32"/>
          <w:szCs w:val="32"/>
        </w:rPr>
        <w:t>）林业规范性文件管理制度。遵循依法行政、权责一致、精简高效、民主公开的原则，严格落实公众参与、专家论证、风险评估、合法性审查、公平竞争审查、清理制度、有效期制度等要求。</w:t>
      </w:r>
    </w:p>
    <w:p>
      <w:pPr>
        <w:pStyle w:val="6"/>
        <w:ind w:firstLine="640" w:firstLineChars="200"/>
        <w:rPr>
          <w:rStyle w:val="30"/>
          <w:rFonts w:eastAsia="楷体"/>
          <w:b w:val="0"/>
          <w:bCs w:val="0"/>
        </w:rPr>
      </w:pPr>
      <w:bookmarkStart w:id="103" w:name="_Toc78381430"/>
      <w:r>
        <w:rPr>
          <w:rStyle w:val="30"/>
          <w:rFonts w:eastAsia="楷体"/>
        </w:rPr>
        <w:t xml:space="preserve">3.3.2 </w:t>
      </w:r>
      <w:bookmarkEnd w:id="102"/>
      <w:r>
        <w:rPr>
          <w:rStyle w:val="30"/>
          <w:rFonts w:hint="eastAsia" w:eastAsia="楷体"/>
        </w:rPr>
        <w:t>深化林业改革</w:t>
      </w:r>
      <w:bookmarkEnd w:id="103"/>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深化集体林权制度改革。坚持和完善农村基本经营制度，落实集体所有权，稳定农户承包权，放活林地经营权，推进集体林权规范有序流转，促进集体林业适度规模经营，完善扶持政策和社会化服务体系，创新产权模式，广泛调动农民和社会力量发展林业，充分发挥集体林生态、经济和社会效益。</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）深化国有林场改革。加强森林资源的保护和培育，提升森林质量，不断完善和提升基础设施，营造优美环境，提升经营管理水平。到</w:t>
      </w:r>
      <w:r>
        <w:rPr>
          <w:sz w:val="32"/>
          <w:szCs w:val="32"/>
        </w:rPr>
        <w:t>2025</w:t>
      </w:r>
      <w:r>
        <w:rPr>
          <w:rFonts w:hint="eastAsia"/>
          <w:sz w:val="32"/>
          <w:szCs w:val="32"/>
        </w:rPr>
        <w:t>年国有林场森林生态系统稳定性显著增强，森林的生态景观服务、林产品供给和碳汇能力明显提升。森林经营支撑体系基本建成。林道、管护用房等基础设施建设逐步完善。建成健康稳定优质高效的国有林场森林生态系统。到</w:t>
      </w:r>
      <w:r>
        <w:rPr>
          <w:sz w:val="32"/>
          <w:szCs w:val="32"/>
        </w:rPr>
        <w:t>2035</w:t>
      </w:r>
      <w:r>
        <w:rPr>
          <w:rFonts w:hint="eastAsia"/>
          <w:sz w:val="32"/>
          <w:szCs w:val="32"/>
        </w:rPr>
        <w:t>年将形成以森林资源为基础，以人与自然和谐共生为理念，以现代信息技术为手段，以实现林业生态、经济、社会综合效益最大化为标准的国有林场发展模式。</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）创新林业投融资机制。加快利用开发性和政策性金融推进林业生态建设的步伐，利用贴息等方式吸引社会资本投入林业，提升森林保险的保障作用，全面完善和推进森林保险高质量发展。试点推进</w:t>
      </w:r>
      <w:r>
        <w:rPr>
          <w:sz w:val="32"/>
          <w:szCs w:val="32"/>
        </w:rPr>
        <w:t>“</w:t>
      </w:r>
      <w:r>
        <w:rPr>
          <w:rFonts w:hint="eastAsia"/>
          <w:sz w:val="32"/>
          <w:szCs w:val="32"/>
        </w:rPr>
        <w:t>林权抵押</w:t>
      </w:r>
      <w:r>
        <w:rPr>
          <w:sz w:val="32"/>
          <w:szCs w:val="32"/>
        </w:rPr>
        <w:t>+</w:t>
      </w:r>
      <w:r>
        <w:rPr>
          <w:rFonts w:hint="eastAsia"/>
          <w:sz w:val="32"/>
          <w:szCs w:val="32"/>
        </w:rPr>
        <w:t>林权收储</w:t>
      </w:r>
      <w:r>
        <w:rPr>
          <w:sz w:val="32"/>
          <w:szCs w:val="32"/>
        </w:rPr>
        <w:t>+</w:t>
      </w:r>
      <w:r>
        <w:rPr>
          <w:rFonts w:hint="eastAsia"/>
          <w:sz w:val="32"/>
          <w:szCs w:val="32"/>
        </w:rPr>
        <w:t>森林保险</w:t>
      </w:r>
      <w:r>
        <w:rPr>
          <w:sz w:val="32"/>
          <w:szCs w:val="32"/>
        </w:rPr>
        <w:t>”</w:t>
      </w:r>
      <w:r>
        <w:rPr>
          <w:rFonts w:hint="eastAsia"/>
          <w:sz w:val="32"/>
          <w:szCs w:val="32"/>
        </w:rPr>
        <w:t>的贷款模式，创新林权收储担保融资模式，优化林业发展的金融环境。</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）创新林业利益联结机制。促进林业适度规模经营，探索林地的利益实现途径，引导农户合理流转林地经营权，引导林业龙头企业与合作社、林农建立利益联系机制，从而推动林业产业的规模化经营。</w:t>
      </w:r>
    </w:p>
    <w:p>
      <w:pPr>
        <w:pStyle w:val="6"/>
        <w:ind w:firstLine="640" w:firstLineChars="200"/>
        <w:rPr>
          <w:rStyle w:val="30"/>
          <w:rFonts w:eastAsia="楷体"/>
          <w:b w:val="0"/>
        </w:rPr>
      </w:pPr>
      <w:bookmarkStart w:id="104" w:name="_Toc78381431"/>
      <w:r>
        <w:rPr>
          <w:rStyle w:val="30"/>
          <w:rFonts w:eastAsia="楷体"/>
        </w:rPr>
        <w:t xml:space="preserve">3.3.3 </w:t>
      </w:r>
      <w:r>
        <w:rPr>
          <w:rStyle w:val="30"/>
          <w:rFonts w:hint="eastAsia" w:eastAsia="楷体"/>
        </w:rPr>
        <w:t>常抓生态文化</w:t>
      </w:r>
      <w:bookmarkEnd w:id="104"/>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积极创作生态文化作品。加强与省委宣传部、省作协、省摄影家协会等部门合作，围绕生态文化建设，联合开展文学创作研讨会、采风、摄影大赛等活动。不定期举办送文艺下乡等专题文艺演出，向基层林业单位传播林业生态文化，增强林业行业的凝聚力和向心力。组织创作林业题材的歌曲、电影、专题片、诗歌、散文等文艺作品，创作内涵丰富、辐射面广、形式多样的文化作品。</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）加快建设生态文化品牌。充分发挥品牌在公益宣传实践活动中的影响力和感染力，打造一批具有生态特色、林业元素、富有市场竞争力的生态文化节庆品牌。如将</w:t>
      </w:r>
      <w:r>
        <w:rPr>
          <w:sz w:val="32"/>
          <w:szCs w:val="32"/>
        </w:rPr>
        <w:t>“</w:t>
      </w:r>
      <w:r>
        <w:rPr>
          <w:rFonts w:hint="eastAsia"/>
          <w:sz w:val="32"/>
          <w:szCs w:val="32"/>
        </w:rPr>
        <w:t>洞庭湖观鸟节</w:t>
      </w:r>
      <w:r>
        <w:rPr>
          <w:sz w:val="32"/>
          <w:szCs w:val="32"/>
        </w:rPr>
        <w:t>”“</w:t>
      </w:r>
      <w:r>
        <w:rPr>
          <w:rFonts w:hint="eastAsia"/>
          <w:sz w:val="32"/>
          <w:szCs w:val="32"/>
        </w:rPr>
        <w:t>张家界森保节</w:t>
      </w:r>
      <w:r>
        <w:rPr>
          <w:sz w:val="32"/>
          <w:szCs w:val="32"/>
        </w:rPr>
        <w:t>”“</w:t>
      </w:r>
      <w:r>
        <w:rPr>
          <w:rFonts w:hint="eastAsia"/>
          <w:sz w:val="32"/>
          <w:szCs w:val="32"/>
        </w:rPr>
        <w:t>森林植物园樱花节</w:t>
      </w:r>
      <w:r>
        <w:rPr>
          <w:sz w:val="32"/>
          <w:szCs w:val="32"/>
        </w:rPr>
        <w:t>”“</w:t>
      </w:r>
      <w:r>
        <w:rPr>
          <w:rFonts w:hint="eastAsia"/>
          <w:sz w:val="32"/>
          <w:szCs w:val="32"/>
        </w:rPr>
        <w:t>常宁油茶节</w:t>
      </w:r>
      <w:r>
        <w:rPr>
          <w:sz w:val="32"/>
          <w:szCs w:val="32"/>
        </w:rPr>
        <w:t>”“</w:t>
      </w:r>
      <w:r>
        <w:rPr>
          <w:rFonts w:hint="eastAsia"/>
          <w:sz w:val="32"/>
          <w:szCs w:val="32"/>
        </w:rPr>
        <w:t>桃江竹文化节</w:t>
      </w:r>
      <w:r>
        <w:rPr>
          <w:sz w:val="32"/>
          <w:szCs w:val="32"/>
        </w:rPr>
        <w:t>”“</w:t>
      </w:r>
      <w:r>
        <w:rPr>
          <w:rFonts w:hint="eastAsia"/>
          <w:sz w:val="32"/>
          <w:szCs w:val="32"/>
        </w:rPr>
        <w:t>世界名花生态文化节</w:t>
      </w:r>
      <w:r>
        <w:rPr>
          <w:sz w:val="32"/>
          <w:szCs w:val="32"/>
        </w:rPr>
        <w:t>”</w:t>
      </w:r>
      <w:r>
        <w:rPr>
          <w:rFonts w:hint="eastAsia"/>
          <w:sz w:val="32"/>
          <w:szCs w:val="32"/>
        </w:rPr>
        <w:t>等节庆活动打磨成地域特征明显的生态文化品牌，不断提高和扩大文化节庆活动的社会影响力，形成品牌效应。</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深入挖掘生态文化内涵。以自然保护地、国有林场、植物园、动物园等为重要载体，通过与高等院校等科研单位合作，进行生态文化内涵课题研究，举办生态文化相关座谈会、研讨会等，挖掘全省生态文化的内涵，丰富全省文化建设体系，增强生态文化自信。</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）着力打造林业融媒体宣传平台。巩固《林业与生态》杂志、湖南林业网络电视台等林业宣传传统平台，发展壮大政务微信公众号、政务视频号等新媒体平台，打造林业宣传</w:t>
      </w:r>
      <w:r>
        <w:rPr>
          <w:sz w:val="32"/>
          <w:szCs w:val="32"/>
        </w:rPr>
        <w:t>“</w:t>
      </w:r>
      <w:r>
        <w:rPr>
          <w:rFonts w:hint="eastAsia"/>
          <w:sz w:val="32"/>
          <w:szCs w:val="32"/>
        </w:rPr>
        <w:t>中央厨房</w:t>
      </w:r>
      <w:r>
        <w:rPr>
          <w:sz w:val="32"/>
          <w:szCs w:val="32"/>
        </w:rPr>
        <w:t>”</w:t>
      </w:r>
      <w:r>
        <w:rPr>
          <w:rFonts w:hint="eastAsia"/>
          <w:sz w:val="32"/>
          <w:szCs w:val="32"/>
        </w:rPr>
        <w:t>，不断扩大林业社会影响力。</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）有序推进林业科普场馆建设。在全省自然保护地建设并维护一批有特色的生态文化宣传教育中心、科普场馆，方便群众接受生态文明教育，提高社会大众的生态文明意识。</w:t>
      </w:r>
    </w:p>
    <w:p>
      <w:pPr>
        <w:pStyle w:val="6"/>
        <w:ind w:firstLine="640" w:firstLineChars="200"/>
        <w:rPr>
          <w:rStyle w:val="30"/>
          <w:rFonts w:eastAsia="楷体"/>
          <w:b w:val="0"/>
          <w:bCs w:val="0"/>
        </w:rPr>
      </w:pPr>
      <w:bookmarkStart w:id="105" w:name="_Toc40077749"/>
      <w:bookmarkStart w:id="106" w:name="_Toc78381432"/>
      <w:r>
        <w:rPr>
          <w:rStyle w:val="30"/>
          <w:rFonts w:eastAsia="楷体"/>
        </w:rPr>
        <w:t xml:space="preserve">3.3.4 </w:t>
      </w:r>
      <w:r>
        <w:rPr>
          <w:rStyle w:val="30"/>
          <w:rFonts w:hint="eastAsia" w:eastAsia="楷体"/>
        </w:rPr>
        <w:t>完善</w:t>
      </w:r>
      <w:bookmarkEnd w:id="105"/>
      <w:r>
        <w:rPr>
          <w:rStyle w:val="30"/>
          <w:rFonts w:hint="eastAsia" w:eastAsia="楷体"/>
        </w:rPr>
        <w:t>法治建设</w:t>
      </w:r>
      <w:bookmarkEnd w:id="106"/>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w:t>
      </w:r>
      <w:bookmarkStart w:id="107" w:name="_Toc37492710"/>
      <w:r>
        <w:rPr>
          <w:rFonts w:hint="eastAsia"/>
          <w:sz w:val="32"/>
          <w:szCs w:val="32"/>
        </w:rPr>
        <w:t>完善林业法规体系。推动修改《湖南省湿地保护条例》，制定《湖南省野生动植物资源保护条例》《湖南省古树名木保护办法》等地方性法规和政府规章。做好自然保护地、天然林保护等立法相关工作。</w:t>
      </w:r>
    </w:p>
    <w:bookmarkEnd w:id="107"/>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）加强林业行政执法能力建设。积极整合现有林业行政执法力量，建立健全林业行政执法队伍，强化执法人员培训，配备办案设施、设备，提升林业行政执法能力和水平。</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）规范林业行政执法行为。全面推行行政执法公示制度、执法全过程记录制度、重大执法决定法制审核制度等行政执法</w:t>
      </w:r>
      <w:r>
        <w:rPr>
          <w:sz w:val="32"/>
          <w:szCs w:val="32"/>
        </w:rPr>
        <w:t>“</w:t>
      </w:r>
      <w:r>
        <w:rPr>
          <w:rFonts w:hint="eastAsia"/>
          <w:sz w:val="32"/>
          <w:szCs w:val="32"/>
        </w:rPr>
        <w:t>三项制度</w:t>
      </w:r>
      <w:r>
        <w:rPr>
          <w:sz w:val="32"/>
          <w:szCs w:val="32"/>
        </w:rPr>
        <w:t>”</w:t>
      </w:r>
      <w:r>
        <w:rPr>
          <w:rFonts w:hint="eastAsia"/>
          <w:sz w:val="32"/>
          <w:szCs w:val="32"/>
        </w:rPr>
        <w:t>。全面推广运用湖南省林业行政处罚网上办案系统，规范林业行政处罚执法行为。建立健全行政执法与刑事司法相衔接的信息平台共享、定期通报等工作机制。</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）强化林业行政执法和监督。落实林业行政执法责任制，不断完善和强化全省林业行政执法案卷评查制度，努力提高各级林业主管部门依法行政水平。</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加强行政复议和行政应诉能力建设。严格执行《行政复议法》和《行政诉讼法》，完善内部应诉工作机制，落实行政负责人出庭应诉制度，坚决纠正违法或不当的林业行政行为。依法加强行政复议、行政应诉能力建设，落实行政复议和行政应诉专项经费。</w:t>
      </w:r>
    </w:p>
    <w:p>
      <w:pPr>
        <w:pStyle w:val="93"/>
        <w:spacing w:line="560" w:lineRule="exact"/>
        <w:ind w:firstLine="640"/>
        <w:rPr>
          <w:sz w:val="32"/>
          <w:szCs w:val="32"/>
        </w:rPr>
      </w:pPr>
      <w:r>
        <w:rPr>
          <w:rFonts w:hint="eastAsia"/>
          <w:sz w:val="32"/>
          <w:szCs w:val="32"/>
        </w:rPr>
        <w:t>（</w:t>
      </w:r>
      <w:r>
        <w:rPr>
          <w:sz w:val="32"/>
          <w:szCs w:val="32"/>
        </w:rPr>
        <w:t>6</w:t>
      </w:r>
      <w:r>
        <w:rPr>
          <w:rFonts w:hint="eastAsia"/>
          <w:sz w:val="32"/>
          <w:szCs w:val="32"/>
        </w:rPr>
        <w:t>）加强林业法制队伍建设。加快推进林业法制队伍专业化建设，积极推行林业主管部门法律顾问制度，充分发挥法律顾问、公职律师的作用，全面提升林业系统法律素养。</w:t>
      </w:r>
    </w:p>
    <w:p>
      <w:pPr>
        <w:pStyle w:val="93"/>
        <w:spacing w:line="560" w:lineRule="exact"/>
        <w:ind w:firstLine="640"/>
        <w:rPr>
          <w:sz w:val="32"/>
          <w:szCs w:val="32"/>
        </w:rPr>
      </w:pPr>
      <w:r>
        <w:rPr>
          <w:rFonts w:hint="eastAsia"/>
          <w:sz w:val="32"/>
          <w:szCs w:val="32"/>
        </w:rPr>
        <w:t>（</w:t>
      </w:r>
      <w:r>
        <w:rPr>
          <w:sz w:val="32"/>
          <w:szCs w:val="32"/>
        </w:rPr>
        <w:t>7</w:t>
      </w:r>
      <w:r>
        <w:rPr>
          <w:rFonts w:hint="eastAsia"/>
          <w:sz w:val="32"/>
          <w:szCs w:val="32"/>
        </w:rPr>
        <w:t>）推进林业普法。制定全省林业系统</w:t>
      </w:r>
      <w:r>
        <w:rPr>
          <w:sz w:val="32"/>
          <w:szCs w:val="32"/>
        </w:rPr>
        <w:t>“</w:t>
      </w:r>
      <w:r>
        <w:rPr>
          <w:rFonts w:hint="eastAsia"/>
          <w:sz w:val="32"/>
          <w:szCs w:val="32"/>
        </w:rPr>
        <w:t>八五</w:t>
      </w:r>
      <w:r>
        <w:rPr>
          <w:sz w:val="32"/>
          <w:szCs w:val="32"/>
        </w:rPr>
        <w:t>”</w:t>
      </w:r>
      <w:r>
        <w:rPr>
          <w:rFonts w:hint="eastAsia"/>
          <w:sz w:val="32"/>
          <w:szCs w:val="32"/>
        </w:rPr>
        <w:t>普法规划，以</w:t>
      </w:r>
      <w:r>
        <w:rPr>
          <w:sz w:val="32"/>
          <w:szCs w:val="32"/>
        </w:rPr>
        <w:t>“</w:t>
      </w:r>
      <w:r>
        <w:rPr>
          <w:rFonts w:hint="eastAsia"/>
          <w:sz w:val="32"/>
          <w:szCs w:val="32"/>
        </w:rPr>
        <w:t>谁执法谁普法</w:t>
      </w:r>
      <w:r>
        <w:rPr>
          <w:sz w:val="32"/>
          <w:szCs w:val="32"/>
        </w:rPr>
        <w:t>”</w:t>
      </w:r>
      <w:r>
        <w:rPr>
          <w:rFonts w:hint="eastAsia"/>
          <w:sz w:val="32"/>
          <w:szCs w:val="32"/>
        </w:rPr>
        <w:t>责任制为导向，以新修订《中华人民共和国森林法》《中华人民共和国长江保护法》《湖南省公益林划定和管理办法》《湖南省天然林保护条例》等新出台的法律法规为重点，开展多种形式的普法宣传。抓好国家机关工作人员学法用法考试工作，进一步提高干部职工的法治思维和依法行政能力。</w:t>
      </w:r>
    </w:p>
    <w:p>
      <w:pPr>
        <w:pStyle w:val="93"/>
        <w:spacing w:line="560" w:lineRule="exact"/>
        <w:ind w:firstLine="640"/>
        <w:rPr>
          <w:sz w:val="32"/>
          <w:szCs w:val="32"/>
        </w:rPr>
      </w:pPr>
      <w:r>
        <w:rPr>
          <w:rFonts w:hint="eastAsia"/>
          <w:sz w:val="32"/>
          <w:szCs w:val="32"/>
        </w:rPr>
        <w:t>（</w:t>
      </w:r>
      <w:r>
        <w:rPr>
          <w:sz w:val="32"/>
          <w:szCs w:val="32"/>
        </w:rPr>
        <w:t>8</w:t>
      </w:r>
      <w:r>
        <w:rPr>
          <w:rFonts w:hint="eastAsia"/>
          <w:sz w:val="32"/>
          <w:szCs w:val="32"/>
        </w:rPr>
        <w:t>）深入推进</w:t>
      </w:r>
      <w:r>
        <w:rPr>
          <w:sz w:val="32"/>
          <w:szCs w:val="32"/>
        </w:rPr>
        <w:t>“</w:t>
      </w:r>
      <w:r>
        <w:rPr>
          <w:rFonts w:hint="eastAsia"/>
          <w:sz w:val="32"/>
          <w:szCs w:val="32"/>
        </w:rPr>
        <w:t>放管服</w:t>
      </w:r>
      <w:r>
        <w:rPr>
          <w:sz w:val="32"/>
          <w:szCs w:val="32"/>
        </w:rPr>
        <w:t>”</w:t>
      </w:r>
      <w:r>
        <w:rPr>
          <w:rFonts w:hint="eastAsia"/>
          <w:sz w:val="32"/>
          <w:szCs w:val="32"/>
        </w:rPr>
        <w:t>改革。继续坚持简政放权，优化营商环境。继续加强和创新监管，推进实施</w:t>
      </w:r>
      <w:r>
        <w:rPr>
          <w:sz w:val="32"/>
          <w:szCs w:val="32"/>
        </w:rPr>
        <w:t>“</w:t>
      </w:r>
      <w:r>
        <w:rPr>
          <w:rFonts w:hint="eastAsia"/>
          <w:sz w:val="32"/>
          <w:szCs w:val="32"/>
        </w:rPr>
        <w:t>双随机、一公开</w:t>
      </w:r>
      <w:r>
        <w:rPr>
          <w:sz w:val="32"/>
          <w:szCs w:val="32"/>
        </w:rPr>
        <w:t>”</w:t>
      </w:r>
      <w:r>
        <w:rPr>
          <w:rFonts w:hint="eastAsia"/>
          <w:sz w:val="32"/>
          <w:szCs w:val="32"/>
        </w:rPr>
        <w:t>的市场监管机制，严格落实行政审批事中事后监管制度，加强对取消下放事项的监管。继续完善优化审批流程，打造便民、高效、公开、规范的政务服务环境。</w:t>
      </w:r>
    </w:p>
    <w:p>
      <w:pPr>
        <w:pStyle w:val="6"/>
        <w:ind w:firstLine="640" w:firstLineChars="200"/>
      </w:pPr>
      <w:bookmarkStart w:id="108" w:name="_Toc78381433"/>
      <w:r>
        <w:rPr>
          <w:rFonts w:ascii="Times New Roman" w:hAnsi="Times New Roman" w:cs="Times New Roman"/>
        </w:rPr>
        <w:t>3.3.5</w:t>
      </w:r>
      <w:r>
        <w:rPr>
          <w:rStyle w:val="30"/>
          <w:rFonts w:eastAsia="楷体"/>
        </w:rPr>
        <w:t xml:space="preserve"> </w:t>
      </w:r>
      <w:r>
        <w:rPr>
          <w:rStyle w:val="30"/>
          <w:rFonts w:hint="eastAsia" w:eastAsia="楷体"/>
        </w:rPr>
        <w:t>推动科技创新</w:t>
      </w:r>
      <w:bookmarkEnd w:id="108"/>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）强化林草科技创新。加强应用基础和应用技术创新，重点推进国家林草局确定的</w:t>
      </w:r>
      <w:r>
        <w:rPr>
          <w:sz w:val="32"/>
          <w:szCs w:val="32"/>
        </w:rPr>
        <w:t>“</w:t>
      </w:r>
      <w:r>
        <w:rPr>
          <w:rFonts w:hint="eastAsia"/>
          <w:sz w:val="32"/>
          <w:szCs w:val="32"/>
        </w:rPr>
        <w:t>湖南省测土配方系统建设及应用</w:t>
      </w:r>
      <w:r>
        <w:rPr>
          <w:sz w:val="32"/>
          <w:szCs w:val="32"/>
        </w:rPr>
        <w:t>”</w:t>
      </w:r>
      <w:r>
        <w:rPr>
          <w:rFonts w:hint="eastAsia"/>
          <w:sz w:val="32"/>
          <w:szCs w:val="32"/>
        </w:rPr>
        <w:t>工作，实现林草科学研究有突破，形成一批具有标志性的科研成果。重点围绕生态保护修复、生态惠民中存在的</w:t>
      </w:r>
      <w:r>
        <w:rPr>
          <w:sz w:val="32"/>
          <w:szCs w:val="32"/>
        </w:rPr>
        <w:t>“</w:t>
      </w:r>
      <w:r>
        <w:rPr>
          <w:rFonts w:hint="eastAsia"/>
          <w:sz w:val="32"/>
          <w:szCs w:val="32"/>
        </w:rPr>
        <w:t>卡脖子</w:t>
      </w:r>
      <w:r>
        <w:rPr>
          <w:sz w:val="32"/>
          <w:szCs w:val="32"/>
        </w:rPr>
        <w:t>”</w:t>
      </w:r>
      <w:r>
        <w:rPr>
          <w:rFonts w:hint="eastAsia"/>
          <w:sz w:val="32"/>
          <w:szCs w:val="32"/>
        </w:rPr>
        <w:t>关键、共性技术问题，开展科技攻关，提升后劲。探索超临界二氧化碳萃取技术，作为油茶籽精深加工的关键。</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）推进林业再信息化。到</w:t>
      </w:r>
      <w:r>
        <w:rPr>
          <w:sz w:val="32"/>
          <w:szCs w:val="32"/>
        </w:rPr>
        <w:t>2025</w:t>
      </w:r>
      <w:r>
        <w:rPr>
          <w:rFonts w:hint="eastAsia"/>
          <w:sz w:val="32"/>
          <w:szCs w:val="32"/>
        </w:rPr>
        <w:t>年，全省生态网络感知系统和林草资源三维立体时空数据库基本建成，林草行业信息化发展能力和应用水平大大提升，打造新时期全国林业现代化建设先行示范区。到</w:t>
      </w:r>
      <w:r>
        <w:rPr>
          <w:sz w:val="32"/>
          <w:szCs w:val="32"/>
        </w:rPr>
        <w:t>2035</w:t>
      </w:r>
      <w:r>
        <w:rPr>
          <w:rFonts w:hint="eastAsia"/>
          <w:sz w:val="32"/>
          <w:szCs w:val="32"/>
        </w:rPr>
        <w:t>年，全面建成智慧林业，实现政务管理职能协同、业务支撑精准高效、公共服务便捷惠民、基础保障坚实有力，具备全面支撑湖南林草现代化的能力。</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构建林草标准化体系。进一步加强生态保护修复、森林质量精准提升、主要林产品质量管理、林木花卉种苗等标准体系建设，加大标准化示范区建设力度，强化林草标准宣传培训与推广应用，提高全省林草标准化水平。</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）加强科技基础平台建设。重点开展中国油茶科创谷、木本油料资源利用国家重点实验室建设，进一步加强国家、省级科研平台建设，构建高效的科技服务平台，大力改善科技工作基础条件，大力推升平台质量。</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）提高科技管理水平。优化科技项目计划，创新管理机制，提升管理效率，促进科技治理能力和管理体系现代化。</w:t>
      </w:r>
    </w:p>
    <w:p>
      <w:pPr>
        <w:pStyle w:val="93"/>
        <w:spacing w:line="560" w:lineRule="exact"/>
        <w:ind w:firstLine="640"/>
        <w:rPr>
          <w:sz w:val="32"/>
          <w:szCs w:val="32"/>
        </w:rPr>
      </w:pPr>
      <w:r>
        <w:rPr>
          <w:rFonts w:hint="eastAsia"/>
          <w:sz w:val="32"/>
          <w:szCs w:val="32"/>
        </w:rPr>
        <w:t>（</w:t>
      </w:r>
      <w:r>
        <w:rPr>
          <w:sz w:val="32"/>
          <w:szCs w:val="32"/>
        </w:rPr>
        <w:t>6</w:t>
      </w:r>
      <w:r>
        <w:rPr>
          <w:rFonts w:hint="eastAsia"/>
          <w:sz w:val="32"/>
          <w:szCs w:val="32"/>
        </w:rPr>
        <w:t>）加强科学技术普及工作。充分发挥林业资源和优势，支持和鼓励林业科研院所、森林公园、植物园及自然保护区向公众普及生态文明知识，提高全民科学素养。</w:t>
      </w:r>
    </w:p>
    <w:p>
      <w:pPr>
        <w:pStyle w:val="93"/>
        <w:spacing w:line="560" w:lineRule="exact"/>
        <w:ind w:firstLine="640"/>
        <w:rPr>
          <w:sz w:val="32"/>
          <w:szCs w:val="32"/>
        </w:rPr>
      </w:pPr>
    </w:p>
    <w:p>
      <w:pPr>
        <w:widowControl/>
        <w:spacing w:beforeAutospacing="1"/>
        <w:jc w:val="left"/>
        <w:rPr>
          <w:rFonts w:eastAsia="仿宋_GB2312"/>
          <w:sz w:val="32"/>
          <w:szCs w:val="32"/>
          <w:shd w:val="clear" w:color="auto" w:fill="FFFFFF"/>
        </w:rPr>
        <w:sectPr>
          <w:pgSz w:w="11906" w:h="16838"/>
          <w:pgMar w:top="1418" w:right="1701" w:bottom="1418" w:left="1701" w:header="851" w:footer="992" w:gutter="0"/>
          <w:cols w:space="720" w:num="1"/>
          <w:docGrid w:type="linesAndChars" w:linePitch="312" w:charSpace="0"/>
        </w:sectPr>
      </w:pPr>
    </w:p>
    <w:p>
      <w:pPr>
        <w:pStyle w:val="2"/>
        <w:spacing w:after="312"/>
        <w:rPr>
          <w:rFonts w:ascii="Times New Roman" w:hAnsi="Times New Roman" w:cs="Times New Roman"/>
          <w:sz w:val="36"/>
          <w:szCs w:val="36"/>
        </w:rPr>
      </w:pPr>
      <w:bookmarkStart w:id="109" w:name="_Toc40077750"/>
      <w:bookmarkStart w:id="110" w:name="_Toc78381434"/>
      <w:bookmarkStart w:id="111" w:name="_Toc78296740"/>
      <w:r>
        <w:rPr>
          <w:rFonts w:hint="eastAsia" w:ascii="Times New Roman" w:hAnsi="Times New Roman"/>
          <w:sz w:val="36"/>
          <w:szCs w:val="36"/>
        </w:rPr>
        <w:t>第四章</w:t>
      </w:r>
      <w:r>
        <w:rPr>
          <w:rFonts w:ascii="Times New Roman" w:hAnsi="Times New Roman" w:cs="Times New Roman"/>
          <w:sz w:val="36"/>
          <w:szCs w:val="36"/>
        </w:rPr>
        <w:t xml:space="preserve">  </w:t>
      </w:r>
      <w:bookmarkEnd w:id="109"/>
      <w:r>
        <w:rPr>
          <w:rFonts w:hint="eastAsia" w:ascii="Times New Roman" w:hAnsi="Times New Roman"/>
          <w:sz w:val="36"/>
          <w:szCs w:val="36"/>
        </w:rPr>
        <w:t>重大工程项目</w:t>
      </w:r>
      <w:bookmarkEnd w:id="110"/>
      <w:bookmarkEnd w:id="111"/>
    </w:p>
    <w:p>
      <w:pPr>
        <w:pStyle w:val="93"/>
        <w:spacing w:line="560" w:lineRule="exact"/>
        <w:ind w:firstLine="640"/>
        <w:rPr>
          <w:rFonts w:ascii="Times New Roman"/>
          <w:sz w:val="32"/>
          <w:szCs w:val="32"/>
        </w:rPr>
      </w:pPr>
      <w:bookmarkStart w:id="112" w:name="_Toc40077787"/>
      <w:r>
        <w:rPr>
          <w:rFonts w:hint="eastAsia"/>
          <w:sz w:val="32"/>
          <w:szCs w:val="32"/>
        </w:rPr>
        <w:t>锚定</w:t>
      </w:r>
      <w:r>
        <w:rPr>
          <w:sz w:val="32"/>
          <w:szCs w:val="32"/>
        </w:rPr>
        <w:t>“</w:t>
      </w:r>
      <w:r>
        <w:rPr>
          <w:rFonts w:hint="eastAsia"/>
          <w:sz w:val="32"/>
          <w:szCs w:val="32"/>
        </w:rPr>
        <w:t>十四五</w:t>
      </w:r>
      <w:r>
        <w:rPr>
          <w:sz w:val="32"/>
          <w:szCs w:val="32"/>
        </w:rPr>
        <w:t>”</w:t>
      </w:r>
      <w:r>
        <w:rPr>
          <w:rFonts w:hint="eastAsia"/>
          <w:sz w:val="32"/>
          <w:szCs w:val="32"/>
        </w:rPr>
        <w:t>发展目标，聚焦生态保护与修复、生态产业建设、生态文化建设、生态发展支撑等</w:t>
      </w:r>
      <w:r>
        <w:rPr>
          <w:sz w:val="32"/>
          <w:szCs w:val="32"/>
        </w:rPr>
        <w:t>4</w:t>
      </w:r>
      <w:r>
        <w:rPr>
          <w:rFonts w:hint="eastAsia"/>
          <w:sz w:val="32"/>
          <w:szCs w:val="32"/>
        </w:rPr>
        <w:t>个领域，谋划实施生态廊道、绿心地区生态保护与修复、</w:t>
      </w:r>
      <w:r>
        <w:rPr>
          <w:sz w:val="32"/>
          <w:szCs w:val="32"/>
        </w:rPr>
        <w:t>“</w:t>
      </w:r>
      <w:r>
        <w:rPr>
          <w:rFonts w:hint="eastAsia"/>
          <w:sz w:val="32"/>
          <w:szCs w:val="32"/>
        </w:rPr>
        <w:t>五大千亿</w:t>
      </w:r>
      <w:r>
        <w:rPr>
          <w:sz w:val="32"/>
          <w:szCs w:val="32"/>
        </w:rPr>
        <w:t>”</w:t>
      </w:r>
      <w:r>
        <w:rPr>
          <w:rFonts w:hint="eastAsia"/>
          <w:sz w:val="32"/>
          <w:szCs w:val="32"/>
        </w:rPr>
        <w:t>产业、植物科学馆、</w:t>
      </w:r>
      <w:r>
        <w:rPr>
          <w:sz w:val="32"/>
          <w:szCs w:val="32"/>
        </w:rPr>
        <w:t>“</w:t>
      </w:r>
      <w:r>
        <w:rPr>
          <w:rFonts w:hint="eastAsia"/>
          <w:sz w:val="32"/>
          <w:szCs w:val="32"/>
        </w:rPr>
        <w:t>中国油茶科创谷</w:t>
      </w:r>
      <w:r>
        <w:rPr>
          <w:sz w:val="32"/>
          <w:szCs w:val="32"/>
        </w:rPr>
        <w:t>”</w:t>
      </w:r>
      <w:r>
        <w:rPr>
          <w:rFonts w:hint="eastAsia"/>
          <w:sz w:val="32"/>
          <w:szCs w:val="32"/>
        </w:rPr>
        <w:t>等一批标志性示范工程和一批重点建设工程以及国家林草局确定在湖南实施的重大示范工程，引领全省林业高质量发展。</w:t>
      </w:r>
    </w:p>
    <w:p>
      <w:pPr>
        <w:pStyle w:val="4"/>
        <w:ind w:firstLine="640" w:firstLineChars="200"/>
        <w:rPr>
          <w:rFonts w:ascii="Times New Roman" w:hAnsi="Times New Roman" w:eastAsia="黑体" w:cs="Times New Roman"/>
          <w:sz w:val="32"/>
          <w:szCs w:val="32"/>
        </w:rPr>
      </w:pPr>
      <w:bookmarkStart w:id="113" w:name="_Toc78296741"/>
      <w:bookmarkStart w:id="114" w:name="_Toc78381435"/>
      <w:bookmarkStart w:id="115" w:name="_Toc76396507"/>
      <w:bookmarkStart w:id="116" w:name="_Toc40077751"/>
      <w:r>
        <w:rPr>
          <w:rFonts w:ascii="Times New Roman" w:hAnsi="Times New Roman" w:eastAsia="黑体" w:cs="Times New Roman"/>
          <w:sz w:val="32"/>
          <w:szCs w:val="32"/>
        </w:rPr>
        <w:t xml:space="preserve">4.1 </w:t>
      </w:r>
      <w:r>
        <w:rPr>
          <w:rFonts w:hint="eastAsia" w:ascii="Times New Roman" w:hAnsi="Times New Roman" w:eastAsia="黑体"/>
          <w:sz w:val="32"/>
          <w:szCs w:val="32"/>
        </w:rPr>
        <w:t>生态保护与修复领域</w:t>
      </w:r>
      <w:bookmarkEnd w:id="113"/>
      <w:bookmarkEnd w:id="114"/>
      <w:bookmarkEnd w:id="115"/>
    </w:p>
    <w:p>
      <w:pPr>
        <w:pStyle w:val="6"/>
        <w:ind w:firstLine="640" w:firstLineChars="200"/>
        <w:rPr>
          <w:rStyle w:val="30"/>
          <w:rFonts w:eastAsia="楷体"/>
          <w:b w:val="0"/>
          <w:bCs w:val="0"/>
        </w:rPr>
      </w:pPr>
      <w:bookmarkStart w:id="117" w:name="_Toc76396512"/>
      <w:bookmarkStart w:id="118" w:name="_Toc78381436"/>
      <w:bookmarkStart w:id="119" w:name="_Toc76396508"/>
      <w:r>
        <w:rPr>
          <w:rStyle w:val="30"/>
          <w:rFonts w:eastAsia="楷体"/>
        </w:rPr>
        <w:t>4.1.</w:t>
      </w:r>
      <w:r>
        <w:rPr>
          <w:rStyle w:val="30"/>
          <w:rFonts w:eastAsia="楷体"/>
          <w:lang w:val="en-US"/>
        </w:rPr>
        <w:t xml:space="preserve">1 </w:t>
      </w:r>
      <w:r>
        <w:rPr>
          <w:rStyle w:val="30"/>
          <w:rFonts w:hint="eastAsia" w:eastAsia="楷体"/>
        </w:rPr>
        <w:t>省级生态廊道建设示范工程</w:t>
      </w:r>
      <w:bookmarkEnd w:id="117"/>
      <w:bookmarkEnd w:id="118"/>
    </w:p>
    <w:p>
      <w:pPr>
        <w:pStyle w:val="93"/>
        <w:spacing w:line="560" w:lineRule="exact"/>
        <w:ind w:firstLine="640"/>
        <w:rPr>
          <w:sz w:val="32"/>
          <w:szCs w:val="32"/>
        </w:rPr>
      </w:pPr>
      <w:r>
        <w:rPr>
          <w:rFonts w:hint="eastAsia"/>
          <w:sz w:val="32"/>
          <w:szCs w:val="32"/>
        </w:rPr>
        <w:t>在长江岸线湖南段、</w:t>
      </w:r>
      <w:r>
        <w:rPr>
          <w:sz w:val="32"/>
          <w:szCs w:val="32"/>
        </w:rPr>
        <w:t>“</w:t>
      </w:r>
      <w:r>
        <w:rPr>
          <w:rFonts w:hint="eastAsia"/>
          <w:sz w:val="32"/>
          <w:szCs w:val="32"/>
        </w:rPr>
        <w:t>一湖四水</w:t>
      </w:r>
      <w:r>
        <w:rPr>
          <w:sz w:val="32"/>
          <w:szCs w:val="32"/>
        </w:rPr>
        <w:t>”</w:t>
      </w:r>
      <w:r>
        <w:rPr>
          <w:rFonts w:hint="eastAsia"/>
          <w:sz w:val="32"/>
          <w:szCs w:val="32"/>
        </w:rPr>
        <w:t>干流及其一级支流河道管理范围外至第一层山脊线或平原区</w:t>
      </w:r>
      <w:r>
        <w:rPr>
          <w:sz w:val="32"/>
          <w:szCs w:val="32"/>
        </w:rPr>
        <w:t>2</w:t>
      </w:r>
      <w:r>
        <w:rPr>
          <w:rFonts w:hint="eastAsia"/>
          <w:sz w:val="32"/>
          <w:szCs w:val="32"/>
        </w:rPr>
        <w:t>千米之间的可建区域，重要交通干道两侧至第一层山脊线或平原区</w:t>
      </w:r>
      <w:r>
        <w:rPr>
          <w:sz w:val="32"/>
          <w:szCs w:val="32"/>
        </w:rPr>
        <w:t>1</w:t>
      </w:r>
      <w:r>
        <w:rPr>
          <w:rFonts w:hint="eastAsia"/>
          <w:sz w:val="32"/>
          <w:szCs w:val="32"/>
        </w:rPr>
        <w:t>千米范围，民用机场周边</w:t>
      </w:r>
      <w:r>
        <w:rPr>
          <w:sz w:val="32"/>
          <w:szCs w:val="32"/>
        </w:rPr>
        <w:t>20</w:t>
      </w:r>
      <w:r>
        <w:rPr>
          <w:rFonts w:hint="eastAsia"/>
          <w:sz w:val="32"/>
          <w:szCs w:val="32"/>
        </w:rPr>
        <w:t>千米半径范围内具有重要生态功能、对生态系统完整性和生物多样性保护具有重要影响的可建区域通过增绿扩量、森林质量精准提升、受损弃置地生态修复、小微湿地生态修复、城镇村庄绿化美化、生物通道建设、国家森林步道建设等措施推动生态廊道建设，其中重点推进湘、资、沅、澧</w:t>
      </w:r>
      <w:r>
        <w:rPr>
          <w:sz w:val="32"/>
          <w:szCs w:val="32"/>
        </w:rPr>
        <w:t>“</w:t>
      </w:r>
      <w:r>
        <w:rPr>
          <w:rFonts w:hint="eastAsia"/>
          <w:sz w:val="32"/>
          <w:szCs w:val="32"/>
        </w:rPr>
        <w:t>四水</w:t>
      </w:r>
      <w:r>
        <w:rPr>
          <w:sz w:val="32"/>
          <w:szCs w:val="32"/>
        </w:rPr>
        <w:t>”</w:t>
      </w:r>
      <w:r>
        <w:rPr>
          <w:rFonts w:hint="eastAsia"/>
          <w:sz w:val="32"/>
          <w:szCs w:val="32"/>
        </w:rPr>
        <w:t>河流生态廊道，打造湘江</w:t>
      </w:r>
      <w:r>
        <w:rPr>
          <w:sz w:val="32"/>
          <w:szCs w:val="32"/>
        </w:rPr>
        <w:t>“</w:t>
      </w:r>
      <w:r>
        <w:rPr>
          <w:rFonts w:hint="eastAsia"/>
          <w:sz w:val="32"/>
          <w:szCs w:val="32"/>
        </w:rPr>
        <w:t>千里滨水走廊</w:t>
      </w:r>
      <w:r>
        <w:rPr>
          <w:sz w:val="32"/>
          <w:szCs w:val="32"/>
        </w:rPr>
        <w:t>”</w:t>
      </w:r>
      <w:r>
        <w:rPr>
          <w:rFonts w:hint="eastAsia"/>
          <w:sz w:val="32"/>
          <w:szCs w:val="32"/>
        </w:rPr>
        <w:t>示范项目和衡邵干旱走廊生态修复，大力实施难利用地造林绿化工程，着力缓解生态系统破碎化、孤岛化问题，提升生态系统质量和稳定性。</w:t>
      </w:r>
    </w:p>
    <w:p>
      <w:pPr>
        <w:pStyle w:val="6"/>
        <w:ind w:firstLine="640" w:firstLineChars="200"/>
        <w:rPr>
          <w:rStyle w:val="30"/>
          <w:rFonts w:eastAsia="楷体"/>
          <w:b w:val="0"/>
          <w:bCs w:val="0"/>
        </w:rPr>
      </w:pPr>
      <w:bookmarkStart w:id="120" w:name="_Toc78381437"/>
      <w:bookmarkStart w:id="121" w:name="_Toc76396521"/>
      <w:bookmarkStart w:id="122" w:name="_Toc40077768"/>
      <w:bookmarkStart w:id="123" w:name="_Toc76396515"/>
      <w:r>
        <w:rPr>
          <w:rStyle w:val="30"/>
          <w:rFonts w:eastAsia="楷体"/>
        </w:rPr>
        <w:t>4.1.</w:t>
      </w:r>
      <w:r>
        <w:rPr>
          <w:rStyle w:val="30"/>
          <w:rFonts w:eastAsia="楷体"/>
          <w:lang w:val="en-US"/>
        </w:rPr>
        <w:t xml:space="preserve">2 </w:t>
      </w:r>
      <w:r>
        <w:rPr>
          <w:rStyle w:val="30"/>
          <w:rFonts w:hint="eastAsia" w:eastAsia="楷体"/>
        </w:rPr>
        <w:t>绿心地区生态保护与修复</w:t>
      </w:r>
      <w:r>
        <w:rPr>
          <w:rStyle w:val="30"/>
          <w:rFonts w:hint="eastAsia" w:eastAsia="楷体"/>
          <w:lang w:val="en-US"/>
        </w:rPr>
        <w:t>示范</w:t>
      </w:r>
      <w:r>
        <w:rPr>
          <w:rStyle w:val="30"/>
          <w:rFonts w:hint="eastAsia" w:eastAsia="楷体"/>
        </w:rPr>
        <w:t>工程</w:t>
      </w:r>
      <w:bookmarkEnd w:id="120"/>
      <w:bookmarkEnd w:id="121"/>
    </w:p>
    <w:p>
      <w:pPr>
        <w:pStyle w:val="93"/>
        <w:spacing w:line="560" w:lineRule="exact"/>
        <w:ind w:firstLine="640"/>
        <w:rPr>
          <w:sz w:val="32"/>
          <w:szCs w:val="32"/>
          <w:lang w:val="en-US"/>
        </w:rPr>
      </w:pPr>
      <w:r>
        <w:rPr>
          <w:rFonts w:hint="eastAsia"/>
          <w:sz w:val="32"/>
          <w:szCs w:val="32"/>
          <w:lang w:val="en-US"/>
        </w:rPr>
        <w:t>加大绿心地区生态保护，对绿心地区</w:t>
      </w:r>
      <w:r>
        <w:rPr>
          <w:sz w:val="32"/>
          <w:szCs w:val="32"/>
          <w:lang w:val="en-US"/>
        </w:rPr>
        <w:t>9602.78</w:t>
      </w:r>
      <w:r>
        <w:rPr>
          <w:rFonts w:hint="eastAsia"/>
          <w:sz w:val="32"/>
          <w:szCs w:val="32"/>
          <w:lang w:val="en-US"/>
        </w:rPr>
        <w:t>公顷天然林实施严格管控，落实保护责任，划定天然林重点保护区域，加强对退化天然林的资源培育。加强绿心地区</w:t>
      </w:r>
      <w:r>
        <w:rPr>
          <w:sz w:val="32"/>
          <w:szCs w:val="32"/>
          <w:lang w:val="en-US"/>
        </w:rPr>
        <w:t>13811.66</w:t>
      </w:r>
      <w:r>
        <w:rPr>
          <w:rFonts w:hint="eastAsia"/>
          <w:sz w:val="32"/>
          <w:szCs w:val="32"/>
          <w:lang w:val="en-US"/>
        </w:rPr>
        <w:t>公顷生态公益林的保护管理，有序扩大生态公益林地面积，建立绿心地区公益林监测网络。全面加强绿心地区古树名木保护工作。大力推进生态修复，实施林相改造工程，建设生态廊道和动物通道。推动绿心中央公园建设，在有效保护森林资源的前提下，合理利用昭山、石燕湖、九郎山三处省级森林公园和昭山风景名胜区，开展以森林自然教育、观光休闲体验、宗教人文游览为主题的生态休闲游。大力推动绿心地区花卉苗木、油茶、林下经济和生态休闲旅游等绿色生态产业，拓展“不砍树、能致富”的绿色发展新途径。</w:t>
      </w:r>
    </w:p>
    <w:p>
      <w:pPr>
        <w:pStyle w:val="6"/>
        <w:ind w:firstLine="640" w:firstLineChars="200"/>
        <w:rPr>
          <w:rStyle w:val="30"/>
          <w:rFonts w:eastAsia="楷体"/>
          <w:b w:val="0"/>
          <w:bCs w:val="0"/>
        </w:rPr>
      </w:pPr>
      <w:bookmarkStart w:id="124" w:name="_Toc78381438"/>
      <w:r>
        <w:rPr>
          <w:rStyle w:val="30"/>
          <w:rFonts w:eastAsia="楷体"/>
          <w:lang w:val="en-US"/>
        </w:rPr>
        <w:t xml:space="preserve">4.1.3 </w:t>
      </w:r>
      <w:r>
        <w:rPr>
          <w:rStyle w:val="30"/>
          <w:rFonts w:hint="eastAsia" w:eastAsia="楷体"/>
        </w:rPr>
        <w:t>国土绿化试点示范工程</w:t>
      </w:r>
      <w:bookmarkEnd w:id="124"/>
    </w:p>
    <w:p>
      <w:pPr>
        <w:pStyle w:val="93"/>
        <w:spacing w:line="560" w:lineRule="exact"/>
        <w:ind w:firstLine="640"/>
      </w:pPr>
      <w:r>
        <w:rPr>
          <w:rFonts w:hint="eastAsia"/>
          <w:sz w:val="32"/>
          <w:szCs w:val="32"/>
        </w:rPr>
        <w:t>以长株潭生态绿心区（长沙范围）、油茶主要分布区、松材线虫病危害严重区域、国有林场（兼顾集体林场）、自然公园、湘江及其重要支流和主要交通道路两侧为重点建设范围；以森林扩绿提质、油茶新造和低产林改造为主要建设内容；以示范林建设为样板，大力应用新技术、新材料、新方法，提高项目建设科技含量，实现项目建设达到高标准、高质量、高效益的总体目标；充分发挥财政资金撬动引导作用，切实提高财政资金使用效益，通过整合现有投资渠道，积极引进社会资本，多方参与，助力项目建设，有效发挥长沙市国土绿化示范的积极作用。同时，大力推进国家林草局确定的</w:t>
      </w:r>
      <w:r>
        <w:rPr>
          <w:sz w:val="32"/>
          <w:szCs w:val="32"/>
        </w:rPr>
        <w:t>“</w:t>
      </w:r>
      <w:r>
        <w:rPr>
          <w:rFonts w:hint="eastAsia"/>
          <w:sz w:val="32"/>
          <w:szCs w:val="32"/>
        </w:rPr>
        <w:t>湖南省长江丘陵山地科学绿化试点示范</w:t>
      </w:r>
      <w:r>
        <w:rPr>
          <w:sz w:val="32"/>
          <w:szCs w:val="32"/>
        </w:rPr>
        <w:t>”</w:t>
      </w:r>
      <w:r>
        <w:rPr>
          <w:rFonts w:hint="eastAsia"/>
          <w:sz w:val="32"/>
          <w:szCs w:val="32"/>
        </w:rPr>
        <w:t>建设工作。</w:t>
      </w:r>
    </w:p>
    <w:p>
      <w:pPr>
        <w:pStyle w:val="6"/>
        <w:ind w:firstLine="640" w:firstLineChars="200"/>
        <w:rPr>
          <w:rStyle w:val="30"/>
          <w:rFonts w:eastAsia="楷体"/>
          <w:b w:val="0"/>
          <w:bCs w:val="0"/>
        </w:rPr>
      </w:pPr>
      <w:bookmarkStart w:id="125" w:name="_Toc78381439"/>
      <w:r>
        <w:rPr>
          <w:rStyle w:val="30"/>
          <w:rFonts w:eastAsia="楷体"/>
        </w:rPr>
        <w:t>4.1.</w:t>
      </w:r>
      <w:r>
        <w:rPr>
          <w:rStyle w:val="30"/>
          <w:rFonts w:eastAsia="楷体"/>
          <w:lang w:val="en-US"/>
        </w:rPr>
        <w:t xml:space="preserve">4 </w:t>
      </w:r>
      <w:r>
        <w:rPr>
          <w:rStyle w:val="30"/>
          <w:rFonts w:hint="eastAsia" w:eastAsia="楷体"/>
        </w:rPr>
        <w:t>国家储备林建设</w:t>
      </w:r>
      <w:bookmarkEnd w:id="122"/>
      <w:r>
        <w:rPr>
          <w:rStyle w:val="30"/>
          <w:rFonts w:hint="eastAsia" w:eastAsia="楷体"/>
          <w:lang w:val="en-US"/>
        </w:rPr>
        <w:t>示范</w:t>
      </w:r>
      <w:r>
        <w:rPr>
          <w:rStyle w:val="30"/>
          <w:rFonts w:hint="eastAsia" w:eastAsia="楷体"/>
        </w:rPr>
        <w:t>工程</w:t>
      </w:r>
      <w:bookmarkEnd w:id="123"/>
      <w:bookmarkEnd w:id="125"/>
    </w:p>
    <w:p>
      <w:pPr>
        <w:pStyle w:val="93"/>
        <w:spacing w:line="560" w:lineRule="exact"/>
        <w:ind w:firstLine="640"/>
        <w:rPr>
          <w:sz w:val="32"/>
          <w:szCs w:val="32"/>
        </w:rPr>
      </w:pPr>
      <w:r>
        <w:rPr>
          <w:rFonts w:hint="eastAsia"/>
          <w:sz w:val="32"/>
          <w:szCs w:val="32"/>
        </w:rPr>
        <w:t>以精准提高森林质量、优化改善林分结构为基础，以增加林木资源储备和优质木材产量为核心，以培育储备珍贵树种和优质乡土大径材为重点，结合自身气候条件和资源特色，因地制宜、适地适树地建设总量平衡、结构优化、优质高效、功能多样的国家储备林，在省内建成一批高水平的国家储备林基地。</w:t>
      </w:r>
    </w:p>
    <w:p>
      <w:pPr>
        <w:pStyle w:val="6"/>
        <w:ind w:firstLine="640" w:firstLineChars="200"/>
        <w:rPr>
          <w:rStyle w:val="30"/>
          <w:rFonts w:eastAsia="楷体"/>
          <w:b w:val="0"/>
          <w:bCs w:val="0"/>
        </w:rPr>
      </w:pPr>
      <w:bookmarkStart w:id="126" w:name="_Toc76396513"/>
      <w:bookmarkStart w:id="127" w:name="_Toc78381440"/>
      <w:bookmarkStart w:id="128" w:name="_Toc40077766"/>
      <w:bookmarkStart w:id="129" w:name="_Toc40077763"/>
      <w:bookmarkStart w:id="130" w:name="_Toc76396511"/>
      <w:r>
        <w:rPr>
          <w:rStyle w:val="30"/>
          <w:rFonts w:eastAsia="楷体"/>
        </w:rPr>
        <w:t>4.1.</w:t>
      </w:r>
      <w:r>
        <w:rPr>
          <w:rStyle w:val="30"/>
          <w:rFonts w:eastAsia="楷体"/>
          <w:lang w:val="en-US"/>
        </w:rPr>
        <w:t xml:space="preserve">5 </w:t>
      </w:r>
      <w:r>
        <w:rPr>
          <w:rStyle w:val="30"/>
          <w:rFonts w:hint="eastAsia" w:eastAsia="楷体"/>
        </w:rPr>
        <w:t>重点区域生态保护和修复示范工程</w:t>
      </w:r>
      <w:bookmarkEnd w:id="126"/>
      <w:bookmarkEnd w:id="127"/>
      <w:bookmarkEnd w:id="128"/>
    </w:p>
    <w:p>
      <w:pPr>
        <w:pStyle w:val="93"/>
        <w:spacing w:line="560" w:lineRule="exact"/>
        <w:ind w:firstLine="640"/>
        <w:rPr>
          <w:sz w:val="32"/>
          <w:szCs w:val="32"/>
        </w:rPr>
      </w:pPr>
      <w:r>
        <w:rPr>
          <w:rFonts w:hint="eastAsia"/>
          <w:sz w:val="32"/>
          <w:szCs w:val="32"/>
        </w:rPr>
        <w:t>以</w:t>
      </w:r>
      <w:r>
        <w:rPr>
          <w:sz w:val="32"/>
          <w:szCs w:val="32"/>
        </w:rPr>
        <w:t>“</w:t>
      </w:r>
      <w:r>
        <w:rPr>
          <w:rFonts w:hint="eastAsia"/>
          <w:sz w:val="32"/>
          <w:szCs w:val="32"/>
        </w:rPr>
        <w:t>山水林田湖草沙</w:t>
      </w:r>
      <w:r>
        <w:rPr>
          <w:sz w:val="32"/>
          <w:szCs w:val="32"/>
        </w:rPr>
        <w:t>”</w:t>
      </w:r>
      <w:r>
        <w:rPr>
          <w:rFonts w:hint="eastAsia"/>
          <w:sz w:val="32"/>
          <w:szCs w:val="32"/>
        </w:rPr>
        <w:t>综合治理为目地、森林植被重建和恢复为核心，着力解决长株潭生态绿心区、洞庭湖区、湘江流域、长江岸线湖南段、湘南岩溶地区、湘中紫色页岩地区、衡邵干旱走廊、重大废弃矿山等重点区域生态环境面临的突出矛盾和问题。重点推进国家林草局确定的邵阳市</w:t>
      </w:r>
      <w:r>
        <w:rPr>
          <w:sz w:val="32"/>
          <w:szCs w:val="32"/>
        </w:rPr>
        <w:t>“</w:t>
      </w:r>
      <w:r>
        <w:rPr>
          <w:rFonts w:hint="eastAsia"/>
          <w:sz w:val="32"/>
          <w:szCs w:val="32"/>
        </w:rPr>
        <w:t>湘桂岩溶地区石漠化综合治理重点工程</w:t>
      </w:r>
      <w:r>
        <w:rPr>
          <w:sz w:val="32"/>
          <w:szCs w:val="32"/>
        </w:rPr>
        <w:t>”</w:t>
      </w:r>
      <w:r>
        <w:rPr>
          <w:rFonts w:hint="eastAsia"/>
          <w:sz w:val="32"/>
          <w:szCs w:val="32"/>
        </w:rPr>
        <w:t>。根据生态区位和自然经济社会条件，因地制宜安排人工造林（草）、封山育林（草）、退化林（草）修复等治理模式和技术措施，恢复植被和生态功能。</w:t>
      </w:r>
    </w:p>
    <w:p>
      <w:pPr>
        <w:pStyle w:val="6"/>
        <w:ind w:firstLine="640" w:firstLineChars="200"/>
        <w:rPr>
          <w:rStyle w:val="30"/>
          <w:rFonts w:eastAsia="楷体"/>
          <w:b w:val="0"/>
          <w:bCs w:val="0"/>
        </w:rPr>
      </w:pPr>
      <w:bookmarkStart w:id="131" w:name="_Toc78381441"/>
      <w:bookmarkStart w:id="132" w:name="_Toc76396518"/>
      <w:bookmarkStart w:id="133" w:name="_Toc40077767"/>
      <w:bookmarkStart w:id="134" w:name="_Toc76396514"/>
      <w:r>
        <w:rPr>
          <w:rStyle w:val="30"/>
          <w:rFonts w:eastAsia="楷体"/>
        </w:rPr>
        <w:t>4.1.</w:t>
      </w:r>
      <w:r>
        <w:rPr>
          <w:rStyle w:val="30"/>
          <w:rFonts w:eastAsia="楷体"/>
          <w:lang w:val="en-US"/>
        </w:rPr>
        <w:t xml:space="preserve">6 </w:t>
      </w:r>
      <w:r>
        <w:rPr>
          <w:rStyle w:val="30"/>
          <w:rFonts w:hint="eastAsia" w:eastAsia="楷体"/>
        </w:rPr>
        <w:t>欧洲投资银行贷款湖南森林提质增效示范工程</w:t>
      </w:r>
      <w:bookmarkEnd w:id="131"/>
      <w:bookmarkEnd w:id="132"/>
    </w:p>
    <w:p>
      <w:pPr>
        <w:pStyle w:val="93"/>
        <w:spacing w:line="560" w:lineRule="exact"/>
        <w:ind w:firstLine="640"/>
        <w:rPr>
          <w:sz w:val="32"/>
          <w:szCs w:val="32"/>
        </w:rPr>
      </w:pPr>
      <w:r>
        <w:rPr>
          <w:rFonts w:hint="eastAsia"/>
          <w:sz w:val="32"/>
          <w:szCs w:val="32"/>
          <w:lang w:val="en-US"/>
        </w:rPr>
        <w:t>在</w:t>
      </w:r>
      <w:r>
        <w:rPr>
          <w:rFonts w:hint="eastAsia"/>
          <w:sz w:val="32"/>
          <w:szCs w:val="32"/>
        </w:rPr>
        <w:t>茶陵县、衡山县等</w:t>
      </w:r>
      <w:r>
        <w:rPr>
          <w:sz w:val="32"/>
          <w:szCs w:val="32"/>
        </w:rPr>
        <w:t>23</w:t>
      </w:r>
      <w:r>
        <w:rPr>
          <w:rFonts w:hint="eastAsia"/>
          <w:sz w:val="32"/>
          <w:szCs w:val="32"/>
        </w:rPr>
        <w:t>个县市区，</w:t>
      </w:r>
      <w:r>
        <w:rPr>
          <w:rFonts w:hint="eastAsia"/>
          <w:sz w:val="32"/>
          <w:szCs w:val="32"/>
          <w:lang w:val="en-US"/>
        </w:rPr>
        <w:t>开展</w:t>
      </w:r>
      <w:r>
        <w:rPr>
          <w:rFonts w:hint="eastAsia"/>
          <w:sz w:val="32"/>
          <w:szCs w:val="32"/>
        </w:rPr>
        <w:t>森林质量提升和林地复合经营（林下种植），</w:t>
      </w:r>
      <w:r>
        <w:rPr>
          <w:rFonts w:hint="eastAsia"/>
          <w:sz w:val="32"/>
          <w:szCs w:val="32"/>
          <w:lang w:val="en-US"/>
        </w:rPr>
        <w:t>以及</w:t>
      </w:r>
      <w:r>
        <w:rPr>
          <w:rFonts w:hint="eastAsia"/>
          <w:sz w:val="32"/>
          <w:szCs w:val="32"/>
        </w:rPr>
        <w:t>森林保护、附属工程与设备、项目技术支撑体系、项目监测体系、碳汇产品开发与森林认证示范等建设内容。</w:t>
      </w:r>
    </w:p>
    <w:tbl>
      <w:tblPr>
        <w:tblStyle w:val="36"/>
        <w:tblW w:w="8715" w:type="dxa"/>
        <w:jc w:val="center"/>
        <w:tblInd w:w="0" w:type="dxa"/>
        <w:tblLayout w:type="fixed"/>
        <w:tblCellMar>
          <w:top w:w="0" w:type="dxa"/>
          <w:left w:w="108" w:type="dxa"/>
          <w:bottom w:w="0" w:type="dxa"/>
          <w:right w:w="108" w:type="dxa"/>
        </w:tblCellMar>
      </w:tblPr>
      <w:tblGrid>
        <w:gridCol w:w="617"/>
        <w:gridCol w:w="8098"/>
      </w:tblGrid>
      <w:tr>
        <w:tblPrEx>
          <w:tblLayout w:type="fixed"/>
          <w:tblCellMar>
            <w:top w:w="0" w:type="dxa"/>
            <w:left w:w="108" w:type="dxa"/>
            <w:bottom w:w="0" w:type="dxa"/>
            <w:right w:w="108" w:type="dxa"/>
          </w:tblCellMar>
        </w:tblPrEx>
        <w:trPr>
          <w:trHeight w:val="403" w:hRule="atLeast"/>
          <w:tblHeader/>
          <w:jc w:val="center"/>
        </w:trPr>
        <w:tc>
          <w:tcPr>
            <w:tcW w:w="8715" w:type="dxa"/>
            <w:gridSpan w:val="2"/>
            <w:tcBorders>
              <w:top w:val="single" w:color="auto" w:sz="4" w:space="0"/>
              <w:left w:val="single" w:color="auto" w:sz="4" w:space="0"/>
              <w:bottom w:val="single" w:color="auto" w:sz="4"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1 </w:t>
            </w:r>
            <w:r>
              <w:rPr>
                <w:rFonts w:hint="eastAsia" w:eastAsia="方正小标宋_GBK"/>
              </w:rPr>
              <w:t>生态保护与修复领域</w:t>
            </w:r>
            <w:r>
              <w:rPr>
                <w:rFonts w:hint="eastAsia" w:eastAsia="方正小标宋_GBK"/>
                <w:lang w:val="en-US"/>
              </w:rPr>
              <w:t>示范</w:t>
            </w:r>
            <w:r>
              <w:rPr>
                <w:rFonts w:hint="eastAsia" w:eastAsia="方正小标宋_GBK"/>
              </w:rPr>
              <w:t>工程</w:t>
            </w:r>
          </w:p>
        </w:tc>
      </w:tr>
      <w:tr>
        <w:tblPrEx>
          <w:tblLayout w:type="fixed"/>
          <w:tblCellMar>
            <w:top w:w="0" w:type="dxa"/>
            <w:left w:w="108" w:type="dxa"/>
            <w:bottom w:w="0" w:type="dxa"/>
            <w:right w:w="108" w:type="dxa"/>
          </w:tblCellMar>
        </w:tblPrEx>
        <w:trPr>
          <w:trHeight w:val="1347" w:hRule="atLeast"/>
          <w:jc w:val="center"/>
        </w:trPr>
        <w:tc>
          <w:tcPr>
            <w:tcW w:w="617"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1</w:t>
            </w:r>
          </w:p>
        </w:tc>
        <w:tc>
          <w:tcPr>
            <w:tcW w:w="8098"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省级生态廊道建设示范工程</w:t>
            </w:r>
          </w:p>
          <w:p>
            <w:pPr>
              <w:widowControl/>
              <w:rPr>
                <w:rFonts w:eastAsia="楷体_GB2312"/>
              </w:rPr>
            </w:pPr>
            <w:r>
              <w:rPr>
                <w:rFonts w:eastAsia="楷体_GB2312"/>
                <w:sz w:val="24"/>
              </w:rPr>
              <w:t xml:space="preserve">    </w:t>
            </w:r>
            <w:r>
              <w:rPr>
                <w:rFonts w:hint="eastAsia" w:eastAsia="楷体_GB2312"/>
                <w:sz w:val="24"/>
              </w:rPr>
              <w:t>建设任务总量为</w:t>
            </w:r>
            <w:r>
              <w:rPr>
                <w:rFonts w:eastAsia="楷体_GB2312"/>
                <w:sz w:val="24"/>
              </w:rPr>
              <w:t>21.69</w:t>
            </w:r>
            <w:r>
              <w:rPr>
                <w:rFonts w:hint="eastAsia" w:eastAsia="楷体_GB2312"/>
                <w:sz w:val="24"/>
              </w:rPr>
              <w:t>万公顷，其中，增绿扩量</w:t>
            </w:r>
            <w:r>
              <w:rPr>
                <w:rFonts w:eastAsia="楷体_GB2312"/>
                <w:sz w:val="24"/>
              </w:rPr>
              <w:t>3.05</w:t>
            </w:r>
            <w:r>
              <w:rPr>
                <w:rFonts w:hint="eastAsia" w:eastAsia="楷体_GB2312"/>
                <w:sz w:val="24"/>
              </w:rPr>
              <w:t>万公顷为约束性指标，提质改造</w:t>
            </w:r>
            <w:r>
              <w:rPr>
                <w:rFonts w:eastAsia="楷体_GB2312"/>
                <w:sz w:val="24"/>
              </w:rPr>
              <w:t>17.85</w:t>
            </w:r>
            <w:r>
              <w:rPr>
                <w:rFonts w:hint="eastAsia" w:eastAsia="楷体_GB2312"/>
                <w:sz w:val="24"/>
              </w:rPr>
              <w:t>万公顷以及其它生态廊道建设任务为指导性指标。重点推进湘、资、沅、澧</w:t>
            </w:r>
            <w:r>
              <w:rPr>
                <w:rFonts w:eastAsia="楷体_GB2312"/>
                <w:sz w:val="24"/>
              </w:rPr>
              <w:t>“</w:t>
            </w:r>
            <w:r>
              <w:rPr>
                <w:rFonts w:hint="eastAsia" w:eastAsia="楷体_GB2312"/>
                <w:sz w:val="24"/>
              </w:rPr>
              <w:t>四水</w:t>
            </w:r>
            <w:r>
              <w:rPr>
                <w:rFonts w:eastAsia="楷体_GB2312"/>
                <w:sz w:val="24"/>
              </w:rPr>
              <w:t>”</w:t>
            </w:r>
            <w:r>
              <w:rPr>
                <w:rFonts w:hint="eastAsia" w:eastAsia="楷体_GB2312"/>
                <w:sz w:val="24"/>
              </w:rPr>
              <w:t>流域生态廊道、衡邵干旱走廊生态修复。</w:t>
            </w:r>
          </w:p>
        </w:tc>
      </w:tr>
      <w:tr>
        <w:tblPrEx>
          <w:tblLayout w:type="fixed"/>
          <w:tblCellMar>
            <w:top w:w="0" w:type="dxa"/>
            <w:left w:w="108" w:type="dxa"/>
            <w:bottom w:w="0" w:type="dxa"/>
            <w:right w:w="108" w:type="dxa"/>
          </w:tblCellMar>
        </w:tblPrEx>
        <w:trPr>
          <w:trHeight w:val="531" w:hRule="atLeast"/>
          <w:jc w:val="center"/>
        </w:trPr>
        <w:tc>
          <w:tcPr>
            <w:tcW w:w="617"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2</w:t>
            </w:r>
          </w:p>
        </w:tc>
        <w:tc>
          <w:tcPr>
            <w:tcW w:w="8098"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绿心地区生态保护与修复示范工程</w:t>
            </w:r>
          </w:p>
          <w:p>
            <w:pPr>
              <w:ind w:firstLine="480" w:firstLineChars="200"/>
              <w:rPr>
                <w:rFonts w:eastAsia="楷体_GB2312"/>
                <w:sz w:val="24"/>
              </w:rPr>
            </w:pPr>
            <w:r>
              <w:rPr>
                <w:rFonts w:hint="eastAsia" w:eastAsia="楷体_GB2312"/>
                <w:sz w:val="24"/>
              </w:rPr>
              <w:t>建立绿心地区公益林监测网络体系，以长株潭国家生态站为核心，增设</w:t>
            </w:r>
            <w:r>
              <w:rPr>
                <w:rFonts w:eastAsia="楷体_GB2312"/>
                <w:sz w:val="24"/>
              </w:rPr>
              <w:t>7</w:t>
            </w:r>
            <w:r>
              <w:rPr>
                <w:rFonts w:hint="eastAsia" w:eastAsia="楷体_GB2312"/>
                <w:sz w:val="24"/>
              </w:rPr>
              <w:t>处固定样地。全面加强绿心地区</w:t>
            </w:r>
            <w:r>
              <w:rPr>
                <w:rFonts w:eastAsia="楷体_GB2312"/>
                <w:sz w:val="24"/>
              </w:rPr>
              <w:t>110</w:t>
            </w:r>
            <w:r>
              <w:rPr>
                <w:rFonts w:hint="eastAsia" w:eastAsia="楷体_GB2312"/>
                <w:sz w:val="24"/>
              </w:rPr>
              <w:t>株古树名木的保护工作。实施绿心林相改造</w:t>
            </w:r>
            <w:r>
              <w:rPr>
                <w:rFonts w:eastAsia="楷体_GB2312"/>
                <w:sz w:val="24"/>
              </w:rPr>
              <w:t>13865.95</w:t>
            </w:r>
            <w:r>
              <w:rPr>
                <w:rFonts w:hint="eastAsia" w:eastAsia="楷体_GB2312"/>
                <w:sz w:val="24"/>
              </w:rPr>
              <w:t>公顷，其中封育</w:t>
            </w:r>
            <w:r>
              <w:rPr>
                <w:rFonts w:eastAsia="楷体_GB2312"/>
                <w:sz w:val="24"/>
              </w:rPr>
              <w:t>10729.18</w:t>
            </w:r>
            <w:r>
              <w:rPr>
                <w:rFonts w:hint="eastAsia" w:eastAsia="楷体_GB2312"/>
                <w:sz w:val="24"/>
              </w:rPr>
              <w:t>公顷，改造</w:t>
            </w:r>
            <w:r>
              <w:rPr>
                <w:rFonts w:eastAsia="楷体_GB2312"/>
                <w:sz w:val="24"/>
              </w:rPr>
              <w:t>3136.77</w:t>
            </w:r>
            <w:r>
              <w:rPr>
                <w:rFonts w:hint="eastAsia" w:eastAsia="楷体_GB2312"/>
                <w:sz w:val="24"/>
              </w:rPr>
              <w:t>公顷（其中疏林地改造</w:t>
            </w:r>
            <w:r>
              <w:rPr>
                <w:rFonts w:eastAsia="楷体_GB2312"/>
                <w:sz w:val="24"/>
              </w:rPr>
              <w:t>17.14</w:t>
            </w:r>
            <w:r>
              <w:rPr>
                <w:rFonts w:hint="eastAsia" w:eastAsia="楷体_GB2312"/>
                <w:sz w:val="24"/>
              </w:rPr>
              <w:t>公顷、针叶纯林改造</w:t>
            </w:r>
            <w:r>
              <w:rPr>
                <w:rFonts w:eastAsia="楷体_GB2312"/>
                <w:sz w:val="24"/>
              </w:rPr>
              <w:t>1280.3</w:t>
            </w:r>
            <w:r>
              <w:rPr>
                <w:rFonts w:hint="eastAsia" w:eastAsia="楷体_GB2312"/>
                <w:sz w:val="24"/>
              </w:rPr>
              <w:t>公顷、低质低效灌木林改造</w:t>
            </w:r>
            <w:r>
              <w:rPr>
                <w:rFonts w:eastAsia="楷体_GB2312"/>
                <w:sz w:val="24"/>
              </w:rPr>
              <w:t>117.86</w:t>
            </w:r>
            <w:r>
              <w:rPr>
                <w:rFonts w:hint="eastAsia" w:eastAsia="楷体_GB2312"/>
                <w:sz w:val="24"/>
              </w:rPr>
              <w:t>公顷和低质低效油茶林改造</w:t>
            </w:r>
            <w:r>
              <w:rPr>
                <w:rFonts w:eastAsia="楷体_GB2312"/>
                <w:sz w:val="24"/>
              </w:rPr>
              <w:t>1721.47</w:t>
            </w:r>
            <w:r>
              <w:rPr>
                <w:rFonts w:hint="eastAsia" w:eastAsia="楷体_GB2312"/>
                <w:sz w:val="24"/>
              </w:rPr>
              <w:t>公顷）。建设</w:t>
            </w:r>
            <w:r>
              <w:rPr>
                <w:rFonts w:eastAsia="楷体_GB2312"/>
                <w:sz w:val="24"/>
              </w:rPr>
              <w:t>326.3</w:t>
            </w:r>
            <w:r>
              <w:rPr>
                <w:rFonts w:hint="eastAsia" w:eastAsia="楷体_GB2312"/>
                <w:sz w:val="24"/>
              </w:rPr>
              <w:t>千米生态廊道和</w:t>
            </w:r>
            <w:r>
              <w:rPr>
                <w:rFonts w:eastAsia="楷体_GB2312"/>
                <w:sz w:val="24"/>
              </w:rPr>
              <w:t>17</w:t>
            </w:r>
            <w:r>
              <w:rPr>
                <w:rFonts w:hint="eastAsia" w:eastAsia="楷体_GB2312"/>
                <w:sz w:val="24"/>
              </w:rPr>
              <w:t>处动物通道。建设</w:t>
            </w:r>
            <w:r>
              <w:rPr>
                <w:rFonts w:eastAsia="楷体_GB2312"/>
                <w:sz w:val="24"/>
              </w:rPr>
              <w:t>7</w:t>
            </w:r>
            <w:r>
              <w:rPr>
                <w:rFonts w:hint="eastAsia" w:eastAsia="楷体_GB2312"/>
                <w:sz w:val="24"/>
              </w:rPr>
              <w:t>处郊野公园、</w:t>
            </w:r>
            <w:r>
              <w:rPr>
                <w:rFonts w:eastAsia="楷体_GB2312"/>
                <w:sz w:val="24"/>
              </w:rPr>
              <w:t>5</w:t>
            </w:r>
            <w:r>
              <w:rPr>
                <w:rFonts w:hint="eastAsia" w:eastAsia="楷体_GB2312"/>
                <w:sz w:val="24"/>
              </w:rPr>
              <w:t>处自然教育基地和</w:t>
            </w:r>
            <w:r>
              <w:rPr>
                <w:rFonts w:eastAsia="楷体_GB2312"/>
                <w:sz w:val="24"/>
              </w:rPr>
              <w:t>80.0</w:t>
            </w:r>
            <w:r>
              <w:rPr>
                <w:rFonts w:hint="eastAsia" w:eastAsia="楷体_GB2312"/>
                <w:sz w:val="24"/>
              </w:rPr>
              <w:t>千米森林步道。</w:t>
            </w:r>
          </w:p>
        </w:tc>
      </w:tr>
      <w:tr>
        <w:tblPrEx>
          <w:tblLayout w:type="fixed"/>
          <w:tblCellMar>
            <w:top w:w="0" w:type="dxa"/>
            <w:left w:w="108" w:type="dxa"/>
            <w:bottom w:w="0" w:type="dxa"/>
            <w:right w:w="108" w:type="dxa"/>
          </w:tblCellMar>
        </w:tblPrEx>
        <w:trPr>
          <w:trHeight w:val="1476" w:hRule="atLeast"/>
          <w:jc w:val="center"/>
        </w:trPr>
        <w:tc>
          <w:tcPr>
            <w:tcW w:w="617" w:type="dxa"/>
            <w:tcBorders>
              <w:top w:val="nil"/>
              <w:left w:val="single" w:color="000000" w:sz="4" w:space="0"/>
              <w:bottom w:val="single" w:color="000000" w:sz="4" w:space="0"/>
              <w:right w:val="nil"/>
            </w:tcBorders>
            <w:vAlign w:val="center"/>
          </w:tcPr>
          <w:p>
            <w:pPr>
              <w:widowControl/>
              <w:jc w:val="center"/>
              <w:rPr>
                <w:rFonts w:eastAsia="方正小标宋_GBK"/>
                <w:sz w:val="24"/>
              </w:rPr>
            </w:pPr>
            <w:r>
              <w:rPr>
                <w:rFonts w:eastAsia="方正小标宋_GBK"/>
                <w:kern w:val="0"/>
                <w:sz w:val="24"/>
              </w:rPr>
              <w:t>3</w:t>
            </w:r>
          </w:p>
        </w:tc>
        <w:tc>
          <w:tcPr>
            <w:tcW w:w="8098"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国土绿化试点示范工程（长沙）</w:t>
            </w:r>
          </w:p>
          <w:p>
            <w:pPr>
              <w:ind w:firstLine="480" w:firstLineChars="200"/>
              <w:rPr>
                <w:rFonts w:eastAsia="方正小标宋_GBK"/>
                <w:sz w:val="24"/>
              </w:rPr>
            </w:pPr>
            <w:r>
              <w:rPr>
                <w:rFonts w:hint="eastAsia" w:eastAsia="楷体_GB2312"/>
                <w:sz w:val="24"/>
              </w:rPr>
              <w:t>营造林总面积</w:t>
            </w:r>
            <w:r>
              <w:rPr>
                <w:rFonts w:eastAsia="楷体_GB2312"/>
                <w:sz w:val="24"/>
              </w:rPr>
              <w:t>7765</w:t>
            </w:r>
            <w:r>
              <w:rPr>
                <w:rFonts w:hint="eastAsia" w:eastAsia="楷体_GB2312"/>
                <w:sz w:val="24"/>
              </w:rPr>
              <w:t>公顷，其中，人工造林</w:t>
            </w:r>
            <w:r>
              <w:rPr>
                <w:rFonts w:eastAsia="楷体_GB2312"/>
                <w:sz w:val="24"/>
              </w:rPr>
              <w:t>228</w:t>
            </w:r>
            <w:r>
              <w:rPr>
                <w:rFonts w:hint="eastAsia" w:eastAsia="楷体_GB2312"/>
                <w:sz w:val="24"/>
              </w:rPr>
              <w:t>公顷，退化林修复</w:t>
            </w:r>
            <w:r>
              <w:rPr>
                <w:rFonts w:eastAsia="楷体_GB2312"/>
                <w:sz w:val="24"/>
              </w:rPr>
              <w:t xml:space="preserve"> 4470</w:t>
            </w:r>
            <w:r>
              <w:rPr>
                <w:rFonts w:hint="eastAsia" w:eastAsia="楷体_GB2312"/>
                <w:sz w:val="24"/>
              </w:rPr>
              <w:t>公顷，森林抚育</w:t>
            </w:r>
            <w:r>
              <w:rPr>
                <w:rFonts w:eastAsia="楷体_GB2312"/>
                <w:sz w:val="24"/>
              </w:rPr>
              <w:t>3067</w:t>
            </w:r>
            <w:r>
              <w:rPr>
                <w:rFonts w:hint="eastAsia" w:eastAsia="楷体_GB2312"/>
                <w:sz w:val="24"/>
              </w:rPr>
              <w:t>公顷。</w:t>
            </w:r>
            <w:r>
              <w:rPr>
                <w:rFonts w:eastAsia="楷体_GB2312"/>
                <w:sz w:val="24"/>
              </w:rPr>
              <w:t xml:space="preserve"> </w:t>
            </w:r>
            <w:r>
              <w:rPr>
                <w:rFonts w:hint="eastAsia" w:eastAsia="楷体_GB2312"/>
                <w:sz w:val="24"/>
              </w:rPr>
              <w:t>油茶营造总面积</w:t>
            </w:r>
            <w:r>
              <w:rPr>
                <w:rFonts w:eastAsia="楷体_GB2312"/>
                <w:sz w:val="24"/>
              </w:rPr>
              <w:t>3853</w:t>
            </w:r>
            <w:r>
              <w:rPr>
                <w:rFonts w:hint="eastAsia" w:eastAsia="楷体_GB2312"/>
                <w:sz w:val="24"/>
              </w:rPr>
              <w:t>公顷，其中，新造</w:t>
            </w:r>
            <w:r>
              <w:rPr>
                <w:rFonts w:eastAsia="楷体_GB2312"/>
                <w:sz w:val="24"/>
              </w:rPr>
              <w:t>520</w:t>
            </w:r>
            <w:r>
              <w:rPr>
                <w:rFonts w:hint="eastAsia" w:eastAsia="楷体_GB2312"/>
                <w:sz w:val="24"/>
              </w:rPr>
              <w:t>公顷，低产林改造</w:t>
            </w:r>
            <w:r>
              <w:rPr>
                <w:rFonts w:eastAsia="楷体_GB2312"/>
                <w:sz w:val="24"/>
              </w:rPr>
              <w:t>3333</w:t>
            </w:r>
            <w:r>
              <w:rPr>
                <w:rFonts w:hint="eastAsia" w:eastAsia="楷体_GB2312"/>
                <w:sz w:val="24"/>
              </w:rPr>
              <w:t>公顷。</w:t>
            </w:r>
          </w:p>
        </w:tc>
      </w:tr>
      <w:tr>
        <w:tblPrEx>
          <w:tblLayout w:type="fixed"/>
          <w:tblCellMar>
            <w:top w:w="0" w:type="dxa"/>
            <w:left w:w="108" w:type="dxa"/>
            <w:bottom w:w="0" w:type="dxa"/>
            <w:right w:w="108" w:type="dxa"/>
          </w:tblCellMar>
        </w:tblPrEx>
        <w:trPr>
          <w:trHeight w:val="1172" w:hRule="atLeast"/>
          <w:jc w:val="center"/>
        </w:trPr>
        <w:tc>
          <w:tcPr>
            <w:tcW w:w="617"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4</w:t>
            </w:r>
          </w:p>
        </w:tc>
        <w:tc>
          <w:tcPr>
            <w:tcW w:w="8098"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国家储备林建设示范工程</w:t>
            </w:r>
          </w:p>
          <w:p>
            <w:pPr>
              <w:ind w:firstLine="480" w:firstLineChars="200"/>
              <w:rPr>
                <w:kern w:val="0"/>
                <w:sz w:val="24"/>
                <w:lang w:bidi="ar"/>
              </w:rPr>
            </w:pPr>
            <w:r>
              <w:rPr>
                <w:rFonts w:hint="eastAsia" w:eastAsia="楷体_GB2312"/>
                <w:sz w:val="24"/>
              </w:rPr>
              <w:t>全省国家储备林建设项目规划建设总规模为</w:t>
            </w:r>
            <w:r>
              <w:rPr>
                <w:rFonts w:eastAsia="楷体_GB2312"/>
                <w:sz w:val="24"/>
              </w:rPr>
              <w:t>53.55</w:t>
            </w:r>
            <w:r>
              <w:rPr>
                <w:rFonts w:hint="eastAsia" w:eastAsia="楷体_GB2312"/>
                <w:sz w:val="24"/>
              </w:rPr>
              <w:t>万公顷。其中：集约人工林栽培</w:t>
            </w:r>
            <w:r>
              <w:rPr>
                <w:rFonts w:eastAsia="楷体_GB2312"/>
                <w:sz w:val="24"/>
              </w:rPr>
              <w:t>5.4</w:t>
            </w:r>
            <w:r>
              <w:rPr>
                <w:rFonts w:hint="eastAsia" w:eastAsia="楷体_GB2312"/>
                <w:sz w:val="24"/>
              </w:rPr>
              <w:t>万公顷、现有林改培</w:t>
            </w:r>
            <w:r>
              <w:rPr>
                <w:rFonts w:eastAsia="楷体_GB2312"/>
                <w:sz w:val="24"/>
              </w:rPr>
              <w:t>38.6</w:t>
            </w:r>
            <w:r>
              <w:rPr>
                <w:rFonts w:hint="eastAsia" w:eastAsia="楷体_GB2312"/>
                <w:sz w:val="24"/>
              </w:rPr>
              <w:t>万公顷、中幼林抚育</w:t>
            </w:r>
            <w:r>
              <w:rPr>
                <w:rFonts w:eastAsia="楷体_GB2312"/>
                <w:sz w:val="24"/>
              </w:rPr>
              <w:t>9.55</w:t>
            </w:r>
            <w:r>
              <w:rPr>
                <w:rFonts w:hint="eastAsia" w:eastAsia="楷体_GB2312"/>
                <w:sz w:val="24"/>
              </w:rPr>
              <w:t>万公顷。</w:t>
            </w:r>
          </w:p>
        </w:tc>
      </w:tr>
      <w:tr>
        <w:tblPrEx>
          <w:tblLayout w:type="fixed"/>
          <w:tblCellMar>
            <w:top w:w="0" w:type="dxa"/>
            <w:left w:w="108" w:type="dxa"/>
            <w:bottom w:w="0" w:type="dxa"/>
            <w:right w:w="108" w:type="dxa"/>
          </w:tblCellMar>
        </w:tblPrEx>
        <w:trPr>
          <w:trHeight w:val="585" w:hRule="atLeast"/>
          <w:jc w:val="center"/>
        </w:trPr>
        <w:tc>
          <w:tcPr>
            <w:tcW w:w="617"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5</w:t>
            </w:r>
          </w:p>
        </w:tc>
        <w:tc>
          <w:tcPr>
            <w:tcW w:w="8098"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重点区域生态保护和修复示范工程</w:t>
            </w:r>
          </w:p>
          <w:p>
            <w:pPr>
              <w:ind w:firstLine="480" w:firstLineChars="200"/>
              <w:rPr>
                <w:kern w:val="0"/>
                <w:sz w:val="24"/>
                <w:lang w:bidi="ar"/>
              </w:rPr>
            </w:pPr>
            <w:r>
              <w:rPr>
                <w:rFonts w:hint="eastAsia" w:eastAsia="楷体_GB2312"/>
                <w:sz w:val="24"/>
              </w:rPr>
              <w:t>规划建设人工造林</w:t>
            </w:r>
            <w:r>
              <w:rPr>
                <w:rFonts w:eastAsia="楷体_GB2312"/>
                <w:sz w:val="24"/>
              </w:rPr>
              <w:t>2.6</w:t>
            </w:r>
            <w:r>
              <w:rPr>
                <w:rFonts w:hint="eastAsia" w:eastAsia="楷体_GB2312"/>
                <w:sz w:val="24"/>
              </w:rPr>
              <w:t>万公顷、封山育林</w:t>
            </w:r>
            <w:r>
              <w:rPr>
                <w:rFonts w:eastAsia="楷体_GB2312"/>
                <w:sz w:val="24"/>
              </w:rPr>
              <w:t>27.1</w:t>
            </w:r>
            <w:r>
              <w:rPr>
                <w:rFonts w:hint="eastAsia" w:eastAsia="楷体_GB2312"/>
                <w:sz w:val="24"/>
              </w:rPr>
              <w:t>万公顷、退化林修复</w:t>
            </w:r>
            <w:r>
              <w:rPr>
                <w:rFonts w:eastAsia="楷体_GB2312"/>
                <w:sz w:val="24"/>
              </w:rPr>
              <w:t>10.8</w:t>
            </w:r>
            <w:r>
              <w:rPr>
                <w:rFonts w:hint="eastAsia" w:eastAsia="楷体_GB2312"/>
                <w:sz w:val="24"/>
              </w:rPr>
              <w:t>万公顷、森林抚育</w:t>
            </w:r>
            <w:r>
              <w:rPr>
                <w:rFonts w:eastAsia="楷体_GB2312"/>
                <w:sz w:val="24"/>
              </w:rPr>
              <w:t>12.1</w:t>
            </w:r>
            <w:r>
              <w:rPr>
                <w:rFonts w:hint="eastAsia" w:eastAsia="楷体_GB2312"/>
                <w:sz w:val="24"/>
              </w:rPr>
              <w:t>万公顷、退化草地修复</w:t>
            </w:r>
            <w:r>
              <w:rPr>
                <w:rFonts w:eastAsia="楷体_GB2312"/>
                <w:sz w:val="24"/>
              </w:rPr>
              <w:t>2.2</w:t>
            </w:r>
            <w:r>
              <w:rPr>
                <w:rFonts w:hint="eastAsia" w:eastAsia="楷体_GB2312"/>
                <w:sz w:val="24"/>
              </w:rPr>
              <w:t>万公顷。</w:t>
            </w:r>
          </w:p>
        </w:tc>
      </w:tr>
      <w:tr>
        <w:tblPrEx>
          <w:tblLayout w:type="fixed"/>
          <w:tblCellMar>
            <w:top w:w="0" w:type="dxa"/>
            <w:left w:w="108" w:type="dxa"/>
            <w:bottom w:w="0" w:type="dxa"/>
            <w:right w:w="108" w:type="dxa"/>
          </w:tblCellMar>
        </w:tblPrEx>
        <w:trPr>
          <w:trHeight w:val="916" w:hRule="atLeast"/>
          <w:jc w:val="center"/>
        </w:trPr>
        <w:tc>
          <w:tcPr>
            <w:tcW w:w="617"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6</w:t>
            </w:r>
          </w:p>
        </w:tc>
        <w:tc>
          <w:tcPr>
            <w:tcW w:w="8098"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欧洲投资银行贷款湖南森林提质增效示范工程</w:t>
            </w:r>
          </w:p>
          <w:p>
            <w:pPr>
              <w:ind w:firstLine="480" w:firstLineChars="200"/>
              <w:rPr>
                <w:rFonts w:eastAsia="楷体_GB2312"/>
                <w:sz w:val="24"/>
              </w:rPr>
            </w:pPr>
            <w:r>
              <w:rPr>
                <w:rFonts w:hint="eastAsia" w:eastAsia="楷体_GB2312"/>
                <w:sz w:val="24"/>
              </w:rPr>
              <w:t>规划森林质量提升面积</w:t>
            </w:r>
            <w:r>
              <w:rPr>
                <w:rFonts w:eastAsia="楷体_GB2312"/>
                <w:sz w:val="24"/>
              </w:rPr>
              <w:t>58271.3</w:t>
            </w:r>
            <w:r>
              <w:rPr>
                <w:rFonts w:hint="eastAsia" w:eastAsia="楷体_GB2312"/>
                <w:sz w:val="24"/>
              </w:rPr>
              <w:t>公顷，林地复合经营（林下种植）面积</w:t>
            </w:r>
            <w:r>
              <w:rPr>
                <w:rFonts w:eastAsia="楷体_GB2312"/>
                <w:sz w:val="24"/>
              </w:rPr>
              <w:t>368.7</w:t>
            </w:r>
            <w:r>
              <w:rPr>
                <w:rFonts w:hint="eastAsia" w:eastAsia="楷体_GB2312"/>
                <w:sz w:val="24"/>
              </w:rPr>
              <w:t>公顷。</w:t>
            </w:r>
          </w:p>
        </w:tc>
      </w:tr>
    </w:tbl>
    <w:p>
      <w:pPr>
        <w:pStyle w:val="6"/>
        <w:ind w:firstLine="640" w:firstLineChars="200"/>
        <w:rPr>
          <w:rStyle w:val="30"/>
          <w:rFonts w:eastAsia="楷体"/>
          <w:b w:val="0"/>
          <w:bCs w:val="0"/>
        </w:rPr>
      </w:pPr>
      <w:bookmarkStart w:id="135" w:name="_Toc78381442"/>
      <w:r>
        <w:rPr>
          <w:rStyle w:val="30"/>
          <w:rFonts w:eastAsia="楷体"/>
        </w:rPr>
        <w:t>4.1.</w:t>
      </w:r>
      <w:r>
        <w:rPr>
          <w:rStyle w:val="30"/>
          <w:rFonts w:eastAsia="楷体"/>
          <w:lang w:val="en-US"/>
        </w:rPr>
        <w:t xml:space="preserve">7 </w:t>
      </w:r>
      <w:r>
        <w:rPr>
          <w:rStyle w:val="30"/>
          <w:rFonts w:hint="eastAsia" w:eastAsia="楷体"/>
        </w:rPr>
        <w:t>退耕还林还草工程</w:t>
      </w:r>
      <w:bookmarkEnd w:id="135"/>
    </w:p>
    <w:p>
      <w:pPr>
        <w:pStyle w:val="93"/>
        <w:spacing w:line="560" w:lineRule="exact"/>
        <w:ind w:firstLine="640"/>
        <w:rPr>
          <w:sz w:val="32"/>
          <w:szCs w:val="32"/>
        </w:rPr>
      </w:pPr>
      <w:r>
        <w:rPr>
          <w:rFonts w:hint="eastAsia"/>
          <w:sz w:val="32"/>
          <w:szCs w:val="32"/>
        </w:rPr>
        <w:t>在</w:t>
      </w:r>
      <w:r>
        <w:rPr>
          <w:sz w:val="32"/>
          <w:szCs w:val="32"/>
        </w:rPr>
        <w:t>25</w:t>
      </w:r>
      <w:r>
        <w:rPr>
          <w:rFonts w:hint="eastAsia"/>
          <w:sz w:val="32"/>
          <w:szCs w:val="32"/>
        </w:rPr>
        <w:t>度以上坡耕地和</w:t>
      </w:r>
      <w:r>
        <w:rPr>
          <w:sz w:val="32"/>
          <w:szCs w:val="32"/>
        </w:rPr>
        <w:t>15</w:t>
      </w:r>
      <w:r>
        <w:rPr>
          <w:rFonts w:hint="eastAsia"/>
          <w:sz w:val="32"/>
          <w:szCs w:val="32"/>
        </w:rPr>
        <w:t>～</w:t>
      </w:r>
      <w:r>
        <w:rPr>
          <w:sz w:val="32"/>
          <w:szCs w:val="32"/>
        </w:rPr>
        <w:t>25</w:t>
      </w:r>
      <w:r>
        <w:rPr>
          <w:rFonts w:hint="eastAsia"/>
          <w:sz w:val="32"/>
          <w:szCs w:val="32"/>
        </w:rPr>
        <w:t>度重要水源地的非永久基本农田坡耕地、严重污染耕地、严重石漠化耕地，易地扶贫搬迁腾退耕地以及在自然保护地整合优化中计划逐步退出的永久基本农田中实施退耕还林还草，改善生态环境。</w:t>
      </w:r>
      <w:r>
        <w:rPr>
          <w:rFonts w:hint="eastAsia"/>
          <w:sz w:val="32"/>
          <w:szCs w:val="32"/>
          <w:lang w:val="en-US"/>
        </w:rPr>
        <w:t>规划退耕还林还草工程规模</w:t>
      </w:r>
      <w:r>
        <w:rPr>
          <w:sz w:val="32"/>
          <w:szCs w:val="32"/>
          <w:lang w:val="en-US"/>
        </w:rPr>
        <w:t>1333</w:t>
      </w:r>
      <w:r>
        <w:rPr>
          <w:rFonts w:hint="eastAsia"/>
          <w:sz w:val="32"/>
          <w:szCs w:val="32"/>
          <w:lang w:val="en-US"/>
        </w:rPr>
        <w:t>公顷。</w:t>
      </w:r>
      <w:r>
        <w:rPr>
          <w:rFonts w:hint="eastAsia"/>
          <w:sz w:val="32"/>
          <w:szCs w:val="32"/>
        </w:rPr>
        <w:t>建设任务由自然资源部门负责根据</w:t>
      </w:r>
      <w:r>
        <w:rPr>
          <w:sz w:val="32"/>
          <w:szCs w:val="32"/>
        </w:rPr>
        <w:t>“</w:t>
      </w:r>
      <w:r>
        <w:rPr>
          <w:rFonts w:hint="eastAsia"/>
          <w:sz w:val="32"/>
          <w:szCs w:val="32"/>
        </w:rPr>
        <w:t>三调</w:t>
      </w:r>
      <w:r>
        <w:rPr>
          <w:sz w:val="32"/>
          <w:szCs w:val="32"/>
        </w:rPr>
        <w:t>”</w:t>
      </w:r>
      <w:r>
        <w:rPr>
          <w:rFonts w:hint="eastAsia"/>
          <w:sz w:val="32"/>
          <w:szCs w:val="32"/>
        </w:rPr>
        <w:t>成果提供可退耕范围数据。</w:t>
      </w:r>
    </w:p>
    <w:p>
      <w:pPr>
        <w:pStyle w:val="6"/>
        <w:ind w:firstLine="640" w:firstLineChars="200"/>
        <w:rPr>
          <w:rStyle w:val="30"/>
          <w:rFonts w:eastAsia="楷体"/>
          <w:b w:val="0"/>
          <w:bCs w:val="0"/>
        </w:rPr>
      </w:pPr>
      <w:bookmarkStart w:id="136" w:name="_Toc40077772"/>
      <w:bookmarkStart w:id="137" w:name="_Toc76396516"/>
      <w:bookmarkStart w:id="138" w:name="_Toc78381443"/>
      <w:r>
        <w:rPr>
          <w:rStyle w:val="30"/>
          <w:rFonts w:eastAsia="楷体"/>
        </w:rPr>
        <w:t>4.1.</w:t>
      </w:r>
      <w:r>
        <w:rPr>
          <w:rStyle w:val="30"/>
          <w:rFonts w:eastAsia="楷体"/>
          <w:lang w:val="en-US"/>
        </w:rPr>
        <w:t xml:space="preserve">8 </w:t>
      </w:r>
      <w:r>
        <w:rPr>
          <w:rStyle w:val="30"/>
          <w:rFonts w:hint="eastAsia" w:eastAsia="楷体"/>
        </w:rPr>
        <w:t>森林抚育建设</w:t>
      </w:r>
      <w:bookmarkEnd w:id="136"/>
      <w:r>
        <w:rPr>
          <w:rStyle w:val="30"/>
          <w:rFonts w:hint="eastAsia" w:eastAsia="楷体"/>
        </w:rPr>
        <w:t>工程</w:t>
      </w:r>
      <w:bookmarkEnd w:id="137"/>
      <w:bookmarkEnd w:id="138"/>
    </w:p>
    <w:p>
      <w:pPr>
        <w:pStyle w:val="93"/>
        <w:spacing w:line="560" w:lineRule="exact"/>
        <w:ind w:firstLine="640"/>
        <w:rPr>
          <w:sz w:val="32"/>
          <w:szCs w:val="32"/>
        </w:rPr>
      </w:pPr>
      <w:r>
        <w:rPr>
          <w:rFonts w:hint="eastAsia"/>
          <w:sz w:val="32"/>
          <w:szCs w:val="32"/>
        </w:rPr>
        <w:t>针对不同类型、不同发育阶段的林分特征，科学采取抚育间伐、补植补造、人工促进天然更新等措施，逐步解决林分过疏、过密等结构不合理问题。执行《森林抚育规程》，完善森林经营技术措施，推进林地立地质量评价、森林质量提升关键技术、营造林机械化等研究和应用。</w:t>
      </w:r>
      <w:r>
        <w:rPr>
          <w:rFonts w:hint="eastAsia"/>
          <w:sz w:val="32"/>
          <w:szCs w:val="32"/>
          <w:lang w:val="en-US"/>
        </w:rPr>
        <w:t>规划森林抚育建设工程</w:t>
      </w:r>
      <w:r>
        <w:rPr>
          <w:sz w:val="32"/>
          <w:szCs w:val="32"/>
          <w:lang w:val="en-US"/>
        </w:rPr>
        <w:t>50</w:t>
      </w:r>
      <w:r>
        <w:rPr>
          <w:rFonts w:hint="eastAsia"/>
          <w:sz w:val="32"/>
          <w:szCs w:val="32"/>
          <w:lang w:val="en-US"/>
        </w:rPr>
        <w:t>万公顷。</w:t>
      </w:r>
    </w:p>
    <w:p>
      <w:pPr>
        <w:pStyle w:val="6"/>
        <w:ind w:firstLine="640" w:firstLineChars="200"/>
        <w:rPr>
          <w:rStyle w:val="30"/>
          <w:rFonts w:eastAsia="楷体"/>
          <w:b w:val="0"/>
          <w:bCs w:val="0"/>
        </w:rPr>
      </w:pPr>
      <w:bookmarkStart w:id="139" w:name="_Toc78381444"/>
      <w:bookmarkStart w:id="140" w:name="_Toc76396517"/>
      <w:r>
        <w:rPr>
          <w:rStyle w:val="30"/>
          <w:rFonts w:eastAsia="楷体"/>
        </w:rPr>
        <w:t>4.1.</w:t>
      </w:r>
      <w:r>
        <w:rPr>
          <w:rStyle w:val="30"/>
          <w:rFonts w:eastAsia="楷体"/>
          <w:lang w:val="en-US"/>
        </w:rPr>
        <w:t xml:space="preserve">9 </w:t>
      </w:r>
      <w:r>
        <w:rPr>
          <w:rStyle w:val="30"/>
          <w:rFonts w:hint="eastAsia" w:eastAsia="楷体"/>
        </w:rPr>
        <w:t>林业碳汇发展工程</w:t>
      </w:r>
      <w:bookmarkEnd w:id="139"/>
      <w:bookmarkEnd w:id="140"/>
    </w:p>
    <w:p>
      <w:pPr>
        <w:pStyle w:val="93"/>
        <w:spacing w:line="560" w:lineRule="exact"/>
        <w:ind w:firstLine="640"/>
        <w:rPr>
          <w:sz w:val="32"/>
          <w:szCs w:val="32"/>
        </w:rPr>
      </w:pPr>
      <w:r>
        <w:rPr>
          <w:rFonts w:hint="eastAsia"/>
          <w:sz w:val="32"/>
          <w:szCs w:val="32"/>
        </w:rPr>
        <w:t>编制湖南省碳中和林业碳汇实施方案，开展全省主要林分类型碳汇基线体系和林草、湿地碳汇计量监测体系建设，建立全省林业碳汇管理平台。积极探索林业碳汇发展路径，逐步建立起政府导向投入、企业主体投入、社会广泛投入的多元投入机制。培育森林碳汇资源，建设标准化林业碳汇基地，开发林业碳汇项目，开展林农微碳汇惠民试点。</w:t>
      </w:r>
    </w:p>
    <w:bookmarkEnd w:id="133"/>
    <w:bookmarkEnd w:id="134"/>
    <w:p>
      <w:pPr>
        <w:pStyle w:val="6"/>
        <w:ind w:firstLine="640" w:firstLineChars="200"/>
        <w:rPr>
          <w:rStyle w:val="30"/>
          <w:rFonts w:eastAsia="楷体"/>
          <w:b w:val="0"/>
          <w:bCs w:val="0"/>
        </w:rPr>
      </w:pPr>
      <w:bookmarkStart w:id="141" w:name="_Toc78381445"/>
      <w:r>
        <w:rPr>
          <w:rStyle w:val="30"/>
          <w:rFonts w:eastAsia="楷体"/>
        </w:rPr>
        <w:t>4.1.</w:t>
      </w:r>
      <w:r>
        <w:rPr>
          <w:rStyle w:val="30"/>
          <w:rFonts w:eastAsia="楷体"/>
          <w:lang w:val="en-US"/>
        </w:rPr>
        <w:t xml:space="preserve">10 </w:t>
      </w:r>
      <w:r>
        <w:rPr>
          <w:rStyle w:val="30"/>
          <w:rFonts w:hint="eastAsia" w:eastAsia="楷体"/>
        </w:rPr>
        <w:t>自然保护地保护修复工程</w:t>
      </w:r>
      <w:bookmarkEnd w:id="141"/>
    </w:p>
    <w:p>
      <w:pPr>
        <w:pStyle w:val="93"/>
        <w:spacing w:line="560" w:lineRule="exact"/>
        <w:ind w:firstLine="640"/>
        <w:rPr>
          <w:sz w:val="32"/>
          <w:szCs w:val="32"/>
        </w:rPr>
      </w:pPr>
      <w:bookmarkStart w:id="142" w:name="_Toc40077753"/>
      <w:r>
        <w:rPr>
          <w:rFonts w:hint="eastAsia"/>
          <w:sz w:val="32"/>
          <w:szCs w:val="32"/>
        </w:rPr>
        <w:t>加快自然保护地规范化、法治化、标准化、信息化</w:t>
      </w:r>
      <w:r>
        <w:rPr>
          <w:sz w:val="32"/>
          <w:szCs w:val="32"/>
        </w:rPr>
        <w:t>“</w:t>
      </w:r>
      <w:r>
        <w:rPr>
          <w:rFonts w:hint="eastAsia"/>
          <w:sz w:val="32"/>
          <w:szCs w:val="32"/>
        </w:rPr>
        <w:t>四化</w:t>
      </w:r>
      <w:r>
        <w:rPr>
          <w:sz w:val="32"/>
          <w:szCs w:val="32"/>
        </w:rPr>
        <w:t>”</w:t>
      </w:r>
      <w:r>
        <w:rPr>
          <w:rFonts w:hint="eastAsia"/>
          <w:sz w:val="32"/>
          <w:szCs w:val="32"/>
        </w:rPr>
        <w:t>建设，加强自然保护基础设施建设，妥善抓好自然保护地内生态环境突出问题整改。实施自然保护地基础设施建设</w:t>
      </w:r>
      <w:bookmarkEnd w:id="142"/>
      <w:r>
        <w:rPr>
          <w:rFonts w:hint="eastAsia"/>
          <w:sz w:val="32"/>
          <w:szCs w:val="32"/>
        </w:rPr>
        <w:t>、异地生态搬迁保障房建设、生态文化保护等项目。</w:t>
      </w:r>
    </w:p>
    <w:tbl>
      <w:tblPr>
        <w:tblStyle w:val="36"/>
        <w:tblW w:w="8475" w:type="dxa"/>
        <w:tblInd w:w="132" w:type="dxa"/>
        <w:tblLayout w:type="fixed"/>
        <w:tblCellMar>
          <w:top w:w="0" w:type="dxa"/>
          <w:left w:w="108" w:type="dxa"/>
          <w:bottom w:w="0" w:type="dxa"/>
          <w:right w:w="108" w:type="dxa"/>
        </w:tblCellMar>
      </w:tblPr>
      <w:tblGrid>
        <w:gridCol w:w="600"/>
        <w:gridCol w:w="7875"/>
      </w:tblGrid>
      <w:tr>
        <w:tblPrEx>
          <w:tblLayout w:type="fixed"/>
          <w:tblCellMar>
            <w:top w:w="0" w:type="dxa"/>
            <w:left w:w="108" w:type="dxa"/>
            <w:bottom w:w="0" w:type="dxa"/>
            <w:right w:w="108" w:type="dxa"/>
          </w:tblCellMar>
        </w:tblPrEx>
        <w:trPr>
          <w:trHeight w:val="585" w:hRule="atLeast"/>
          <w:tblHeader/>
        </w:trPr>
        <w:tc>
          <w:tcPr>
            <w:tcW w:w="8475" w:type="dxa"/>
            <w:gridSpan w:val="2"/>
            <w:tcBorders>
              <w:top w:val="single" w:color="auto" w:sz="4" w:space="0"/>
              <w:left w:val="single" w:color="auto" w:sz="4" w:space="0"/>
              <w:bottom w:val="single" w:color="000000" w:sz="4"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2 </w:t>
            </w:r>
            <w:r>
              <w:rPr>
                <w:rFonts w:hint="eastAsia" w:eastAsia="方正小标宋_GBK"/>
              </w:rPr>
              <w:t>自然保护地保护修复工程</w:t>
            </w:r>
          </w:p>
        </w:tc>
      </w:tr>
      <w:tr>
        <w:tblPrEx>
          <w:tblLayout w:type="fixed"/>
          <w:tblCellMar>
            <w:top w:w="0" w:type="dxa"/>
            <w:left w:w="108" w:type="dxa"/>
            <w:bottom w:w="0" w:type="dxa"/>
            <w:right w:w="108" w:type="dxa"/>
          </w:tblCellMar>
        </w:tblPrEx>
        <w:trPr>
          <w:trHeight w:val="1463" w:hRule="atLeast"/>
        </w:trPr>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sz w:val="24"/>
              </w:rPr>
            </w:pPr>
            <w:r>
              <w:rPr>
                <w:kern w:val="0"/>
                <w:sz w:val="24"/>
              </w:rPr>
              <w:t>1</w:t>
            </w:r>
          </w:p>
        </w:tc>
        <w:tc>
          <w:tcPr>
            <w:tcW w:w="7875" w:type="dxa"/>
            <w:tcBorders>
              <w:top w:val="single" w:color="000000" w:sz="4" w:space="0"/>
              <w:left w:val="single" w:color="000000" w:sz="4" w:space="0"/>
              <w:bottom w:val="single" w:color="000000" w:sz="4" w:space="0"/>
              <w:right w:val="single" w:color="000000" w:sz="4" w:space="0"/>
            </w:tcBorders>
            <w:vAlign w:val="center"/>
          </w:tcPr>
          <w:p>
            <w:pPr>
              <w:ind w:firstLine="480" w:firstLineChars="200"/>
              <w:rPr>
                <w:rFonts w:eastAsia="方正小标宋_GBK"/>
                <w:sz w:val="24"/>
              </w:rPr>
            </w:pPr>
            <w:r>
              <w:rPr>
                <w:rFonts w:hint="eastAsia" w:eastAsia="方正小标宋_GBK"/>
                <w:sz w:val="24"/>
              </w:rPr>
              <w:t>自然保护地基础设施建设项目</w:t>
            </w:r>
          </w:p>
          <w:p>
            <w:pPr>
              <w:widowControl/>
              <w:rPr>
                <w:rFonts w:eastAsia="楷体_GB2312"/>
              </w:rPr>
            </w:pPr>
            <w:r>
              <w:rPr>
                <w:rFonts w:eastAsia="楷体_GB2312"/>
                <w:sz w:val="24"/>
              </w:rPr>
              <w:t xml:space="preserve">    </w:t>
            </w:r>
            <w:r>
              <w:rPr>
                <w:rFonts w:hint="eastAsia" w:eastAsia="楷体_GB2312"/>
                <w:sz w:val="24"/>
              </w:rPr>
              <w:t>建设自然保护地管护巡护、科研监测、科普教育、防灾减灾相关的设施建设工程和自然保护地生态修复工程。</w:t>
            </w:r>
          </w:p>
        </w:tc>
      </w:tr>
      <w:tr>
        <w:tblPrEx>
          <w:tblLayout w:type="fixed"/>
          <w:tblCellMar>
            <w:top w:w="0" w:type="dxa"/>
            <w:left w:w="108" w:type="dxa"/>
            <w:bottom w:w="0" w:type="dxa"/>
            <w:right w:w="108" w:type="dxa"/>
          </w:tblCellMar>
        </w:tblPrEx>
        <w:trPr>
          <w:trHeight w:val="1700" w:hRule="atLeast"/>
        </w:trPr>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sz w:val="24"/>
              </w:rPr>
            </w:pPr>
            <w:r>
              <w:rPr>
                <w:kern w:val="0"/>
                <w:sz w:val="24"/>
              </w:rPr>
              <w:t>2</w:t>
            </w:r>
          </w:p>
        </w:tc>
        <w:tc>
          <w:tcPr>
            <w:tcW w:w="7875" w:type="dxa"/>
            <w:tcBorders>
              <w:top w:val="single" w:color="000000" w:sz="4" w:space="0"/>
              <w:left w:val="single" w:color="000000" w:sz="4" w:space="0"/>
              <w:bottom w:val="single" w:color="000000" w:sz="4" w:space="0"/>
              <w:right w:val="single" w:color="000000" w:sz="4" w:space="0"/>
            </w:tcBorders>
            <w:vAlign w:val="center"/>
          </w:tcPr>
          <w:p>
            <w:pPr>
              <w:ind w:firstLine="480" w:firstLineChars="200"/>
              <w:rPr>
                <w:rFonts w:eastAsia="方正小标宋_GBK"/>
                <w:sz w:val="24"/>
              </w:rPr>
            </w:pPr>
            <w:r>
              <w:rPr>
                <w:rFonts w:hint="eastAsia" w:eastAsia="方正小标宋_GBK"/>
                <w:sz w:val="24"/>
              </w:rPr>
              <w:t>自然保护地异地生态搬迁保障房项目</w:t>
            </w:r>
          </w:p>
          <w:p>
            <w:pPr>
              <w:widowControl/>
              <w:ind w:firstLine="480" w:firstLineChars="200"/>
              <w:rPr>
                <w:rFonts w:eastAsia="楷体_GB2312"/>
                <w:sz w:val="24"/>
              </w:rPr>
            </w:pPr>
            <w:r>
              <w:rPr>
                <w:rFonts w:hint="eastAsia" w:eastAsia="楷体_GB2312"/>
                <w:sz w:val="24"/>
              </w:rPr>
              <w:t>实施异地生态搬迁保障房建设，将</w:t>
            </w:r>
            <w:r>
              <w:rPr>
                <w:rFonts w:eastAsia="楷体_GB2312"/>
                <w:sz w:val="24"/>
              </w:rPr>
              <w:t>15</w:t>
            </w:r>
            <w:r>
              <w:rPr>
                <w:rFonts w:hint="eastAsia" w:eastAsia="楷体_GB2312"/>
                <w:sz w:val="24"/>
              </w:rPr>
              <w:t>个自然保护区核心保护区的原住居民</w:t>
            </w:r>
            <w:r>
              <w:rPr>
                <w:rFonts w:eastAsia="楷体_GB2312"/>
                <w:sz w:val="24"/>
              </w:rPr>
              <w:t>46000</w:t>
            </w:r>
            <w:r>
              <w:rPr>
                <w:rFonts w:hint="eastAsia" w:eastAsia="楷体_GB2312"/>
                <w:sz w:val="24"/>
              </w:rPr>
              <w:t>余人，逐步迁出至自然保护地范围外或自然保护地的一般控制区。</w:t>
            </w:r>
          </w:p>
        </w:tc>
      </w:tr>
      <w:tr>
        <w:tblPrEx>
          <w:tblLayout w:type="fixed"/>
          <w:tblCellMar>
            <w:top w:w="0" w:type="dxa"/>
            <w:left w:w="108" w:type="dxa"/>
            <w:bottom w:w="0" w:type="dxa"/>
            <w:right w:w="108" w:type="dxa"/>
          </w:tblCellMar>
        </w:tblPrEx>
        <w:trPr>
          <w:trHeight w:val="1365" w:hRule="atLeast"/>
        </w:trPr>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sz w:val="24"/>
              </w:rPr>
            </w:pPr>
            <w:r>
              <w:rPr>
                <w:kern w:val="0"/>
                <w:sz w:val="24"/>
              </w:rPr>
              <w:t>3</w:t>
            </w:r>
          </w:p>
        </w:tc>
        <w:tc>
          <w:tcPr>
            <w:tcW w:w="7875" w:type="dxa"/>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rPr>
                <w:rFonts w:eastAsia="楷体_GB2312"/>
                <w:sz w:val="24"/>
              </w:rPr>
            </w:pPr>
            <w:r>
              <w:rPr>
                <w:rFonts w:hint="eastAsia" w:eastAsia="方正小标宋_GBK"/>
                <w:sz w:val="24"/>
              </w:rPr>
              <w:t>自然保护地生态文化保护项目</w:t>
            </w:r>
          </w:p>
          <w:p>
            <w:pPr>
              <w:ind w:firstLine="480" w:firstLineChars="200"/>
              <w:rPr>
                <w:rFonts w:eastAsia="方正小标宋_GBK"/>
                <w:sz w:val="24"/>
              </w:rPr>
            </w:pPr>
            <w:r>
              <w:rPr>
                <w:rFonts w:hint="eastAsia" w:eastAsia="楷体_GB2312"/>
                <w:sz w:val="24"/>
              </w:rPr>
              <w:t>加强自然保护地生态文化保护和传承，保护自然保护地内的古迹遗址、历史建筑、传统村落、地质遗迹、森林古道等景观生态系统。</w:t>
            </w:r>
          </w:p>
        </w:tc>
      </w:tr>
    </w:tbl>
    <w:p>
      <w:pPr>
        <w:pStyle w:val="6"/>
        <w:ind w:firstLine="640" w:firstLineChars="200"/>
        <w:rPr>
          <w:rStyle w:val="30"/>
          <w:rFonts w:eastAsia="楷体"/>
          <w:b w:val="0"/>
          <w:bCs w:val="0"/>
        </w:rPr>
      </w:pPr>
      <w:bookmarkStart w:id="143" w:name="_Toc78381446"/>
      <w:r>
        <w:rPr>
          <w:rStyle w:val="30"/>
          <w:rFonts w:eastAsia="楷体"/>
        </w:rPr>
        <w:t>4.1.</w:t>
      </w:r>
      <w:r>
        <w:rPr>
          <w:rStyle w:val="30"/>
          <w:rFonts w:eastAsia="楷体"/>
          <w:lang w:val="en-US"/>
        </w:rPr>
        <w:t xml:space="preserve">11 </w:t>
      </w:r>
      <w:r>
        <w:rPr>
          <w:rStyle w:val="30"/>
          <w:rFonts w:hint="eastAsia" w:eastAsia="楷体"/>
        </w:rPr>
        <w:t>生物多样性保护</w:t>
      </w:r>
      <w:bookmarkEnd w:id="129"/>
      <w:r>
        <w:rPr>
          <w:rStyle w:val="30"/>
          <w:rFonts w:hint="eastAsia" w:eastAsia="楷体"/>
        </w:rPr>
        <w:t>工程</w:t>
      </w:r>
      <w:bookmarkEnd w:id="130"/>
      <w:bookmarkEnd w:id="143"/>
    </w:p>
    <w:p>
      <w:pPr>
        <w:pStyle w:val="93"/>
        <w:spacing w:line="560" w:lineRule="exact"/>
        <w:ind w:firstLine="640"/>
        <w:rPr>
          <w:sz w:val="32"/>
          <w:szCs w:val="32"/>
        </w:rPr>
      </w:pPr>
      <w:bookmarkStart w:id="144" w:name="_Toc40077764"/>
      <w:r>
        <w:rPr>
          <w:rFonts w:hint="eastAsia"/>
          <w:sz w:val="32"/>
          <w:szCs w:val="32"/>
        </w:rPr>
        <w:t>围绕生物多样性资源监测、生物多样性基础数据库建设、生物多样性法规制度完善、候鸟迁徙通道保护、珍稀濒危物种及栖息地保护等各方高度关注的热点问题，实施候鸟迁徙通道建设、东洞庭湖</w:t>
      </w:r>
      <w:r>
        <w:rPr>
          <w:sz w:val="32"/>
          <w:szCs w:val="32"/>
        </w:rPr>
        <w:t>“</w:t>
      </w:r>
      <w:r>
        <w:rPr>
          <w:rFonts w:hint="eastAsia"/>
          <w:sz w:val="32"/>
          <w:szCs w:val="32"/>
        </w:rPr>
        <w:t>观鸟胜地</w:t>
      </w:r>
      <w:r>
        <w:rPr>
          <w:sz w:val="32"/>
          <w:szCs w:val="32"/>
        </w:rPr>
        <w:t>”</w:t>
      </w:r>
      <w:r>
        <w:rPr>
          <w:rFonts w:hint="eastAsia"/>
          <w:sz w:val="32"/>
          <w:szCs w:val="32"/>
        </w:rPr>
        <w:t>建设、野生动物肇事防控等标志性示范工程项目，分期开展生物多样性资源调查与数据管理</w:t>
      </w:r>
      <w:r>
        <w:rPr>
          <w:rFonts w:hint="eastAsia"/>
          <w:sz w:val="32"/>
          <w:szCs w:val="32"/>
          <w:lang w:val="en-US"/>
        </w:rPr>
        <w:t>、生物多样性</w:t>
      </w:r>
      <w:r>
        <w:rPr>
          <w:rFonts w:hint="eastAsia"/>
          <w:sz w:val="32"/>
          <w:szCs w:val="32"/>
        </w:rPr>
        <w:t>监测体系建设</w:t>
      </w:r>
      <w:r>
        <w:rPr>
          <w:rFonts w:hint="eastAsia"/>
          <w:sz w:val="32"/>
          <w:szCs w:val="32"/>
          <w:lang w:val="en-US"/>
        </w:rPr>
        <w:t>、</w:t>
      </w:r>
      <w:r>
        <w:rPr>
          <w:rFonts w:hint="eastAsia"/>
          <w:sz w:val="32"/>
          <w:szCs w:val="32"/>
        </w:rPr>
        <w:t>国家重点保护野生动植物资源保护与利用、野生动物疫病与生物安全体系建设、国家重点保护野生动物救护繁育站点建设等项目。</w:t>
      </w:r>
    </w:p>
    <w:bookmarkEnd w:id="144"/>
    <w:tbl>
      <w:tblPr>
        <w:tblStyle w:val="36"/>
        <w:tblW w:w="8475" w:type="dxa"/>
        <w:jc w:val="center"/>
        <w:tblInd w:w="0" w:type="dxa"/>
        <w:tblLayout w:type="fixed"/>
        <w:tblCellMar>
          <w:top w:w="0" w:type="dxa"/>
          <w:left w:w="108" w:type="dxa"/>
          <w:bottom w:w="0" w:type="dxa"/>
          <w:right w:w="108" w:type="dxa"/>
        </w:tblCellMar>
      </w:tblPr>
      <w:tblGrid>
        <w:gridCol w:w="600"/>
        <w:gridCol w:w="7875"/>
      </w:tblGrid>
      <w:tr>
        <w:tblPrEx>
          <w:tblLayout w:type="fixed"/>
          <w:tblCellMar>
            <w:top w:w="0" w:type="dxa"/>
            <w:left w:w="108" w:type="dxa"/>
            <w:bottom w:w="0" w:type="dxa"/>
            <w:right w:w="108" w:type="dxa"/>
          </w:tblCellMar>
        </w:tblPrEx>
        <w:trPr>
          <w:trHeight w:val="585" w:hRule="atLeast"/>
          <w:tblHeader/>
          <w:jc w:val="center"/>
        </w:trPr>
        <w:tc>
          <w:tcPr>
            <w:tcW w:w="8475" w:type="dxa"/>
            <w:gridSpan w:val="2"/>
            <w:tcBorders>
              <w:top w:val="single" w:color="auto" w:sz="4" w:space="0"/>
              <w:left w:val="single" w:color="auto" w:sz="4" w:space="0"/>
              <w:bottom w:val="single" w:color="auto" w:sz="4"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3 </w:t>
            </w:r>
            <w:r>
              <w:rPr>
                <w:rFonts w:hint="eastAsia" w:eastAsia="方正小标宋_GBK"/>
              </w:rPr>
              <w:t>生物多样性保护工程</w:t>
            </w:r>
          </w:p>
        </w:tc>
      </w:tr>
      <w:tr>
        <w:tblPrEx>
          <w:tblLayout w:type="fixed"/>
          <w:tblCellMar>
            <w:top w:w="0" w:type="dxa"/>
            <w:left w:w="108" w:type="dxa"/>
            <w:bottom w:w="0" w:type="dxa"/>
            <w:right w:w="108" w:type="dxa"/>
          </w:tblCellMar>
        </w:tblPrEx>
        <w:trPr>
          <w:trHeight w:val="1708"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1</w:t>
            </w:r>
          </w:p>
        </w:tc>
        <w:tc>
          <w:tcPr>
            <w:tcW w:w="7875" w:type="dxa"/>
            <w:tcBorders>
              <w:top w:val="nil"/>
              <w:left w:val="single" w:color="auto" w:sz="4" w:space="0"/>
              <w:bottom w:val="single" w:color="000000" w:sz="4" w:space="0"/>
              <w:right w:val="single" w:color="auto" w:sz="4" w:space="0"/>
            </w:tcBorders>
            <w:vAlign w:val="center"/>
          </w:tcPr>
          <w:p>
            <w:pPr>
              <w:ind w:firstLine="480" w:firstLineChars="200"/>
              <w:rPr>
                <w:rFonts w:eastAsia="方正小标宋_GBK"/>
                <w:sz w:val="24"/>
              </w:rPr>
            </w:pPr>
            <w:r>
              <w:rPr>
                <w:rFonts w:hint="eastAsia" w:eastAsia="方正小标宋_GBK"/>
                <w:sz w:val="24"/>
              </w:rPr>
              <w:t>候鸟迁徙通道建设示范项目</w:t>
            </w:r>
          </w:p>
          <w:p>
            <w:pPr>
              <w:widowControl/>
              <w:ind w:firstLine="480"/>
              <w:rPr>
                <w:rFonts w:eastAsia="楷体_GB2312"/>
                <w:sz w:val="24"/>
              </w:rPr>
            </w:pPr>
            <w:r>
              <w:rPr>
                <w:rFonts w:hint="eastAsia" w:eastAsia="楷体_GB2312"/>
                <w:sz w:val="24"/>
              </w:rPr>
              <w:t>加强新邵、城步、新化、桂东等县千年鸟道生态环境保护与修复，对候鸟保护站点进行提质改造，开展迁徙候鸟保护能力建设、鸟类环志监测工作、加大候鸟保护执法力度。</w:t>
            </w:r>
          </w:p>
        </w:tc>
      </w:tr>
      <w:tr>
        <w:tblPrEx>
          <w:tblLayout w:type="fixed"/>
          <w:tblCellMar>
            <w:top w:w="0" w:type="dxa"/>
            <w:left w:w="108" w:type="dxa"/>
            <w:bottom w:w="0" w:type="dxa"/>
            <w:right w:w="108" w:type="dxa"/>
          </w:tblCellMar>
        </w:tblPrEx>
        <w:trPr>
          <w:trHeight w:val="1836" w:hRule="atLeast"/>
          <w:jc w:val="center"/>
        </w:trPr>
        <w:tc>
          <w:tcPr>
            <w:tcW w:w="600" w:type="dxa"/>
            <w:tcBorders>
              <w:top w:val="single" w:color="000000" w:sz="4" w:space="0"/>
              <w:left w:val="single" w:color="000000" w:sz="4" w:space="0"/>
              <w:bottom w:val="single" w:color="000000" w:sz="4" w:space="0"/>
              <w:right w:val="nil"/>
            </w:tcBorders>
            <w:vAlign w:val="center"/>
          </w:tcPr>
          <w:p>
            <w:pPr>
              <w:widowControl/>
              <w:jc w:val="center"/>
              <w:rPr>
                <w:kern w:val="0"/>
                <w:sz w:val="24"/>
              </w:rPr>
            </w:pPr>
            <w:r>
              <w:rPr>
                <w:kern w:val="0"/>
                <w:sz w:val="24"/>
              </w:rPr>
              <w:t>2</w:t>
            </w:r>
          </w:p>
        </w:tc>
        <w:tc>
          <w:tcPr>
            <w:tcW w:w="7875" w:type="dxa"/>
            <w:tcBorders>
              <w:top w:val="single" w:color="000000"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洞庭湖</w:t>
            </w:r>
            <w:r>
              <w:rPr>
                <w:rFonts w:eastAsia="方正小标宋_GBK"/>
                <w:sz w:val="24"/>
              </w:rPr>
              <w:t>“</w:t>
            </w:r>
            <w:r>
              <w:rPr>
                <w:rFonts w:hint="eastAsia" w:eastAsia="方正小标宋_GBK"/>
                <w:sz w:val="24"/>
              </w:rPr>
              <w:t>观鸟胜地</w:t>
            </w:r>
            <w:r>
              <w:rPr>
                <w:rFonts w:eastAsia="方正小标宋_GBK"/>
                <w:sz w:val="24"/>
              </w:rPr>
              <w:t>”</w:t>
            </w:r>
            <w:r>
              <w:rPr>
                <w:rFonts w:hint="eastAsia" w:eastAsia="方正小标宋_GBK"/>
                <w:sz w:val="24"/>
              </w:rPr>
              <w:t>建设示范项目</w:t>
            </w:r>
          </w:p>
          <w:p>
            <w:pPr>
              <w:widowControl/>
              <w:ind w:firstLine="480"/>
              <w:rPr>
                <w:rFonts w:eastAsia="方正小标宋_GBK"/>
                <w:sz w:val="24"/>
              </w:rPr>
            </w:pPr>
            <w:r>
              <w:rPr>
                <w:rFonts w:hint="eastAsia" w:eastAsia="楷体_GB2312"/>
                <w:sz w:val="24"/>
              </w:rPr>
              <w:t>在洞庭湖区域建立候鸟同步调查规程与工作制度，在南洞庭湖及其周边的重点县市区等地建立候鸟保护与监测网络，支持沅江南洞庭湖建立候鸟救护与疫源疫病监测站点</w:t>
            </w:r>
            <w:r>
              <w:rPr>
                <w:rFonts w:eastAsia="楷体_GB2312"/>
                <w:sz w:val="24"/>
              </w:rPr>
              <w:t>1</w:t>
            </w:r>
            <w:r>
              <w:rPr>
                <w:rFonts w:hint="eastAsia" w:eastAsia="楷体_GB2312"/>
                <w:sz w:val="24"/>
              </w:rPr>
              <w:t>处，支持候鸟保护与洞庭湖经济社会发展深度融合和协同共进，打造东洞庭湖“观鸟胜地</w:t>
            </w:r>
            <w:r>
              <w:rPr>
                <w:rFonts w:eastAsia="楷体_GB2312"/>
                <w:sz w:val="24"/>
              </w:rPr>
              <w:t>”</w:t>
            </w:r>
            <w:r>
              <w:rPr>
                <w:rFonts w:hint="eastAsia" w:eastAsia="楷体_GB2312"/>
                <w:sz w:val="24"/>
              </w:rPr>
              <w:t>品牌。</w:t>
            </w:r>
          </w:p>
        </w:tc>
      </w:tr>
      <w:tr>
        <w:tblPrEx>
          <w:tblLayout w:type="fixed"/>
          <w:tblCellMar>
            <w:top w:w="0" w:type="dxa"/>
            <w:left w:w="108" w:type="dxa"/>
            <w:bottom w:w="0" w:type="dxa"/>
            <w:right w:w="108" w:type="dxa"/>
          </w:tblCellMar>
        </w:tblPrEx>
        <w:trPr>
          <w:trHeight w:val="1962" w:hRule="atLeast"/>
          <w:jc w:val="center"/>
        </w:trPr>
        <w:tc>
          <w:tcPr>
            <w:tcW w:w="600" w:type="dxa"/>
            <w:tcBorders>
              <w:top w:val="single" w:color="000000" w:sz="4" w:space="0"/>
              <w:left w:val="single" w:color="000000" w:sz="4" w:space="0"/>
              <w:bottom w:val="single" w:color="000000" w:sz="4" w:space="0"/>
              <w:right w:val="nil"/>
            </w:tcBorders>
            <w:vAlign w:val="center"/>
          </w:tcPr>
          <w:p>
            <w:pPr>
              <w:widowControl/>
              <w:jc w:val="center"/>
              <w:rPr>
                <w:kern w:val="0"/>
                <w:sz w:val="24"/>
              </w:rPr>
            </w:pPr>
            <w:r>
              <w:rPr>
                <w:kern w:val="0"/>
                <w:sz w:val="24"/>
              </w:rPr>
              <w:t>3</w:t>
            </w:r>
          </w:p>
        </w:tc>
        <w:tc>
          <w:tcPr>
            <w:tcW w:w="7875" w:type="dxa"/>
            <w:tcBorders>
              <w:top w:val="single" w:color="000000"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野生动物肇事防控示范工程项目</w:t>
            </w:r>
          </w:p>
          <w:p>
            <w:pPr>
              <w:widowControl/>
              <w:ind w:firstLine="480"/>
              <w:rPr>
                <w:kern w:val="0"/>
                <w:sz w:val="24"/>
                <w:lang w:bidi="ar"/>
              </w:rPr>
            </w:pPr>
            <w:r>
              <w:rPr>
                <w:rFonts w:hint="eastAsia" w:eastAsia="楷体_GB2312"/>
                <w:sz w:val="24"/>
              </w:rPr>
              <w:t>实施野生动物肇事防控示范工程项目，融合现代信息科技和生物生态学知识与防控野生动物肇事结合点、平衡点，探究政府补偿之外的可复制、可推广的防控野生动物肇事新路径新措施，助力乡村振兴和现代化建设的示范点。</w:t>
            </w:r>
          </w:p>
        </w:tc>
      </w:tr>
      <w:tr>
        <w:tblPrEx>
          <w:tblLayout w:type="fixed"/>
          <w:tblCellMar>
            <w:top w:w="0" w:type="dxa"/>
            <w:left w:w="108" w:type="dxa"/>
            <w:bottom w:w="0" w:type="dxa"/>
            <w:right w:w="108" w:type="dxa"/>
          </w:tblCellMar>
        </w:tblPrEx>
        <w:trPr>
          <w:trHeight w:val="1948"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4</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生物多样性资源调查与数据管理项目</w:t>
            </w:r>
          </w:p>
          <w:p>
            <w:pPr>
              <w:widowControl/>
              <w:ind w:firstLine="480"/>
              <w:rPr>
                <w:kern w:val="0"/>
                <w:sz w:val="24"/>
                <w:lang w:bidi="ar"/>
              </w:rPr>
            </w:pPr>
            <w:r>
              <w:rPr>
                <w:rFonts w:hint="eastAsia" w:eastAsia="楷体_GB2312"/>
                <w:sz w:val="24"/>
              </w:rPr>
              <w:t>编制湖南省生物多样性资源本底调查技术规范以及重点野生动植物监测技术规范，开展县级生物多样性资源调查示范项目，推动县级行政单元开展全省生物多样性资源本底调查；开展珍稀濒危物种、伞护物种的专项调查，建立全省生物多样性和重点保护野生动植物资源数据库。</w:t>
            </w:r>
          </w:p>
        </w:tc>
      </w:tr>
      <w:tr>
        <w:tblPrEx>
          <w:tblLayout w:type="fixed"/>
          <w:tblCellMar>
            <w:top w:w="0" w:type="dxa"/>
            <w:left w:w="108" w:type="dxa"/>
            <w:bottom w:w="0" w:type="dxa"/>
            <w:right w:w="108" w:type="dxa"/>
          </w:tblCellMar>
        </w:tblPrEx>
        <w:trPr>
          <w:trHeight w:val="2268"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5</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生物多样性监测体系建设项目</w:t>
            </w:r>
          </w:p>
          <w:p>
            <w:pPr>
              <w:widowControl/>
              <w:ind w:firstLine="480"/>
              <w:rPr>
                <w:rFonts w:eastAsia="楷体_GB2312"/>
                <w:kern w:val="0"/>
                <w:sz w:val="24"/>
                <w:lang w:bidi="ar"/>
              </w:rPr>
            </w:pPr>
            <w:r>
              <w:rPr>
                <w:rFonts w:hint="eastAsia" w:eastAsia="楷体_GB2312"/>
                <w:sz w:val="24"/>
              </w:rPr>
              <w:t>建设武陵山脉生物多样性监测示范项目。在武陵山脉、南岭山脉、雪峰山脉、罗霄山脉、衡山和洞庭湖建设国家重点保护野生动植物野外监测点，在全省建设候鸟观测与保护标准化站点</w:t>
            </w:r>
            <w:r>
              <w:rPr>
                <w:rFonts w:eastAsia="楷体_GB2312"/>
                <w:sz w:val="24"/>
              </w:rPr>
              <w:t>15</w:t>
            </w:r>
            <w:r>
              <w:rPr>
                <w:rFonts w:hint="eastAsia" w:eastAsia="楷体_GB2312"/>
                <w:sz w:val="24"/>
              </w:rPr>
              <w:t>处，建立省级生物多样性监测信息管理系统</w:t>
            </w:r>
            <w:r>
              <w:rPr>
                <w:rFonts w:eastAsia="楷体_GB2312"/>
                <w:sz w:val="24"/>
              </w:rPr>
              <w:t>1</w:t>
            </w:r>
            <w:r>
              <w:rPr>
                <w:rFonts w:hint="eastAsia" w:eastAsia="楷体_GB2312"/>
                <w:sz w:val="24"/>
              </w:rPr>
              <w:t>套，建立监测指标体系和监测数据采集、传输标准，逐步建立全省珍稀濒危野生动植物资源野外监测体系。</w:t>
            </w:r>
          </w:p>
        </w:tc>
      </w:tr>
      <w:tr>
        <w:tblPrEx>
          <w:tblLayout w:type="fixed"/>
          <w:tblCellMar>
            <w:top w:w="0" w:type="dxa"/>
            <w:left w:w="108" w:type="dxa"/>
            <w:bottom w:w="0" w:type="dxa"/>
            <w:right w:w="108" w:type="dxa"/>
          </w:tblCellMar>
        </w:tblPrEx>
        <w:trPr>
          <w:trHeight w:val="5493"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6</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国家重点保护野生动植物资源保护与利用项目</w:t>
            </w:r>
          </w:p>
          <w:p>
            <w:pPr>
              <w:widowControl/>
              <w:ind w:firstLine="482"/>
              <w:rPr>
                <w:rFonts w:eastAsia="楷体_GB2312"/>
                <w:sz w:val="24"/>
              </w:rPr>
            </w:pPr>
            <w:r>
              <w:rPr>
                <w:rFonts w:hint="eastAsia" w:eastAsia="楷体_GB2312"/>
                <w:sz w:val="24"/>
              </w:rPr>
              <w:t>在野生动植物的重要栖息地和生境，实施国家重点保护的野生动物、植物种群数量保有和栖息地（生境）保护与修复工程，实施中华穿山甲、林麝、莽山烙铁头蛇、华南虎等珍稀濒危野生动物遗传多样性资源保存、近自然繁育和野外回归驯化项目；建立兰科等有重要生态价值、社会价值、经济价值的野生植物种群的繁育和野外回归实验基地。分年度实施野生动植物资源保护项目</w:t>
            </w:r>
            <w:r>
              <w:rPr>
                <w:rFonts w:eastAsia="楷体_GB2312"/>
                <w:sz w:val="24"/>
              </w:rPr>
              <w:t>1</w:t>
            </w:r>
            <w:r>
              <w:rPr>
                <w:rFonts w:hint="eastAsia" w:eastAsia="楷体_GB2312"/>
                <w:sz w:val="24"/>
              </w:rPr>
              <w:t>～</w:t>
            </w:r>
            <w:r>
              <w:rPr>
                <w:rFonts w:eastAsia="楷体_GB2312"/>
                <w:sz w:val="24"/>
              </w:rPr>
              <w:t>3</w:t>
            </w:r>
            <w:r>
              <w:rPr>
                <w:rFonts w:hint="eastAsia" w:eastAsia="楷体_GB2312"/>
                <w:sz w:val="24"/>
              </w:rPr>
              <w:t>个。</w:t>
            </w:r>
          </w:p>
          <w:p>
            <w:pPr>
              <w:widowControl/>
              <w:ind w:firstLine="480"/>
              <w:rPr>
                <w:rFonts w:eastAsia="楷体_GB2312"/>
                <w:sz w:val="24"/>
              </w:rPr>
            </w:pPr>
            <w:r>
              <w:rPr>
                <w:rFonts w:hint="eastAsia" w:eastAsia="楷体_GB2312"/>
                <w:sz w:val="24"/>
              </w:rPr>
              <w:t>支持有一定基础的企事业单位或公司、社会组织等实施珍稀濒危野生动植物繁育、培植、回归和资源价值开发利用研究，重点实施珍稀动物植物大型真菌和兰科植物保护、动物园野生动物救护繁育能力提升，通过近地保护、迁地保护扩大种群规模，保护生物种群多样性和遗传多样性。支持发展野生动植物资源中医药利用、产品研发、技术推广等项目，支持在实施乡村振兴战略中开展野生动物观赏展演试点，支持相关单位对具有较大医药用价值的物种开展人工繁育研究攻关，逐步突破可持续利用的资源瓶颈，建设生物多样性保护重点实验室。实施生物多样性保护宣传与教育工程，提高公众生物多样性保护意识。</w:t>
            </w:r>
          </w:p>
        </w:tc>
      </w:tr>
      <w:tr>
        <w:tblPrEx>
          <w:tblLayout w:type="fixed"/>
          <w:tblCellMar>
            <w:top w:w="0" w:type="dxa"/>
            <w:left w:w="108" w:type="dxa"/>
            <w:bottom w:w="0" w:type="dxa"/>
            <w:right w:w="108" w:type="dxa"/>
          </w:tblCellMar>
        </w:tblPrEx>
        <w:trPr>
          <w:trHeight w:val="2511"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7</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野生动物疫病与生物安全体系建设项目</w:t>
            </w:r>
          </w:p>
          <w:p>
            <w:pPr>
              <w:widowControl/>
              <w:ind w:firstLine="480"/>
              <w:rPr>
                <w:kern w:val="0"/>
                <w:sz w:val="24"/>
                <w:lang w:bidi="ar"/>
              </w:rPr>
            </w:pPr>
            <w:r>
              <w:rPr>
                <w:rFonts w:hint="eastAsia" w:eastAsia="楷体_GB2312"/>
                <w:sz w:val="24"/>
              </w:rPr>
              <w:t>提升湖南省陆生野生动物疫源疫病监测预警防控体系能力，建立健全陆生野生动物疫源疫病监测预警防控信息管理平台，做到实时监测，快速预警，及时防控。围绕</w:t>
            </w:r>
            <w:r>
              <w:rPr>
                <w:rFonts w:eastAsia="楷体_GB2312"/>
                <w:sz w:val="24"/>
              </w:rPr>
              <w:t>“</w:t>
            </w:r>
            <w:r>
              <w:rPr>
                <w:rFonts w:hint="eastAsia" w:eastAsia="楷体_GB2312"/>
                <w:sz w:val="24"/>
              </w:rPr>
              <w:t>一核四区</w:t>
            </w:r>
            <w:r>
              <w:rPr>
                <w:rFonts w:eastAsia="楷体_GB2312"/>
                <w:sz w:val="24"/>
              </w:rPr>
              <w:t>”</w:t>
            </w:r>
            <w:r>
              <w:rPr>
                <w:rFonts w:hint="eastAsia" w:eastAsia="楷体_GB2312"/>
                <w:sz w:val="24"/>
              </w:rPr>
              <w:t>，即洞庭湖区、长株潭绿心、武陵</w:t>
            </w:r>
            <w:r>
              <w:rPr>
                <w:rFonts w:eastAsia="楷体_GB2312"/>
                <w:sz w:val="24"/>
              </w:rPr>
              <w:t>-</w:t>
            </w:r>
            <w:r>
              <w:rPr>
                <w:rFonts w:hint="eastAsia" w:eastAsia="楷体_GB2312"/>
                <w:sz w:val="24"/>
              </w:rPr>
              <w:t>雪峰山脉、罗霄</w:t>
            </w:r>
            <w:r>
              <w:rPr>
                <w:rFonts w:eastAsia="楷体_GB2312"/>
                <w:sz w:val="24"/>
              </w:rPr>
              <w:t>-</w:t>
            </w:r>
            <w:r>
              <w:rPr>
                <w:rFonts w:hint="eastAsia" w:eastAsia="楷体_GB2312"/>
                <w:sz w:val="24"/>
              </w:rPr>
              <w:t>幕阜山脉、南岭山脉四大生态功能区，建立陆生野生动物疫源疫病省、市、县检验检疫监测点，建立</w:t>
            </w:r>
            <w:r>
              <w:rPr>
                <w:rFonts w:eastAsia="楷体_GB2312"/>
                <w:sz w:val="24"/>
              </w:rPr>
              <w:t>1</w:t>
            </w:r>
            <w:r>
              <w:rPr>
                <w:rFonts w:hint="eastAsia" w:eastAsia="楷体_GB2312"/>
                <w:sz w:val="24"/>
              </w:rPr>
              <w:t>处省级陆生野生动物疫源疫病检测实验室。</w:t>
            </w:r>
          </w:p>
        </w:tc>
      </w:tr>
      <w:tr>
        <w:tblPrEx>
          <w:tblLayout w:type="fixed"/>
          <w:tblCellMar>
            <w:top w:w="0" w:type="dxa"/>
            <w:left w:w="108" w:type="dxa"/>
            <w:bottom w:w="0" w:type="dxa"/>
            <w:right w:w="108" w:type="dxa"/>
          </w:tblCellMar>
        </w:tblPrEx>
        <w:trPr>
          <w:trHeight w:val="1722"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8</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国家重点保护野生动物救护繁育站点建设项目</w:t>
            </w:r>
          </w:p>
          <w:p>
            <w:pPr>
              <w:widowControl/>
              <w:ind w:firstLine="480"/>
              <w:rPr>
                <w:kern w:val="0"/>
                <w:sz w:val="24"/>
                <w:lang w:bidi="ar"/>
              </w:rPr>
            </w:pPr>
            <w:r>
              <w:rPr>
                <w:rFonts w:hint="eastAsia" w:eastAsia="楷体_GB2312"/>
                <w:sz w:val="24"/>
              </w:rPr>
              <w:t>收容、救护、保存公民和办案单位移送的野生动物。新建或改造</w:t>
            </w:r>
            <w:r>
              <w:rPr>
                <w:rFonts w:eastAsia="楷体_GB2312"/>
                <w:sz w:val="24"/>
              </w:rPr>
              <w:t>18</w:t>
            </w:r>
            <w:r>
              <w:rPr>
                <w:rFonts w:hint="eastAsia" w:eastAsia="楷体_GB2312"/>
                <w:sz w:val="24"/>
              </w:rPr>
              <w:t>个野生动物救护繁育站点，配备救护基础设施设备和场地。提质改造省野生动物救护繁殖中心站。</w:t>
            </w:r>
          </w:p>
        </w:tc>
      </w:tr>
      <w:bookmarkEnd w:id="116"/>
      <w:bookmarkEnd w:id="119"/>
    </w:tbl>
    <w:p>
      <w:pPr>
        <w:pStyle w:val="6"/>
        <w:ind w:firstLine="640" w:firstLineChars="200"/>
        <w:rPr>
          <w:rStyle w:val="30"/>
          <w:rFonts w:eastAsia="楷体"/>
          <w:b w:val="0"/>
          <w:bCs w:val="0"/>
        </w:rPr>
      </w:pPr>
      <w:bookmarkStart w:id="145" w:name="_Toc40077754"/>
      <w:bookmarkStart w:id="146" w:name="_Toc76396509"/>
      <w:bookmarkStart w:id="147" w:name="_Toc78381447"/>
      <w:r>
        <w:rPr>
          <w:rStyle w:val="30"/>
          <w:rFonts w:eastAsia="楷体"/>
        </w:rPr>
        <w:t>4.1.</w:t>
      </w:r>
      <w:r>
        <w:rPr>
          <w:rStyle w:val="30"/>
          <w:rFonts w:eastAsia="楷体"/>
          <w:lang w:val="en-US"/>
        </w:rPr>
        <w:t xml:space="preserve">12 </w:t>
      </w:r>
      <w:r>
        <w:rPr>
          <w:rStyle w:val="30"/>
          <w:rFonts w:hint="eastAsia" w:eastAsia="楷体"/>
        </w:rPr>
        <w:t>天然林（公益林）保护修复</w:t>
      </w:r>
      <w:bookmarkEnd w:id="145"/>
      <w:r>
        <w:rPr>
          <w:rStyle w:val="30"/>
          <w:rFonts w:hint="eastAsia" w:eastAsia="楷体"/>
        </w:rPr>
        <w:t>工程</w:t>
      </w:r>
      <w:bookmarkEnd w:id="146"/>
      <w:bookmarkEnd w:id="147"/>
    </w:p>
    <w:p>
      <w:pPr>
        <w:pStyle w:val="93"/>
        <w:spacing w:line="560" w:lineRule="exact"/>
        <w:ind w:firstLine="640"/>
        <w:rPr>
          <w:sz w:val="32"/>
          <w:szCs w:val="32"/>
        </w:rPr>
      </w:pPr>
      <w:bookmarkStart w:id="148" w:name="_Toc40077755"/>
      <w:r>
        <w:rPr>
          <w:rFonts w:hint="eastAsia"/>
          <w:sz w:val="32"/>
          <w:szCs w:val="32"/>
        </w:rPr>
        <w:t>（</w:t>
      </w:r>
      <w:r>
        <w:rPr>
          <w:sz w:val="32"/>
          <w:szCs w:val="32"/>
        </w:rPr>
        <w:t>1</w:t>
      </w:r>
      <w:r>
        <w:rPr>
          <w:rFonts w:hint="eastAsia"/>
          <w:sz w:val="32"/>
          <w:szCs w:val="32"/>
        </w:rPr>
        <w:t>）天然林保护</w:t>
      </w:r>
      <w:bookmarkEnd w:id="148"/>
      <w:r>
        <w:rPr>
          <w:rFonts w:hint="eastAsia"/>
          <w:sz w:val="32"/>
          <w:szCs w:val="32"/>
        </w:rPr>
        <w:t>修复项目</w:t>
      </w:r>
    </w:p>
    <w:p>
      <w:pPr>
        <w:pStyle w:val="93"/>
        <w:spacing w:line="560" w:lineRule="exact"/>
        <w:ind w:firstLine="640"/>
        <w:rPr>
          <w:sz w:val="32"/>
          <w:szCs w:val="32"/>
        </w:rPr>
      </w:pPr>
      <w:r>
        <w:rPr>
          <w:rFonts w:hint="eastAsia"/>
          <w:sz w:val="32"/>
          <w:szCs w:val="32"/>
        </w:rPr>
        <w:t>全面保护天然林，确定天然林保护重点区域，实现天然林保护与公益林管理并轨，严管天然林地转为其他地类。开展天然林专项调查，查清我省天然林和天然林后备资源的分布范围和面积。建立和完善天然林数据库。科学编制湖南省天然林保护修复中长期发展规划，加强天然林等管护能力建设。健全天然林监测网络，开展天然林保护修复监测评估。对国有天然商品林停止商业性采伐，对集体或个人承包经营的天然商品林实行协议停伐。加大天然公益林建设和天然林后背资源培育力度。加强天然商品林的封禁性保护、生态性培育和可持续经营。</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）公益林保护修复项目</w:t>
      </w:r>
    </w:p>
    <w:p>
      <w:pPr>
        <w:pStyle w:val="93"/>
        <w:spacing w:line="560" w:lineRule="exact"/>
        <w:ind w:firstLine="640"/>
        <w:rPr>
          <w:sz w:val="32"/>
          <w:szCs w:val="32"/>
        </w:rPr>
      </w:pPr>
      <w:r>
        <w:rPr>
          <w:rFonts w:hint="eastAsia"/>
          <w:sz w:val="32"/>
          <w:szCs w:val="32"/>
        </w:rPr>
        <w:t>加强省级以上公益林的保护管理，实现公益林管理与天然林保护并轨。优化公益林布局，在符合公益林生态区位保护要求和不影响公益林生态功能的前提下，合理利用公益林林地资源和森林景观资源，适度开展林下经济、森林旅游等。天然公益林禁止商业性采伐，加强公益林的抚育、保护与管理，加强森林生态效益补偿资金的发放和使用管理，争取公益林保护修复资金</w:t>
      </w:r>
      <w:r>
        <w:rPr>
          <w:sz w:val="32"/>
          <w:szCs w:val="32"/>
        </w:rPr>
        <w:t>20</w:t>
      </w:r>
      <w:r>
        <w:rPr>
          <w:rFonts w:hint="eastAsia"/>
          <w:sz w:val="32"/>
          <w:szCs w:val="32"/>
        </w:rPr>
        <w:t>亿元以上。实现公益林管护全覆盖，对公益林中生态功能低下的疏林、残次林等低质低效林，采取林分改造、森林抚育等措施，全面提升公益林森林质量和生态服务功能。</w:t>
      </w:r>
    </w:p>
    <w:p>
      <w:pPr>
        <w:pStyle w:val="6"/>
        <w:ind w:firstLine="640" w:firstLineChars="200"/>
        <w:rPr>
          <w:rStyle w:val="30"/>
          <w:rFonts w:eastAsia="楷体"/>
          <w:b w:val="0"/>
          <w:bCs w:val="0"/>
        </w:rPr>
      </w:pPr>
      <w:bookmarkStart w:id="149" w:name="_Toc40077757"/>
      <w:bookmarkStart w:id="150" w:name="_Toc78381448"/>
      <w:bookmarkStart w:id="151" w:name="_Toc76396510"/>
      <w:r>
        <w:rPr>
          <w:rStyle w:val="30"/>
          <w:rFonts w:eastAsia="楷体"/>
        </w:rPr>
        <w:t>4.1.</w:t>
      </w:r>
      <w:r>
        <w:rPr>
          <w:rStyle w:val="30"/>
          <w:rFonts w:eastAsia="楷体"/>
          <w:lang w:val="en-US"/>
        </w:rPr>
        <w:t xml:space="preserve">13 </w:t>
      </w:r>
      <w:r>
        <w:rPr>
          <w:rStyle w:val="30"/>
          <w:rFonts w:hint="eastAsia" w:eastAsia="楷体"/>
        </w:rPr>
        <w:t>湿地保护修复</w:t>
      </w:r>
      <w:bookmarkEnd w:id="149"/>
      <w:r>
        <w:rPr>
          <w:rStyle w:val="30"/>
          <w:rFonts w:hint="eastAsia" w:eastAsia="楷体"/>
        </w:rPr>
        <w:t>工程</w:t>
      </w:r>
      <w:bookmarkEnd w:id="150"/>
      <w:bookmarkEnd w:id="151"/>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）洞庭湖湿地保护修复项目</w:t>
      </w:r>
    </w:p>
    <w:p>
      <w:pPr>
        <w:pStyle w:val="93"/>
        <w:spacing w:line="560" w:lineRule="exact"/>
        <w:ind w:firstLine="640"/>
        <w:rPr>
          <w:sz w:val="32"/>
          <w:szCs w:val="32"/>
        </w:rPr>
      </w:pPr>
      <w:r>
        <w:rPr>
          <w:rFonts w:hint="eastAsia"/>
          <w:sz w:val="32"/>
          <w:szCs w:val="32"/>
        </w:rPr>
        <w:t>以保护洞庭湖生态环境整体性、恢复洞庭湖湿地生态系统结构完整性、湿地生态系统原真性以及提升洞庭湖湿地生态系统服务功能为目标，重点抓好国家林草局提出的国际重要湿地（湖南东洞庭湖、湖南南洞庭湖湿地和水禽自然保护区、湖南西洞庭湖自然保护区）保护修复工作，推动岳阳市和长沙市的</w:t>
      </w:r>
      <w:r>
        <w:rPr>
          <w:sz w:val="32"/>
          <w:szCs w:val="32"/>
        </w:rPr>
        <w:t>“</w:t>
      </w:r>
      <w:r>
        <w:rPr>
          <w:rFonts w:hint="eastAsia"/>
          <w:sz w:val="32"/>
          <w:szCs w:val="32"/>
        </w:rPr>
        <w:t>洞庭湖流域河湖湿地生态保护和恢复工程</w:t>
      </w:r>
      <w:r>
        <w:rPr>
          <w:sz w:val="32"/>
          <w:szCs w:val="32"/>
        </w:rPr>
        <w:t>”</w:t>
      </w:r>
      <w:r>
        <w:rPr>
          <w:rFonts w:hint="eastAsia"/>
          <w:sz w:val="32"/>
          <w:szCs w:val="32"/>
        </w:rPr>
        <w:t>，加大洞庭湖区省级以上重要湿地（国际、国家、省级重要湿地）、湿地公园、湿地类型自然保护区保护修复力度，通过植被恢复、水系优化、湿地生境修复、生态矮围提质改造等技术措施，恢复湿地生态系统结构完整性，提升湿地生态系统稳定性，增强湿地生态服务功能。</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w:t>
      </w:r>
      <w:r>
        <w:rPr>
          <w:sz w:val="32"/>
          <w:szCs w:val="32"/>
        </w:rPr>
        <w:t>“</w:t>
      </w:r>
      <w:r>
        <w:rPr>
          <w:rFonts w:hint="eastAsia"/>
          <w:sz w:val="32"/>
          <w:szCs w:val="32"/>
        </w:rPr>
        <w:t>四水</w:t>
      </w:r>
      <w:r>
        <w:rPr>
          <w:sz w:val="32"/>
          <w:szCs w:val="32"/>
        </w:rPr>
        <w:t>”</w:t>
      </w:r>
      <w:r>
        <w:rPr>
          <w:rFonts w:hint="eastAsia"/>
          <w:sz w:val="32"/>
          <w:szCs w:val="32"/>
        </w:rPr>
        <w:t>流域湿地保护修复项目</w:t>
      </w:r>
    </w:p>
    <w:p>
      <w:pPr>
        <w:pStyle w:val="93"/>
        <w:spacing w:line="560" w:lineRule="exact"/>
        <w:ind w:firstLine="640"/>
        <w:rPr>
          <w:sz w:val="32"/>
          <w:szCs w:val="32"/>
        </w:rPr>
      </w:pPr>
      <w:r>
        <w:rPr>
          <w:rFonts w:hint="eastAsia"/>
          <w:sz w:val="32"/>
          <w:szCs w:val="32"/>
        </w:rPr>
        <w:t>加大</w:t>
      </w:r>
      <w:r>
        <w:rPr>
          <w:sz w:val="32"/>
          <w:szCs w:val="32"/>
        </w:rPr>
        <w:t>“</w:t>
      </w:r>
      <w:r>
        <w:rPr>
          <w:rFonts w:hint="eastAsia"/>
          <w:sz w:val="32"/>
          <w:szCs w:val="32"/>
        </w:rPr>
        <w:t>四水</w:t>
      </w:r>
      <w:r>
        <w:rPr>
          <w:sz w:val="32"/>
          <w:szCs w:val="32"/>
        </w:rPr>
        <w:t>”</w:t>
      </w:r>
      <w:r>
        <w:rPr>
          <w:rFonts w:hint="eastAsia"/>
          <w:sz w:val="32"/>
          <w:szCs w:val="32"/>
        </w:rPr>
        <w:t>流域省级以上重要湿地、湿地公园、湿地类型自然保护区湿地保护与修复力度，通过开展退化湿地恢复和生态系统重建、湿地野生动物栖息地恢复、湿地外来入侵物种治理等措施，提高</w:t>
      </w:r>
      <w:r>
        <w:rPr>
          <w:sz w:val="32"/>
          <w:szCs w:val="32"/>
        </w:rPr>
        <w:t>“</w:t>
      </w:r>
      <w:r>
        <w:rPr>
          <w:rFonts w:hint="eastAsia"/>
          <w:sz w:val="32"/>
          <w:szCs w:val="32"/>
        </w:rPr>
        <w:t>四水</w:t>
      </w:r>
      <w:r>
        <w:rPr>
          <w:sz w:val="32"/>
          <w:szCs w:val="32"/>
        </w:rPr>
        <w:t>”</w:t>
      </w:r>
      <w:r>
        <w:rPr>
          <w:rFonts w:hint="eastAsia"/>
          <w:sz w:val="32"/>
          <w:szCs w:val="32"/>
        </w:rPr>
        <w:t>流域湿地保护管理能力和水平。同时加强国家林草局提出的国家重要湿地（湖南衡阳江口鸟洲、湖南宜章莽山浪畔湖）保护修复工作。</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）退耕还湿和小微湿地建设项目</w:t>
      </w:r>
    </w:p>
    <w:p>
      <w:pPr>
        <w:pStyle w:val="93"/>
        <w:spacing w:line="560" w:lineRule="exact"/>
        <w:ind w:firstLine="640"/>
        <w:rPr>
          <w:sz w:val="32"/>
          <w:szCs w:val="32"/>
        </w:rPr>
      </w:pPr>
      <w:r>
        <w:rPr>
          <w:rFonts w:hint="eastAsia"/>
          <w:sz w:val="32"/>
          <w:szCs w:val="32"/>
        </w:rPr>
        <w:t>在全面保护湿地资源的基础上，结合退耕还湿、国家湿地公园建设和乡村振兴战略实施，继续推进退耕还湿、小微湿地保护与建设工作，开展小微湿地生境恢复和生态景观功能提质，强化小微湿地水源涵养和净化能力，从源头消减农业面源污染，净化水质，提升湿地与水生态环境的景观及生物多样性。</w:t>
      </w:r>
    </w:p>
    <w:p>
      <w:pPr>
        <w:pStyle w:val="93"/>
        <w:spacing w:line="560" w:lineRule="exact"/>
        <w:ind w:firstLine="640"/>
        <w:rPr>
          <w:sz w:val="32"/>
          <w:szCs w:val="32"/>
        </w:rPr>
      </w:pPr>
    </w:p>
    <w:tbl>
      <w:tblPr>
        <w:tblStyle w:val="36"/>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0"/>
        <w:gridCol w:w="79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5" w:hRule="atLeast"/>
          <w:tblHeader/>
          <w:jc w:val="center"/>
        </w:trPr>
        <w:tc>
          <w:tcPr>
            <w:tcW w:w="8505" w:type="dxa"/>
            <w:gridSpan w:val="2"/>
            <w:tcBorders>
              <w:top w:val="single" w:color="auto" w:sz="4" w:space="0"/>
              <w:left w:val="single" w:color="auto" w:sz="4" w:space="0"/>
              <w:bottom w:val="single" w:color="auto" w:sz="6"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4 </w:t>
            </w:r>
            <w:r>
              <w:rPr>
                <w:rFonts w:hint="eastAsia" w:eastAsia="方正小标宋_GBK"/>
                <w:lang w:val="en-US"/>
              </w:rPr>
              <w:t>湿地保护修复</w:t>
            </w:r>
            <w:r>
              <w:rPr>
                <w:rFonts w:hint="eastAsia" w:eastAsia="方正小标宋_GBK"/>
              </w:rPr>
              <w:t>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23" w:hRule="atLeast"/>
          <w:jc w:val="center"/>
        </w:trPr>
        <w:tc>
          <w:tcPr>
            <w:tcW w:w="600" w:type="dxa"/>
            <w:tcBorders>
              <w:top w:val="single" w:color="auto" w:sz="6" w:space="0"/>
              <w:left w:val="single" w:color="auto" w:sz="4" w:space="0"/>
              <w:bottom w:val="single" w:color="auto" w:sz="6" w:space="0"/>
              <w:right w:val="single" w:color="auto" w:sz="6" w:space="0"/>
            </w:tcBorders>
            <w:vAlign w:val="center"/>
          </w:tcPr>
          <w:p>
            <w:pPr>
              <w:widowControl/>
              <w:jc w:val="center"/>
              <w:rPr>
                <w:kern w:val="0"/>
                <w:sz w:val="24"/>
              </w:rPr>
            </w:pPr>
            <w:r>
              <w:rPr>
                <w:kern w:val="0"/>
                <w:sz w:val="24"/>
              </w:rPr>
              <w:t>1</w:t>
            </w:r>
          </w:p>
        </w:tc>
        <w:tc>
          <w:tcPr>
            <w:tcW w:w="7905" w:type="dxa"/>
            <w:tcBorders>
              <w:top w:val="single" w:color="auto" w:sz="6" w:space="0"/>
              <w:left w:val="single" w:color="auto" w:sz="6" w:space="0"/>
              <w:bottom w:val="single" w:color="auto" w:sz="6" w:space="0"/>
              <w:right w:val="single" w:color="auto" w:sz="4" w:space="0"/>
            </w:tcBorders>
            <w:vAlign w:val="center"/>
          </w:tcPr>
          <w:p>
            <w:pPr>
              <w:ind w:firstLine="480" w:firstLineChars="200"/>
              <w:rPr>
                <w:rFonts w:eastAsia="方正小标宋_GBK"/>
                <w:sz w:val="24"/>
              </w:rPr>
            </w:pPr>
            <w:r>
              <w:rPr>
                <w:rFonts w:hint="eastAsia" w:eastAsia="方正小标宋_GBK"/>
                <w:sz w:val="24"/>
              </w:rPr>
              <w:t>洞庭湖湿地保护修复项目</w:t>
            </w:r>
          </w:p>
          <w:p>
            <w:pPr>
              <w:widowControl/>
              <w:rPr>
                <w:rFonts w:eastAsia="楷体_GB2312"/>
              </w:rPr>
            </w:pPr>
            <w:r>
              <w:rPr>
                <w:rFonts w:eastAsia="楷体_GB2312"/>
                <w:sz w:val="24"/>
              </w:rPr>
              <w:t xml:space="preserve">    </w:t>
            </w:r>
            <w:r>
              <w:rPr>
                <w:rFonts w:hint="eastAsia" w:eastAsia="楷体_GB2312"/>
                <w:sz w:val="24"/>
              </w:rPr>
              <w:t>洞庭湖区退化湿地恢复和生态系统重建</w:t>
            </w:r>
            <w:r>
              <w:rPr>
                <w:rFonts w:eastAsia="楷体_GB2312"/>
                <w:sz w:val="24"/>
              </w:rPr>
              <w:t>1.2</w:t>
            </w:r>
            <w:r>
              <w:rPr>
                <w:rFonts w:hint="eastAsia" w:eastAsia="楷体_GB2312"/>
                <w:sz w:val="24"/>
              </w:rPr>
              <w:t>万公顷，恢复湿地野生动物栖息地</w:t>
            </w:r>
            <w:r>
              <w:rPr>
                <w:rFonts w:eastAsia="楷体_GB2312"/>
                <w:sz w:val="24"/>
              </w:rPr>
              <w:t>1</w:t>
            </w:r>
            <w:r>
              <w:rPr>
                <w:rFonts w:hint="eastAsia" w:eastAsia="楷体_GB2312"/>
                <w:sz w:val="24"/>
              </w:rPr>
              <w:t>万公顷，湿地外来入侵物种治理面积</w:t>
            </w:r>
            <w:r>
              <w:rPr>
                <w:rFonts w:eastAsia="楷体_GB2312"/>
                <w:sz w:val="24"/>
              </w:rPr>
              <w:t>2000</w:t>
            </w:r>
            <w:r>
              <w:rPr>
                <w:rFonts w:hint="eastAsia" w:eastAsia="楷体_GB2312"/>
                <w:sz w:val="24"/>
              </w:rPr>
              <w:t>公顷，对现有</w:t>
            </w:r>
            <w:r>
              <w:rPr>
                <w:rFonts w:eastAsia="楷体_GB2312"/>
                <w:sz w:val="24"/>
              </w:rPr>
              <w:t>14</w:t>
            </w:r>
            <w:r>
              <w:rPr>
                <w:rFonts w:hint="eastAsia" w:eastAsia="楷体_GB2312"/>
                <w:sz w:val="24"/>
              </w:rPr>
              <w:t>处生态矮围提质改造，提高保护管理能力和水平。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49" w:hRule="atLeast"/>
          <w:jc w:val="center"/>
        </w:trPr>
        <w:tc>
          <w:tcPr>
            <w:tcW w:w="600" w:type="dxa"/>
            <w:tcBorders>
              <w:top w:val="single" w:color="auto" w:sz="6" w:space="0"/>
              <w:left w:val="single" w:color="auto" w:sz="4" w:space="0"/>
              <w:bottom w:val="single" w:color="auto" w:sz="6" w:space="0"/>
              <w:right w:val="single" w:color="auto" w:sz="6" w:space="0"/>
            </w:tcBorders>
            <w:vAlign w:val="center"/>
          </w:tcPr>
          <w:p>
            <w:pPr>
              <w:widowControl/>
              <w:jc w:val="center"/>
              <w:rPr>
                <w:kern w:val="0"/>
                <w:sz w:val="24"/>
              </w:rPr>
            </w:pPr>
            <w:r>
              <w:rPr>
                <w:kern w:val="0"/>
                <w:sz w:val="24"/>
              </w:rPr>
              <w:t>2</w:t>
            </w:r>
          </w:p>
        </w:tc>
        <w:tc>
          <w:tcPr>
            <w:tcW w:w="7905" w:type="dxa"/>
            <w:tcBorders>
              <w:top w:val="single" w:color="auto" w:sz="6" w:space="0"/>
              <w:left w:val="single" w:color="auto" w:sz="6" w:space="0"/>
              <w:bottom w:val="single" w:color="auto" w:sz="6" w:space="0"/>
              <w:right w:val="single" w:color="auto" w:sz="4" w:space="0"/>
            </w:tcBorders>
            <w:vAlign w:val="center"/>
          </w:tcPr>
          <w:p>
            <w:pPr>
              <w:ind w:firstLine="480" w:firstLineChars="200"/>
              <w:rPr>
                <w:rFonts w:eastAsia="方正小标宋_GBK"/>
                <w:sz w:val="24"/>
              </w:rPr>
            </w:pPr>
            <w:r>
              <w:rPr>
                <w:rFonts w:eastAsia="方正小标宋_GBK"/>
                <w:sz w:val="24"/>
              </w:rPr>
              <w:t>“</w:t>
            </w:r>
            <w:r>
              <w:rPr>
                <w:rFonts w:hint="eastAsia" w:eastAsia="方正小标宋_GBK"/>
                <w:sz w:val="24"/>
              </w:rPr>
              <w:t>四水</w:t>
            </w:r>
            <w:r>
              <w:rPr>
                <w:rFonts w:eastAsia="方正小标宋_GBK"/>
                <w:sz w:val="24"/>
              </w:rPr>
              <w:t>”</w:t>
            </w:r>
            <w:r>
              <w:rPr>
                <w:rFonts w:hint="eastAsia" w:eastAsia="方正小标宋_GBK"/>
                <w:sz w:val="24"/>
              </w:rPr>
              <w:t>流域湿地保护修复项目</w:t>
            </w:r>
          </w:p>
          <w:p>
            <w:pPr>
              <w:ind w:firstLine="480" w:firstLineChars="200"/>
              <w:rPr>
                <w:kern w:val="0"/>
                <w:sz w:val="24"/>
                <w:lang w:bidi="ar"/>
              </w:rPr>
            </w:pPr>
            <w:r>
              <w:rPr>
                <w:rFonts w:eastAsia="楷体_GB2312"/>
                <w:sz w:val="24"/>
              </w:rPr>
              <w:t>“</w:t>
            </w:r>
            <w:r>
              <w:rPr>
                <w:rFonts w:hint="eastAsia" w:eastAsia="楷体_GB2312"/>
                <w:sz w:val="24"/>
              </w:rPr>
              <w:t>四水</w:t>
            </w:r>
            <w:r>
              <w:rPr>
                <w:rFonts w:eastAsia="楷体_GB2312"/>
                <w:sz w:val="24"/>
              </w:rPr>
              <w:t>”</w:t>
            </w:r>
            <w:r>
              <w:rPr>
                <w:rFonts w:hint="eastAsia" w:eastAsia="楷体_GB2312"/>
                <w:sz w:val="24"/>
              </w:rPr>
              <w:t>流域省级以上湿地公园、省重要湿地、湿地类型自然保护区退化湿地恢复和生态系统重建</w:t>
            </w:r>
            <w:r>
              <w:rPr>
                <w:rFonts w:eastAsia="楷体_GB2312"/>
                <w:sz w:val="24"/>
              </w:rPr>
              <w:t>3000</w:t>
            </w:r>
            <w:r>
              <w:rPr>
                <w:rFonts w:hint="eastAsia" w:eastAsia="楷体_GB2312"/>
                <w:sz w:val="24"/>
              </w:rPr>
              <w:t>公顷，恢复湿地野生动物栖息地</w:t>
            </w:r>
            <w:r>
              <w:rPr>
                <w:rFonts w:eastAsia="楷体_GB2312"/>
                <w:sz w:val="24"/>
              </w:rPr>
              <w:t>1000</w:t>
            </w:r>
            <w:r>
              <w:rPr>
                <w:rFonts w:hint="eastAsia" w:eastAsia="楷体_GB2312"/>
                <w:sz w:val="24"/>
              </w:rPr>
              <w:t>公顷，湿地外来入侵物种治理面积</w:t>
            </w:r>
            <w:r>
              <w:rPr>
                <w:rFonts w:eastAsia="楷体_GB2312"/>
                <w:sz w:val="24"/>
              </w:rPr>
              <w:t>1000</w:t>
            </w:r>
            <w:r>
              <w:rPr>
                <w:rFonts w:hint="eastAsia" w:eastAsia="楷体_GB2312"/>
                <w:sz w:val="24"/>
              </w:rPr>
              <w:t>公顷。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5" w:hRule="atLeast"/>
          <w:jc w:val="center"/>
        </w:trPr>
        <w:tc>
          <w:tcPr>
            <w:tcW w:w="600" w:type="dxa"/>
            <w:tcBorders>
              <w:top w:val="single" w:color="auto" w:sz="6" w:space="0"/>
              <w:left w:val="single" w:color="auto" w:sz="4" w:space="0"/>
              <w:bottom w:val="single" w:color="auto" w:sz="4" w:space="0"/>
              <w:right w:val="single" w:color="auto" w:sz="6" w:space="0"/>
            </w:tcBorders>
            <w:vAlign w:val="center"/>
          </w:tcPr>
          <w:p>
            <w:pPr>
              <w:widowControl/>
              <w:jc w:val="center"/>
              <w:rPr>
                <w:kern w:val="0"/>
                <w:sz w:val="24"/>
              </w:rPr>
            </w:pPr>
            <w:r>
              <w:rPr>
                <w:kern w:val="0"/>
                <w:sz w:val="24"/>
              </w:rPr>
              <w:t>3</w:t>
            </w:r>
          </w:p>
        </w:tc>
        <w:tc>
          <w:tcPr>
            <w:tcW w:w="7905" w:type="dxa"/>
            <w:tcBorders>
              <w:top w:val="single" w:color="auto" w:sz="6" w:space="0"/>
              <w:left w:val="single" w:color="auto" w:sz="6"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退耕还湿和小微湿地建设项目</w:t>
            </w:r>
          </w:p>
          <w:p>
            <w:pPr>
              <w:ind w:firstLine="480" w:firstLineChars="200"/>
              <w:rPr>
                <w:rFonts w:eastAsia="楷体_GB2312"/>
                <w:kern w:val="0"/>
                <w:sz w:val="24"/>
                <w:lang w:bidi="ar"/>
              </w:rPr>
            </w:pPr>
            <w:r>
              <w:rPr>
                <w:rFonts w:hint="eastAsia" w:eastAsia="楷体_GB2312"/>
                <w:sz w:val="24"/>
              </w:rPr>
              <w:t>开展小微湿地建设</w:t>
            </w:r>
            <w:r>
              <w:rPr>
                <w:rFonts w:eastAsia="楷体_GB2312"/>
                <w:sz w:val="24"/>
              </w:rPr>
              <w:t>500</w:t>
            </w:r>
            <w:r>
              <w:rPr>
                <w:rFonts w:hint="eastAsia" w:eastAsia="楷体_GB2312"/>
                <w:sz w:val="24"/>
              </w:rPr>
              <w:t>处，面积</w:t>
            </w:r>
            <w:r>
              <w:rPr>
                <w:rFonts w:eastAsia="楷体_GB2312"/>
                <w:sz w:val="24"/>
              </w:rPr>
              <w:t>4000</w:t>
            </w:r>
            <w:r>
              <w:rPr>
                <w:rFonts w:hint="eastAsia" w:eastAsia="楷体_GB2312"/>
                <w:sz w:val="24"/>
              </w:rPr>
              <w:t>公顷。</w:t>
            </w:r>
          </w:p>
        </w:tc>
      </w:tr>
    </w:tbl>
    <w:p>
      <w:pPr>
        <w:pStyle w:val="6"/>
        <w:ind w:firstLine="640" w:firstLineChars="200"/>
        <w:rPr>
          <w:rStyle w:val="30"/>
          <w:rFonts w:eastAsia="楷体"/>
          <w:b w:val="0"/>
          <w:bCs w:val="0"/>
        </w:rPr>
      </w:pPr>
      <w:bookmarkStart w:id="152" w:name="_Toc78381449"/>
      <w:bookmarkStart w:id="153" w:name="_Toc76396519"/>
      <w:r>
        <w:rPr>
          <w:rStyle w:val="30"/>
          <w:rFonts w:eastAsia="楷体"/>
        </w:rPr>
        <w:t>4.1.1</w:t>
      </w:r>
      <w:r>
        <w:rPr>
          <w:rStyle w:val="30"/>
          <w:rFonts w:eastAsia="楷体"/>
          <w:lang w:val="en-US"/>
        </w:rPr>
        <w:t xml:space="preserve">4 </w:t>
      </w:r>
      <w:r>
        <w:rPr>
          <w:rStyle w:val="30"/>
          <w:rFonts w:hint="eastAsia" w:eastAsia="楷体"/>
        </w:rPr>
        <w:t>林草种质资源保护利用工程</w:t>
      </w:r>
      <w:bookmarkEnd w:id="152"/>
      <w:bookmarkEnd w:id="153"/>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）新建国家林木种质资源设施保存库湖南分库。在省林业种苗中心收集保存、研究利用林木种质资源，建设林木种质资源设施保存库及购置配套设施设备。</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）建设一批国家和省级林草种质资源库。新建</w:t>
      </w:r>
      <w:r>
        <w:rPr>
          <w:sz w:val="32"/>
          <w:szCs w:val="32"/>
        </w:rPr>
        <w:t>6</w:t>
      </w:r>
      <w:r>
        <w:rPr>
          <w:rFonts w:hint="eastAsia"/>
          <w:sz w:val="32"/>
          <w:szCs w:val="32"/>
        </w:rPr>
        <w:t>处原地或异地林草种质资源库，并对现有</w:t>
      </w:r>
      <w:r>
        <w:rPr>
          <w:sz w:val="32"/>
          <w:szCs w:val="32"/>
        </w:rPr>
        <w:t>4</w:t>
      </w:r>
      <w:r>
        <w:rPr>
          <w:rFonts w:hint="eastAsia"/>
          <w:sz w:val="32"/>
          <w:szCs w:val="32"/>
        </w:rPr>
        <w:t>处国家级和</w:t>
      </w:r>
      <w:r>
        <w:rPr>
          <w:sz w:val="32"/>
          <w:szCs w:val="32"/>
        </w:rPr>
        <w:t>10</w:t>
      </w:r>
      <w:r>
        <w:rPr>
          <w:rFonts w:hint="eastAsia"/>
          <w:sz w:val="32"/>
          <w:szCs w:val="32"/>
        </w:rPr>
        <w:t>处省级林木种质资源库进行重点建设，主要建设内容包括更新和补充新的种质资源材料，开展基础设施建设等，逐步建立起国家级和省两级为主体的林草种质资源保存体系。</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林木种质资源保护利用。推进全省林草种质资源补充调查，摸清种质资源家底；加强对优质用材树种、生态修复树种、经济林果树种、观赏树种以及具有重要利用价值和潜在利用价值的湿地植物、草种等种质资源的收集保存、鉴定、评价和开发利用研究，为良种选育提供更多种质材料，为国土绿化和生态保护修复提供基础保障。建设林草种质资源信息平台，整合种质资源普查与收集、鉴定与评价等基础数据，实现信息互通共享。</w:t>
      </w:r>
    </w:p>
    <w:p>
      <w:pPr>
        <w:pStyle w:val="6"/>
        <w:ind w:firstLine="640" w:firstLineChars="200"/>
        <w:rPr>
          <w:rStyle w:val="30"/>
          <w:rFonts w:eastAsia="楷体"/>
          <w:b w:val="0"/>
          <w:bCs w:val="0"/>
        </w:rPr>
      </w:pPr>
      <w:bookmarkStart w:id="154" w:name="_Toc40077775"/>
      <w:bookmarkStart w:id="155" w:name="_Toc78381450"/>
      <w:bookmarkStart w:id="156" w:name="_Toc76396520"/>
      <w:bookmarkStart w:id="157" w:name="_Toc40077776"/>
      <w:r>
        <w:rPr>
          <w:rStyle w:val="30"/>
          <w:rFonts w:eastAsia="楷体"/>
        </w:rPr>
        <w:t>4.1.1</w:t>
      </w:r>
      <w:r>
        <w:rPr>
          <w:rStyle w:val="30"/>
          <w:rFonts w:eastAsia="楷体"/>
          <w:lang w:val="en-US"/>
        </w:rPr>
        <w:t xml:space="preserve">5 </w:t>
      </w:r>
      <w:r>
        <w:rPr>
          <w:rStyle w:val="30"/>
          <w:rFonts w:hint="eastAsia" w:eastAsia="楷体"/>
        </w:rPr>
        <w:t>古树名木保护</w:t>
      </w:r>
      <w:bookmarkEnd w:id="154"/>
      <w:r>
        <w:rPr>
          <w:rStyle w:val="30"/>
          <w:rFonts w:hint="eastAsia" w:eastAsia="楷体"/>
        </w:rPr>
        <w:t>工程</w:t>
      </w:r>
      <w:bookmarkEnd w:id="155"/>
      <w:bookmarkEnd w:id="156"/>
    </w:p>
    <w:p>
      <w:pPr>
        <w:pStyle w:val="93"/>
        <w:spacing w:line="560" w:lineRule="exact"/>
        <w:ind w:firstLine="640"/>
        <w:rPr>
          <w:sz w:val="32"/>
          <w:szCs w:val="32"/>
        </w:rPr>
      </w:pPr>
      <w:r>
        <w:rPr>
          <w:rFonts w:hint="eastAsia"/>
          <w:sz w:val="32"/>
          <w:szCs w:val="32"/>
        </w:rPr>
        <w:t>查清</w:t>
      </w:r>
      <w:r>
        <w:rPr>
          <w:sz w:val="32"/>
          <w:szCs w:val="32"/>
        </w:rPr>
        <w:t>14</w:t>
      </w:r>
      <w:r>
        <w:rPr>
          <w:rFonts w:hint="eastAsia"/>
          <w:sz w:val="32"/>
          <w:szCs w:val="32"/>
        </w:rPr>
        <w:t>个市（州）</w:t>
      </w:r>
      <w:r>
        <w:rPr>
          <w:sz w:val="32"/>
          <w:szCs w:val="32"/>
        </w:rPr>
        <w:t>122</w:t>
      </w:r>
      <w:r>
        <w:rPr>
          <w:rFonts w:hint="eastAsia"/>
          <w:sz w:val="32"/>
          <w:szCs w:val="32"/>
        </w:rPr>
        <w:t>个县（市、区）古树名木资源总量、种类、分布状况，开展重要濒危、衰弱古树名木抢救复壮，建设</w:t>
      </w:r>
      <w:r>
        <w:rPr>
          <w:sz w:val="32"/>
          <w:szCs w:val="32"/>
        </w:rPr>
        <w:t>100</w:t>
      </w:r>
      <w:r>
        <w:rPr>
          <w:rFonts w:hint="eastAsia"/>
          <w:sz w:val="32"/>
          <w:szCs w:val="32"/>
        </w:rPr>
        <w:t>个古树名木主题公园，严格保护古树名木及其自然生境。出台《湖南省古树名木保护办法》省政府规章和《湖南省古树名木公园认定管理办法》规范性文件。</w:t>
      </w:r>
    </w:p>
    <w:bookmarkEnd w:id="157"/>
    <w:p>
      <w:pPr>
        <w:pStyle w:val="4"/>
        <w:ind w:firstLine="640" w:firstLineChars="200"/>
        <w:rPr>
          <w:rFonts w:ascii="Times New Roman" w:hAnsi="Times New Roman" w:eastAsia="黑体" w:cs="Times New Roman"/>
          <w:sz w:val="32"/>
          <w:szCs w:val="32"/>
        </w:rPr>
      </w:pPr>
      <w:bookmarkStart w:id="158" w:name="_Toc78296742"/>
      <w:bookmarkStart w:id="159" w:name="_Toc78381451"/>
      <w:bookmarkStart w:id="160" w:name="_Toc76396522"/>
      <w:bookmarkStart w:id="161" w:name="_Toc40077780"/>
      <w:r>
        <w:rPr>
          <w:rFonts w:ascii="Times New Roman" w:hAnsi="Times New Roman" w:eastAsia="黑体" w:cs="Times New Roman"/>
          <w:sz w:val="32"/>
          <w:szCs w:val="32"/>
        </w:rPr>
        <w:t xml:space="preserve">4.2 </w:t>
      </w:r>
      <w:r>
        <w:rPr>
          <w:rFonts w:hint="eastAsia" w:ascii="Times New Roman" w:hAnsi="Times New Roman" w:eastAsia="黑体"/>
          <w:sz w:val="32"/>
          <w:szCs w:val="32"/>
        </w:rPr>
        <w:t>生态产业建设领域</w:t>
      </w:r>
      <w:bookmarkEnd w:id="158"/>
      <w:bookmarkEnd w:id="159"/>
      <w:bookmarkEnd w:id="160"/>
    </w:p>
    <w:p>
      <w:pPr>
        <w:pStyle w:val="6"/>
        <w:ind w:firstLine="640" w:firstLineChars="200"/>
        <w:rPr>
          <w:rStyle w:val="30"/>
          <w:rFonts w:eastAsia="楷体"/>
          <w:b w:val="0"/>
          <w:bCs w:val="0"/>
        </w:rPr>
      </w:pPr>
      <w:bookmarkStart w:id="162" w:name="_Toc40077782"/>
      <w:bookmarkStart w:id="163" w:name="_Toc76396523"/>
      <w:bookmarkStart w:id="164" w:name="_Toc78381452"/>
      <w:r>
        <w:rPr>
          <w:rStyle w:val="30"/>
          <w:rFonts w:eastAsia="楷体"/>
        </w:rPr>
        <w:t xml:space="preserve">4.2.1 </w:t>
      </w:r>
      <w:bookmarkEnd w:id="162"/>
      <w:bookmarkEnd w:id="163"/>
      <w:r>
        <w:rPr>
          <w:rStyle w:val="30"/>
          <w:rFonts w:hint="eastAsia" w:eastAsia="楷体"/>
        </w:rPr>
        <w:t>生态旅游和森林康养产业发展示范工程</w:t>
      </w:r>
      <w:bookmarkEnd w:id="164"/>
    </w:p>
    <w:p>
      <w:pPr>
        <w:pStyle w:val="93"/>
        <w:spacing w:line="560" w:lineRule="exact"/>
        <w:ind w:firstLine="640"/>
        <w:rPr>
          <w:sz w:val="32"/>
          <w:szCs w:val="32"/>
        </w:rPr>
      </w:pPr>
      <w:r>
        <w:rPr>
          <w:rFonts w:hint="eastAsia"/>
          <w:sz w:val="32"/>
          <w:szCs w:val="32"/>
        </w:rPr>
        <w:t>全省构建东部罗霄神奇山水生态旅游区、中部丘陵都市休闲生态旅游区、南部南岭湘江源头生态旅游区、中西部雪峰峻岭风情生态旅游区、西部武陵奇峰秀水生态旅游区和北部环洞庭湖光山色生态旅游区等</w:t>
      </w:r>
      <w:r>
        <w:rPr>
          <w:sz w:val="32"/>
          <w:szCs w:val="32"/>
        </w:rPr>
        <w:t>6</w:t>
      </w:r>
      <w:r>
        <w:rPr>
          <w:rFonts w:hint="eastAsia"/>
          <w:sz w:val="32"/>
          <w:szCs w:val="32"/>
        </w:rPr>
        <w:t>大特色生态旅游区。打造</w:t>
      </w:r>
      <w:r>
        <w:rPr>
          <w:sz w:val="32"/>
          <w:szCs w:val="32"/>
        </w:rPr>
        <w:t>“</w:t>
      </w:r>
      <w:r>
        <w:rPr>
          <w:rFonts w:hint="eastAsia"/>
          <w:sz w:val="32"/>
          <w:szCs w:val="32"/>
        </w:rPr>
        <w:t>罗霄山、武陵山、南岭、苗岭</w:t>
      </w:r>
      <w:r>
        <w:rPr>
          <w:sz w:val="32"/>
          <w:szCs w:val="32"/>
        </w:rPr>
        <w:t>”4</w:t>
      </w:r>
      <w:r>
        <w:rPr>
          <w:rFonts w:hint="eastAsia"/>
          <w:sz w:val="32"/>
          <w:szCs w:val="32"/>
        </w:rPr>
        <w:t>大国家森林步道系统以及雪峰山森林步道系统，建设串联湖南省</w:t>
      </w:r>
      <w:r>
        <w:rPr>
          <w:sz w:val="32"/>
          <w:szCs w:val="32"/>
        </w:rPr>
        <w:t>“</w:t>
      </w:r>
      <w:r>
        <w:rPr>
          <w:rFonts w:hint="eastAsia"/>
          <w:sz w:val="32"/>
          <w:szCs w:val="32"/>
        </w:rPr>
        <w:t>一湖三山四水</w:t>
      </w:r>
      <w:r>
        <w:rPr>
          <w:sz w:val="32"/>
          <w:szCs w:val="32"/>
        </w:rPr>
        <w:t>”</w:t>
      </w:r>
      <w:r>
        <w:rPr>
          <w:rFonts w:hint="eastAsia"/>
          <w:sz w:val="32"/>
          <w:szCs w:val="32"/>
        </w:rPr>
        <w:t>各主要生态旅游景区的湖南省森林步道体系。全省建设森林康养、森林体验、自然教育、秀美林场等特色生态旅游基地，打造以科普教育、产品展示、科技培训、实践体验等为主题的林业生态文明教育基地，建设优质城郊森林公园示范。支持各市县围绕生态旅游积极开展生态旅游示范市（县）、森林乡村、生态旅游示范村、精品森林人家等示范建设。进一步完善各类自然公园旅游服务设施水平，加强游览组织和服务管理，加强生态旅游与康养公共品牌建设。</w:t>
      </w:r>
    </w:p>
    <w:p>
      <w:pPr>
        <w:pStyle w:val="6"/>
        <w:ind w:firstLine="640" w:firstLineChars="200"/>
        <w:rPr>
          <w:rStyle w:val="30"/>
          <w:rFonts w:eastAsia="楷体"/>
          <w:b w:val="0"/>
          <w:bCs w:val="0"/>
        </w:rPr>
      </w:pPr>
      <w:bookmarkStart w:id="165" w:name="_Toc76396524"/>
      <w:bookmarkStart w:id="166" w:name="_Toc78381453"/>
      <w:r>
        <w:rPr>
          <w:rStyle w:val="30"/>
          <w:rFonts w:eastAsia="楷体"/>
        </w:rPr>
        <w:t xml:space="preserve">4.2.2 </w:t>
      </w:r>
      <w:bookmarkEnd w:id="161"/>
      <w:bookmarkEnd w:id="165"/>
      <w:r>
        <w:rPr>
          <w:rStyle w:val="30"/>
          <w:rFonts w:hint="eastAsia" w:eastAsia="楷体"/>
        </w:rPr>
        <w:t>油茶产业发展示范工程</w:t>
      </w:r>
      <w:bookmarkEnd w:id="166"/>
    </w:p>
    <w:p>
      <w:pPr>
        <w:pStyle w:val="93"/>
        <w:spacing w:line="560" w:lineRule="exact"/>
        <w:ind w:firstLine="640"/>
        <w:rPr>
          <w:sz w:val="32"/>
          <w:szCs w:val="32"/>
        </w:rPr>
      </w:pPr>
      <w:r>
        <w:rPr>
          <w:rFonts w:hint="eastAsia"/>
          <w:sz w:val="32"/>
          <w:szCs w:val="32"/>
          <w:lang w:val="en-US"/>
        </w:rPr>
        <w:t>推动全省</w:t>
      </w:r>
      <w:r>
        <w:rPr>
          <w:rFonts w:hint="eastAsia"/>
          <w:sz w:val="32"/>
          <w:szCs w:val="32"/>
        </w:rPr>
        <w:t>高产油茶林基地</w:t>
      </w:r>
      <w:r>
        <w:rPr>
          <w:rFonts w:hint="eastAsia"/>
          <w:sz w:val="32"/>
          <w:szCs w:val="32"/>
          <w:lang w:val="en-US"/>
        </w:rPr>
        <w:t>建设</w:t>
      </w:r>
      <w:r>
        <w:rPr>
          <w:rFonts w:hint="eastAsia"/>
          <w:sz w:val="32"/>
          <w:szCs w:val="32"/>
        </w:rPr>
        <w:t>，加强生产道、作业道、保水灌溉等基础设施建设。积极培育上规模的油茶加工企业，鼓励企业加快转型升级，强化技术创新、工艺升级，支持企业发展保健、医药、化妆等中高级茶油精深加工，加强油茶副产品（茶枯、茶壳）开发，不断延伸产业链条。实施茶油加工作坊转型升级行动，</w:t>
      </w:r>
      <w:r>
        <w:rPr>
          <w:rFonts w:hint="eastAsia"/>
          <w:sz w:val="32"/>
          <w:szCs w:val="32"/>
          <w:lang w:val="en-US"/>
        </w:rPr>
        <w:t>建设</w:t>
      </w:r>
      <w:r>
        <w:rPr>
          <w:rFonts w:hint="eastAsia"/>
          <w:sz w:val="32"/>
          <w:szCs w:val="32"/>
        </w:rPr>
        <w:t>小作坊改造示范点。建设茶果收集储运中心，提升茶果收集、烘干、脱壳、储藏、运输等条件，促进油茶原料生产与加工上下游衔接。沿油茶主产区重点交通干线建设油茶文化生态旅游带，建设油茶特色小镇、油茶生态观光园、油茶文化主题园</w:t>
      </w:r>
      <w:r>
        <w:rPr>
          <w:rFonts w:hint="eastAsia"/>
          <w:sz w:val="32"/>
          <w:szCs w:val="32"/>
          <w:lang w:val="en-US"/>
        </w:rPr>
        <w:t>等。</w:t>
      </w:r>
      <w:r>
        <w:rPr>
          <w:rFonts w:hint="eastAsia"/>
          <w:sz w:val="32"/>
          <w:szCs w:val="32"/>
        </w:rPr>
        <w:t>支持各市州根据产业发展需求，建设布局合理、功能完善的油茶专业交易市场。实施</w:t>
      </w:r>
      <w:r>
        <w:rPr>
          <w:sz w:val="32"/>
          <w:szCs w:val="32"/>
        </w:rPr>
        <w:t>“</w:t>
      </w:r>
      <w:r>
        <w:rPr>
          <w:rFonts w:hint="eastAsia"/>
          <w:sz w:val="32"/>
          <w:szCs w:val="32"/>
        </w:rPr>
        <w:t>湖南茶油</w:t>
      </w:r>
      <w:r>
        <w:rPr>
          <w:sz w:val="32"/>
          <w:szCs w:val="32"/>
        </w:rPr>
        <w:t>”</w:t>
      </w:r>
      <w:r>
        <w:rPr>
          <w:rFonts w:hint="eastAsia"/>
          <w:sz w:val="32"/>
          <w:szCs w:val="32"/>
        </w:rPr>
        <w:t>品牌战略，鼓励企业开展</w:t>
      </w:r>
      <w:r>
        <w:rPr>
          <w:sz w:val="32"/>
          <w:szCs w:val="32"/>
        </w:rPr>
        <w:t>“</w:t>
      </w:r>
      <w:r>
        <w:rPr>
          <w:rFonts w:hint="eastAsia"/>
          <w:sz w:val="32"/>
          <w:szCs w:val="32"/>
        </w:rPr>
        <w:t>两品一标</w:t>
      </w:r>
      <w:r>
        <w:rPr>
          <w:sz w:val="32"/>
          <w:szCs w:val="32"/>
        </w:rPr>
        <w:t>”</w:t>
      </w:r>
      <w:r>
        <w:rPr>
          <w:rFonts w:hint="eastAsia"/>
          <w:sz w:val="32"/>
          <w:szCs w:val="32"/>
        </w:rPr>
        <w:t>认证。大力推动</w:t>
      </w:r>
      <w:r>
        <w:rPr>
          <w:sz w:val="32"/>
          <w:szCs w:val="32"/>
        </w:rPr>
        <w:t>“</w:t>
      </w:r>
      <w:r>
        <w:rPr>
          <w:rFonts w:hint="eastAsia"/>
          <w:sz w:val="32"/>
          <w:szCs w:val="32"/>
        </w:rPr>
        <w:t>中国油茶科创谷</w:t>
      </w:r>
      <w:r>
        <w:rPr>
          <w:sz w:val="32"/>
          <w:szCs w:val="32"/>
        </w:rPr>
        <w:t>”</w:t>
      </w:r>
      <w:r>
        <w:rPr>
          <w:rFonts w:hint="eastAsia"/>
          <w:sz w:val="32"/>
          <w:szCs w:val="32"/>
        </w:rPr>
        <w:t>以及</w:t>
      </w:r>
      <w:r>
        <w:rPr>
          <w:sz w:val="32"/>
          <w:szCs w:val="32"/>
        </w:rPr>
        <w:t>“</w:t>
      </w:r>
      <w:r>
        <w:rPr>
          <w:rFonts w:hint="eastAsia"/>
          <w:sz w:val="32"/>
          <w:szCs w:val="32"/>
        </w:rPr>
        <w:t>省部共建木本油料资源利用国家重点实验室</w:t>
      </w:r>
      <w:r>
        <w:rPr>
          <w:sz w:val="32"/>
          <w:szCs w:val="32"/>
        </w:rPr>
        <w:t>”</w:t>
      </w:r>
      <w:r>
        <w:rPr>
          <w:rFonts w:hint="eastAsia"/>
          <w:sz w:val="32"/>
          <w:szCs w:val="32"/>
        </w:rPr>
        <w:t>建设。</w:t>
      </w:r>
    </w:p>
    <w:p>
      <w:pPr>
        <w:pStyle w:val="6"/>
        <w:ind w:firstLine="640" w:firstLineChars="200"/>
        <w:rPr>
          <w:rStyle w:val="30"/>
          <w:rFonts w:eastAsia="楷体"/>
          <w:b w:val="0"/>
          <w:bCs w:val="0"/>
          <w:lang w:val="en-US"/>
        </w:rPr>
      </w:pPr>
      <w:bookmarkStart w:id="167" w:name="_Toc76396525"/>
      <w:bookmarkStart w:id="168" w:name="_Toc40077781"/>
      <w:bookmarkStart w:id="169" w:name="_Toc78381454"/>
      <w:r>
        <w:rPr>
          <w:rStyle w:val="30"/>
          <w:rFonts w:eastAsia="楷体"/>
        </w:rPr>
        <w:t xml:space="preserve">4.2.3 </w:t>
      </w:r>
      <w:bookmarkEnd w:id="167"/>
      <w:bookmarkEnd w:id="168"/>
      <w:r>
        <w:rPr>
          <w:rStyle w:val="30"/>
          <w:rFonts w:hint="eastAsia" w:eastAsia="楷体"/>
        </w:rPr>
        <w:t>竹木产业发展示范工程</w:t>
      </w:r>
      <w:bookmarkEnd w:id="169"/>
    </w:p>
    <w:p>
      <w:pPr>
        <w:pStyle w:val="93"/>
        <w:spacing w:line="560" w:lineRule="exact"/>
        <w:ind w:firstLine="640"/>
        <w:rPr>
          <w:sz w:val="32"/>
          <w:szCs w:val="32"/>
        </w:rPr>
      </w:pPr>
      <w:r>
        <w:rPr>
          <w:rFonts w:hint="eastAsia"/>
          <w:sz w:val="32"/>
          <w:szCs w:val="32"/>
        </w:rPr>
        <w:t>以市场需求为导向、科技为支撑、创新为动力，坚持规模化、集约化、品牌化发展，优化竹木资源配置，加快竹木产业转型升级和提质增效，推动湖南省由竹木资源大省向竹木产业强省转变，实现湖南省竹木产业振兴。依托现有竹木资源分布及产业发展基础，完成竹木产业转型升级和提质增效。培育扶持竹笋加工企业、竹制品企业、竹木纤维新型建材企业，建设竹产业集群。重点打造木材产业高质量发展示范县（市），建设木材家具产业集聚核心区，助推全省木材产业集聚发展。依托省级工业园区，培育打造竹木产品品牌，</w:t>
      </w:r>
      <w:r>
        <w:rPr>
          <w:rFonts w:hint="eastAsia"/>
          <w:sz w:val="32"/>
          <w:szCs w:val="32"/>
          <w:lang w:val="en-US"/>
        </w:rPr>
        <w:t>建设</w:t>
      </w:r>
      <w:r>
        <w:rPr>
          <w:rFonts w:hint="eastAsia"/>
          <w:sz w:val="32"/>
          <w:szCs w:val="32"/>
        </w:rPr>
        <w:t>省级以上竹木特色产业园，重点培育省级以上竹木产业龙头企业，力争建成</w:t>
      </w:r>
      <w:r>
        <w:rPr>
          <w:sz w:val="32"/>
          <w:szCs w:val="32"/>
        </w:rPr>
        <w:t>5</w:t>
      </w:r>
      <w:r>
        <w:rPr>
          <w:rFonts w:hint="eastAsia"/>
          <w:sz w:val="32"/>
          <w:szCs w:val="32"/>
        </w:rPr>
        <w:t>个年生产总值超过</w:t>
      </w:r>
      <w:r>
        <w:rPr>
          <w:sz w:val="32"/>
          <w:szCs w:val="32"/>
        </w:rPr>
        <w:t>10</w:t>
      </w:r>
      <w:r>
        <w:rPr>
          <w:rFonts w:hint="eastAsia"/>
          <w:sz w:val="32"/>
          <w:szCs w:val="32"/>
        </w:rPr>
        <w:t>亿元的竹木加工企业。重点在桃江、临湘、绥宁打造</w:t>
      </w:r>
      <w:r>
        <w:rPr>
          <w:sz w:val="32"/>
          <w:szCs w:val="32"/>
        </w:rPr>
        <w:t>3</w:t>
      </w:r>
      <w:r>
        <w:rPr>
          <w:rFonts w:hint="eastAsia"/>
          <w:sz w:val="32"/>
          <w:szCs w:val="32"/>
        </w:rPr>
        <w:t>个以竹制品为主导、多品种经营的竹产品交易市场。</w:t>
      </w:r>
    </w:p>
    <w:p>
      <w:pPr>
        <w:pStyle w:val="6"/>
        <w:ind w:firstLine="640" w:firstLineChars="200"/>
        <w:rPr>
          <w:rStyle w:val="30"/>
          <w:rFonts w:eastAsia="楷体"/>
          <w:b w:val="0"/>
          <w:bCs w:val="0"/>
        </w:rPr>
      </w:pPr>
      <w:bookmarkStart w:id="170" w:name="_Toc40077783"/>
      <w:bookmarkStart w:id="171" w:name="_Toc76396526"/>
      <w:bookmarkStart w:id="172" w:name="_Toc78381455"/>
      <w:r>
        <w:rPr>
          <w:rStyle w:val="30"/>
          <w:rFonts w:eastAsia="楷体"/>
        </w:rPr>
        <w:t xml:space="preserve">4.2.4 </w:t>
      </w:r>
      <w:bookmarkEnd w:id="170"/>
      <w:bookmarkEnd w:id="171"/>
      <w:r>
        <w:rPr>
          <w:rStyle w:val="30"/>
          <w:rFonts w:hint="eastAsia" w:eastAsia="楷体"/>
        </w:rPr>
        <w:t>林下经济产业发展示范工程</w:t>
      </w:r>
      <w:bookmarkEnd w:id="172"/>
    </w:p>
    <w:p>
      <w:pPr>
        <w:pStyle w:val="93"/>
        <w:spacing w:line="560" w:lineRule="exact"/>
        <w:ind w:firstLine="640"/>
        <w:rPr>
          <w:sz w:val="32"/>
          <w:szCs w:val="32"/>
        </w:rPr>
      </w:pPr>
      <w:r>
        <w:rPr>
          <w:rFonts w:hint="eastAsia"/>
          <w:sz w:val="32"/>
          <w:szCs w:val="32"/>
        </w:rPr>
        <w:t>依据自然格局，结合</w:t>
      </w:r>
      <w:r>
        <w:rPr>
          <w:sz w:val="32"/>
          <w:szCs w:val="32"/>
        </w:rPr>
        <w:t>“</w:t>
      </w:r>
      <w:r>
        <w:rPr>
          <w:rFonts w:hint="eastAsia"/>
          <w:sz w:val="32"/>
          <w:szCs w:val="32"/>
        </w:rPr>
        <w:t>重点突出、分区施策、稳步推进</w:t>
      </w:r>
      <w:r>
        <w:rPr>
          <w:sz w:val="32"/>
          <w:szCs w:val="32"/>
        </w:rPr>
        <w:t>”</w:t>
      </w:r>
      <w:r>
        <w:rPr>
          <w:rFonts w:hint="eastAsia"/>
          <w:sz w:val="32"/>
          <w:szCs w:val="32"/>
        </w:rPr>
        <w:t>的原则，按照</w:t>
      </w:r>
      <w:r>
        <w:rPr>
          <w:sz w:val="32"/>
          <w:szCs w:val="32"/>
        </w:rPr>
        <w:t>“</w:t>
      </w:r>
      <w:r>
        <w:rPr>
          <w:rFonts w:hint="eastAsia"/>
          <w:sz w:val="32"/>
          <w:szCs w:val="32"/>
        </w:rPr>
        <w:t>三区多点</w:t>
      </w:r>
      <w:r>
        <w:rPr>
          <w:sz w:val="32"/>
          <w:szCs w:val="32"/>
        </w:rPr>
        <w:t>”</w:t>
      </w:r>
      <w:r>
        <w:rPr>
          <w:rFonts w:hint="eastAsia"/>
          <w:sz w:val="32"/>
          <w:szCs w:val="32"/>
        </w:rPr>
        <w:t>空间格局和</w:t>
      </w:r>
      <w:r>
        <w:rPr>
          <w:sz w:val="32"/>
          <w:szCs w:val="32"/>
        </w:rPr>
        <w:t>“</w:t>
      </w:r>
      <w:r>
        <w:rPr>
          <w:rFonts w:hint="eastAsia"/>
          <w:sz w:val="32"/>
          <w:szCs w:val="32"/>
        </w:rPr>
        <w:t>两扶持</w:t>
      </w:r>
      <w:r>
        <w:rPr>
          <w:sz w:val="32"/>
          <w:szCs w:val="32"/>
        </w:rPr>
        <w:t>”</w:t>
      </w:r>
      <w:r>
        <w:rPr>
          <w:rFonts w:hint="eastAsia"/>
          <w:sz w:val="32"/>
          <w:szCs w:val="32"/>
        </w:rPr>
        <w:t>服务体系进行建设：</w:t>
      </w:r>
      <w:r>
        <w:rPr>
          <w:sz w:val="32"/>
          <w:szCs w:val="32"/>
        </w:rPr>
        <w:t>“</w:t>
      </w:r>
      <w:r>
        <w:rPr>
          <w:rFonts w:hint="eastAsia"/>
          <w:sz w:val="32"/>
          <w:szCs w:val="32"/>
        </w:rPr>
        <w:t>三区</w:t>
      </w:r>
      <w:r>
        <w:rPr>
          <w:sz w:val="32"/>
          <w:szCs w:val="32"/>
        </w:rPr>
        <w:t>”——</w:t>
      </w:r>
      <w:r>
        <w:rPr>
          <w:rFonts w:hint="eastAsia"/>
          <w:sz w:val="32"/>
          <w:szCs w:val="32"/>
        </w:rPr>
        <w:t>规划发展林药产业重点种植区、林禽林畜及特种养殖重点区和其他特色林下经济产品发展重点区；</w:t>
      </w:r>
      <w:r>
        <w:rPr>
          <w:sz w:val="32"/>
          <w:szCs w:val="32"/>
        </w:rPr>
        <w:t>“</w:t>
      </w:r>
      <w:r>
        <w:rPr>
          <w:rFonts w:hint="eastAsia"/>
          <w:sz w:val="32"/>
          <w:szCs w:val="32"/>
        </w:rPr>
        <w:t>多点</w:t>
      </w:r>
      <w:r>
        <w:rPr>
          <w:sz w:val="32"/>
          <w:szCs w:val="32"/>
        </w:rPr>
        <w:t>”——</w:t>
      </w:r>
      <w:r>
        <w:rPr>
          <w:rFonts w:hint="eastAsia"/>
          <w:sz w:val="32"/>
          <w:szCs w:val="32"/>
        </w:rPr>
        <w:t>力争打造国家级林下经济示范基地</w:t>
      </w:r>
      <w:r>
        <w:rPr>
          <w:sz w:val="32"/>
          <w:szCs w:val="32"/>
        </w:rPr>
        <w:t>24</w:t>
      </w:r>
      <w:r>
        <w:rPr>
          <w:rFonts w:hint="eastAsia"/>
          <w:sz w:val="32"/>
          <w:szCs w:val="32"/>
        </w:rPr>
        <w:t>处、省级林下经济示范基地</w:t>
      </w:r>
      <w:r>
        <w:rPr>
          <w:sz w:val="32"/>
          <w:szCs w:val="32"/>
        </w:rPr>
        <w:t>339</w:t>
      </w:r>
      <w:r>
        <w:rPr>
          <w:rFonts w:hint="eastAsia"/>
          <w:sz w:val="32"/>
          <w:szCs w:val="32"/>
        </w:rPr>
        <w:t>处，培育省级木本药材特色产业园区</w:t>
      </w:r>
      <w:r>
        <w:rPr>
          <w:sz w:val="32"/>
          <w:szCs w:val="32"/>
        </w:rPr>
        <w:t>10</w:t>
      </w:r>
      <w:r>
        <w:rPr>
          <w:rFonts w:hint="eastAsia"/>
          <w:sz w:val="32"/>
          <w:szCs w:val="32"/>
        </w:rPr>
        <w:t>个、省级林下经济特色产业园</w:t>
      </w:r>
      <w:r>
        <w:rPr>
          <w:sz w:val="32"/>
          <w:szCs w:val="32"/>
        </w:rPr>
        <w:t>15</w:t>
      </w:r>
      <w:r>
        <w:rPr>
          <w:rFonts w:hint="eastAsia"/>
          <w:sz w:val="32"/>
          <w:szCs w:val="32"/>
        </w:rPr>
        <w:t>个；</w:t>
      </w:r>
      <w:r>
        <w:rPr>
          <w:sz w:val="32"/>
          <w:szCs w:val="32"/>
        </w:rPr>
        <w:t>“</w:t>
      </w:r>
      <w:r>
        <w:rPr>
          <w:rFonts w:hint="eastAsia"/>
          <w:sz w:val="32"/>
          <w:szCs w:val="32"/>
        </w:rPr>
        <w:t>两扶持</w:t>
      </w:r>
      <w:r>
        <w:rPr>
          <w:sz w:val="32"/>
          <w:szCs w:val="32"/>
        </w:rPr>
        <w:t>”——</w:t>
      </w:r>
      <w:r>
        <w:rPr>
          <w:rFonts w:hint="eastAsia"/>
          <w:sz w:val="32"/>
          <w:szCs w:val="32"/>
        </w:rPr>
        <w:t>扶持</w:t>
      </w:r>
      <w:r>
        <w:rPr>
          <w:sz w:val="32"/>
          <w:szCs w:val="32"/>
        </w:rPr>
        <w:t>“</w:t>
      </w:r>
      <w:r>
        <w:rPr>
          <w:rFonts w:hint="eastAsia"/>
          <w:sz w:val="32"/>
          <w:szCs w:val="32"/>
        </w:rPr>
        <w:t>林下经济新型经营主体的培育</w:t>
      </w:r>
      <w:r>
        <w:rPr>
          <w:sz w:val="32"/>
          <w:szCs w:val="32"/>
        </w:rPr>
        <w:t>”</w:t>
      </w:r>
      <w:r>
        <w:rPr>
          <w:rFonts w:hint="eastAsia"/>
          <w:sz w:val="32"/>
          <w:szCs w:val="32"/>
        </w:rPr>
        <w:t>和</w:t>
      </w:r>
      <w:r>
        <w:rPr>
          <w:sz w:val="32"/>
          <w:szCs w:val="32"/>
        </w:rPr>
        <w:t>“</w:t>
      </w:r>
      <w:r>
        <w:rPr>
          <w:rFonts w:hint="eastAsia"/>
          <w:sz w:val="32"/>
          <w:szCs w:val="32"/>
        </w:rPr>
        <w:t>林下经济产品社会化服务体系及其基础设施建设</w:t>
      </w:r>
      <w:r>
        <w:rPr>
          <w:sz w:val="32"/>
          <w:szCs w:val="32"/>
        </w:rPr>
        <w:t>”</w:t>
      </w:r>
      <w:r>
        <w:rPr>
          <w:rFonts w:hint="eastAsia"/>
          <w:sz w:val="32"/>
          <w:szCs w:val="32"/>
        </w:rPr>
        <w:t>。依托已建的邵阳廉桥、长沙高桥</w:t>
      </w:r>
      <w:r>
        <w:rPr>
          <w:sz w:val="32"/>
          <w:szCs w:val="32"/>
        </w:rPr>
        <w:t>2</w:t>
      </w:r>
      <w:r>
        <w:rPr>
          <w:rFonts w:hint="eastAsia"/>
          <w:sz w:val="32"/>
          <w:szCs w:val="32"/>
        </w:rPr>
        <w:t>个国家级林药市场和靖州茯苓、湘潭湘莲等特色药材集散地，以及各市州现有林下经济产品综合批发贸易市场，支持建设林下经济产品综合批发贸易市场，有力推动和促进林下经济产品及其加工产品的交易和流通。实施</w:t>
      </w:r>
      <w:r>
        <w:rPr>
          <w:sz w:val="32"/>
          <w:szCs w:val="32"/>
        </w:rPr>
        <w:t>“</w:t>
      </w:r>
      <w:r>
        <w:rPr>
          <w:rFonts w:hint="eastAsia"/>
          <w:sz w:val="32"/>
          <w:szCs w:val="32"/>
        </w:rPr>
        <w:t>互联网</w:t>
      </w:r>
      <w:r>
        <w:rPr>
          <w:sz w:val="32"/>
          <w:szCs w:val="32"/>
        </w:rPr>
        <w:t>+</w:t>
      </w:r>
      <w:r>
        <w:rPr>
          <w:rFonts w:hint="eastAsia"/>
          <w:sz w:val="32"/>
          <w:szCs w:val="32"/>
        </w:rPr>
        <w:t>林下经济</w:t>
      </w:r>
      <w:r>
        <w:rPr>
          <w:sz w:val="32"/>
          <w:szCs w:val="32"/>
        </w:rPr>
        <w:t>”</w:t>
      </w:r>
      <w:r>
        <w:rPr>
          <w:rFonts w:hint="eastAsia"/>
          <w:sz w:val="32"/>
          <w:szCs w:val="32"/>
        </w:rPr>
        <w:t>战略，建立覆盖全省的林下经济产品电子商务平台，完善构建林下经济产品现代流通服务网络。</w:t>
      </w:r>
    </w:p>
    <w:p>
      <w:pPr>
        <w:pStyle w:val="6"/>
        <w:ind w:firstLine="640" w:firstLineChars="200"/>
        <w:rPr>
          <w:rStyle w:val="30"/>
          <w:rFonts w:eastAsia="楷体"/>
          <w:b w:val="0"/>
          <w:bCs w:val="0"/>
        </w:rPr>
      </w:pPr>
      <w:bookmarkStart w:id="173" w:name="_Toc40077784"/>
      <w:bookmarkStart w:id="174" w:name="_Toc76396527"/>
      <w:bookmarkStart w:id="175" w:name="_Toc78381456"/>
      <w:r>
        <w:rPr>
          <w:rStyle w:val="30"/>
          <w:rFonts w:eastAsia="楷体"/>
        </w:rPr>
        <w:t xml:space="preserve">4.2.5 </w:t>
      </w:r>
      <w:bookmarkEnd w:id="173"/>
      <w:bookmarkEnd w:id="174"/>
      <w:r>
        <w:rPr>
          <w:rStyle w:val="30"/>
          <w:rFonts w:hint="eastAsia" w:eastAsia="楷体"/>
        </w:rPr>
        <w:t>花卉苗木产业发展示范工程</w:t>
      </w:r>
      <w:bookmarkEnd w:id="175"/>
    </w:p>
    <w:p>
      <w:pPr>
        <w:pStyle w:val="93"/>
        <w:spacing w:line="560" w:lineRule="exact"/>
        <w:ind w:firstLine="640"/>
        <w:rPr>
          <w:sz w:val="32"/>
          <w:szCs w:val="32"/>
        </w:rPr>
      </w:pPr>
      <w:r>
        <w:rPr>
          <w:rFonts w:hint="eastAsia"/>
          <w:sz w:val="32"/>
          <w:szCs w:val="32"/>
        </w:rPr>
        <w:t>以长沙市、株洲市、湘潭市等花卉苗木主产区为主，因地制宜发展绿化苗木、木本花卉等特色花木产业。提质改造或新建集花木销售、加工制作、科技研发、展览贸易、物流配送、冷链仓储、电子商务、检验检疫、信息服务、文化旅游、公共服务于一体的花木科技产业综合园。重点扶持</w:t>
      </w:r>
      <w:r>
        <w:rPr>
          <w:rFonts w:hint="eastAsia"/>
          <w:sz w:val="32"/>
          <w:szCs w:val="32"/>
          <w:lang w:val="en-US"/>
        </w:rPr>
        <w:t>一批</w:t>
      </w:r>
      <w:r>
        <w:rPr>
          <w:rFonts w:hint="eastAsia"/>
          <w:sz w:val="32"/>
          <w:szCs w:val="32"/>
        </w:rPr>
        <w:t>龙头骨干企业</w:t>
      </w:r>
      <w:r>
        <w:rPr>
          <w:rFonts w:hint="eastAsia"/>
          <w:sz w:val="32"/>
          <w:szCs w:val="32"/>
          <w:lang w:val="en-US"/>
        </w:rPr>
        <w:t>和</w:t>
      </w:r>
      <w:r>
        <w:rPr>
          <w:rFonts w:hint="eastAsia"/>
          <w:sz w:val="32"/>
          <w:szCs w:val="32"/>
        </w:rPr>
        <w:t>示范基地。建设花木种质资源库和花木市场，定期举办省级花木博览会，打造一批花木特色小镇和花文化与科普教育基地，培育、研发、推广一批花木优良品种和先进技术。</w:t>
      </w:r>
    </w:p>
    <w:tbl>
      <w:tblPr>
        <w:tblStyle w:val="36"/>
        <w:tblW w:w="8475" w:type="dxa"/>
        <w:jc w:val="center"/>
        <w:tblInd w:w="0" w:type="dxa"/>
        <w:tblLayout w:type="fixed"/>
        <w:tblCellMar>
          <w:top w:w="0" w:type="dxa"/>
          <w:left w:w="108" w:type="dxa"/>
          <w:bottom w:w="0" w:type="dxa"/>
          <w:right w:w="108" w:type="dxa"/>
        </w:tblCellMar>
      </w:tblPr>
      <w:tblGrid>
        <w:gridCol w:w="600"/>
        <w:gridCol w:w="7875"/>
      </w:tblGrid>
      <w:tr>
        <w:tblPrEx>
          <w:tblLayout w:type="fixed"/>
          <w:tblCellMar>
            <w:top w:w="0" w:type="dxa"/>
            <w:left w:w="108" w:type="dxa"/>
            <w:bottom w:w="0" w:type="dxa"/>
            <w:right w:w="108" w:type="dxa"/>
          </w:tblCellMar>
        </w:tblPrEx>
        <w:trPr>
          <w:trHeight w:val="585" w:hRule="atLeast"/>
          <w:tblHeader/>
          <w:jc w:val="center"/>
        </w:trPr>
        <w:tc>
          <w:tcPr>
            <w:tcW w:w="8475" w:type="dxa"/>
            <w:gridSpan w:val="2"/>
            <w:tcBorders>
              <w:top w:val="single" w:color="auto" w:sz="4" w:space="0"/>
              <w:left w:val="single" w:color="auto" w:sz="4" w:space="0"/>
              <w:bottom w:val="single" w:color="auto" w:sz="4"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5 </w:t>
            </w:r>
            <w:r>
              <w:rPr>
                <w:rFonts w:hint="eastAsia" w:eastAsia="方正小标宋_GBK"/>
              </w:rPr>
              <w:t>生态</w:t>
            </w:r>
            <w:r>
              <w:rPr>
                <w:rFonts w:hint="eastAsia" w:eastAsia="方正小标宋_GBK"/>
                <w:lang w:val="en-US"/>
              </w:rPr>
              <w:t>产业</w:t>
            </w:r>
            <w:r>
              <w:rPr>
                <w:rFonts w:hint="eastAsia" w:eastAsia="方正小标宋_GBK"/>
              </w:rPr>
              <w:t>领域（</w:t>
            </w:r>
            <w:r>
              <w:rPr>
                <w:rFonts w:hint="eastAsia" w:eastAsia="方正小标宋_GBK"/>
                <w:lang w:val="en-US"/>
              </w:rPr>
              <w:t>五大千亿产业建设</w:t>
            </w:r>
            <w:r>
              <w:rPr>
                <w:rFonts w:hint="eastAsia" w:eastAsia="方正小标宋_GBK"/>
              </w:rPr>
              <w:t>）示范工程</w:t>
            </w:r>
          </w:p>
        </w:tc>
      </w:tr>
      <w:tr>
        <w:tblPrEx>
          <w:tblLayout w:type="fixed"/>
          <w:tblCellMar>
            <w:top w:w="0" w:type="dxa"/>
            <w:left w:w="108" w:type="dxa"/>
            <w:bottom w:w="0" w:type="dxa"/>
            <w:right w:w="108" w:type="dxa"/>
          </w:tblCellMar>
        </w:tblPrEx>
        <w:trPr>
          <w:trHeight w:val="1701"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1</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生态旅游和森林康养产业发展示范工程</w:t>
            </w:r>
          </w:p>
          <w:p>
            <w:pPr>
              <w:widowControl/>
              <w:rPr>
                <w:rFonts w:eastAsia="楷体_GB2312"/>
              </w:rPr>
            </w:pPr>
            <w:r>
              <w:rPr>
                <w:rFonts w:eastAsia="楷体_GB2312"/>
                <w:sz w:val="24"/>
              </w:rPr>
              <w:t xml:space="preserve">    </w:t>
            </w:r>
            <w:r>
              <w:rPr>
                <w:rFonts w:hint="eastAsia" w:eastAsia="楷体_GB2312"/>
                <w:sz w:val="24"/>
              </w:rPr>
              <w:t>建设国家森林步道</w:t>
            </w:r>
            <w:r>
              <w:rPr>
                <w:rFonts w:eastAsia="楷体_GB2312"/>
                <w:sz w:val="24"/>
              </w:rPr>
              <w:t>4200</w:t>
            </w:r>
            <w:r>
              <w:rPr>
                <w:rFonts w:hint="eastAsia" w:eastAsia="楷体_GB2312"/>
                <w:sz w:val="24"/>
              </w:rPr>
              <w:t>千米，建设特色基地共</w:t>
            </w:r>
            <w:r>
              <w:rPr>
                <w:rFonts w:eastAsia="楷体_GB2312"/>
                <w:sz w:val="24"/>
              </w:rPr>
              <w:t>280</w:t>
            </w:r>
            <w:r>
              <w:rPr>
                <w:rFonts w:hint="eastAsia" w:eastAsia="楷体_GB2312"/>
                <w:sz w:val="24"/>
              </w:rPr>
              <w:t>处，打造</w:t>
            </w:r>
            <w:r>
              <w:rPr>
                <w:rFonts w:eastAsia="楷体_GB2312"/>
                <w:sz w:val="24"/>
              </w:rPr>
              <w:t>12</w:t>
            </w:r>
            <w:r>
              <w:rPr>
                <w:rFonts w:hint="eastAsia" w:eastAsia="楷体_GB2312"/>
                <w:sz w:val="24"/>
              </w:rPr>
              <w:t>处林业生态文明教育基地，建设</w:t>
            </w:r>
            <w:r>
              <w:rPr>
                <w:rFonts w:eastAsia="楷体_GB2312"/>
                <w:sz w:val="24"/>
              </w:rPr>
              <w:t>20</w:t>
            </w:r>
            <w:r>
              <w:rPr>
                <w:rFonts w:hint="eastAsia" w:eastAsia="楷体_GB2312"/>
                <w:sz w:val="24"/>
              </w:rPr>
              <w:t>处优质城郊森林公园示范，建设绿色通道</w:t>
            </w:r>
            <w:r>
              <w:rPr>
                <w:rFonts w:eastAsia="楷体_GB2312"/>
                <w:sz w:val="24"/>
              </w:rPr>
              <w:t>16000</w:t>
            </w:r>
            <w:r>
              <w:rPr>
                <w:rFonts w:hint="eastAsia" w:eastAsia="楷体_GB2312"/>
                <w:sz w:val="24"/>
              </w:rPr>
              <w:t>千米。建设</w:t>
            </w:r>
            <w:r>
              <w:rPr>
                <w:rFonts w:eastAsia="楷体_GB2312"/>
                <w:sz w:val="24"/>
              </w:rPr>
              <w:t>60</w:t>
            </w:r>
            <w:r>
              <w:rPr>
                <w:rFonts w:hint="eastAsia" w:eastAsia="楷体_GB2312"/>
                <w:sz w:val="24"/>
              </w:rPr>
              <w:t>个生态旅游示范村、</w:t>
            </w:r>
            <w:r>
              <w:rPr>
                <w:rFonts w:eastAsia="楷体_GB2312"/>
                <w:sz w:val="24"/>
              </w:rPr>
              <w:t>1000</w:t>
            </w:r>
            <w:r>
              <w:rPr>
                <w:rFonts w:hint="eastAsia" w:eastAsia="楷体_GB2312"/>
                <w:sz w:val="24"/>
              </w:rPr>
              <w:t>户精品森林人家。</w:t>
            </w:r>
          </w:p>
        </w:tc>
      </w:tr>
      <w:tr>
        <w:tblPrEx>
          <w:tblLayout w:type="fixed"/>
          <w:tblCellMar>
            <w:top w:w="0" w:type="dxa"/>
            <w:left w:w="108" w:type="dxa"/>
            <w:bottom w:w="0" w:type="dxa"/>
            <w:right w:w="108" w:type="dxa"/>
          </w:tblCellMar>
        </w:tblPrEx>
        <w:trPr>
          <w:trHeight w:val="2941"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2</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油茶产业发展示范工程</w:t>
            </w:r>
          </w:p>
          <w:p>
            <w:pPr>
              <w:ind w:firstLine="480" w:firstLineChars="200"/>
              <w:rPr>
                <w:kern w:val="0"/>
                <w:sz w:val="24"/>
                <w:lang w:bidi="ar"/>
              </w:rPr>
            </w:pPr>
            <w:r>
              <w:rPr>
                <w:rFonts w:hint="eastAsia" w:eastAsia="楷体_GB2312"/>
                <w:sz w:val="24"/>
              </w:rPr>
              <w:t>规划累计建设高产油茶林基地</w:t>
            </w:r>
            <w:r>
              <w:rPr>
                <w:rFonts w:eastAsia="楷体_GB2312"/>
                <w:sz w:val="24"/>
              </w:rPr>
              <w:t>76</w:t>
            </w:r>
            <w:r>
              <w:rPr>
                <w:rFonts w:hint="eastAsia" w:eastAsia="楷体_GB2312"/>
                <w:sz w:val="24"/>
              </w:rPr>
              <w:t>万公顷。油茶造林</w:t>
            </w:r>
            <w:r>
              <w:rPr>
                <w:rFonts w:eastAsia="楷体_GB2312"/>
                <w:sz w:val="24"/>
              </w:rPr>
              <w:t>6</w:t>
            </w:r>
            <w:r>
              <w:rPr>
                <w:rFonts w:hint="eastAsia" w:eastAsia="楷体_GB2312"/>
                <w:sz w:val="24"/>
              </w:rPr>
              <w:t>万公顷、油茶低产林改造</w:t>
            </w:r>
            <w:r>
              <w:rPr>
                <w:rFonts w:eastAsia="楷体_GB2312"/>
                <w:sz w:val="24"/>
              </w:rPr>
              <w:t>50</w:t>
            </w:r>
            <w:r>
              <w:rPr>
                <w:rFonts w:hint="eastAsia" w:eastAsia="楷体_GB2312"/>
                <w:sz w:val="24"/>
              </w:rPr>
              <w:t>万公顷、新造油茶中幼林提质增效</w:t>
            </w:r>
            <w:r>
              <w:rPr>
                <w:rFonts w:eastAsia="楷体_GB2312"/>
                <w:sz w:val="24"/>
              </w:rPr>
              <w:t>20</w:t>
            </w:r>
            <w:r>
              <w:rPr>
                <w:rFonts w:hint="eastAsia" w:eastAsia="楷体_GB2312"/>
                <w:sz w:val="24"/>
              </w:rPr>
              <w:t>万公顷。实施茶油加工作坊转型升级行动，建设</w:t>
            </w:r>
            <w:r>
              <w:rPr>
                <w:rFonts w:eastAsia="楷体_GB2312"/>
                <w:sz w:val="24"/>
              </w:rPr>
              <w:t>400</w:t>
            </w:r>
            <w:r>
              <w:rPr>
                <w:rFonts w:hint="eastAsia" w:eastAsia="楷体_GB2312"/>
                <w:sz w:val="24"/>
              </w:rPr>
              <w:t>个小作坊改造示范点。在长沙、衡阳、郴州、永州、邵阳、怀化、常德建设</w:t>
            </w:r>
            <w:r>
              <w:rPr>
                <w:rFonts w:eastAsia="楷体_GB2312"/>
                <w:sz w:val="24"/>
              </w:rPr>
              <w:t>7</w:t>
            </w:r>
            <w:r>
              <w:rPr>
                <w:rFonts w:hint="eastAsia" w:eastAsia="楷体_GB2312"/>
                <w:sz w:val="24"/>
              </w:rPr>
              <w:t>处茶果收集储运中心，建设油茶果籽换油点，积极培育上规模的油茶加工企业</w:t>
            </w:r>
            <w:r>
              <w:rPr>
                <w:rFonts w:eastAsia="楷体_GB2312"/>
                <w:sz w:val="24"/>
              </w:rPr>
              <w:t>60</w:t>
            </w:r>
            <w:r>
              <w:rPr>
                <w:rFonts w:hint="eastAsia" w:eastAsia="楷体_GB2312"/>
                <w:sz w:val="24"/>
              </w:rPr>
              <w:t>家，鼓励企业加快转型升级，强化技术创新、工艺升级。在全省建设油茶特色小镇</w:t>
            </w:r>
            <w:r>
              <w:rPr>
                <w:rFonts w:eastAsia="楷体_GB2312"/>
                <w:sz w:val="24"/>
              </w:rPr>
              <w:t>14</w:t>
            </w:r>
            <w:r>
              <w:rPr>
                <w:rFonts w:hint="eastAsia" w:eastAsia="楷体_GB2312"/>
                <w:sz w:val="24"/>
              </w:rPr>
              <w:t>个。建设油茶专业交易市场</w:t>
            </w:r>
            <w:r>
              <w:rPr>
                <w:rFonts w:eastAsia="楷体_GB2312"/>
                <w:sz w:val="24"/>
              </w:rPr>
              <w:t>2</w:t>
            </w:r>
            <w:r>
              <w:rPr>
                <w:rFonts w:hint="eastAsia" w:eastAsia="楷体_GB2312"/>
                <w:sz w:val="24"/>
              </w:rPr>
              <w:t>处，建设茶油综合批发贸易市场</w:t>
            </w:r>
            <w:r>
              <w:rPr>
                <w:rFonts w:eastAsia="楷体_GB2312"/>
                <w:sz w:val="24"/>
              </w:rPr>
              <w:t>5</w:t>
            </w:r>
            <w:r>
              <w:rPr>
                <w:rFonts w:hint="eastAsia" w:eastAsia="楷体_GB2312"/>
                <w:sz w:val="24"/>
              </w:rPr>
              <w:t>处。</w:t>
            </w:r>
          </w:p>
        </w:tc>
      </w:tr>
      <w:tr>
        <w:tblPrEx>
          <w:tblLayout w:type="fixed"/>
          <w:tblCellMar>
            <w:top w:w="0" w:type="dxa"/>
            <w:left w:w="108" w:type="dxa"/>
            <w:bottom w:w="0" w:type="dxa"/>
            <w:right w:w="108" w:type="dxa"/>
          </w:tblCellMar>
        </w:tblPrEx>
        <w:trPr>
          <w:trHeight w:val="2407"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3</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竹木产业发展示范工程</w:t>
            </w:r>
          </w:p>
          <w:p>
            <w:pPr>
              <w:widowControl/>
              <w:ind w:firstLine="480" w:firstLineChars="200"/>
              <w:rPr>
                <w:rFonts w:eastAsia="楷体_GB2312"/>
                <w:sz w:val="24"/>
              </w:rPr>
            </w:pPr>
            <w:r>
              <w:rPr>
                <w:rFonts w:hint="eastAsia" w:eastAsia="楷体_GB2312"/>
                <w:sz w:val="24"/>
              </w:rPr>
              <w:t>培育扶持</w:t>
            </w:r>
            <w:r>
              <w:rPr>
                <w:rFonts w:eastAsia="楷体_GB2312"/>
                <w:sz w:val="24"/>
              </w:rPr>
              <w:t>15</w:t>
            </w:r>
            <w:r>
              <w:rPr>
                <w:rFonts w:hint="eastAsia" w:eastAsia="楷体_GB2312"/>
                <w:sz w:val="24"/>
              </w:rPr>
              <w:t>家竹笋加工企业、</w:t>
            </w:r>
            <w:r>
              <w:rPr>
                <w:rFonts w:eastAsia="楷体_GB2312"/>
                <w:sz w:val="24"/>
              </w:rPr>
              <w:t>12</w:t>
            </w:r>
            <w:r>
              <w:rPr>
                <w:rFonts w:hint="eastAsia" w:eastAsia="楷体_GB2312"/>
                <w:sz w:val="24"/>
              </w:rPr>
              <w:t>家竹制品企业、</w:t>
            </w:r>
            <w:r>
              <w:rPr>
                <w:rFonts w:eastAsia="楷体_GB2312"/>
                <w:sz w:val="24"/>
              </w:rPr>
              <w:t>1</w:t>
            </w:r>
            <w:r>
              <w:rPr>
                <w:rFonts w:hint="eastAsia" w:eastAsia="楷体_GB2312"/>
                <w:sz w:val="24"/>
              </w:rPr>
              <w:t>家竹木纤维新型建材企业。重点打造</w:t>
            </w:r>
            <w:r>
              <w:rPr>
                <w:rFonts w:eastAsia="楷体_GB2312"/>
                <w:sz w:val="24"/>
              </w:rPr>
              <w:t>9</w:t>
            </w:r>
            <w:r>
              <w:rPr>
                <w:rFonts w:hint="eastAsia" w:eastAsia="楷体_GB2312"/>
                <w:sz w:val="24"/>
              </w:rPr>
              <w:t>个木材产业高质量发展示范县（市），建设</w:t>
            </w:r>
            <w:r>
              <w:rPr>
                <w:rFonts w:eastAsia="楷体_GB2312"/>
                <w:sz w:val="24"/>
              </w:rPr>
              <w:t>8</w:t>
            </w:r>
            <w:r>
              <w:rPr>
                <w:rFonts w:hint="eastAsia" w:eastAsia="楷体_GB2312"/>
                <w:sz w:val="24"/>
              </w:rPr>
              <w:t>个木材家具产业集聚核心区，培育打造</w:t>
            </w:r>
            <w:r>
              <w:rPr>
                <w:rFonts w:eastAsia="楷体_GB2312"/>
                <w:sz w:val="24"/>
              </w:rPr>
              <w:t>5</w:t>
            </w:r>
            <w:r>
              <w:rPr>
                <w:rFonts w:hint="eastAsia" w:eastAsia="楷体_GB2312"/>
                <w:sz w:val="24"/>
              </w:rPr>
              <w:t>个竹木产品品牌，建成</w:t>
            </w:r>
            <w:r>
              <w:rPr>
                <w:rFonts w:eastAsia="楷体_GB2312"/>
                <w:sz w:val="24"/>
              </w:rPr>
              <w:t>40</w:t>
            </w:r>
            <w:r>
              <w:rPr>
                <w:rFonts w:hint="eastAsia" w:eastAsia="楷体_GB2312"/>
                <w:sz w:val="24"/>
              </w:rPr>
              <w:t>个省级以上竹木特色产业园，重点培育</w:t>
            </w:r>
            <w:r>
              <w:rPr>
                <w:rFonts w:eastAsia="楷体_GB2312"/>
                <w:sz w:val="24"/>
              </w:rPr>
              <w:t>100</w:t>
            </w:r>
            <w:r>
              <w:rPr>
                <w:rFonts w:hint="eastAsia" w:eastAsia="楷体_GB2312"/>
                <w:sz w:val="24"/>
              </w:rPr>
              <w:t>家省级以上竹木产业龙头企业。打造</w:t>
            </w:r>
            <w:r>
              <w:rPr>
                <w:rFonts w:eastAsia="楷体_GB2312"/>
                <w:sz w:val="24"/>
              </w:rPr>
              <w:t>3</w:t>
            </w:r>
            <w:r>
              <w:rPr>
                <w:rFonts w:hint="eastAsia" w:eastAsia="楷体_GB2312"/>
                <w:sz w:val="24"/>
              </w:rPr>
              <w:t>个竹产品交易市场。</w:t>
            </w:r>
          </w:p>
        </w:tc>
      </w:tr>
      <w:tr>
        <w:tblPrEx>
          <w:tblLayout w:type="fixed"/>
          <w:tblCellMar>
            <w:top w:w="0" w:type="dxa"/>
            <w:left w:w="108" w:type="dxa"/>
            <w:bottom w:w="0" w:type="dxa"/>
            <w:right w:w="108" w:type="dxa"/>
          </w:tblCellMar>
        </w:tblPrEx>
        <w:trPr>
          <w:trHeight w:val="1420"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4</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林下经济产业发展示范工程</w:t>
            </w:r>
          </w:p>
          <w:p>
            <w:pPr>
              <w:widowControl/>
              <w:ind w:firstLine="480" w:firstLineChars="200"/>
              <w:rPr>
                <w:kern w:val="0"/>
                <w:sz w:val="24"/>
                <w:lang w:bidi="ar"/>
              </w:rPr>
            </w:pPr>
            <w:r>
              <w:rPr>
                <w:rFonts w:hint="eastAsia" w:eastAsia="楷体_GB2312"/>
                <w:sz w:val="24"/>
              </w:rPr>
              <w:t>打造国家级林下经济示范基地</w:t>
            </w:r>
            <w:r>
              <w:rPr>
                <w:rFonts w:eastAsia="楷体_GB2312"/>
                <w:sz w:val="24"/>
              </w:rPr>
              <w:t>24</w:t>
            </w:r>
            <w:r>
              <w:rPr>
                <w:rFonts w:hint="eastAsia" w:eastAsia="楷体_GB2312"/>
                <w:sz w:val="24"/>
              </w:rPr>
              <w:t>处、省级林下经济示范基地</w:t>
            </w:r>
            <w:r>
              <w:rPr>
                <w:rFonts w:eastAsia="楷体_GB2312"/>
                <w:sz w:val="24"/>
              </w:rPr>
              <w:t>339</w:t>
            </w:r>
            <w:r>
              <w:rPr>
                <w:rFonts w:hint="eastAsia" w:eastAsia="楷体_GB2312"/>
                <w:sz w:val="24"/>
              </w:rPr>
              <w:t>处，培育省级木本药材特色产业园区</w:t>
            </w:r>
            <w:r>
              <w:rPr>
                <w:rFonts w:eastAsia="楷体_GB2312"/>
                <w:sz w:val="24"/>
              </w:rPr>
              <w:t>10</w:t>
            </w:r>
            <w:r>
              <w:rPr>
                <w:rFonts w:hint="eastAsia" w:eastAsia="楷体_GB2312"/>
                <w:sz w:val="24"/>
              </w:rPr>
              <w:t>个、省级林下经济特色产业园</w:t>
            </w:r>
            <w:r>
              <w:rPr>
                <w:rFonts w:eastAsia="楷体_GB2312"/>
                <w:sz w:val="24"/>
              </w:rPr>
              <w:t>15</w:t>
            </w:r>
            <w:r>
              <w:rPr>
                <w:rFonts w:hint="eastAsia" w:eastAsia="楷体_GB2312"/>
                <w:sz w:val="24"/>
              </w:rPr>
              <w:t>个。</w:t>
            </w:r>
          </w:p>
        </w:tc>
      </w:tr>
      <w:tr>
        <w:tblPrEx>
          <w:tblLayout w:type="fixed"/>
          <w:tblCellMar>
            <w:top w:w="0" w:type="dxa"/>
            <w:left w:w="108" w:type="dxa"/>
            <w:bottom w:w="0" w:type="dxa"/>
            <w:right w:w="108" w:type="dxa"/>
          </w:tblCellMar>
        </w:tblPrEx>
        <w:trPr>
          <w:trHeight w:val="1790"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5</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花卉苗木产业发展示范工程</w:t>
            </w:r>
          </w:p>
          <w:p>
            <w:pPr>
              <w:ind w:firstLine="480" w:firstLineChars="200"/>
              <w:rPr>
                <w:kern w:val="0"/>
                <w:sz w:val="24"/>
                <w:lang w:bidi="ar"/>
              </w:rPr>
            </w:pPr>
            <w:r>
              <w:rPr>
                <w:rFonts w:hint="eastAsia" w:eastAsia="楷体_GB2312"/>
                <w:sz w:val="24"/>
              </w:rPr>
              <w:t>重点扶持</w:t>
            </w:r>
            <w:r>
              <w:rPr>
                <w:rFonts w:eastAsia="楷体_GB2312"/>
                <w:sz w:val="24"/>
              </w:rPr>
              <w:t>20</w:t>
            </w:r>
            <w:r>
              <w:rPr>
                <w:rFonts w:hint="eastAsia" w:eastAsia="楷体_GB2312"/>
                <w:sz w:val="24"/>
              </w:rPr>
              <w:t>家龙头骨干企业，扶持</w:t>
            </w:r>
            <w:r>
              <w:rPr>
                <w:rFonts w:eastAsia="楷体_GB2312"/>
                <w:sz w:val="24"/>
              </w:rPr>
              <w:t>50</w:t>
            </w:r>
            <w:r>
              <w:rPr>
                <w:rFonts w:hint="eastAsia" w:eastAsia="楷体_GB2312"/>
                <w:sz w:val="24"/>
              </w:rPr>
              <w:t>家示范基地。建设花木种质资源库和花木市场，定期举办省级花木博览会，打造一批花木特色小镇和花文化与科普教育基地，培育、研发、推广一批花木优良品种和先进技术。</w:t>
            </w:r>
          </w:p>
        </w:tc>
      </w:tr>
    </w:tbl>
    <w:p>
      <w:pPr>
        <w:pStyle w:val="4"/>
        <w:ind w:firstLine="640" w:firstLineChars="200"/>
        <w:rPr>
          <w:rFonts w:ascii="Times New Roman" w:hAnsi="Times New Roman" w:eastAsia="黑体" w:cs="Times New Roman"/>
          <w:sz w:val="32"/>
          <w:szCs w:val="32"/>
        </w:rPr>
      </w:pPr>
      <w:bookmarkStart w:id="176" w:name="_Toc78296743"/>
      <w:bookmarkStart w:id="177" w:name="_Toc78381457"/>
      <w:bookmarkStart w:id="178" w:name="_Toc76396528"/>
      <w:r>
        <w:rPr>
          <w:rFonts w:ascii="Times New Roman" w:hAnsi="Times New Roman" w:eastAsia="黑体" w:cs="Times New Roman"/>
          <w:sz w:val="32"/>
          <w:szCs w:val="32"/>
        </w:rPr>
        <w:t xml:space="preserve">4.3 </w:t>
      </w:r>
      <w:r>
        <w:rPr>
          <w:rFonts w:hint="eastAsia" w:ascii="Times New Roman" w:hAnsi="Times New Roman" w:eastAsia="黑体"/>
          <w:sz w:val="32"/>
          <w:szCs w:val="32"/>
        </w:rPr>
        <w:t>生态文化建设领域</w:t>
      </w:r>
      <w:bookmarkEnd w:id="176"/>
      <w:bookmarkEnd w:id="177"/>
      <w:bookmarkEnd w:id="178"/>
    </w:p>
    <w:p>
      <w:pPr>
        <w:pStyle w:val="6"/>
        <w:ind w:firstLine="640" w:firstLineChars="200"/>
        <w:rPr>
          <w:rStyle w:val="30"/>
          <w:rFonts w:eastAsia="楷体"/>
          <w:b w:val="0"/>
          <w:bCs w:val="0"/>
        </w:rPr>
      </w:pPr>
      <w:bookmarkStart w:id="179" w:name="_Toc78381458"/>
      <w:bookmarkStart w:id="180" w:name="_Toc76396532"/>
      <w:bookmarkStart w:id="181" w:name="_Toc40077778"/>
      <w:bookmarkStart w:id="182" w:name="_Toc76396530"/>
      <w:r>
        <w:rPr>
          <w:rStyle w:val="30"/>
          <w:rFonts w:eastAsia="楷体"/>
        </w:rPr>
        <w:t>4.3.</w:t>
      </w:r>
      <w:r>
        <w:rPr>
          <w:rStyle w:val="30"/>
          <w:rFonts w:eastAsia="楷体"/>
          <w:lang w:val="en-US"/>
        </w:rPr>
        <w:t xml:space="preserve">1 </w:t>
      </w:r>
      <w:r>
        <w:rPr>
          <w:rStyle w:val="30"/>
          <w:rFonts w:hint="eastAsia" w:eastAsia="楷体"/>
        </w:rPr>
        <w:t>植物科学馆建设</w:t>
      </w:r>
      <w:r>
        <w:rPr>
          <w:rStyle w:val="30"/>
          <w:rFonts w:hint="eastAsia" w:eastAsia="楷体"/>
          <w:lang w:val="en-US"/>
        </w:rPr>
        <w:t>示范</w:t>
      </w:r>
      <w:r>
        <w:rPr>
          <w:rStyle w:val="30"/>
          <w:rFonts w:hint="eastAsia" w:eastAsia="楷体"/>
        </w:rPr>
        <w:t>工程</w:t>
      </w:r>
      <w:bookmarkEnd w:id="179"/>
      <w:bookmarkEnd w:id="180"/>
    </w:p>
    <w:p>
      <w:pPr>
        <w:pStyle w:val="93"/>
        <w:spacing w:line="560" w:lineRule="exact"/>
        <w:ind w:firstLine="640"/>
        <w:rPr>
          <w:sz w:val="32"/>
          <w:szCs w:val="32"/>
          <w:lang w:val="en-US"/>
        </w:rPr>
      </w:pPr>
      <w:r>
        <w:rPr>
          <w:rFonts w:hint="eastAsia"/>
          <w:sz w:val="32"/>
          <w:szCs w:val="32"/>
          <w:lang w:val="en-US"/>
        </w:rPr>
        <w:t>建设植物科学主馆，包括报告厅、会议厅、动植物展览厅、教室多功能为一体的植物科学馆，含中央控制影音教材系统，音响系统、保安系统、烟感喷淋消防系统、中央空调系统、同声翻译、电讯电传、终端设备等。对植物科研展览温室内部进行建设，含热带雨林植物馆、沙生植物馆、世界名优花馆、高山植物馆展示区、科学研究试验区，迁地保育和科普展示物种植物</w:t>
      </w:r>
      <w:r>
        <w:rPr>
          <w:sz w:val="32"/>
          <w:szCs w:val="32"/>
          <w:lang w:val="en-US"/>
        </w:rPr>
        <w:t>3000</w:t>
      </w:r>
      <w:r>
        <w:rPr>
          <w:rFonts w:hint="eastAsia"/>
          <w:sz w:val="32"/>
          <w:szCs w:val="32"/>
          <w:lang w:val="en-US"/>
        </w:rPr>
        <w:t>种以上。建设植物科普智慧园区，包含预约系统建设、植物定位系统建设、智慧管理办公系统建设、智慧导览系统建设。</w:t>
      </w:r>
    </w:p>
    <w:p>
      <w:pPr>
        <w:pStyle w:val="6"/>
        <w:ind w:firstLine="640" w:firstLineChars="200"/>
        <w:rPr>
          <w:rStyle w:val="30"/>
          <w:rFonts w:eastAsia="楷体"/>
          <w:b w:val="0"/>
          <w:bCs w:val="0"/>
        </w:rPr>
      </w:pPr>
      <w:bookmarkStart w:id="183" w:name="_Toc78381459"/>
      <w:bookmarkStart w:id="184" w:name="_Toc76396529"/>
      <w:r>
        <w:rPr>
          <w:rStyle w:val="30"/>
          <w:rFonts w:eastAsia="楷体"/>
        </w:rPr>
        <w:t>4.3.</w:t>
      </w:r>
      <w:r>
        <w:rPr>
          <w:rStyle w:val="30"/>
          <w:rFonts w:eastAsia="楷体"/>
          <w:lang w:val="en-US"/>
        </w:rPr>
        <w:t xml:space="preserve">2 </w:t>
      </w:r>
      <w:r>
        <w:rPr>
          <w:rStyle w:val="30"/>
          <w:rFonts w:hint="eastAsia" w:eastAsia="楷体"/>
        </w:rPr>
        <w:t>森林城市建设工程</w:t>
      </w:r>
      <w:bookmarkEnd w:id="183"/>
      <w:bookmarkEnd w:id="184"/>
    </w:p>
    <w:p>
      <w:pPr>
        <w:pStyle w:val="93"/>
        <w:spacing w:line="560" w:lineRule="exact"/>
        <w:ind w:firstLine="640"/>
        <w:rPr>
          <w:sz w:val="32"/>
          <w:szCs w:val="32"/>
        </w:rPr>
      </w:pPr>
      <w:bookmarkStart w:id="185" w:name="_Hlk40304453"/>
      <w:r>
        <w:rPr>
          <w:rFonts w:hint="eastAsia"/>
          <w:sz w:val="32"/>
          <w:szCs w:val="32"/>
        </w:rPr>
        <w:t>以改善城市生态环境、增加城市森林面积、提升城市森林质量、增加城市居民游憩空间为目标，全面推进森林城市建设，森林城市数量持续增加，森林城市质量不断提升，类型丰富、特色鲜明的森林城市发展格局初步形成，城乡生态面貌得到明显改善，生态文明意识明显提高。</w:t>
      </w:r>
    </w:p>
    <w:bookmarkEnd w:id="185"/>
    <w:p>
      <w:pPr>
        <w:pStyle w:val="6"/>
        <w:ind w:firstLine="640" w:firstLineChars="200"/>
        <w:rPr>
          <w:rStyle w:val="30"/>
          <w:rFonts w:eastAsia="楷体"/>
          <w:b w:val="0"/>
          <w:bCs w:val="0"/>
        </w:rPr>
      </w:pPr>
      <w:bookmarkStart w:id="186" w:name="_Toc78381460"/>
      <w:r>
        <w:rPr>
          <w:rStyle w:val="30"/>
          <w:rFonts w:eastAsia="楷体"/>
        </w:rPr>
        <w:t>4.3.</w:t>
      </w:r>
      <w:r>
        <w:rPr>
          <w:rStyle w:val="30"/>
          <w:rFonts w:eastAsia="楷体"/>
          <w:lang w:val="en-US"/>
        </w:rPr>
        <w:t xml:space="preserve">3 </w:t>
      </w:r>
      <w:r>
        <w:rPr>
          <w:rStyle w:val="30"/>
          <w:rFonts w:hint="eastAsia" w:eastAsia="楷体"/>
        </w:rPr>
        <w:t>乡村绿化美化建设</w:t>
      </w:r>
      <w:bookmarkEnd w:id="181"/>
      <w:r>
        <w:rPr>
          <w:rStyle w:val="30"/>
          <w:rFonts w:hint="eastAsia" w:eastAsia="楷体"/>
        </w:rPr>
        <w:t>工程</w:t>
      </w:r>
      <w:bookmarkEnd w:id="182"/>
      <w:bookmarkEnd w:id="186"/>
    </w:p>
    <w:p>
      <w:pPr>
        <w:pStyle w:val="93"/>
        <w:spacing w:line="560" w:lineRule="exact"/>
        <w:ind w:firstLine="640"/>
        <w:rPr>
          <w:sz w:val="32"/>
          <w:szCs w:val="32"/>
        </w:rPr>
      </w:pPr>
      <w:r>
        <w:rPr>
          <w:rFonts w:hint="eastAsia"/>
          <w:sz w:val="32"/>
          <w:szCs w:val="32"/>
        </w:rPr>
        <w:t>以建设森林乡村为载体，持续加大乡村绿化美化力度，努力打造生态宜居的美丽乡村，建设一批有特色的森林乡村示范村。加快推进乡村绿化美化要遵循乡村发展规律，大力保护乡村生态资源，通过示范创建、引领推进，实现房前屋后有花草。持续加强公共空间、庭院绿化美化，不断强化道路水系、农田防护林体系建设，动员广大干部群众积极参与，共建共享绿色生态家园。</w:t>
      </w:r>
    </w:p>
    <w:p>
      <w:pPr>
        <w:pStyle w:val="6"/>
        <w:ind w:firstLine="640" w:firstLineChars="200"/>
        <w:rPr>
          <w:rStyle w:val="30"/>
          <w:rFonts w:eastAsia="楷体"/>
          <w:b w:val="0"/>
          <w:bCs w:val="0"/>
        </w:rPr>
      </w:pPr>
      <w:bookmarkStart w:id="187" w:name="_Toc40077786"/>
      <w:bookmarkStart w:id="188" w:name="_Toc76396531"/>
      <w:bookmarkStart w:id="189" w:name="_Toc78381461"/>
      <w:r>
        <w:rPr>
          <w:rStyle w:val="30"/>
          <w:rFonts w:eastAsia="楷体"/>
        </w:rPr>
        <w:t>4.3.</w:t>
      </w:r>
      <w:r>
        <w:rPr>
          <w:rStyle w:val="30"/>
          <w:rFonts w:eastAsia="楷体"/>
          <w:lang w:val="en-US"/>
        </w:rPr>
        <w:t xml:space="preserve">4 </w:t>
      </w:r>
      <w:r>
        <w:rPr>
          <w:rStyle w:val="30"/>
          <w:rFonts w:hint="eastAsia" w:eastAsia="楷体"/>
        </w:rPr>
        <w:t>自然教育与生态文明教育基地建设工程</w:t>
      </w:r>
      <w:bookmarkEnd w:id="187"/>
      <w:bookmarkEnd w:id="188"/>
      <w:bookmarkEnd w:id="189"/>
    </w:p>
    <w:p>
      <w:pPr>
        <w:pStyle w:val="93"/>
        <w:spacing w:line="560" w:lineRule="exact"/>
        <w:ind w:firstLine="640"/>
        <w:rPr>
          <w:sz w:val="32"/>
          <w:szCs w:val="32"/>
        </w:rPr>
      </w:pPr>
      <w:r>
        <w:rPr>
          <w:rFonts w:hint="eastAsia"/>
          <w:sz w:val="32"/>
          <w:szCs w:val="32"/>
        </w:rPr>
        <w:t>充分利用全省自然保护地、动物园、植物园、国有林场打造一批具有区域特色的</w:t>
      </w:r>
      <w:r>
        <w:rPr>
          <w:sz w:val="32"/>
          <w:szCs w:val="32"/>
        </w:rPr>
        <w:t>“</w:t>
      </w:r>
      <w:r>
        <w:rPr>
          <w:rFonts w:hint="eastAsia"/>
          <w:sz w:val="32"/>
          <w:szCs w:val="32"/>
        </w:rPr>
        <w:t>湘</w:t>
      </w:r>
      <w:r>
        <w:rPr>
          <w:sz w:val="32"/>
          <w:szCs w:val="32"/>
        </w:rPr>
        <w:t>”</w:t>
      </w:r>
      <w:r>
        <w:rPr>
          <w:rFonts w:hint="eastAsia"/>
          <w:sz w:val="32"/>
          <w:szCs w:val="32"/>
        </w:rPr>
        <w:t>约自然教育基地，培养一支自然教育队伍，让</w:t>
      </w:r>
      <w:r>
        <w:rPr>
          <w:sz w:val="32"/>
          <w:szCs w:val="32"/>
        </w:rPr>
        <w:t>1000</w:t>
      </w:r>
      <w:r>
        <w:rPr>
          <w:rFonts w:hint="eastAsia"/>
          <w:sz w:val="32"/>
          <w:szCs w:val="32"/>
        </w:rPr>
        <w:t>万青少年走进自然。以世界自然遗产、世界地质公园、自然保护地、国有林场、植物园、动物园、科研院所等为重点，按照</w:t>
      </w:r>
      <w:r>
        <w:rPr>
          <w:sz w:val="32"/>
          <w:szCs w:val="32"/>
        </w:rPr>
        <w:t>“</w:t>
      </w:r>
      <w:r>
        <w:rPr>
          <w:rFonts w:hint="eastAsia"/>
          <w:sz w:val="32"/>
          <w:szCs w:val="32"/>
        </w:rPr>
        <w:t>生态理念先进、生态主题突出、生态保护严格、生态文化氛围浓厚</w:t>
      </w:r>
      <w:r>
        <w:rPr>
          <w:sz w:val="32"/>
          <w:szCs w:val="32"/>
        </w:rPr>
        <w:t>”</w:t>
      </w:r>
      <w:r>
        <w:rPr>
          <w:rFonts w:hint="eastAsia"/>
          <w:sz w:val="32"/>
          <w:szCs w:val="32"/>
        </w:rPr>
        <w:t>的原则，加快生态文明教育基地建设，逐步构建覆盖省、市、县级，立体、全方位的生态文明教育示范格局。同时加强世界遗产地、自然保护地与相关国际组织和高等院校的科研合作。</w:t>
      </w:r>
    </w:p>
    <w:tbl>
      <w:tblPr>
        <w:tblStyle w:val="36"/>
        <w:tblW w:w="8475" w:type="dxa"/>
        <w:tblInd w:w="132" w:type="dxa"/>
        <w:tblLayout w:type="fixed"/>
        <w:tblCellMar>
          <w:top w:w="0" w:type="dxa"/>
          <w:left w:w="108" w:type="dxa"/>
          <w:bottom w:w="0" w:type="dxa"/>
          <w:right w:w="108" w:type="dxa"/>
        </w:tblCellMar>
      </w:tblPr>
      <w:tblGrid>
        <w:gridCol w:w="600"/>
        <w:gridCol w:w="7875"/>
      </w:tblGrid>
      <w:tr>
        <w:tblPrEx>
          <w:tblLayout w:type="fixed"/>
          <w:tblCellMar>
            <w:top w:w="0" w:type="dxa"/>
            <w:left w:w="108" w:type="dxa"/>
            <w:bottom w:w="0" w:type="dxa"/>
            <w:right w:w="108" w:type="dxa"/>
          </w:tblCellMar>
        </w:tblPrEx>
        <w:trPr>
          <w:trHeight w:val="585" w:hRule="atLeast"/>
          <w:tblHeader/>
        </w:trPr>
        <w:tc>
          <w:tcPr>
            <w:tcW w:w="8475" w:type="dxa"/>
            <w:gridSpan w:val="2"/>
            <w:tcBorders>
              <w:top w:val="single" w:color="auto" w:sz="4" w:space="0"/>
              <w:left w:val="single" w:color="auto" w:sz="4" w:space="0"/>
              <w:bottom w:val="single" w:color="auto" w:sz="4"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6 </w:t>
            </w:r>
            <w:r>
              <w:rPr>
                <w:rFonts w:hint="eastAsia" w:eastAsia="方正小标宋_GBK"/>
              </w:rPr>
              <w:t>生态</w:t>
            </w:r>
            <w:r>
              <w:rPr>
                <w:rFonts w:hint="eastAsia" w:eastAsia="方正小标宋_GBK"/>
                <w:lang w:val="en-US"/>
              </w:rPr>
              <w:t>文化</w:t>
            </w:r>
            <w:r>
              <w:rPr>
                <w:rFonts w:hint="eastAsia" w:eastAsia="方正小标宋_GBK"/>
              </w:rPr>
              <w:t>领域重点工程</w:t>
            </w:r>
          </w:p>
        </w:tc>
      </w:tr>
      <w:tr>
        <w:tblPrEx>
          <w:tblLayout w:type="fixed"/>
          <w:tblCellMar>
            <w:top w:w="0" w:type="dxa"/>
            <w:left w:w="108" w:type="dxa"/>
            <w:bottom w:w="0" w:type="dxa"/>
            <w:right w:w="108" w:type="dxa"/>
          </w:tblCellMar>
        </w:tblPrEx>
        <w:trPr>
          <w:trHeight w:val="1368" w:hRule="atLeast"/>
        </w:trPr>
        <w:tc>
          <w:tcPr>
            <w:tcW w:w="600" w:type="dxa"/>
            <w:tcBorders>
              <w:top w:val="nil"/>
              <w:left w:val="single" w:color="000000" w:sz="4" w:space="0"/>
              <w:bottom w:val="single" w:color="auto" w:sz="4" w:space="0"/>
              <w:right w:val="nil"/>
            </w:tcBorders>
            <w:vAlign w:val="center"/>
          </w:tcPr>
          <w:p>
            <w:pPr>
              <w:widowControl/>
              <w:jc w:val="center"/>
              <w:rPr>
                <w:kern w:val="0"/>
                <w:sz w:val="24"/>
              </w:rPr>
            </w:pPr>
            <w:r>
              <w:rPr>
                <w:kern w:val="0"/>
                <w:sz w:val="24"/>
              </w:rPr>
              <w:t>1</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植物科学馆建设示范工程</w:t>
            </w:r>
          </w:p>
          <w:p>
            <w:pPr>
              <w:widowControl/>
              <w:ind w:firstLine="480"/>
              <w:rPr>
                <w:rFonts w:eastAsia="楷体_GB2312"/>
                <w:sz w:val="32"/>
                <w:szCs w:val="32"/>
              </w:rPr>
            </w:pPr>
            <w:r>
              <w:rPr>
                <w:rFonts w:hint="eastAsia" w:eastAsia="楷体_GB2312"/>
                <w:sz w:val="24"/>
              </w:rPr>
              <w:t>建设植物科学主馆，建筑面积</w:t>
            </w:r>
            <w:r>
              <w:rPr>
                <w:rFonts w:eastAsia="楷体_GB2312"/>
                <w:sz w:val="24"/>
              </w:rPr>
              <w:t>10000</w:t>
            </w:r>
            <w:r>
              <w:rPr>
                <w:rFonts w:hint="eastAsia" w:eastAsia="楷体_GB2312"/>
                <w:sz w:val="24"/>
              </w:rPr>
              <w:t>平方米。开展植物科研展览温室内部建设，面积</w:t>
            </w:r>
            <w:r>
              <w:rPr>
                <w:rFonts w:eastAsia="楷体_GB2312"/>
                <w:sz w:val="24"/>
              </w:rPr>
              <w:t>65000</w:t>
            </w:r>
            <w:r>
              <w:rPr>
                <w:rFonts w:hint="eastAsia" w:eastAsia="楷体_GB2312"/>
                <w:sz w:val="24"/>
              </w:rPr>
              <w:t>平方米。建设植物科普智慧园区。</w:t>
            </w:r>
          </w:p>
        </w:tc>
      </w:tr>
      <w:tr>
        <w:tblPrEx>
          <w:tblLayout w:type="fixed"/>
          <w:tblCellMar>
            <w:top w:w="0" w:type="dxa"/>
            <w:left w:w="108" w:type="dxa"/>
            <w:bottom w:w="0" w:type="dxa"/>
            <w:right w:w="108" w:type="dxa"/>
          </w:tblCellMar>
        </w:tblPrEx>
        <w:trPr>
          <w:trHeight w:val="1486" w:hRule="atLeast"/>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2</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森林城市建设工程</w:t>
            </w:r>
          </w:p>
          <w:p>
            <w:pPr>
              <w:widowControl/>
              <w:ind w:firstLine="480"/>
              <w:rPr>
                <w:rFonts w:eastAsia="楷体_GB2312"/>
                <w:sz w:val="24"/>
              </w:rPr>
            </w:pPr>
            <w:r>
              <w:rPr>
                <w:rFonts w:hint="eastAsia" w:eastAsia="楷体_GB2312"/>
                <w:sz w:val="24"/>
              </w:rPr>
              <w:t>建成</w:t>
            </w:r>
            <w:r>
              <w:rPr>
                <w:rFonts w:eastAsia="楷体_GB2312"/>
                <w:sz w:val="24"/>
              </w:rPr>
              <w:t>13</w:t>
            </w:r>
            <w:r>
              <w:rPr>
                <w:rFonts w:hint="eastAsia" w:eastAsia="楷体_GB2312"/>
                <w:sz w:val="24"/>
              </w:rPr>
              <w:t>个国家森林城市（其中，市州级</w:t>
            </w:r>
            <w:r>
              <w:rPr>
                <w:rFonts w:eastAsia="楷体_GB2312"/>
                <w:sz w:val="24"/>
              </w:rPr>
              <w:t>3</w:t>
            </w:r>
            <w:r>
              <w:rPr>
                <w:rFonts w:hint="eastAsia" w:eastAsia="楷体_GB2312"/>
                <w:sz w:val="24"/>
              </w:rPr>
              <w:t>个、县级</w:t>
            </w:r>
            <w:r>
              <w:rPr>
                <w:rFonts w:eastAsia="楷体_GB2312"/>
                <w:sz w:val="24"/>
              </w:rPr>
              <w:t>10</w:t>
            </w:r>
            <w:r>
              <w:rPr>
                <w:rFonts w:hint="eastAsia" w:eastAsia="楷体_GB2312"/>
                <w:sz w:val="24"/>
              </w:rPr>
              <w:t>个），</w:t>
            </w:r>
            <w:r>
              <w:rPr>
                <w:rFonts w:eastAsia="楷体_GB2312"/>
                <w:sz w:val="24"/>
              </w:rPr>
              <w:t>25</w:t>
            </w:r>
            <w:r>
              <w:rPr>
                <w:rFonts w:hint="eastAsia" w:eastAsia="楷体_GB2312"/>
                <w:sz w:val="24"/>
              </w:rPr>
              <w:t>个省级森林城市，推动长株潭国家森林城市群建设，基本建立以森林城市群和森林城市为主的森林城市建设体系。</w:t>
            </w:r>
          </w:p>
        </w:tc>
      </w:tr>
    </w:tbl>
    <w:p>
      <w:pPr>
        <w:pStyle w:val="4"/>
        <w:ind w:firstLine="640" w:firstLineChars="200"/>
        <w:rPr>
          <w:rFonts w:ascii="Times New Roman" w:hAnsi="Times New Roman" w:eastAsia="黑体" w:cs="Times New Roman"/>
          <w:sz w:val="32"/>
          <w:szCs w:val="32"/>
        </w:rPr>
      </w:pPr>
      <w:bookmarkStart w:id="190" w:name="_Toc78381462"/>
      <w:bookmarkStart w:id="191" w:name="_Toc76396533"/>
      <w:bookmarkStart w:id="192" w:name="_Toc78296744"/>
      <w:r>
        <w:rPr>
          <w:rFonts w:ascii="Times New Roman" w:hAnsi="Times New Roman" w:eastAsia="黑体" w:cs="Times New Roman"/>
          <w:sz w:val="32"/>
          <w:szCs w:val="32"/>
        </w:rPr>
        <w:t xml:space="preserve">4.4 </w:t>
      </w:r>
      <w:r>
        <w:rPr>
          <w:rFonts w:hint="eastAsia" w:ascii="Times New Roman" w:hAnsi="Times New Roman" w:eastAsia="黑体"/>
          <w:sz w:val="32"/>
          <w:szCs w:val="32"/>
        </w:rPr>
        <w:t>生态发展支撑领域</w:t>
      </w:r>
      <w:bookmarkEnd w:id="190"/>
      <w:bookmarkEnd w:id="191"/>
      <w:bookmarkEnd w:id="192"/>
    </w:p>
    <w:p>
      <w:pPr>
        <w:pStyle w:val="6"/>
        <w:ind w:firstLine="640" w:firstLineChars="200"/>
        <w:rPr>
          <w:rStyle w:val="30"/>
          <w:rFonts w:eastAsia="楷体"/>
          <w:b w:val="0"/>
          <w:bCs w:val="0"/>
        </w:rPr>
      </w:pPr>
      <w:bookmarkStart w:id="193" w:name="_Toc78381463"/>
      <w:bookmarkStart w:id="194" w:name="_Toc76396538"/>
      <w:bookmarkStart w:id="195" w:name="_Toc40077774"/>
      <w:bookmarkStart w:id="196" w:name="_Toc76396534"/>
      <w:bookmarkStart w:id="197" w:name="_Toc40077779"/>
      <w:bookmarkStart w:id="198" w:name="_Toc40077785"/>
      <w:r>
        <w:rPr>
          <w:rStyle w:val="30"/>
          <w:rFonts w:eastAsia="楷体"/>
        </w:rPr>
        <w:t>4.</w:t>
      </w:r>
      <w:r>
        <w:rPr>
          <w:rStyle w:val="30"/>
          <w:rFonts w:eastAsia="楷体"/>
          <w:lang w:val="en-US"/>
        </w:rPr>
        <w:t>4.1 “</w:t>
      </w:r>
      <w:r>
        <w:rPr>
          <w:rStyle w:val="30"/>
          <w:rFonts w:hint="eastAsia" w:eastAsia="楷体"/>
          <w:lang w:val="en-US"/>
        </w:rPr>
        <w:t>中国油茶科创谷</w:t>
      </w:r>
      <w:r>
        <w:rPr>
          <w:rStyle w:val="30"/>
          <w:rFonts w:eastAsia="楷体"/>
          <w:lang w:val="en-US"/>
        </w:rPr>
        <w:t>”</w:t>
      </w:r>
      <w:r>
        <w:rPr>
          <w:rStyle w:val="30"/>
          <w:rFonts w:hint="eastAsia" w:eastAsia="楷体"/>
          <w:lang w:val="en-US"/>
        </w:rPr>
        <w:t>示范</w:t>
      </w:r>
      <w:r>
        <w:rPr>
          <w:rStyle w:val="30"/>
          <w:rFonts w:hint="eastAsia" w:eastAsia="楷体"/>
        </w:rPr>
        <w:t>工程</w:t>
      </w:r>
      <w:bookmarkEnd w:id="193"/>
    </w:p>
    <w:p>
      <w:pPr>
        <w:pStyle w:val="93"/>
        <w:spacing w:line="560" w:lineRule="exact"/>
        <w:ind w:firstLine="640"/>
        <w:rPr>
          <w:sz w:val="32"/>
          <w:szCs w:val="32"/>
        </w:rPr>
      </w:pPr>
      <w:r>
        <w:rPr>
          <w:rFonts w:hint="eastAsia"/>
          <w:sz w:val="32"/>
          <w:szCs w:val="32"/>
        </w:rPr>
        <w:t>根据《中国油茶科创谷规划（</w:t>
      </w:r>
      <w:r>
        <w:rPr>
          <w:sz w:val="32"/>
          <w:szCs w:val="32"/>
        </w:rPr>
        <w:t>2020</w:t>
      </w:r>
      <w:bookmarkStart w:id="199" w:name="_Hlk61167189"/>
      <w:r>
        <w:rPr>
          <w:rFonts w:hint="eastAsia"/>
          <w:sz w:val="32"/>
          <w:szCs w:val="32"/>
        </w:rPr>
        <w:t>～</w:t>
      </w:r>
      <w:bookmarkEnd w:id="199"/>
      <w:r>
        <w:rPr>
          <w:sz w:val="32"/>
          <w:szCs w:val="32"/>
        </w:rPr>
        <w:t>2025</w:t>
      </w:r>
      <w:r>
        <w:rPr>
          <w:rFonts w:hint="eastAsia"/>
          <w:sz w:val="32"/>
          <w:szCs w:val="32"/>
        </w:rPr>
        <w:t>年）》，科创谷主要建设内容包括：以</w:t>
      </w:r>
      <w:r>
        <w:rPr>
          <w:sz w:val="32"/>
          <w:szCs w:val="32"/>
        </w:rPr>
        <w:t>6</w:t>
      </w:r>
      <w:r>
        <w:rPr>
          <w:rFonts w:hint="eastAsia"/>
          <w:sz w:val="32"/>
          <w:szCs w:val="32"/>
        </w:rPr>
        <w:t>大基地建设为目标，规划建设创新平台、科技攻关、人才团队、标准化示范基地、产业服务等</w:t>
      </w:r>
      <w:r>
        <w:rPr>
          <w:sz w:val="32"/>
          <w:szCs w:val="32"/>
        </w:rPr>
        <w:t>5</w:t>
      </w:r>
      <w:r>
        <w:rPr>
          <w:rFonts w:hint="eastAsia"/>
          <w:sz w:val="32"/>
          <w:szCs w:val="32"/>
        </w:rPr>
        <w:t>大内容。加强创新平台建设，重点建设好</w:t>
      </w:r>
      <w:r>
        <w:rPr>
          <w:sz w:val="32"/>
          <w:szCs w:val="32"/>
        </w:rPr>
        <w:t>“</w:t>
      </w:r>
      <w:r>
        <w:rPr>
          <w:rFonts w:hint="eastAsia"/>
          <w:sz w:val="32"/>
          <w:szCs w:val="32"/>
        </w:rPr>
        <w:t>一室三中心多站</w:t>
      </w:r>
      <w:r>
        <w:rPr>
          <w:sz w:val="32"/>
          <w:szCs w:val="32"/>
        </w:rPr>
        <w:t>”</w:t>
      </w:r>
      <w:r>
        <w:rPr>
          <w:rFonts w:hint="eastAsia"/>
          <w:sz w:val="32"/>
          <w:szCs w:val="32"/>
        </w:rPr>
        <w:t>，即省部共建木本油料资源利用国家重点实验室、岳麓山种业创新中心油茶分中心、国家油茶工程技术研究中心、国家林草局南方天敌繁育与应用工程技术研究中心，在全国油茶主产区布局工作站或试验站，构建联动创新载体。强化科技研究攻关，主要针对油茶全产业链的重大技术瓶颈，从油茶资源培育、油茶绿色加工和高值化、油茶大数据和品牌建设等三个方向进行创新和突破，形成油茶理论和技术体系。积极加强专家团队和技术人才培养。在全省支撑建设种业创新、高效栽培等标准化示范基地和加工利用标准化示范基地。在产业服务方面，主要包括建设油茶产业服务中心、油茶科技文化园、中国油茶品牌体系及油茶公共服务体系</w:t>
      </w:r>
      <w:r>
        <w:rPr>
          <w:sz w:val="32"/>
          <w:szCs w:val="32"/>
        </w:rPr>
        <w:t>4</w:t>
      </w:r>
      <w:r>
        <w:rPr>
          <w:rFonts w:hint="eastAsia"/>
          <w:sz w:val="32"/>
          <w:szCs w:val="32"/>
        </w:rPr>
        <w:t>项内容。</w:t>
      </w:r>
    </w:p>
    <w:tbl>
      <w:tblPr>
        <w:tblStyle w:val="36"/>
        <w:tblW w:w="8475" w:type="dxa"/>
        <w:jc w:val="center"/>
        <w:tblInd w:w="0" w:type="dxa"/>
        <w:tblLayout w:type="fixed"/>
        <w:tblCellMar>
          <w:top w:w="0" w:type="dxa"/>
          <w:left w:w="108" w:type="dxa"/>
          <w:bottom w:w="0" w:type="dxa"/>
          <w:right w:w="108" w:type="dxa"/>
        </w:tblCellMar>
      </w:tblPr>
      <w:tblGrid>
        <w:gridCol w:w="600"/>
        <w:gridCol w:w="7875"/>
      </w:tblGrid>
      <w:tr>
        <w:tblPrEx>
          <w:tblLayout w:type="fixed"/>
          <w:tblCellMar>
            <w:top w:w="0" w:type="dxa"/>
            <w:left w:w="108" w:type="dxa"/>
            <w:bottom w:w="0" w:type="dxa"/>
            <w:right w:w="108" w:type="dxa"/>
          </w:tblCellMar>
        </w:tblPrEx>
        <w:trPr>
          <w:trHeight w:val="585" w:hRule="atLeast"/>
          <w:tblHeader/>
          <w:jc w:val="center"/>
        </w:trPr>
        <w:tc>
          <w:tcPr>
            <w:tcW w:w="8475" w:type="dxa"/>
            <w:gridSpan w:val="2"/>
            <w:tcBorders>
              <w:top w:val="single" w:color="auto" w:sz="4" w:space="0"/>
              <w:left w:val="single" w:color="auto" w:sz="4" w:space="0"/>
              <w:bottom w:val="single" w:color="auto" w:sz="4" w:space="0"/>
              <w:right w:val="single" w:color="auto" w:sz="4" w:space="0"/>
            </w:tcBorders>
            <w:vAlign w:val="center"/>
          </w:tcPr>
          <w:p>
            <w:pPr>
              <w:pStyle w:val="93"/>
              <w:spacing w:line="560" w:lineRule="exact"/>
              <w:ind w:firstLine="0" w:firstLineChars="0"/>
              <w:jc w:val="center"/>
              <w:rPr>
                <w:rFonts w:eastAsia="方正小标宋_GBK"/>
              </w:rPr>
            </w:pPr>
            <w:r>
              <w:rPr>
                <w:rFonts w:hint="eastAsia" w:eastAsia="方正小标宋_GBK"/>
              </w:rPr>
              <w:t>专栏</w:t>
            </w:r>
            <w:r>
              <w:rPr>
                <w:rFonts w:eastAsia="方正小标宋_GBK"/>
                <w:lang w:val="en-US"/>
              </w:rPr>
              <w:t xml:space="preserve">7 </w:t>
            </w:r>
            <w:r>
              <w:rPr>
                <w:rFonts w:hint="eastAsia" w:eastAsia="方正小标宋_GBK"/>
              </w:rPr>
              <w:t>生态</w:t>
            </w:r>
            <w:r>
              <w:rPr>
                <w:rFonts w:hint="eastAsia" w:eastAsia="方正小标宋_GBK"/>
                <w:lang w:val="en-US"/>
              </w:rPr>
              <w:t>发展支撑</w:t>
            </w:r>
            <w:r>
              <w:rPr>
                <w:rFonts w:hint="eastAsia" w:eastAsia="方正小标宋_GBK"/>
              </w:rPr>
              <w:t>领域示范工程</w:t>
            </w:r>
          </w:p>
        </w:tc>
      </w:tr>
      <w:tr>
        <w:tblPrEx>
          <w:tblLayout w:type="fixed"/>
          <w:tblCellMar>
            <w:top w:w="0" w:type="dxa"/>
            <w:left w:w="108" w:type="dxa"/>
            <w:bottom w:w="0" w:type="dxa"/>
            <w:right w:w="108" w:type="dxa"/>
          </w:tblCellMar>
        </w:tblPrEx>
        <w:trPr>
          <w:trHeight w:val="1486" w:hRule="atLeast"/>
          <w:jc w:val="center"/>
        </w:trPr>
        <w:tc>
          <w:tcPr>
            <w:tcW w:w="600" w:type="dxa"/>
            <w:tcBorders>
              <w:top w:val="nil"/>
              <w:left w:val="single" w:color="000000" w:sz="4" w:space="0"/>
              <w:bottom w:val="single" w:color="000000" w:sz="4" w:space="0"/>
              <w:right w:val="nil"/>
            </w:tcBorders>
            <w:vAlign w:val="center"/>
          </w:tcPr>
          <w:p>
            <w:pPr>
              <w:widowControl/>
              <w:jc w:val="center"/>
              <w:rPr>
                <w:kern w:val="0"/>
                <w:sz w:val="24"/>
              </w:rPr>
            </w:pPr>
            <w:r>
              <w:rPr>
                <w:kern w:val="0"/>
                <w:sz w:val="24"/>
              </w:rPr>
              <w:t>1</w:t>
            </w:r>
          </w:p>
        </w:tc>
        <w:tc>
          <w:tcPr>
            <w:tcW w:w="7875" w:type="dxa"/>
            <w:tcBorders>
              <w:top w:val="nil"/>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eastAsia="方正小标宋_GBK"/>
                <w:sz w:val="24"/>
              </w:rPr>
              <w:t>“</w:t>
            </w:r>
            <w:r>
              <w:rPr>
                <w:rFonts w:hint="eastAsia" w:eastAsia="方正小标宋_GBK"/>
                <w:sz w:val="24"/>
              </w:rPr>
              <w:t>中国油茶科创谷</w:t>
            </w:r>
            <w:r>
              <w:rPr>
                <w:rFonts w:eastAsia="方正小标宋_GBK"/>
                <w:sz w:val="24"/>
              </w:rPr>
              <w:t>”</w:t>
            </w:r>
            <w:r>
              <w:rPr>
                <w:rFonts w:hint="eastAsia" w:eastAsia="方正小标宋_GBK"/>
                <w:sz w:val="24"/>
              </w:rPr>
              <w:t>示范工程</w:t>
            </w:r>
          </w:p>
          <w:p>
            <w:pPr>
              <w:widowControl/>
              <w:ind w:firstLine="480"/>
              <w:rPr>
                <w:rFonts w:eastAsia="楷体_GB2312"/>
                <w:sz w:val="24"/>
              </w:rPr>
            </w:pPr>
            <w:r>
              <w:rPr>
                <w:rFonts w:hint="eastAsia" w:eastAsia="楷体_GB2312"/>
                <w:sz w:val="24"/>
              </w:rPr>
              <w:t>重点建设</w:t>
            </w:r>
            <w:r>
              <w:rPr>
                <w:rFonts w:eastAsia="楷体_GB2312"/>
                <w:sz w:val="24"/>
              </w:rPr>
              <w:t>“</w:t>
            </w:r>
            <w:r>
              <w:rPr>
                <w:rFonts w:hint="eastAsia" w:eastAsia="楷体_GB2312"/>
                <w:sz w:val="24"/>
              </w:rPr>
              <w:t>一室三中心多站</w:t>
            </w:r>
            <w:r>
              <w:rPr>
                <w:rFonts w:eastAsia="楷体_GB2312"/>
                <w:sz w:val="24"/>
              </w:rPr>
              <w:t>”</w:t>
            </w:r>
            <w:r>
              <w:rPr>
                <w:rFonts w:hint="eastAsia" w:eastAsia="楷体_GB2312"/>
                <w:sz w:val="24"/>
              </w:rPr>
              <w:t>等创新平台。强化科技研究攻关。着力打造一支</w:t>
            </w:r>
            <w:r>
              <w:rPr>
                <w:rFonts w:eastAsia="楷体_GB2312"/>
                <w:sz w:val="24"/>
              </w:rPr>
              <w:t>100</w:t>
            </w:r>
            <w:r>
              <w:rPr>
                <w:rFonts w:hint="eastAsia" w:eastAsia="楷体_GB2312"/>
                <w:sz w:val="24"/>
              </w:rPr>
              <w:t>人以上的知名专家团队，培养院士</w:t>
            </w:r>
            <w:r>
              <w:rPr>
                <w:rFonts w:eastAsia="楷体_GB2312"/>
                <w:sz w:val="24"/>
              </w:rPr>
              <w:t>1</w:t>
            </w:r>
            <w:r>
              <w:rPr>
                <w:rFonts w:hint="eastAsia" w:eastAsia="楷体_GB2312"/>
                <w:sz w:val="24"/>
              </w:rPr>
              <w:t>～</w:t>
            </w:r>
            <w:r>
              <w:rPr>
                <w:rFonts w:eastAsia="楷体_GB2312"/>
                <w:sz w:val="24"/>
              </w:rPr>
              <w:t>2</w:t>
            </w:r>
            <w:r>
              <w:rPr>
                <w:rFonts w:hint="eastAsia" w:eastAsia="楷体_GB2312"/>
                <w:sz w:val="24"/>
              </w:rPr>
              <w:t>名。联合高等院校培养</w:t>
            </w:r>
            <w:r>
              <w:rPr>
                <w:rFonts w:eastAsia="楷体_GB2312"/>
                <w:sz w:val="24"/>
              </w:rPr>
              <w:t>20</w:t>
            </w:r>
            <w:r>
              <w:rPr>
                <w:rFonts w:hint="eastAsia" w:eastAsia="楷体_GB2312"/>
                <w:sz w:val="24"/>
              </w:rPr>
              <w:t>～</w:t>
            </w:r>
            <w:r>
              <w:rPr>
                <w:rFonts w:eastAsia="楷体_GB2312"/>
                <w:sz w:val="24"/>
              </w:rPr>
              <w:t>35</w:t>
            </w:r>
            <w:r>
              <w:rPr>
                <w:rFonts w:hint="eastAsia" w:eastAsia="楷体_GB2312"/>
                <w:sz w:val="24"/>
              </w:rPr>
              <w:t>名博士或硕士；外聘国内外相关领域知名专家</w:t>
            </w:r>
            <w:r>
              <w:rPr>
                <w:rFonts w:eastAsia="楷体_GB2312"/>
                <w:sz w:val="24"/>
              </w:rPr>
              <w:t>15</w:t>
            </w:r>
            <w:r>
              <w:rPr>
                <w:rFonts w:hint="eastAsia" w:eastAsia="楷体_GB2312"/>
                <w:sz w:val="24"/>
              </w:rPr>
              <w:t>名；培养</w:t>
            </w:r>
            <w:r>
              <w:rPr>
                <w:rFonts w:eastAsia="楷体_GB2312"/>
                <w:sz w:val="24"/>
              </w:rPr>
              <w:t>30</w:t>
            </w:r>
            <w:r>
              <w:rPr>
                <w:rFonts w:hint="eastAsia" w:eastAsia="楷体_GB2312"/>
                <w:sz w:val="24"/>
              </w:rPr>
              <w:t>～</w:t>
            </w:r>
            <w:r>
              <w:rPr>
                <w:rFonts w:eastAsia="楷体_GB2312"/>
                <w:sz w:val="24"/>
              </w:rPr>
              <w:t>50</w:t>
            </w:r>
            <w:r>
              <w:rPr>
                <w:rFonts w:hint="eastAsia" w:eastAsia="楷体_GB2312"/>
                <w:sz w:val="24"/>
              </w:rPr>
              <w:t>名成果转移转化带头人；培养</w:t>
            </w:r>
            <w:r>
              <w:rPr>
                <w:rFonts w:eastAsia="楷体_GB2312"/>
                <w:sz w:val="24"/>
              </w:rPr>
              <w:t>100</w:t>
            </w:r>
            <w:r>
              <w:rPr>
                <w:rFonts w:hint="eastAsia" w:eastAsia="楷体_GB2312"/>
                <w:sz w:val="24"/>
              </w:rPr>
              <w:t>～</w:t>
            </w:r>
            <w:r>
              <w:rPr>
                <w:rFonts w:eastAsia="楷体_GB2312"/>
                <w:sz w:val="24"/>
              </w:rPr>
              <w:t>200</w:t>
            </w:r>
            <w:r>
              <w:rPr>
                <w:rFonts w:hint="eastAsia" w:eastAsia="楷体_GB2312"/>
                <w:sz w:val="24"/>
              </w:rPr>
              <w:t>名骨干技术人才。在全省支撑建设种业创新、高效栽培等标准化示范基地</w:t>
            </w:r>
            <w:r>
              <w:rPr>
                <w:rFonts w:eastAsia="楷体_GB2312"/>
                <w:sz w:val="24"/>
              </w:rPr>
              <w:t>6</w:t>
            </w:r>
            <w:r>
              <w:rPr>
                <w:rFonts w:hint="eastAsia" w:eastAsia="楷体_GB2312"/>
                <w:sz w:val="24"/>
              </w:rPr>
              <w:t>万公顷以上，加工利用标准化示范基地</w:t>
            </w:r>
            <w:r>
              <w:rPr>
                <w:rFonts w:eastAsia="楷体_GB2312"/>
                <w:sz w:val="24"/>
              </w:rPr>
              <w:t>30</w:t>
            </w:r>
            <w:r>
              <w:rPr>
                <w:rFonts w:hint="eastAsia" w:eastAsia="楷体_GB2312"/>
                <w:sz w:val="24"/>
              </w:rPr>
              <w:t>个以上。建设油茶产业服务中心、油茶科技文化园、中国油茶品牌体系及油茶公共服务体系。</w:t>
            </w:r>
          </w:p>
        </w:tc>
      </w:tr>
    </w:tbl>
    <w:p>
      <w:pPr>
        <w:pStyle w:val="6"/>
        <w:ind w:firstLine="640" w:firstLineChars="200"/>
        <w:rPr>
          <w:rStyle w:val="30"/>
          <w:rFonts w:eastAsia="楷体"/>
          <w:b w:val="0"/>
          <w:bCs w:val="0"/>
        </w:rPr>
      </w:pPr>
      <w:bookmarkStart w:id="200" w:name="_Toc78381464"/>
      <w:r>
        <w:rPr>
          <w:rStyle w:val="30"/>
          <w:rFonts w:eastAsia="楷体"/>
        </w:rPr>
        <w:t>4.4.</w:t>
      </w:r>
      <w:r>
        <w:rPr>
          <w:rStyle w:val="30"/>
          <w:rFonts w:eastAsia="楷体"/>
          <w:lang w:val="en-US"/>
        </w:rPr>
        <w:t xml:space="preserve">2 </w:t>
      </w:r>
      <w:r>
        <w:rPr>
          <w:rStyle w:val="30"/>
          <w:rFonts w:hint="eastAsia" w:eastAsia="楷体"/>
        </w:rPr>
        <w:t>林业科技攻关与创新建设工程</w:t>
      </w:r>
      <w:bookmarkEnd w:id="194"/>
      <w:bookmarkEnd w:id="200"/>
    </w:p>
    <w:p>
      <w:pPr>
        <w:pStyle w:val="93"/>
        <w:spacing w:line="560" w:lineRule="exact"/>
        <w:ind w:firstLine="640"/>
        <w:rPr>
          <w:sz w:val="32"/>
          <w:szCs w:val="32"/>
        </w:rPr>
      </w:pPr>
      <w:r>
        <w:rPr>
          <w:rFonts w:hint="eastAsia"/>
          <w:sz w:val="32"/>
          <w:szCs w:val="32"/>
          <w:lang w:val="en-US"/>
        </w:rPr>
        <w:t>加强</w:t>
      </w:r>
      <w:r>
        <w:rPr>
          <w:rFonts w:hint="eastAsia"/>
          <w:sz w:val="32"/>
          <w:szCs w:val="32"/>
        </w:rPr>
        <w:t>湖南林草科技创新，围绕林草种业科技创新、生态保护与修复、生态惠民科技、林草装备与信息化和林草碳汇工程等，每一工程设置</w:t>
      </w:r>
      <w:r>
        <w:rPr>
          <w:sz w:val="32"/>
          <w:szCs w:val="32"/>
        </w:rPr>
        <w:t>5</w:t>
      </w:r>
      <w:r>
        <w:rPr>
          <w:rFonts w:hint="eastAsia"/>
          <w:sz w:val="32"/>
          <w:szCs w:val="32"/>
        </w:rPr>
        <w:t>～</w:t>
      </w:r>
      <w:r>
        <w:rPr>
          <w:sz w:val="32"/>
          <w:szCs w:val="32"/>
        </w:rPr>
        <w:t>10</w:t>
      </w:r>
      <w:r>
        <w:rPr>
          <w:rFonts w:hint="eastAsia"/>
          <w:sz w:val="32"/>
          <w:szCs w:val="32"/>
        </w:rPr>
        <w:t>个研发重点领域和重大项目开展全省林草科技创新。在</w:t>
      </w:r>
      <w:r>
        <w:rPr>
          <w:sz w:val="32"/>
          <w:szCs w:val="32"/>
        </w:rPr>
        <w:t>“</w:t>
      </w:r>
      <w:r>
        <w:rPr>
          <w:rFonts w:hint="eastAsia"/>
          <w:sz w:val="32"/>
          <w:szCs w:val="32"/>
        </w:rPr>
        <w:t>十四五</w:t>
      </w:r>
      <w:r>
        <w:rPr>
          <w:sz w:val="32"/>
          <w:szCs w:val="32"/>
        </w:rPr>
        <w:t>”</w:t>
      </w:r>
      <w:r>
        <w:rPr>
          <w:rFonts w:hint="eastAsia"/>
          <w:sz w:val="32"/>
          <w:szCs w:val="32"/>
        </w:rPr>
        <w:t>期间，取得批量新品种、新技术、新装备、新成果，并加快成果转移转化，力争使科技成果转化率达到</w:t>
      </w:r>
      <w:r>
        <w:rPr>
          <w:sz w:val="32"/>
          <w:szCs w:val="32"/>
        </w:rPr>
        <w:t>70%</w:t>
      </w:r>
      <w:r>
        <w:rPr>
          <w:rFonts w:hint="eastAsia"/>
          <w:sz w:val="32"/>
          <w:szCs w:val="32"/>
        </w:rPr>
        <w:t>，科技进步贡献率达到</w:t>
      </w:r>
      <w:r>
        <w:rPr>
          <w:sz w:val="32"/>
          <w:szCs w:val="32"/>
        </w:rPr>
        <w:t>63%</w:t>
      </w:r>
      <w:r>
        <w:rPr>
          <w:rFonts w:hint="eastAsia"/>
          <w:sz w:val="32"/>
          <w:szCs w:val="32"/>
        </w:rPr>
        <w:t>。</w:t>
      </w:r>
      <w:r>
        <w:rPr>
          <w:rFonts w:hint="eastAsia" w:cs="Calibri"/>
          <w:sz w:val="32"/>
          <w:szCs w:val="32"/>
        </w:rPr>
        <w:t>建设以国家生态定位观测站为主体，省级生态定位观测站为补充，兼顾森林、湿地、草地、城市、石漠化等生态系统定位观测科学布局的观测研究网络。大力推广先进林业科技成果和实用技术。重点支持生态保护修复、油茶、竹木等资源高效培育及加工利用、林草先进装备、林草灾害防控等领域成果转化，提高林草资源就地转化利用和精深加工水平，打造林草科技推广示范基地。</w:t>
      </w:r>
      <w:r>
        <w:rPr>
          <w:rFonts w:hint="eastAsia"/>
          <w:sz w:val="32"/>
          <w:szCs w:val="32"/>
        </w:rPr>
        <w:t>加快生态保护标准体系、生态修复标准体系、森林质量精准提升标准体系、主要林产品质量管理标准体系、林木花卉种苗标准体系等的制修订。</w:t>
      </w:r>
    </w:p>
    <w:tbl>
      <w:tblPr>
        <w:tblStyle w:val="36"/>
        <w:tblW w:w="8475" w:type="dxa"/>
        <w:jc w:val="center"/>
        <w:tblInd w:w="0" w:type="dxa"/>
        <w:tblLayout w:type="fixed"/>
        <w:tblCellMar>
          <w:top w:w="0" w:type="dxa"/>
          <w:left w:w="108" w:type="dxa"/>
          <w:bottom w:w="0" w:type="dxa"/>
          <w:right w:w="108" w:type="dxa"/>
        </w:tblCellMar>
      </w:tblPr>
      <w:tblGrid>
        <w:gridCol w:w="600"/>
        <w:gridCol w:w="7875"/>
      </w:tblGrid>
      <w:tr>
        <w:tblPrEx>
          <w:tblLayout w:type="fixed"/>
          <w:tblCellMar>
            <w:top w:w="0" w:type="dxa"/>
            <w:left w:w="108" w:type="dxa"/>
            <w:bottom w:w="0" w:type="dxa"/>
            <w:right w:w="108" w:type="dxa"/>
          </w:tblCellMar>
        </w:tblPrEx>
        <w:trPr>
          <w:trHeight w:val="585" w:hRule="atLeast"/>
          <w:tblHeader/>
          <w:jc w:val="center"/>
        </w:trPr>
        <w:tc>
          <w:tcPr>
            <w:tcW w:w="8475" w:type="dxa"/>
            <w:gridSpan w:val="2"/>
            <w:tcBorders>
              <w:top w:val="single" w:color="auto" w:sz="4" w:space="0"/>
              <w:left w:val="single" w:color="auto" w:sz="4" w:space="0"/>
              <w:bottom w:val="single" w:color="auto" w:sz="4" w:space="0"/>
              <w:right w:val="single" w:color="auto" w:sz="4" w:space="0"/>
            </w:tcBorders>
            <w:vAlign w:val="center"/>
          </w:tcPr>
          <w:p>
            <w:pPr>
              <w:pStyle w:val="93"/>
              <w:spacing w:line="560" w:lineRule="exact"/>
              <w:ind w:firstLine="0" w:firstLineChars="0"/>
              <w:jc w:val="center"/>
              <w:rPr>
                <w:rFonts w:eastAsia="方正小标宋_GBK"/>
                <w:lang w:val="en-US"/>
              </w:rPr>
            </w:pPr>
            <w:r>
              <w:rPr>
                <w:rFonts w:hint="eastAsia" w:eastAsia="方正小标宋_GBK"/>
              </w:rPr>
              <w:t>专栏</w:t>
            </w:r>
            <w:r>
              <w:rPr>
                <w:rFonts w:eastAsia="方正小标宋_GBK"/>
                <w:lang w:val="en-US"/>
              </w:rPr>
              <w:t xml:space="preserve">8 </w:t>
            </w:r>
            <w:r>
              <w:rPr>
                <w:rFonts w:hint="eastAsia" w:eastAsia="方正小标宋_GBK"/>
                <w:lang w:val="en-US"/>
              </w:rPr>
              <w:t>林业科技攻关与创新建设工程</w:t>
            </w:r>
          </w:p>
        </w:tc>
      </w:tr>
      <w:tr>
        <w:tblPrEx>
          <w:tblLayout w:type="fixed"/>
          <w:tblCellMar>
            <w:top w:w="0" w:type="dxa"/>
            <w:left w:w="108" w:type="dxa"/>
            <w:bottom w:w="0" w:type="dxa"/>
            <w:right w:w="108" w:type="dxa"/>
          </w:tblCellMar>
        </w:tblPrEx>
        <w:trPr>
          <w:trHeight w:val="818"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1</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湖南林草科技创新项目</w:t>
            </w:r>
          </w:p>
          <w:p>
            <w:pPr>
              <w:widowControl/>
              <w:ind w:firstLine="480"/>
              <w:rPr>
                <w:rFonts w:eastAsia="方正小标宋_GBK"/>
                <w:sz w:val="24"/>
              </w:rPr>
            </w:pPr>
            <w:r>
              <w:rPr>
                <w:rFonts w:hint="eastAsia" w:eastAsia="楷体_GB2312"/>
                <w:sz w:val="24"/>
              </w:rPr>
              <w:t>实施林草科技与示范项目</w:t>
            </w:r>
            <w:r>
              <w:rPr>
                <w:rFonts w:eastAsia="楷体_GB2312"/>
                <w:sz w:val="24"/>
              </w:rPr>
              <w:t>100</w:t>
            </w:r>
            <w:r>
              <w:rPr>
                <w:rFonts w:hint="eastAsia" w:eastAsia="楷体_GB2312"/>
                <w:sz w:val="24"/>
              </w:rPr>
              <w:t>个。</w:t>
            </w:r>
          </w:p>
        </w:tc>
      </w:tr>
      <w:tr>
        <w:tblPrEx>
          <w:tblLayout w:type="fixed"/>
          <w:tblCellMar>
            <w:top w:w="0" w:type="dxa"/>
            <w:left w:w="108" w:type="dxa"/>
            <w:bottom w:w="0" w:type="dxa"/>
            <w:right w:w="108" w:type="dxa"/>
          </w:tblCellMar>
        </w:tblPrEx>
        <w:trPr>
          <w:trHeight w:val="1486"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2</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生态定位观测研究站和长期科研基地建设项目</w:t>
            </w:r>
          </w:p>
          <w:p>
            <w:pPr>
              <w:widowControl/>
              <w:ind w:firstLine="480"/>
              <w:rPr>
                <w:rFonts w:eastAsia="楷体_GB2312"/>
                <w:sz w:val="24"/>
              </w:rPr>
            </w:pPr>
            <w:r>
              <w:rPr>
                <w:rFonts w:hint="eastAsia" w:eastAsia="楷体_GB2312"/>
                <w:sz w:val="24"/>
              </w:rPr>
              <w:t>提质升级现有</w:t>
            </w:r>
            <w:r>
              <w:rPr>
                <w:rFonts w:eastAsia="楷体_GB2312"/>
                <w:sz w:val="24"/>
              </w:rPr>
              <w:t>6</w:t>
            </w:r>
            <w:r>
              <w:rPr>
                <w:rFonts w:hint="eastAsia" w:eastAsia="楷体_GB2312"/>
                <w:sz w:val="24"/>
              </w:rPr>
              <w:t>家国家生态定位观测站，申请增设国家公园类、竹林类和重要森林湿地类国家生态定位观测站；进一步提升现有</w:t>
            </w:r>
            <w:r>
              <w:rPr>
                <w:rFonts w:eastAsia="楷体_GB2312"/>
                <w:sz w:val="24"/>
              </w:rPr>
              <w:t>5</w:t>
            </w:r>
            <w:r>
              <w:rPr>
                <w:rFonts w:hint="eastAsia" w:eastAsia="楷体_GB2312"/>
                <w:sz w:val="24"/>
              </w:rPr>
              <w:t>个省级定位观测站的基础设施、运行管理和技术支撑水平，视需要增设省级生态定位站。持续支持已建</w:t>
            </w:r>
            <w:r>
              <w:rPr>
                <w:rFonts w:eastAsia="楷体_GB2312"/>
                <w:sz w:val="24"/>
              </w:rPr>
              <w:t>20</w:t>
            </w:r>
            <w:r>
              <w:rPr>
                <w:rFonts w:hint="eastAsia" w:eastAsia="楷体_GB2312"/>
                <w:sz w:val="24"/>
              </w:rPr>
              <w:t>个长期科研基地，新建</w:t>
            </w:r>
            <w:r>
              <w:rPr>
                <w:rFonts w:eastAsia="楷体_GB2312"/>
                <w:sz w:val="24"/>
              </w:rPr>
              <w:t>20</w:t>
            </w:r>
            <w:r>
              <w:rPr>
                <w:rFonts w:hint="eastAsia" w:eastAsia="楷体_GB2312"/>
                <w:sz w:val="24"/>
              </w:rPr>
              <w:t>个长期科研基地，鼓励高校院所与长期科研基地建设单位开展共建共享。</w:t>
            </w:r>
          </w:p>
        </w:tc>
      </w:tr>
      <w:tr>
        <w:tblPrEx>
          <w:tblLayout w:type="fixed"/>
          <w:tblCellMar>
            <w:top w:w="0" w:type="dxa"/>
            <w:left w:w="108" w:type="dxa"/>
            <w:bottom w:w="0" w:type="dxa"/>
            <w:right w:w="108" w:type="dxa"/>
          </w:tblCellMar>
        </w:tblPrEx>
        <w:trPr>
          <w:trHeight w:val="1486"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3</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林业科技推广示范项目</w:t>
            </w:r>
          </w:p>
          <w:p>
            <w:pPr>
              <w:widowControl/>
              <w:ind w:firstLine="480"/>
              <w:rPr>
                <w:sz w:val="32"/>
                <w:szCs w:val="32"/>
              </w:rPr>
            </w:pPr>
            <w:r>
              <w:rPr>
                <w:rFonts w:hint="eastAsia" w:eastAsia="楷体_GB2312"/>
                <w:sz w:val="24"/>
              </w:rPr>
              <w:t>打造林草科技推广示范基地</w:t>
            </w:r>
            <w:r>
              <w:rPr>
                <w:rFonts w:eastAsia="楷体_GB2312"/>
                <w:sz w:val="24"/>
              </w:rPr>
              <w:t>100</w:t>
            </w:r>
            <w:r>
              <w:rPr>
                <w:rFonts w:hint="eastAsia" w:eastAsia="楷体_GB2312"/>
                <w:sz w:val="24"/>
              </w:rPr>
              <w:t>处。深入开展科技特派员、科技进村入户活动，促进科技下乡、人才下沉，强化科技培训，加大林草乡土专家聘任力度，选派科技特派员</w:t>
            </w:r>
            <w:r>
              <w:rPr>
                <w:rFonts w:eastAsia="楷体_GB2312"/>
                <w:sz w:val="24"/>
              </w:rPr>
              <w:t>1000</w:t>
            </w:r>
            <w:r>
              <w:rPr>
                <w:rFonts w:hint="eastAsia" w:eastAsia="楷体_GB2312"/>
                <w:sz w:val="24"/>
              </w:rPr>
              <w:t>名，选聘乡土专家</w:t>
            </w:r>
            <w:r>
              <w:rPr>
                <w:rFonts w:eastAsia="楷体_GB2312"/>
                <w:sz w:val="24"/>
              </w:rPr>
              <w:t>50</w:t>
            </w:r>
            <w:r>
              <w:rPr>
                <w:rFonts w:hint="eastAsia" w:eastAsia="楷体_GB2312"/>
                <w:sz w:val="24"/>
              </w:rPr>
              <w:t>名。</w:t>
            </w:r>
          </w:p>
        </w:tc>
      </w:tr>
      <w:tr>
        <w:tblPrEx>
          <w:tblLayout w:type="fixed"/>
          <w:tblCellMar>
            <w:top w:w="0" w:type="dxa"/>
            <w:left w:w="108" w:type="dxa"/>
            <w:bottom w:w="0" w:type="dxa"/>
            <w:right w:w="108" w:type="dxa"/>
          </w:tblCellMar>
        </w:tblPrEx>
        <w:trPr>
          <w:trHeight w:val="1486" w:hRule="atLeast"/>
          <w:jc w:val="center"/>
        </w:trPr>
        <w:tc>
          <w:tcPr>
            <w:tcW w:w="600" w:type="dxa"/>
            <w:tcBorders>
              <w:top w:val="single" w:color="auto" w:sz="4" w:space="0"/>
              <w:left w:val="single" w:color="auto" w:sz="4" w:space="0"/>
              <w:bottom w:val="single" w:color="auto" w:sz="4" w:space="0"/>
              <w:right w:val="nil"/>
            </w:tcBorders>
            <w:vAlign w:val="center"/>
          </w:tcPr>
          <w:p>
            <w:pPr>
              <w:widowControl/>
              <w:jc w:val="center"/>
              <w:rPr>
                <w:kern w:val="0"/>
                <w:sz w:val="24"/>
              </w:rPr>
            </w:pPr>
            <w:r>
              <w:rPr>
                <w:kern w:val="0"/>
                <w:sz w:val="24"/>
              </w:rPr>
              <w:t>4</w:t>
            </w:r>
          </w:p>
        </w:tc>
        <w:tc>
          <w:tcPr>
            <w:tcW w:w="787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方正小标宋_GBK"/>
                <w:sz w:val="24"/>
              </w:rPr>
            </w:pPr>
            <w:r>
              <w:rPr>
                <w:rFonts w:hint="eastAsia" w:eastAsia="方正小标宋_GBK"/>
                <w:sz w:val="24"/>
              </w:rPr>
              <w:t>林草标准化提升项目</w:t>
            </w:r>
          </w:p>
          <w:p>
            <w:pPr>
              <w:widowControl/>
              <w:ind w:firstLine="480"/>
              <w:rPr>
                <w:sz w:val="32"/>
                <w:szCs w:val="32"/>
              </w:rPr>
            </w:pPr>
            <w:r>
              <w:rPr>
                <w:rFonts w:hint="eastAsia" w:eastAsia="楷体_GB2312"/>
                <w:sz w:val="24"/>
              </w:rPr>
              <w:t>完成标准制修订</w:t>
            </w:r>
            <w:r>
              <w:rPr>
                <w:rFonts w:eastAsia="楷体_GB2312"/>
                <w:sz w:val="24"/>
              </w:rPr>
              <w:t>50</w:t>
            </w:r>
            <w:r>
              <w:rPr>
                <w:rFonts w:hint="eastAsia" w:eastAsia="楷体_GB2312"/>
                <w:sz w:val="24"/>
              </w:rPr>
              <w:t>项，基本形成覆盖生态建设、产业发展、公共服务等林业各领域的标准体系；建设标准化示范基地</w:t>
            </w:r>
            <w:r>
              <w:rPr>
                <w:rFonts w:eastAsia="楷体_GB2312"/>
                <w:sz w:val="24"/>
              </w:rPr>
              <w:t>10</w:t>
            </w:r>
            <w:r>
              <w:rPr>
                <w:rFonts w:hint="eastAsia" w:eastAsia="楷体_GB2312"/>
                <w:sz w:val="24"/>
              </w:rPr>
              <w:t>～</w:t>
            </w:r>
            <w:r>
              <w:rPr>
                <w:rFonts w:eastAsia="楷体_GB2312"/>
                <w:sz w:val="24"/>
              </w:rPr>
              <w:t>20</w:t>
            </w:r>
            <w:r>
              <w:rPr>
                <w:rFonts w:hint="eastAsia" w:eastAsia="楷体_GB2312"/>
                <w:sz w:val="24"/>
              </w:rPr>
              <w:t>个，推进林草生产全过程标准化管理，提高林草标准化生产普及率。</w:t>
            </w:r>
          </w:p>
        </w:tc>
      </w:tr>
    </w:tbl>
    <w:p>
      <w:pPr>
        <w:pStyle w:val="6"/>
        <w:ind w:firstLine="640" w:firstLineChars="200"/>
        <w:rPr>
          <w:rStyle w:val="30"/>
          <w:rFonts w:eastAsia="楷体"/>
          <w:b w:val="0"/>
          <w:bCs w:val="0"/>
        </w:rPr>
      </w:pPr>
      <w:bookmarkStart w:id="201" w:name="_Toc78381465"/>
      <w:r>
        <w:rPr>
          <w:rStyle w:val="30"/>
          <w:rFonts w:eastAsia="楷体"/>
        </w:rPr>
        <w:t>4.4.</w:t>
      </w:r>
      <w:r>
        <w:rPr>
          <w:rStyle w:val="30"/>
          <w:rFonts w:eastAsia="楷体"/>
          <w:lang w:val="en-US"/>
        </w:rPr>
        <w:t xml:space="preserve">3 </w:t>
      </w:r>
      <w:r>
        <w:rPr>
          <w:rStyle w:val="30"/>
          <w:rFonts w:hint="eastAsia" w:eastAsia="楷体"/>
        </w:rPr>
        <w:t>林业草原灾害防控</w:t>
      </w:r>
      <w:bookmarkEnd w:id="195"/>
      <w:r>
        <w:rPr>
          <w:rStyle w:val="30"/>
          <w:rFonts w:hint="eastAsia" w:eastAsia="楷体"/>
        </w:rPr>
        <w:t>工程</w:t>
      </w:r>
      <w:bookmarkEnd w:id="196"/>
      <w:bookmarkEnd w:id="201"/>
    </w:p>
    <w:p>
      <w:pPr>
        <w:pStyle w:val="93"/>
        <w:spacing w:line="560" w:lineRule="exact"/>
        <w:ind w:firstLine="640"/>
        <w:rPr>
          <w:sz w:val="32"/>
          <w:szCs w:val="32"/>
        </w:rPr>
      </w:pPr>
      <w:r>
        <w:rPr>
          <w:rFonts w:hint="eastAsia"/>
          <w:sz w:val="32"/>
          <w:szCs w:val="32"/>
        </w:rPr>
        <w:t>（</w:t>
      </w:r>
      <w:r>
        <w:rPr>
          <w:sz w:val="32"/>
          <w:szCs w:val="32"/>
          <w:lang w:val="en-US"/>
        </w:rPr>
        <w:t>1</w:t>
      </w:r>
      <w:r>
        <w:rPr>
          <w:rFonts w:hint="eastAsia"/>
          <w:sz w:val="32"/>
          <w:szCs w:val="32"/>
        </w:rPr>
        <w:t>）森林（草原）防火建设项目</w:t>
      </w:r>
    </w:p>
    <w:p>
      <w:pPr>
        <w:pStyle w:val="93"/>
        <w:spacing w:line="560" w:lineRule="exact"/>
        <w:ind w:firstLine="640"/>
        <w:rPr>
          <w:sz w:val="32"/>
          <w:szCs w:val="32"/>
        </w:rPr>
      </w:pPr>
      <w:r>
        <w:rPr>
          <w:rFonts w:hint="eastAsia"/>
          <w:sz w:val="32"/>
          <w:szCs w:val="32"/>
        </w:rPr>
        <w:t>严格遵守有关法律法规，切实做到在林区成片造林时，配套建设森林防火设施。根据林业部门森林防火职能职责，结合《湖南省森林防火规划（</w:t>
      </w:r>
      <w:r>
        <w:rPr>
          <w:sz w:val="32"/>
          <w:szCs w:val="32"/>
        </w:rPr>
        <w:t>2018</w:t>
      </w:r>
      <w:r>
        <w:rPr>
          <w:rFonts w:hint="eastAsia"/>
          <w:sz w:val="32"/>
          <w:szCs w:val="32"/>
        </w:rPr>
        <w:t>～</w:t>
      </w:r>
      <w:r>
        <w:rPr>
          <w:sz w:val="32"/>
          <w:szCs w:val="32"/>
        </w:rPr>
        <w:t>2025</w:t>
      </w:r>
      <w:r>
        <w:rPr>
          <w:rFonts w:hint="eastAsia"/>
          <w:sz w:val="32"/>
          <w:szCs w:val="32"/>
        </w:rPr>
        <w:t>年）》重点建设任务，</w:t>
      </w:r>
      <w:r>
        <w:rPr>
          <w:sz w:val="32"/>
          <w:szCs w:val="32"/>
        </w:rPr>
        <w:t>“</w:t>
      </w:r>
      <w:r>
        <w:rPr>
          <w:rFonts w:hint="eastAsia"/>
          <w:sz w:val="32"/>
          <w:szCs w:val="32"/>
        </w:rPr>
        <w:t>十四五</w:t>
      </w:r>
      <w:r>
        <w:rPr>
          <w:sz w:val="32"/>
          <w:szCs w:val="32"/>
        </w:rPr>
        <w:t>”</w:t>
      </w:r>
      <w:r>
        <w:rPr>
          <w:rFonts w:hint="eastAsia"/>
          <w:sz w:val="32"/>
          <w:szCs w:val="32"/>
        </w:rPr>
        <w:t>期间，大力开展预警监测调度评估系统（包括新建全省监测调度评估平台及全省国有林场、草原和保护地预警监测调度管理平台）、森林（草原）防火通信和信息系统、森林消防队伍能力建设、林火阻隔系统、防火道路、新技术应用及宣教基础设施等建设。实施防火治理体系、治理能力现代化综合试点区建设。</w:t>
      </w:r>
    </w:p>
    <w:p>
      <w:pPr>
        <w:pStyle w:val="93"/>
        <w:spacing w:line="560" w:lineRule="exact"/>
        <w:ind w:firstLine="640"/>
        <w:rPr>
          <w:sz w:val="32"/>
          <w:szCs w:val="32"/>
        </w:rPr>
      </w:pPr>
      <w:r>
        <w:rPr>
          <w:rFonts w:hint="eastAsia"/>
          <w:sz w:val="32"/>
          <w:szCs w:val="32"/>
        </w:rPr>
        <w:t>（</w:t>
      </w:r>
      <w:r>
        <w:rPr>
          <w:sz w:val="32"/>
          <w:szCs w:val="32"/>
          <w:lang w:val="en-US"/>
        </w:rPr>
        <w:t>2</w:t>
      </w:r>
      <w:r>
        <w:rPr>
          <w:rFonts w:hint="eastAsia"/>
          <w:sz w:val="32"/>
          <w:szCs w:val="32"/>
        </w:rPr>
        <w:t>）松材线虫病综合防控项目</w:t>
      </w:r>
    </w:p>
    <w:p>
      <w:pPr>
        <w:pStyle w:val="93"/>
        <w:spacing w:line="560" w:lineRule="exact"/>
        <w:ind w:firstLine="640"/>
        <w:rPr>
          <w:sz w:val="32"/>
          <w:szCs w:val="32"/>
        </w:rPr>
      </w:pPr>
      <w:r>
        <w:rPr>
          <w:rFonts w:hint="eastAsia"/>
          <w:sz w:val="32"/>
          <w:szCs w:val="32"/>
        </w:rPr>
        <w:t>全面提高松材线虫病防控的科学性、系统性、精准性，实现全省</w:t>
      </w:r>
      <w:r>
        <w:rPr>
          <w:sz w:val="32"/>
          <w:szCs w:val="32"/>
        </w:rPr>
        <w:t>247</w:t>
      </w:r>
      <w:r>
        <w:rPr>
          <w:rFonts w:hint="eastAsia"/>
          <w:sz w:val="32"/>
          <w:szCs w:val="32"/>
        </w:rPr>
        <w:t>万公顷（</w:t>
      </w:r>
      <w:r>
        <w:rPr>
          <w:sz w:val="32"/>
          <w:szCs w:val="32"/>
        </w:rPr>
        <w:t>3700</w:t>
      </w:r>
      <w:r>
        <w:rPr>
          <w:rFonts w:hint="eastAsia"/>
          <w:sz w:val="32"/>
          <w:szCs w:val="32"/>
        </w:rPr>
        <w:t>万亩）松林监测普查全覆盖，开展枯死松木清理，对古树名木进行注药保护，对松材线虫媒介进行飞机防治和生物保护等综合防治面积</w:t>
      </w:r>
      <w:r>
        <w:rPr>
          <w:sz w:val="32"/>
          <w:szCs w:val="32"/>
        </w:rPr>
        <w:t>20</w:t>
      </w:r>
      <w:r>
        <w:rPr>
          <w:rFonts w:hint="eastAsia"/>
          <w:sz w:val="32"/>
          <w:szCs w:val="32"/>
        </w:rPr>
        <w:t>万公顷（</w:t>
      </w:r>
      <w:r>
        <w:rPr>
          <w:sz w:val="32"/>
          <w:szCs w:val="32"/>
        </w:rPr>
        <w:t>300</w:t>
      </w:r>
      <w:r>
        <w:rPr>
          <w:rFonts w:hint="eastAsia"/>
          <w:sz w:val="32"/>
          <w:szCs w:val="32"/>
        </w:rPr>
        <w:t>万亩）次以上。组织实施松材线虫病防控</w:t>
      </w:r>
      <w:r>
        <w:rPr>
          <w:sz w:val="32"/>
          <w:szCs w:val="32"/>
        </w:rPr>
        <w:t>5</w:t>
      </w:r>
      <w:r>
        <w:rPr>
          <w:rFonts w:hint="eastAsia"/>
          <w:sz w:val="32"/>
          <w:szCs w:val="32"/>
        </w:rPr>
        <w:t>年攻坚行动，疫情发生面积和疫点数量实现双下降，县级疫区存量控制在</w:t>
      </w:r>
      <w:r>
        <w:rPr>
          <w:sz w:val="32"/>
          <w:szCs w:val="32"/>
        </w:rPr>
        <w:t>2020</w:t>
      </w:r>
      <w:r>
        <w:rPr>
          <w:rFonts w:hint="eastAsia"/>
          <w:sz w:val="32"/>
          <w:szCs w:val="32"/>
        </w:rPr>
        <w:t>年水平以下，重点保护韶山、张家界、湘西州、南岳、</w:t>
      </w:r>
      <w:r>
        <w:rPr>
          <w:rFonts w:hint="eastAsia" w:ascii="仿宋" w:hAnsi="仿宋" w:eastAsia="仿宋"/>
          <w:sz w:val="32"/>
          <w:szCs w:val="32"/>
        </w:rPr>
        <w:t>崀</w:t>
      </w:r>
      <w:r>
        <w:rPr>
          <w:rFonts w:hint="eastAsia"/>
          <w:sz w:val="32"/>
          <w:szCs w:val="32"/>
        </w:rPr>
        <w:t>山、南山国家公园、东江湖、铁山水库等重要生态区。</w:t>
      </w:r>
    </w:p>
    <w:p>
      <w:pPr>
        <w:pStyle w:val="93"/>
        <w:spacing w:line="560" w:lineRule="exact"/>
        <w:ind w:firstLine="640"/>
        <w:rPr>
          <w:sz w:val="32"/>
          <w:szCs w:val="32"/>
        </w:rPr>
      </w:pPr>
      <w:r>
        <w:rPr>
          <w:rFonts w:hint="eastAsia"/>
          <w:sz w:val="32"/>
          <w:szCs w:val="32"/>
        </w:rPr>
        <w:t>（</w:t>
      </w:r>
      <w:r>
        <w:rPr>
          <w:sz w:val="32"/>
          <w:szCs w:val="32"/>
          <w:lang w:val="en-US"/>
        </w:rPr>
        <w:t>3</w:t>
      </w:r>
      <w:r>
        <w:rPr>
          <w:rFonts w:hint="eastAsia"/>
          <w:sz w:val="32"/>
          <w:szCs w:val="32"/>
        </w:rPr>
        <w:t>）本土常发性林业有害生物持续减灾项目</w:t>
      </w:r>
    </w:p>
    <w:p>
      <w:pPr>
        <w:pStyle w:val="93"/>
        <w:spacing w:line="560" w:lineRule="exact"/>
        <w:ind w:firstLine="640"/>
        <w:rPr>
          <w:sz w:val="32"/>
          <w:szCs w:val="32"/>
        </w:rPr>
      </w:pPr>
      <w:r>
        <w:rPr>
          <w:rFonts w:hint="eastAsia"/>
          <w:sz w:val="32"/>
          <w:szCs w:val="32"/>
        </w:rPr>
        <w:t>加强松毛虫、黄脊竹蝗、油茶病虫害等本土常发性林业有害生物的监测预报和综合治理，常发区年均监测普查面积</w:t>
      </w:r>
      <w:r>
        <w:rPr>
          <w:sz w:val="32"/>
          <w:szCs w:val="32"/>
        </w:rPr>
        <w:t>200</w:t>
      </w:r>
      <w:r>
        <w:rPr>
          <w:rFonts w:hint="eastAsia"/>
          <w:sz w:val="32"/>
          <w:szCs w:val="32"/>
        </w:rPr>
        <w:t>万公顷（</w:t>
      </w:r>
      <w:r>
        <w:rPr>
          <w:sz w:val="32"/>
          <w:szCs w:val="32"/>
        </w:rPr>
        <w:t>3000</w:t>
      </w:r>
      <w:r>
        <w:rPr>
          <w:rFonts w:hint="eastAsia"/>
          <w:sz w:val="32"/>
          <w:szCs w:val="32"/>
        </w:rPr>
        <w:t>万亩）以上，年均综合防治面积</w:t>
      </w:r>
      <w:r>
        <w:rPr>
          <w:sz w:val="32"/>
          <w:szCs w:val="32"/>
        </w:rPr>
        <w:t>20</w:t>
      </w:r>
      <w:r>
        <w:rPr>
          <w:rFonts w:hint="eastAsia"/>
          <w:sz w:val="32"/>
          <w:szCs w:val="32"/>
        </w:rPr>
        <w:t>万公顷（</w:t>
      </w:r>
      <w:r>
        <w:rPr>
          <w:sz w:val="32"/>
          <w:szCs w:val="32"/>
        </w:rPr>
        <w:t>300</w:t>
      </w:r>
      <w:r>
        <w:rPr>
          <w:rFonts w:hint="eastAsia"/>
          <w:sz w:val="32"/>
          <w:szCs w:val="32"/>
        </w:rPr>
        <w:t>万亩）以上。</w:t>
      </w:r>
    </w:p>
    <w:p>
      <w:pPr>
        <w:pStyle w:val="93"/>
        <w:spacing w:line="560" w:lineRule="exact"/>
        <w:ind w:firstLine="640"/>
        <w:rPr>
          <w:sz w:val="32"/>
          <w:szCs w:val="32"/>
        </w:rPr>
      </w:pPr>
      <w:r>
        <w:rPr>
          <w:rFonts w:hint="eastAsia"/>
          <w:sz w:val="32"/>
          <w:szCs w:val="32"/>
        </w:rPr>
        <w:t>（</w:t>
      </w:r>
      <w:r>
        <w:rPr>
          <w:sz w:val="32"/>
          <w:szCs w:val="32"/>
          <w:lang w:val="en-US"/>
        </w:rPr>
        <w:t>4</w:t>
      </w:r>
      <w:r>
        <w:rPr>
          <w:rFonts w:hint="eastAsia"/>
          <w:sz w:val="32"/>
          <w:szCs w:val="32"/>
        </w:rPr>
        <w:t>）林业草原有害生物综合防控能力提升项目</w:t>
      </w:r>
    </w:p>
    <w:p>
      <w:pPr>
        <w:pStyle w:val="93"/>
        <w:spacing w:line="560" w:lineRule="exact"/>
        <w:ind w:firstLine="640"/>
        <w:rPr>
          <w:sz w:val="32"/>
          <w:szCs w:val="32"/>
        </w:rPr>
      </w:pPr>
      <w:r>
        <w:rPr>
          <w:rFonts w:hint="eastAsia"/>
          <w:sz w:val="32"/>
          <w:szCs w:val="32"/>
        </w:rPr>
        <w:t>构建林业草原有害生物的监测预警、检疫御灾、防治减灾、服务保障体系，建立省林业有害生物航空航天遥感监测技术中心</w:t>
      </w:r>
      <w:r>
        <w:rPr>
          <w:sz w:val="32"/>
          <w:szCs w:val="32"/>
        </w:rPr>
        <w:t>1</w:t>
      </w:r>
      <w:r>
        <w:rPr>
          <w:rFonts w:hint="eastAsia"/>
          <w:sz w:val="32"/>
          <w:szCs w:val="32"/>
        </w:rPr>
        <w:t>个，张家界等重点生态区域布设各类物联网设备</w:t>
      </w:r>
      <w:r>
        <w:rPr>
          <w:sz w:val="32"/>
          <w:szCs w:val="32"/>
        </w:rPr>
        <w:t>200</w:t>
      </w:r>
      <w:r>
        <w:rPr>
          <w:rFonts w:hint="eastAsia"/>
          <w:sz w:val="32"/>
          <w:szCs w:val="32"/>
        </w:rPr>
        <w:t>台套，完善</w:t>
      </w:r>
      <w:r>
        <w:rPr>
          <w:sz w:val="32"/>
          <w:szCs w:val="32"/>
        </w:rPr>
        <w:t>40</w:t>
      </w:r>
      <w:r>
        <w:rPr>
          <w:rFonts w:hint="eastAsia"/>
          <w:sz w:val="32"/>
          <w:szCs w:val="32"/>
        </w:rPr>
        <w:t>个国家级林业有害生物中心测报点、</w:t>
      </w:r>
      <w:r>
        <w:rPr>
          <w:sz w:val="32"/>
          <w:szCs w:val="32"/>
        </w:rPr>
        <w:t>79</w:t>
      </w:r>
      <w:r>
        <w:rPr>
          <w:rFonts w:hint="eastAsia"/>
          <w:sz w:val="32"/>
          <w:szCs w:val="32"/>
        </w:rPr>
        <w:t>个森林植物检疫检查站建设，灾害应急物资储备能力达</w:t>
      </w:r>
      <w:r>
        <w:rPr>
          <w:sz w:val="32"/>
          <w:szCs w:val="32"/>
        </w:rPr>
        <w:t>13</w:t>
      </w:r>
      <w:r>
        <w:rPr>
          <w:rFonts w:hint="eastAsia"/>
          <w:sz w:val="32"/>
          <w:szCs w:val="32"/>
        </w:rPr>
        <w:t>万公顷（</w:t>
      </w:r>
      <w:r>
        <w:rPr>
          <w:sz w:val="32"/>
          <w:szCs w:val="32"/>
        </w:rPr>
        <w:t>200</w:t>
      </w:r>
      <w:r>
        <w:rPr>
          <w:rFonts w:hint="eastAsia"/>
          <w:sz w:val="32"/>
          <w:szCs w:val="32"/>
        </w:rPr>
        <w:t>万亩）以上，改扩建南方天敌繁育与应用工程技术研究中心</w:t>
      </w:r>
      <w:r>
        <w:rPr>
          <w:sz w:val="32"/>
          <w:szCs w:val="32"/>
        </w:rPr>
        <w:t>2000</w:t>
      </w:r>
      <w:r>
        <w:rPr>
          <w:rFonts w:hint="eastAsia"/>
          <w:sz w:val="32"/>
          <w:szCs w:val="32"/>
        </w:rPr>
        <w:t>平方米以上，开发病原微生物防治产品，产品年防治能力达</w:t>
      </w:r>
      <w:r>
        <w:rPr>
          <w:sz w:val="32"/>
          <w:szCs w:val="32"/>
        </w:rPr>
        <w:t>13</w:t>
      </w:r>
      <w:r>
        <w:rPr>
          <w:rFonts w:hint="eastAsia"/>
          <w:sz w:val="32"/>
          <w:szCs w:val="32"/>
        </w:rPr>
        <w:t>万公顷（</w:t>
      </w:r>
      <w:r>
        <w:rPr>
          <w:sz w:val="32"/>
          <w:szCs w:val="32"/>
        </w:rPr>
        <w:t>200</w:t>
      </w:r>
      <w:r>
        <w:rPr>
          <w:rFonts w:hint="eastAsia"/>
          <w:sz w:val="32"/>
          <w:szCs w:val="32"/>
        </w:rPr>
        <w:t>万亩）以上。改扩建溆浦县、安仁县白僵菌厂生产车间</w:t>
      </w:r>
      <w:r>
        <w:rPr>
          <w:sz w:val="32"/>
          <w:szCs w:val="32"/>
          <w:lang w:val="en-US"/>
        </w:rPr>
        <w:t>2</w:t>
      </w:r>
      <w:r>
        <w:rPr>
          <w:sz w:val="32"/>
          <w:szCs w:val="32"/>
        </w:rPr>
        <w:t>000</w:t>
      </w:r>
      <w:r>
        <w:rPr>
          <w:rFonts w:hint="eastAsia"/>
          <w:sz w:val="32"/>
          <w:szCs w:val="32"/>
        </w:rPr>
        <w:t>平方米，年生产能力达</w:t>
      </w:r>
      <w:r>
        <w:rPr>
          <w:sz w:val="32"/>
          <w:szCs w:val="32"/>
        </w:rPr>
        <w:t>200</w:t>
      </w:r>
      <w:r>
        <w:rPr>
          <w:rFonts w:hint="eastAsia"/>
          <w:sz w:val="32"/>
          <w:szCs w:val="32"/>
        </w:rPr>
        <w:t>吨以上。</w:t>
      </w:r>
    </w:p>
    <w:p>
      <w:pPr>
        <w:pStyle w:val="93"/>
        <w:spacing w:line="560" w:lineRule="exact"/>
        <w:ind w:firstLine="640"/>
        <w:rPr>
          <w:sz w:val="32"/>
          <w:szCs w:val="32"/>
        </w:rPr>
      </w:pPr>
      <w:r>
        <w:rPr>
          <w:rFonts w:hint="eastAsia"/>
          <w:sz w:val="32"/>
          <w:szCs w:val="32"/>
        </w:rPr>
        <w:t>（</w:t>
      </w:r>
      <w:r>
        <w:rPr>
          <w:sz w:val="32"/>
          <w:szCs w:val="32"/>
          <w:lang w:val="en-US"/>
        </w:rPr>
        <w:t>5</w:t>
      </w:r>
      <w:r>
        <w:rPr>
          <w:rFonts w:hint="eastAsia"/>
          <w:sz w:val="32"/>
          <w:szCs w:val="32"/>
        </w:rPr>
        <w:t>）草原有害生物监测与防控项目</w:t>
      </w:r>
    </w:p>
    <w:p>
      <w:pPr>
        <w:pStyle w:val="93"/>
        <w:spacing w:line="560" w:lineRule="exact"/>
        <w:ind w:firstLine="640"/>
        <w:rPr>
          <w:sz w:val="32"/>
          <w:szCs w:val="32"/>
        </w:rPr>
      </w:pPr>
      <w:r>
        <w:rPr>
          <w:rFonts w:hint="eastAsia"/>
          <w:sz w:val="32"/>
          <w:szCs w:val="32"/>
        </w:rPr>
        <w:t>开展草原有害生物发生种类、面积、分布及危害程度普查，构建草原生物灾害监测预警体系、风险性分析和远程诊断系统</w:t>
      </w:r>
      <w:r>
        <w:rPr>
          <w:sz w:val="32"/>
          <w:szCs w:val="32"/>
        </w:rPr>
        <w:t>1</w:t>
      </w:r>
      <w:r>
        <w:rPr>
          <w:rFonts w:hint="eastAsia"/>
          <w:sz w:val="32"/>
          <w:szCs w:val="32"/>
        </w:rPr>
        <w:t>套，建立覆盖</w:t>
      </w:r>
      <w:r>
        <w:rPr>
          <w:sz w:val="32"/>
          <w:szCs w:val="32"/>
        </w:rPr>
        <w:t>10</w:t>
      </w:r>
      <w:r>
        <w:rPr>
          <w:rFonts w:hint="eastAsia"/>
          <w:sz w:val="32"/>
          <w:szCs w:val="32"/>
        </w:rPr>
        <w:t>个重点区域的草原有害生物监测网络。</w:t>
      </w:r>
    </w:p>
    <w:p>
      <w:pPr>
        <w:pStyle w:val="6"/>
        <w:ind w:firstLine="640" w:firstLineChars="200"/>
        <w:rPr>
          <w:rStyle w:val="30"/>
          <w:rFonts w:eastAsia="楷体"/>
          <w:b w:val="0"/>
          <w:bCs w:val="0"/>
        </w:rPr>
      </w:pPr>
      <w:bookmarkStart w:id="202" w:name="_Toc76396535"/>
      <w:bookmarkStart w:id="203" w:name="_Toc78381466"/>
      <w:r>
        <w:rPr>
          <w:rStyle w:val="30"/>
          <w:rFonts w:eastAsia="楷体"/>
        </w:rPr>
        <w:t>4.4.</w:t>
      </w:r>
      <w:r>
        <w:rPr>
          <w:rStyle w:val="30"/>
          <w:rFonts w:eastAsia="楷体"/>
          <w:lang w:val="en-US"/>
        </w:rPr>
        <w:t xml:space="preserve">4 </w:t>
      </w:r>
      <w:r>
        <w:rPr>
          <w:rStyle w:val="30"/>
          <w:rFonts w:hint="eastAsia" w:eastAsia="楷体"/>
        </w:rPr>
        <w:t>国有林场基础设施建设</w:t>
      </w:r>
      <w:bookmarkEnd w:id="197"/>
      <w:r>
        <w:rPr>
          <w:rStyle w:val="30"/>
          <w:rFonts w:hint="eastAsia" w:eastAsia="楷体"/>
        </w:rPr>
        <w:t>工程</w:t>
      </w:r>
      <w:bookmarkEnd w:id="202"/>
      <w:bookmarkEnd w:id="203"/>
    </w:p>
    <w:p>
      <w:pPr>
        <w:pStyle w:val="93"/>
        <w:spacing w:line="560" w:lineRule="exact"/>
        <w:ind w:firstLine="640"/>
        <w:rPr>
          <w:sz w:val="32"/>
          <w:szCs w:val="32"/>
        </w:rPr>
      </w:pPr>
      <w:r>
        <w:rPr>
          <w:rFonts w:hint="eastAsia"/>
          <w:sz w:val="32"/>
          <w:szCs w:val="32"/>
        </w:rPr>
        <w:t>启动国有林场管护用房改造工程，全面改善国有林场生产一线职工的生产、生活和居住环境，消除危旧管护用房带来的安全隐患，保障基层职工的生命财产安全。在全省</w:t>
      </w:r>
      <w:r>
        <w:rPr>
          <w:sz w:val="32"/>
          <w:szCs w:val="32"/>
        </w:rPr>
        <w:t>216</w:t>
      </w:r>
      <w:r>
        <w:rPr>
          <w:rFonts w:hint="eastAsia"/>
          <w:sz w:val="32"/>
          <w:szCs w:val="32"/>
        </w:rPr>
        <w:t>个国有林场范围内，新建护林站点管护用房</w:t>
      </w:r>
      <w:r>
        <w:rPr>
          <w:sz w:val="32"/>
          <w:szCs w:val="32"/>
        </w:rPr>
        <w:t>768</w:t>
      </w:r>
      <w:r>
        <w:rPr>
          <w:rFonts w:hint="eastAsia"/>
          <w:sz w:val="32"/>
          <w:szCs w:val="32"/>
        </w:rPr>
        <w:t>处、提质改造</w:t>
      </w:r>
      <w:r>
        <w:rPr>
          <w:sz w:val="32"/>
          <w:szCs w:val="32"/>
        </w:rPr>
        <w:t>1148</w:t>
      </w:r>
      <w:r>
        <w:rPr>
          <w:rFonts w:hint="eastAsia"/>
          <w:sz w:val="32"/>
          <w:szCs w:val="32"/>
        </w:rPr>
        <w:t>处，进一步完善国有林场森林资源管护体系。加快国有林场林区道路建设，推进国有林场居民生产生活出行和林下经济发展。新建国有林场林区道路</w:t>
      </w:r>
      <w:r>
        <w:rPr>
          <w:sz w:val="32"/>
          <w:szCs w:val="32"/>
        </w:rPr>
        <w:t>4686</w:t>
      </w:r>
      <w:r>
        <w:rPr>
          <w:rFonts w:hint="eastAsia"/>
          <w:sz w:val="32"/>
          <w:szCs w:val="32"/>
        </w:rPr>
        <w:t>千米。推进国有林场和林木种苗融合发展，鼓励国有林场培育珍贵树种和优良乡土树种，加快大径材、国家储备林基地建设。支持国有林场发展森林旅游、林下经济等生态产业，增强产业后劲活力，打造国有林场旅游目的地和绿色林产品输出地。</w:t>
      </w:r>
    </w:p>
    <w:p>
      <w:pPr>
        <w:pStyle w:val="6"/>
        <w:ind w:firstLine="640" w:firstLineChars="200"/>
        <w:rPr>
          <w:rStyle w:val="30"/>
          <w:rFonts w:eastAsia="楷体"/>
          <w:b w:val="0"/>
          <w:bCs w:val="0"/>
        </w:rPr>
      </w:pPr>
      <w:bookmarkStart w:id="204" w:name="_Toc78381467"/>
      <w:bookmarkStart w:id="205" w:name="_Toc76396536"/>
      <w:r>
        <w:rPr>
          <w:rStyle w:val="30"/>
          <w:rFonts w:eastAsia="楷体"/>
        </w:rPr>
        <w:t>4.4.</w:t>
      </w:r>
      <w:r>
        <w:rPr>
          <w:rStyle w:val="30"/>
          <w:rFonts w:eastAsia="楷体"/>
          <w:lang w:val="en-US"/>
        </w:rPr>
        <w:t xml:space="preserve">5 </w:t>
      </w:r>
      <w:r>
        <w:rPr>
          <w:rStyle w:val="30"/>
          <w:rFonts w:hint="eastAsia" w:eastAsia="楷体"/>
        </w:rPr>
        <w:t>基层林业站标准化建设和能力提升建设工程</w:t>
      </w:r>
      <w:bookmarkEnd w:id="204"/>
      <w:bookmarkEnd w:id="205"/>
    </w:p>
    <w:p>
      <w:pPr>
        <w:pStyle w:val="93"/>
        <w:spacing w:line="560" w:lineRule="exact"/>
        <w:ind w:firstLine="640"/>
        <w:rPr>
          <w:sz w:val="32"/>
          <w:szCs w:val="32"/>
        </w:rPr>
      </w:pPr>
      <w:r>
        <w:rPr>
          <w:rFonts w:hint="eastAsia"/>
          <w:sz w:val="32"/>
          <w:szCs w:val="32"/>
        </w:rPr>
        <w:t>建设一批标准化林业站，加强林业站能力建设，有效发挥林业站在服务乡村振兴和推行林长制中的基础保障作用。加强基层基础建设，新建、维修改造一批标准化林业站；对全省的林业站等基层涉林机构加强能力建设，切实提升基层林业管理人员的理论素养和实操能力，以更好地服务乡村振兴战略等。在全省有机构和牌子的</w:t>
      </w:r>
      <w:r>
        <w:rPr>
          <w:sz w:val="32"/>
          <w:szCs w:val="32"/>
        </w:rPr>
        <w:t>700</w:t>
      </w:r>
      <w:r>
        <w:rPr>
          <w:rFonts w:hint="eastAsia"/>
          <w:sz w:val="32"/>
          <w:szCs w:val="32"/>
        </w:rPr>
        <w:t>个林业站范围内，安排建设标准化林业站</w:t>
      </w:r>
      <w:r>
        <w:rPr>
          <w:sz w:val="32"/>
          <w:szCs w:val="32"/>
        </w:rPr>
        <w:t>150</w:t>
      </w:r>
      <w:r>
        <w:rPr>
          <w:rFonts w:hint="eastAsia"/>
          <w:sz w:val="32"/>
          <w:szCs w:val="32"/>
        </w:rPr>
        <w:t>个，能力提升林业站</w:t>
      </w:r>
      <w:r>
        <w:rPr>
          <w:sz w:val="32"/>
          <w:szCs w:val="32"/>
        </w:rPr>
        <w:t>100</w:t>
      </w:r>
      <w:r>
        <w:rPr>
          <w:rFonts w:hint="eastAsia"/>
          <w:sz w:val="32"/>
          <w:szCs w:val="32"/>
        </w:rPr>
        <w:t>个。</w:t>
      </w:r>
    </w:p>
    <w:p>
      <w:pPr>
        <w:pStyle w:val="6"/>
        <w:ind w:firstLine="640" w:firstLineChars="200"/>
        <w:rPr>
          <w:rStyle w:val="30"/>
          <w:rFonts w:eastAsia="楷体"/>
          <w:b w:val="0"/>
          <w:bCs w:val="0"/>
        </w:rPr>
      </w:pPr>
      <w:bookmarkStart w:id="206" w:name="_Toc40077773"/>
      <w:bookmarkStart w:id="207" w:name="_Toc78381468"/>
      <w:bookmarkStart w:id="208" w:name="_Toc76396537"/>
      <w:r>
        <w:rPr>
          <w:rStyle w:val="30"/>
          <w:rFonts w:eastAsia="楷体"/>
        </w:rPr>
        <w:t>4.4.</w:t>
      </w:r>
      <w:r>
        <w:rPr>
          <w:rStyle w:val="30"/>
          <w:rFonts w:eastAsia="楷体"/>
          <w:lang w:val="en-US"/>
        </w:rPr>
        <w:t xml:space="preserve">6 </w:t>
      </w:r>
      <w:r>
        <w:rPr>
          <w:rStyle w:val="30"/>
          <w:rFonts w:hint="eastAsia" w:eastAsia="楷体"/>
        </w:rPr>
        <w:t>优质种苗保障</w:t>
      </w:r>
      <w:bookmarkEnd w:id="206"/>
      <w:r>
        <w:rPr>
          <w:rStyle w:val="30"/>
          <w:rFonts w:hint="eastAsia" w:eastAsia="楷体"/>
        </w:rPr>
        <w:t>工程</w:t>
      </w:r>
      <w:bookmarkEnd w:id="207"/>
      <w:bookmarkEnd w:id="208"/>
    </w:p>
    <w:p>
      <w:pPr>
        <w:pStyle w:val="93"/>
        <w:spacing w:line="560" w:lineRule="exact"/>
        <w:ind w:firstLine="640"/>
        <w:rPr>
          <w:sz w:val="32"/>
          <w:szCs w:val="32"/>
        </w:rPr>
      </w:pPr>
      <w:r>
        <w:rPr>
          <w:rFonts w:hint="eastAsia"/>
          <w:bCs/>
          <w:sz w:val="32"/>
          <w:szCs w:val="32"/>
        </w:rPr>
        <w:t>加强优质用材树种、生态修复树种、经济林果树种、观赏树种、草种等的良种选育和引种试验研究</w:t>
      </w:r>
      <w:r>
        <w:rPr>
          <w:rFonts w:hint="eastAsia"/>
          <w:sz w:val="32"/>
          <w:szCs w:val="32"/>
        </w:rPr>
        <w:t>；严格贯彻林草品种审定制度和审定规范，加强国家级和省级林木品种审定工作；</w:t>
      </w:r>
      <w:r>
        <w:rPr>
          <w:rFonts w:hint="eastAsia"/>
          <w:bCs/>
          <w:sz w:val="32"/>
          <w:szCs w:val="32"/>
        </w:rPr>
        <w:t>在全省范围逐步建立</w:t>
      </w:r>
      <w:r>
        <w:rPr>
          <w:bCs/>
          <w:sz w:val="32"/>
          <w:szCs w:val="32"/>
        </w:rPr>
        <w:t>4</w:t>
      </w:r>
      <w:r>
        <w:rPr>
          <w:rFonts w:hint="eastAsia"/>
          <w:bCs/>
          <w:sz w:val="32"/>
          <w:szCs w:val="32"/>
        </w:rPr>
        <w:t>个有代表区域的良种测试平台，承担全省林草良种区域试验任务</w:t>
      </w:r>
      <w:r>
        <w:rPr>
          <w:rFonts w:hint="eastAsia"/>
          <w:sz w:val="32"/>
          <w:szCs w:val="32"/>
        </w:rPr>
        <w:t>。加快推进林木良种基地树种结构调整，增加乡土、珍贵、经济林果和抗逆性树种等的良种生产能力；加强子代测定，大力营建高世代种子园，促进升级换代；积极推广种子园树体矮化、人工辅助授粉、测土施肥等技术措施；扶持林草良种基地、采种基地和保障性苗圃建设。</w:t>
      </w:r>
    </w:p>
    <w:bookmarkEnd w:id="198"/>
    <w:p>
      <w:pPr>
        <w:pStyle w:val="6"/>
        <w:ind w:firstLine="640" w:firstLineChars="200"/>
        <w:rPr>
          <w:rStyle w:val="30"/>
          <w:rFonts w:eastAsia="楷体"/>
          <w:b w:val="0"/>
          <w:bCs w:val="0"/>
        </w:rPr>
      </w:pPr>
      <w:bookmarkStart w:id="209" w:name="_Toc78381469"/>
      <w:bookmarkStart w:id="210" w:name="_Toc76396539"/>
      <w:r>
        <w:rPr>
          <w:rStyle w:val="30"/>
          <w:rFonts w:eastAsia="楷体"/>
        </w:rPr>
        <w:t>4.4.</w:t>
      </w:r>
      <w:r>
        <w:rPr>
          <w:rStyle w:val="30"/>
          <w:rFonts w:eastAsia="楷体"/>
          <w:lang w:val="en-US"/>
        </w:rPr>
        <w:t xml:space="preserve">7 </w:t>
      </w:r>
      <w:r>
        <w:rPr>
          <w:rStyle w:val="30"/>
          <w:rFonts w:hint="eastAsia" w:eastAsia="楷体"/>
        </w:rPr>
        <w:t>林业再信息化建设工程</w:t>
      </w:r>
      <w:bookmarkEnd w:id="209"/>
      <w:bookmarkEnd w:id="210"/>
    </w:p>
    <w:p>
      <w:pPr>
        <w:pStyle w:val="93"/>
        <w:spacing w:line="560" w:lineRule="exact"/>
        <w:ind w:firstLine="640"/>
        <w:rPr>
          <w:sz w:val="32"/>
          <w:szCs w:val="32"/>
        </w:rPr>
      </w:pPr>
      <w:r>
        <w:rPr>
          <w:rFonts w:hint="eastAsia"/>
          <w:sz w:val="32"/>
          <w:szCs w:val="32"/>
        </w:rPr>
        <w:t>（</w:t>
      </w:r>
      <w:r>
        <w:rPr>
          <w:sz w:val="32"/>
          <w:szCs w:val="32"/>
        </w:rPr>
        <w:t>1</w:t>
      </w:r>
      <w:r>
        <w:rPr>
          <w:rFonts w:hint="eastAsia"/>
          <w:sz w:val="32"/>
          <w:szCs w:val="32"/>
        </w:rPr>
        <w:t>）林草生态感知网络体系建设项目</w:t>
      </w:r>
    </w:p>
    <w:p>
      <w:pPr>
        <w:pStyle w:val="93"/>
        <w:spacing w:line="560" w:lineRule="exact"/>
        <w:ind w:firstLine="640"/>
        <w:rPr>
          <w:sz w:val="32"/>
          <w:szCs w:val="32"/>
        </w:rPr>
      </w:pPr>
      <w:r>
        <w:rPr>
          <w:rFonts w:hint="eastAsia"/>
          <w:sz w:val="32"/>
          <w:szCs w:val="32"/>
        </w:rPr>
        <w:t>建设天基物联网试点工程（含陆地生态系统碳监测卫星</w:t>
      </w:r>
      <w:r>
        <w:rPr>
          <w:sz w:val="32"/>
          <w:szCs w:val="32"/>
        </w:rPr>
        <w:t>“</w:t>
      </w:r>
      <w:r>
        <w:rPr>
          <w:rFonts w:hint="eastAsia"/>
          <w:sz w:val="32"/>
          <w:szCs w:val="32"/>
        </w:rPr>
        <w:t>星</w:t>
      </w:r>
      <w:r>
        <w:rPr>
          <w:sz w:val="32"/>
          <w:szCs w:val="32"/>
        </w:rPr>
        <w:t>-</w:t>
      </w:r>
      <w:r>
        <w:rPr>
          <w:rFonts w:hint="eastAsia"/>
          <w:sz w:val="32"/>
          <w:szCs w:val="32"/>
        </w:rPr>
        <w:t>机</w:t>
      </w:r>
      <w:r>
        <w:rPr>
          <w:sz w:val="32"/>
          <w:szCs w:val="32"/>
        </w:rPr>
        <w:t>-</w:t>
      </w:r>
      <w:r>
        <w:rPr>
          <w:rFonts w:hint="eastAsia"/>
          <w:sz w:val="32"/>
          <w:szCs w:val="32"/>
        </w:rPr>
        <w:t>地</w:t>
      </w:r>
      <w:r>
        <w:rPr>
          <w:sz w:val="32"/>
          <w:szCs w:val="32"/>
        </w:rPr>
        <w:t>”</w:t>
      </w:r>
      <w:r>
        <w:rPr>
          <w:rFonts w:hint="eastAsia"/>
          <w:sz w:val="32"/>
          <w:szCs w:val="32"/>
        </w:rPr>
        <w:t>综合试验、湖南省林草系统北斗巡护终端应用试点等项目）、空基物联网试点工程（含无人机和激光雷达综合运用试点、倾斜摄影测量三维建模试点等项目）、地基物联网试点工程（含省级视频监控管理平台建设等项目），构建林草生态网络感知体系。</w:t>
      </w:r>
    </w:p>
    <w:p>
      <w:pPr>
        <w:pStyle w:val="93"/>
        <w:spacing w:line="560" w:lineRule="exact"/>
        <w:ind w:firstLine="640"/>
        <w:rPr>
          <w:sz w:val="32"/>
          <w:szCs w:val="32"/>
        </w:rPr>
      </w:pPr>
      <w:r>
        <w:rPr>
          <w:rFonts w:hint="eastAsia"/>
          <w:sz w:val="32"/>
          <w:szCs w:val="32"/>
        </w:rPr>
        <w:t>（</w:t>
      </w:r>
      <w:r>
        <w:rPr>
          <w:sz w:val="32"/>
          <w:szCs w:val="32"/>
        </w:rPr>
        <w:t>2</w:t>
      </w:r>
      <w:r>
        <w:rPr>
          <w:rFonts w:hint="eastAsia"/>
          <w:sz w:val="32"/>
          <w:szCs w:val="32"/>
        </w:rPr>
        <w:t>）林草生态综合监测大数据建设项目</w:t>
      </w:r>
    </w:p>
    <w:p>
      <w:pPr>
        <w:pStyle w:val="93"/>
        <w:spacing w:line="560" w:lineRule="exact"/>
        <w:ind w:firstLine="640"/>
        <w:rPr>
          <w:sz w:val="32"/>
          <w:szCs w:val="32"/>
        </w:rPr>
      </w:pPr>
      <w:r>
        <w:rPr>
          <w:rFonts w:hint="eastAsia"/>
          <w:sz w:val="32"/>
          <w:szCs w:val="32"/>
        </w:rPr>
        <w:t>收集各类林草资源数据，编制和出版林草生态大数据信息资源目录；归集整合林草资源历史数据，分析历史发展变化规律，深度挖掘数据价值；充分利用国家和省级提供的基础地理数据、生态网络感知系统，拓展数据采集途径，建立符合林草资源监管需要的公共基础数据库；建设包括林草资源（含湿地）、石漠化（沙化）、动植物资源、自然保护地、国有林场、种质资源等的林草资源综合数据库；建设包括林草资源监管类、林草资源培育类、林草资源保护类、林草产业发展类、林草改革创新类、林草科技服务类的生态建设管理专题数据库；建设包括</w:t>
      </w:r>
      <w:r>
        <w:rPr>
          <w:sz w:val="32"/>
          <w:szCs w:val="32"/>
        </w:rPr>
        <w:t>“</w:t>
      </w:r>
      <w:r>
        <w:rPr>
          <w:rFonts w:hint="eastAsia"/>
          <w:sz w:val="32"/>
          <w:szCs w:val="32"/>
        </w:rPr>
        <w:t>互联网</w:t>
      </w:r>
      <w:r>
        <w:rPr>
          <w:sz w:val="32"/>
          <w:szCs w:val="32"/>
        </w:rPr>
        <w:t>+</w:t>
      </w:r>
      <w:r>
        <w:rPr>
          <w:rFonts w:hint="eastAsia"/>
          <w:sz w:val="32"/>
          <w:szCs w:val="32"/>
        </w:rPr>
        <w:t>政务服务</w:t>
      </w:r>
      <w:r>
        <w:rPr>
          <w:sz w:val="32"/>
          <w:szCs w:val="32"/>
        </w:rPr>
        <w:t>”</w:t>
      </w:r>
      <w:r>
        <w:rPr>
          <w:rFonts w:hint="eastAsia"/>
          <w:sz w:val="32"/>
          <w:szCs w:val="32"/>
        </w:rPr>
        <w:t>数据、综合办公类数据和相关支撑数据的政务服务数据库；提升数据采集机制、提高数据处理与质检能力、加强数据更新与维护，提升数据质量，在林草资源管理“一张图”基础上，整合包含国土三调、农业、水利、交通等各类数据库形成林草生态综合监测大数据体系。</w:t>
      </w:r>
    </w:p>
    <w:p>
      <w:pPr>
        <w:pStyle w:val="93"/>
        <w:spacing w:line="560" w:lineRule="exact"/>
        <w:ind w:firstLine="640"/>
        <w:rPr>
          <w:sz w:val="32"/>
          <w:szCs w:val="32"/>
        </w:rPr>
      </w:pPr>
      <w:r>
        <w:rPr>
          <w:rFonts w:hint="eastAsia"/>
          <w:sz w:val="32"/>
          <w:szCs w:val="32"/>
        </w:rPr>
        <w:t>（</w:t>
      </w:r>
      <w:r>
        <w:rPr>
          <w:sz w:val="32"/>
          <w:szCs w:val="32"/>
        </w:rPr>
        <w:t>3</w:t>
      </w:r>
      <w:r>
        <w:rPr>
          <w:rFonts w:hint="eastAsia"/>
          <w:sz w:val="32"/>
          <w:szCs w:val="32"/>
        </w:rPr>
        <w:t>）智慧林长综合管理平台建设项目</w:t>
      </w:r>
    </w:p>
    <w:p>
      <w:pPr>
        <w:pStyle w:val="93"/>
        <w:spacing w:line="560" w:lineRule="exact"/>
        <w:ind w:firstLine="640"/>
        <w:rPr>
          <w:sz w:val="32"/>
          <w:szCs w:val="32"/>
        </w:rPr>
      </w:pPr>
      <w:r>
        <w:rPr>
          <w:rFonts w:hint="eastAsia"/>
          <w:sz w:val="32"/>
          <w:szCs w:val="32"/>
        </w:rPr>
        <w:t>以林草资源管理</w:t>
      </w:r>
      <w:r>
        <w:rPr>
          <w:sz w:val="32"/>
          <w:szCs w:val="32"/>
        </w:rPr>
        <w:t>“</w:t>
      </w:r>
      <w:r>
        <w:rPr>
          <w:rFonts w:hint="eastAsia"/>
          <w:sz w:val="32"/>
          <w:szCs w:val="32"/>
        </w:rPr>
        <w:t>一张图</w:t>
      </w:r>
      <w:r>
        <w:rPr>
          <w:sz w:val="32"/>
          <w:szCs w:val="32"/>
        </w:rPr>
        <w:t>”</w:t>
      </w:r>
      <w:r>
        <w:rPr>
          <w:rFonts w:hint="eastAsia"/>
          <w:sz w:val="32"/>
          <w:szCs w:val="32"/>
        </w:rPr>
        <w:t>大数据体系为基础，建立林草生态大数据智慧监管系统，为资源动态监测、变化预测、生态安全评价提供支撑；对遥感影像、林草资源数据进行综合处理，建立林草生态大数据综合处理云服务系统；利用</w:t>
      </w:r>
      <w:r>
        <w:rPr>
          <w:sz w:val="32"/>
          <w:szCs w:val="32"/>
        </w:rPr>
        <w:t>“</w:t>
      </w:r>
      <w:r>
        <w:rPr>
          <w:rFonts w:hint="eastAsia"/>
          <w:sz w:val="32"/>
          <w:szCs w:val="32"/>
        </w:rPr>
        <w:t>湖南政务云</w:t>
      </w:r>
      <w:r>
        <w:rPr>
          <w:sz w:val="32"/>
          <w:szCs w:val="32"/>
        </w:rPr>
        <w:t>”</w:t>
      </w:r>
      <w:r>
        <w:rPr>
          <w:rFonts w:hint="eastAsia"/>
          <w:sz w:val="32"/>
          <w:szCs w:val="32"/>
        </w:rPr>
        <w:t>、</w:t>
      </w:r>
      <w:r>
        <w:rPr>
          <w:sz w:val="32"/>
          <w:szCs w:val="32"/>
        </w:rPr>
        <w:t>GIS</w:t>
      </w:r>
      <w:r>
        <w:rPr>
          <w:rFonts w:hint="eastAsia"/>
          <w:sz w:val="32"/>
          <w:szCs w:val="32"/>
        </w:rPr>
        <w:t>公共服务平台及数据交换系统，建立林草大数据共享服务系统；开发林长制巡护信息系统，全面配备巡护手持终端，强化源头管控，实行网格化管理，整合各类森林草原资源保护管理信息系统建设，促进系统协同和数据共享，加快构建覆盖全省、运转顺畅、科学高效的智慧林长综合管理平台。</w:t>
      </w:r>
    </w:p>
    <w:p>
      <w:pPr>
        <w:pStyle w:val="93"/>
        <w:spacing w:line="560" w:lineRule="exact"/>
        <w:ind w:firstLine="640"/>
        <w:rPr>
          <w:sz w:val="32"/>
          <w:szCs w:val="32"/>
        </w:rPr>
      </w:pPr>
      <w:r>
        <w:rPr>
          <w:rFonts w:hint="eastAsia"/>
          <w:sz w:val="32"/>
          <w:szCs w:val="32"/>
        </w:rPr>
        <w:t>（</w:t>
      </w:r>
      <w:r>
        <w:rPr>
          <w:sz w:val="32"/>
          <w:szCs w:val="32"/>
        </w:rPr>
        <w:t>4</w:t>
      </w:r>
      <w:r>
        <w:rPr>
          <w:rFonts w:hint="eastAsia"/>
          <w:sz w:val="32"/>
          <w:szCs w:val="32"/>
        </w:rPr>
        <w:t>）智慧林草综合应用系统建设项目</w:t>
      </w:r>
    </w:p>
    <w:p>
      <w:pPr>
        <w:pStyle w:val="93"/>
        <w:spacing w:line="560" w:lineRule="exact"/>
        <w:ind w:firstLine="640"/>
        <w:rPr>
          <w:sz w:val="32"/>
          <w:szCs w:val="32"/>
        </w:rPr>
      </w:pPr>
      <w:r>
        <w:rPr>
          <w:rFonts w:hint="eastAsia"/>
          <w:sz w:val="32"/>
          <w:szCs w:val="32"/>
        </w:rPr>
        <w:t>根据湖南省林草资源监管、培育、保护需要，在推动国家林草局确定的</w:t>
      </w:r>
      <w:r>
        <w:rPr>
          <w:sz w:val="32"/>
          <w:szCs w:val="32"/>
        </w:rPr>
        <w:t>“</w:t>
      </w:r>
      <w:r>
        <w:rPr>
          <w:rFonts w:hint="eastAsia"/>
          <w:sz w:val="32"/>
          <w:szCs w:val="32"/>
        </w:rPr>
        <w:t>湖南省测土配方系统建设及应用</w:t>
      </w:r>
      <w:r>
        <w:rPr>
          <w:sz w:val="32"/>
          <w:szCs w:val="32"/>
        </w:rPr>
        <w:t>”</w:t>
      </w:r>
      <w:r>
        <w:rPr>
          <w:rFonts w:hint="eastAsia"/>
          <w:sz w:val="32"/>
          <w:szCs w:val="32"/>
        </w:rPr>
        <w:t>建设工作基础上，充分利用国家森林资源智慧管理平台和数据资源，扩展建设具湖南特色的林草资源综合监管系统；根据改革创新、产业发展、科技服务、生态文化、综合办公等政务需求和惠民服务需求，建设</w:t>
      </w:r>
      <w:r>
        <w:rPr>
          <w:sz w:val="32"/>
          <w:szCs w:val="32"/>
        </w:rPr>
        <w:t>“</w:t>
      </w:r>
      <w:r>
        <w:rPr>
          <w:rFonts w:hint="eastAsia"/>
          <w:sz w:val="32"/>
          <w:szCs w:val="32"/>
        </w:rPr>
        <w:t>互联网</w:t>
      </w:r>
      <w:r>
        <w:rPr>
          <w:sz w:val="32"/>
          <w:szCs w:val="32"/>
        </w:rPr>
        <w:t>+</w:t>
      </w:r>
      <w:r>
        <w:rPr>
          <w:rFonts w:hint="eastAsia"/>
          <w:sz w:val="32"/>
          <w:szCs w:val="32"/>
        </w:rPr>
        <w:t>林草资源政务服务</w:t>
      </w:r>
      <w:r>
        <w:rPr>
          <w:sz w:val="32"/>
          <w:szCs w:val="32"/>
        </w:rPr>
        <w:t>”</w:t>
      </w:r>
      <w:r>
        <w:rPr>
          <w:rFonts w:hint="eastAsia"/>
          <w:sz w:val="32"/>
          <w:szCs w:val="32"/>
        </w:rPr>
        <w:t>；基于智慧林长综合管理平台，集成林草资源综合监管系统和</w:t>
      </w:r>
      <w:r>
        <w:rPr>
          <w:sz w:val="32"/>
          <w:szCs w:val="32"/>
        </w:rPr>
        <w:t>“</w:t>
      </w:r>
      <w:r>
        <w:rPr>
          <w:rFonts w:hint="eastAsia"/>
          <w:sz w:val="32"/>
          <w:szCs w:val="32"/>
        </w:rPr>
        <w:t>互联网</w:t>
      </w:r>
      <w:r>
        <w:rPr>
          <w:sz w:val="32"/>
          <w:szCs w:val="32"/>
        </w:rPr>
        <w:t>+</w:t>
      </w:r>
      <w:r>
        <w:rPr>
          <w:rFonts w:hint="eastAsia"/>
          <w:sz w:val="32"/>
          <w:szCs w:val="32"/>
        </w:rPr>
        <w:t>林草资源政务服务</w:t>
      </w:r>
      <w:r>
        <w:rPr>
          <w:sz w:val="32"/>
          <w:szCs w:val="32"/>
        </w:rPr>
        <w:t>”</w:t>
      </w:r>
      <w:r>
        <w:rPr>
          <w:rFonts w:hint="eastAsia"/>
          <w:sz w:val="32"/>
          <w:szCs w:val="32"/>
        </w:rPr>
        <w:t>应用体系，建设智慧林草综合应用系统，应用信息化技术助力林长制改革</w:t>
      </w:r>
      <w:r>
        <w:rPr>
          <w:sz w:val="32"/>
          <w:szCs w:val="32"/>
        </w:rPr>
        <w:t>“</w:t>
      </w:r>
      <w:r>
        <w:rPr>
          <w:rFonts w:hint="eastAsia"/>
          <w:sz w:val="32"/>
          <w:szCs w:val="32"/>
        </w:rPr>
        <w:t>智慧升级</w:t>
      </w:r>
      <w:r>
        <w:rPr>
          <w:sz w:val="32"/>
          <w:szCs w:val="32"/>
        </w:rPr>
        <w:t>”</w:t>
      </w:r>
      <w:r>
        <w:rPr>
          <w:rFonts w:hint="eastAsia"/>
          <w:sz w:val="32"/>
          <w:szCs w:val="32"/>
        </w:rPr>
        <w:t>。</w:t>
      </w:r>
    </w:p>
    <w:p>
      <w:pPr>
        <w:pStyle w:val="93"/>
        <w:spacing w:line="560" w:lineRule="exact"/>
        <w:ind w:firstLine="640"/>
        <w:rPr>
          <w:sz w:val="32"/>
          <w:szCs w:val="32"/>
        </w:rPr>
      </w:pPr>
      <w:r>
        <w:rPr>
          <w:rFonts w:hint="eastAsia"/>
          <w:sz w:val="32"/>
          <w:szCs w:val="32"/>
        </w:rPr>
        <w:t>（</w:t>
      </w:r>
      <w:r>
        <w:rPr>
          <w:sz w:val="32"/>
          <w:szCs w:val="32"/>
        </w:rPr>
        <w:t>5</w:t>
      </w:r>
      <w:r>
        <w:rPr>
          <w:rFonts w:hint="eastAsia"/>
          <w:sz w:val="32"/>
          <w:szCs w:val="32"/>
        </w:rPr>
        <w:t>）林草综合应用支撑体系建设项目</w:t>
      </w:r>
    </w:p>
    <w:p>
      <w:pPr>
        <w:pStyle w:val="93"/>
        <w:spacing w:line="560" w:lineRule="exact"/>
        <w:ind w:firstLine="640"/>
        <w:rPr>
          <w:sz w:val="32"/>
          <w:szCs w:val="32"/>
        </w:rPr>
      </w:pPr>
      <w:r>
        <w:rPr>
          <w:rFonts w:hint="eastAsia"/>
          <w:sz w:val="32"/>
          <w:szCs w:val="32"/>
        </w:rPr>
        <w:t>包括基础设施建设、标准规范体系建设、信息安全与隐私保护、大数据支撑平台建设、信息化能力建设和信息化技术服务等。加强网络、服务器、存储等基础设施建设；补齐关键、急需的林草信息化领域的行业标准及地方标准；加强网络安全、平台安全、应用安全、数据安全、密码安全、终端安全建设，建立全面的信息安全保障体系；建立跨部门跨业务跨应用的数据支撑服务平台；通过先进技术攻关、信息化产学研平台建设、管理制度建设、信息化队伍培训，提升全省林草信息化创新能力，提高基层信息化队伍技术水平；通过购买服务，引入第三方为林草信息化平台、系统和数据运维提供专业服务。</w:t>
      </w:r>
    </w:p>
    <w:p>
      <w:pPr>
        <w:pStyle w:val="6"/>
        <w:ind w:firstLine="640" w:firstLineChars="200"/>
        <w:rPr>
          <w:rStyle w:val="30"/>
          <w:rFonts w:eastAsia="楷体"/>
          <w:b w:val="0"/>
          <w:bCs w:val="0"/>
        </w:rPr>
      </w:pPr>
      <w:bookmarkStart w:id="211" w:name="_Toc76396540"/>
      <w:bookmarkStart w:id="212" w:name="_Toc78381470"/>
      <w:r>
        <w:rPr>
          <w:rStyle w:val="30"/>
          <w:rFonts w:eastAsia="楷体"/>
        </w:rPr>
        <w:t>4.4.</w:t>
      </w:r>
      <w:r>
        <w:rPr>
          <w:rStyle w:val="30"/>
          <w:rFonts w:eastAsia="楷体"/>
          <w:lang w:val="en-US"/>
        </w:rPr>
        <w:t xml:space="preserve">8 </w:t>
      </w:r>
      <w:r>
        <w:rPr>
          <w:rStyle w:val="30"/>
          <w:rFonts w:hint="eastAsia" w:eastAsia="楷体"/>
        </w:rPr>
        <w:t>全省林业法治建设工程</w:t>
      </w:r>
      <w:bookmarkEnd w:id="211"/>
      <w:bookmarkEnd w:id="212"/>
    </w:p>
    <w:p>
      <w:pPr>
        <w:pStyle w:val="93"/>
        <w:spacing w:line="560" w:lineRule="exact"/>
        <w:ind w:firstLine="640"/>
        <w:rPr>
          <w:sz w:val="32"/>
          <w:szCs w:val="32"/>
        </w:rPr>
      </w:pPr>
      <w:r>
        <w:rPr>
          <w:rFonts w:hint="eastAsia"/>
          <w:sz w:val="32"/>
          <w:szCs w:val="32"/>
        </w:rPr>
        <w:t>全面提高全省林业行政执法能力，强化林业行政执法。组建高素质的林业行政执法队伍，配备与当代林业执法需求相匹配的执法装备。重点加强全省林业法制信息系统的完善升级、维护，以及全省各级林业部门执法办案设施、设备配备。推进林业立法普法，以政府购买服务推动省级立法项目出台，深入开展法制宣传教育。</w:t>
      </w:r>
    </w:p>
    <w:p>
      <w:pPr>
        <w:pStyle w:val="6"/>
        <w:ind w:firstLine="640" w:firstLineChars="200"/>
        <w:rPr>
          <w:rStyle w:val="30"/>
          <w:rFonts w:eastAsia="楷体"/>
          <w:b w:val="0"/>
          <w:bCs w:val="0"/>
        </w:rPr>
      </w:pPr>
      <w:bookmarkStart w:id="213" w:name="_Toc78381471"/>
      <w:bookmarkStart w:id="214" w:name="_Toc76396541"/>
      <w:r>
        <w:rPr>
          <w:rStyle w:val="30"/>
          <w:rFonts w:eastAsia="楷体"/>
        </w:rPr>
        <w:t>4.4.</w:t>
      </w:r>
      <w:r>
        <w:rPr>
          <w:rStyle w:val="30"/>
          <w:rFonts w:eastAsia="楷体"/>
          <w:lang w:val="en-US"/>
        </w:rPr>
        <w:t xml:space="preserve">9 </w:t>
      </w:r>
      <w:r>
        <w:rPr>
          <w:rStyle w:val="30"/>
          <w:rFonts w:hint="eastAsia" w:eastAsia="楷体"/>
        </w:rPr>
        <w:t>家庭林场和林业合作社能力提升工程</w:t>
      </w:r>
      <w:bookmarkEnd w:id="213"/>
      <w:bookmarkEnd w:id="214"/>
    </w:p>
    <w:p>
      <w:pPr>
        <w:pStyle w:val="93"/>
        <w:spacing w:line="560" w:lineRule="exact"/>
        <w:ind w:firstLine="640"/>
        <w:rPr>
          <w:sz w:val="32"/>
          <w:szCs w:val="32"/>
        </w:rPr>
      </w:pPr>
      <w:r>
        <w:rPr>
          <w:rFonts w:hint="eastAsia"/>
          <w:sz w:val="32"/>
          <w:szCs w:val="32"/>
        </w:rPr>
        <w:t>支持家庭林场和林业合作社开展绿色食品、有机食品、地理标志林产品认证和品牌建设，引导林业合作社完善章程制度、健全组织机构、规范财务管理、合理分配收益，不断增强家庭林场和林业合作社的发展实力、经营活力和带动能力。择优重点扶持</w:t>
      </w:r>
      <w:r>
        <w:rPr>
          <w:sz w:val="32"/>
          <w:szCs w:val="32"/>
        </w:rPr>
        <w:t>1000</w:t>
      </w:r>
      <w:r>
        <w:rPr>
          <w:rFonts w:hint="eastAsia"/>
          <w:sz w:val="32"/>
          <w:szCs w:val="32"/>
        </w:rPr>
        <w:t>家家庭林场和</w:t>
      </w:r>
      <w:r>
        <w:rPr>
          <w:sz w:val="32"/>
          <w:szCs w:val="32"/>
        </w:rPr>
        <w:t>200</w:t>
      </w:r>
      <w:r>
        <w:rPr>
          <w:rFonts w:hint="eastAsia"/>
          <w:sz w:val="32"/>
          <w:szCs w:val="32"/>
        </w:rPr>
        <w:t>家林业合作社，通过财政资金的引导带动作用，大力促进我省的家庭林场和林业合作社高质量发展。</w:t>
      </w:r>
    </w:p>
    <w:p>
      <w:pPr>
        <w:pStyle w:val="6"/>
        <w:ind w:firstLine="640" w:firstLineChars="200"/>
      </w:pPr>
      <w:bookmarkStart w:id="215" w:name="_Toc78381472"/>
      <w:r>
        <w:rPr>
          <w:rStyle w:val="30"/>
          <w:rFonts w:eastAsia="楷体"/>
        </w:rPr>
        <w:t>4.4.</w:t>
      </w:r>
      <w:r>
        <w:rPr>
          <w:rStyle w:val="30"/>
          <w:rFonts w:eastAsia="楷体"/>
          <w:lang w:val="en-US"/>
        </w:rPr>
        <w:t xml:space="preserve">10 </w:t>
      </w:r>
      <w:r>
        <w:rPr>
          <w:rFonts w:hint="eastAsia"/>
        </w:rPr>
        <w:t>林业基层人才培养工程</w:t>
      </w:r>
      <w:bookmarkEnd w:id="215"/>
    </w:p>
    <w:p>
      <w:pPr>
        <w:pStyle w:val="93"/>
        <w:spacing w:line="560" w:lineRule="exact"/>
        <w:ind w:firstLine="640"/>
        <w:rPr>
          <w:sz w:val="32"/>
          <w:szCs w:val="32"/>
        </w:rPr>
      </w:pPr>
      <w:r>
        <w:rPr>
          <w:rFonts w:hint="eastAsia"/>
          <w:sz w:val="32"/>
          <w:szCs w:val="32"/>
        </w:rPr>
        <w:t>强化基层林业人才队伍建设，启动林业基层特岗人员定向培养计划，到</w:t>
      </w:r>
      <w:r>
        <w:rPr>
          <w:sz w:val="32"/>
          <w:szCs w:val="32"/>
          <w:lang w:val="en-US"/>
        </w:rPr>
        <w:t>2025</w:t>
      </w:r>
      <w:r>
        <w:rPr>
          <w:rFonts w:hint="eastAsia"/>
          <w:sz w:val="32"/>
          <w:szCs w:val="32"/>
          <w:lang w:val="en-US"/>
        </w:rPr>
        <w:t>年，</w:t>
      </w:r>
      <w:r>
        <w:rPr>
          <w:rFonts w:hint="eastAsia"/>
          <w:sz w:val="32"/>
          <w:szCs w:val="32"/>
        </w:rPr>
        <w:t>为基层输送</w:t>
      </w:r>
      <w:r>
        <w:rPr>
          <w:sz w:val="32"/>
          <w:szCs w:val="32"/>
        </w:rPr>
        <w:t>2</w:t>
      </w:r>
      <w:r>
        <w:rPr>
          <w:sz w:val="32"/>
          <w:szCs w:val="32"/>
          <w:lang w:val="en-US"/>
        </w:rPr>
        <w:t>0</w:t>
      </w:r>
      <w:r>
        <w:rPr>
          <w:sz w:val="32"/>
          <w:szCs w:val="32"/>
        </w:rPr>
        <w:t>00</w:t>
      </w:r>
      <w:r>
        <w:rPr>
          <w:rFonts w:hint="eastAsia"/>
          <w:sz w:val="32"/>
          <w:szCs w:val="32"/>
        </w:rPr>
        <w:t>名技能型专业人才，改善基层林业工作人员年龄结构断层、人员招考困难、人才流失严重、素质能力不足等现实问题。</w:t>
      </w:r>
    </w:p>
    <w:p>
      <w:pPr>
        <w:pStyle w:val="93"/>
        <w:spacing w:line="560" w:lineRule="exact"/>
        <w:ind w:firstLine="640"/>
        <w:rPr>
          <w:sz w:val="32"/>
          <w:szCs w:val="32"/>
        </w:rPr>
      </w:pPr>
    </w:p>
    <w:p>
      <w:pPr>
        <w:widowControl/>
        <w:spacing w:beforeAutospacing="1"/>
        <w:jc w:val="left"/>
        <w:rPr>
          <w:rFonts w:eastAsia="仿宋_GB2312"/>
          <w:kern w:val="0"/>
          <w:sz w:val="32"/>
          <w:szCs w:val="32"/>
          <w:lang w:val="zh-CN"/>
        </w:rPr>
        <w:sectPr>
          <w:pgSz w:w="11906" w:h="16838"/>
          <w:pgMar w:top="1418" w:right="1701" w:bottom="1418" w:left="1701" w:header="851" w:footer="992" w:gutter="0"/>
          <w:cols w:space="720" w:num="1"/>
          <w:docGrid w:type="linesAndChars" w:linePitch="312" w:charSpace="0"/>
        </w:sectPr>
      </w:pPr>
    </w:p>
    <w:p>
      <w:pPr>
        <w:pStyle w:val="2"/>
        <w:spacing w:after="312"/>
        <w:rPr>
          <w:rFonts w:ascii="Times New Roman" w:hAnsi="Times New Roman" w:cs="Times New Roman"/>
          <w:sz w:val="36"/>
          <w:szCs w:val="36"/>
        </w:rPr>
      </w:pPr>
      <w:bookmarkStart w:id="216" w:name="_Toc78296745"/>
      <w:bookmarkStart w:id="217" w:name="_Toc78381473"/>
      <w:r>
        <w:rPr>
          <w:rFonts w:hint="eastAsia" w:ascii="Times New Roman" w:hAnsi="Times New Roman"/>
          <w:sz w:val="36"/>
          <w:szCs w:val="36"/>
        </w:rPr>
        <w:t>第五章</w:t>
      </w:r>
      <w:bookmarkEnd w:id="112"/>
      <w:bookmarkStart w:id="218" w:name="_Toc40077796"/>
      <w:r>
        <w:rPr>
          <w:rFonts w:ascii="Times New Roman" w:hAnsi="Times New Roman" w:cs="Times New Roman"/>
          <w:sz w:val="36"/>
          <w:szCs w:val="36"/>
        </w:rPr>
        <w:t xml:space="preserve">  </w:t>
      </w:r>
      <w:r>
        <w:rPr>
          <w:rFonts w:hint="eastAsia" w:ascii="Times New Roman" w:hAnsi="Times New Roman"/>
          <w:sz w:val="36"/>
          <w:szCs w:val="36"/>
        </w:rPr>
        <w:t>环境影响评价</w:t>
      </w:r>
      <w:bookmarkEnd w:id="216"/>
      <w:bookmarkEnd w:id="217"/>
    </w:p>
    <w:p>
      <w:pPr>
        <w:pStyle w:val="4"/>
        <w:ind w:firstLine="640" w:firstLineChars="200"/>
        <w:rPr>
          <w:rFonts w:ascii="Times New Roman" w:hAnsi="Times New Roman" w:eastAsia="黑体" w:cs="Times New Roman"/>
          <w:sz w:val="32"/>
          <w:szCs w:val="32"/>
        </w:rPr>
      </w:pPr>
      <w:bookmarkStart w:id="219" w:name="_Toc483307044"/>
      <w:bookmarkStart w:id="220" w:name="_Toc78381474"/>
      <w:bookmarkStart w:id="221" w:name="_Toc78296746"/>
      <w:r>
        <w:rPr>
          <w:rFonts w:ascii="Times New Roman" w:hAnsi="Times New Roman" w:eastAsia="黑体" w:cs="Times New Roman"/>
          <w:sz w:val="32"/>
          <w:szCs w:val="32"/>
        </w:rPr>
        <w:t xml:space="preserve">5.1 </w:t>
      </w:r>
      <w:r>
        <w:rPr>
          <w:rFonts w:hint="eastAsia" w:ascii="Times New Roman" w:hAnsi="Times New Roman" w:eastAsia="黑体"/>
          <w:sz w:val="32"/>
          <w:szCs w:val="32"/>
        </w:rPr>
        <w:t>环境影响分析</w:t>
      </w:r>
      <w:bookmarkEnd w:id="219"/>
      <w:bookmarkEnd w:id="220"/>
      <w:bookmarkEnd w:id="221"/>
    </w:p>
    <w:p>
      <w:pPr>
        <w:pStyle w:val="93"/>
        <w:spacing w:line="560" w:lineRule="exact"/>
        <w:ind w:firstLine="640"/>
        <w:rPr>
          <w:rFonts w:ascii="Times New Roman"/>
          <w:sz w:val="32"/>
          <w:szCs w:val="32"/>
        </w:rPr>
      </w:pPr>
      <w:r>
        <w:rPr>
          <w:rFonts w:hint="eastAsia"/>
          <w:sz w:val="32"/>
          <w:szCs w:val="32"/>
        </w:rPr>
        <w:t>林业项目的实施将使得森林结构得到优化，森林生态系统稳定性、抗逆性和环境功能显著提高，有利于充分发挥森林多种功能和效益，特别是将明显增加项目区森林面积，提高森林覆盖率和森林质量，改善区域生态环境。总体而言，林业项目建设对于涵养水源、保持水土、保土保肥、森林固碳和增加生物多样性等方面都将产生积极影响。林业项目实施后，将形成稳定性好、抗逆性强的森林生态系统，进一步提高林地生产力、提高森林效益；同时，良好的森林生境能引导人们崇尚自然、追求健康的绿色生活。</w:t>
      </w:r>
    </w:p>
    <w:p>
      <w:pPr>
        <w:pStyle w:val="93"/>
        <w:spacing w:line="560" w:lineRule="exact"/>
        <w:ind w:firstLine="640"/>
        <w:rPr>
          <w:sz w:val="32"/>
          <w:szCs w:val="32"/>
        </w:rPr>
      </w:pPr>
      <w:r>
        <w:rPr>
          <w:rFonts w:hint="eastAsia"/>
          <w:sz w:val="32"/>
          <w:szCs w:val="32"/>
        </w:rPr>
        <w:t>林业项目在建设过程中，也会对生态环境产生一定的负面影响，其中：施工期环境影响包括营造林地选择、树种选择与布局、林地清理、整地、森林抚育、森林经营等；营运期环境影响包括护林防火，农药、化肥、塑料薄膜、化纤编织袋等废包装材料使用，森林经营活动及产品采集、运输，作业人员及管理人员的生活垃圾、生活废水等。</w:t>
      </w:r>
    </w:p>
    <w:p>
      <w:pPr>
        <w:pStyle w:val="4"/>
        <w:ind w:firstLine="640" w:firstLineChars="200"/>
        <w:rPr>
          <w:rFonts w:ascii="Times New Roman" w:hAnsi="Times New Roman" w:eastAsia="黑体" w:cs="Times New Roman"/>
          <w:sz w:val="32"/>
          <w:szCs w:val="32"/>
        </w:rPr>
      </w:pPr>
      <w:bookmarkStart w:id="222" w:name="_Toc483307045"/>
      <w:bookmarkStart w:id="223" w:name="_Toc78381475"/>
      <w:bookmarkStart w:id="224" w:name="_Toc78296747"/>
      <w:r>
        <w:rPr>
          <w:rFonts w:ascii="Times New Roman" w:hAnsi="Times New Roman" w:eastAsia="黑体" w:cs="Times New Roman"/>
          <w:sz w:val="32"/>
          <w:szCs w:val="32"/>
        </w:rPr>
        <w:t xml:space="preserve">5.2 </w:t>
      </w:r>
      <w:r>
        <w:rPr>
          <w:rFonts w:hint="eastAsia" w:ascii="Times New Roman" w:hAnsi="Times New Roman" w:eastAsia="黑体"/>
          <w:sz w:val="32"/>
          <w:szCs w:val="32"/>
        </w:rPr>
        <w:t>环境保护</w:t>
      </w:r>
      <w:bookmarkEnd w:id="222"/>
      <w:r>
        <w:rPr>
          <w:rFonts w:hint="eastAsia" w:ascii="Times New Roman" w:hAnsi="Times New Roman" w:eastAsia="黑体"/>
          <w:sz w:val="32"/>
          <w:szCs w:val="32"/>
        </w:rPr>
        <w:t>措施</w:t>
      </w:r>
      <w:bookmarkEnd w:id="223"/>
      <w:bookmarkEnd w:id="224"/>
    </w:p>
    <w:p>
      <w:pPr>
        <w:pStyle w:val="93"/>
        <w:spacing w:line="560" w:lineRule="exact"/>
        <w:ind w:firstLine="640"/>
        <w:rPr>
          <w:rFonts w:ascii="Times New Roman"/>
          <w:sz w:val="32"/>
          <w:szCs w:val="32"/>
        </w:rPr>
      </w:pPr>
      <w:r>
        <w:rPr>
          <w:rFonts w:hint="eastAsia"/>
          <w:sz w:val="32"/>
          <w:szCs w:val="32"/>
        </w:rPr>
        <w:t>合理进行林业项目选址，应避开自然保护地、生态保护红线等生态环境敏感区。对要求高的重大建设项目需严格按照国家规定进行多方评估论证和方案比选，科学论证林业项目选址，编制必要的环境影响报告书。</w:t>
      </w:r>
    </w:p>
    <w:p>
      <w:pPr>
        <w:pStyle w:val="93"/>
        <w:spacing w:line="560" w:lineRule="exact"/>
        <w:ind w:firstLine="640"/>
        <w:rPr>
          <w:sz w:val="32"/>
          <w:szCs w:val="32"/>
        </w:rPr>
      </w:pPr>
      <w:r>
        <w:rPr>
          <w:rFonts w:hint="eastAsia"/>
          <w:sz w:val="32"/>
          <w:szCs w:val="32"/>
        </w:rPr>
        <w:t>林业项目建设及实施要严格执行《中华人民共和国环境保护法》《中华人民共和国大气污染防治法》《中华人民共和国水污染防治法》《中华人民共和国环境影响评价法》等相关法律法规，强化落实</w:t>
      </w:r>
      <w:r>
        <w:rPr>
          <w:sz w:val="32"/>
          <w:szCs w:val="32"/>
        </w:rPr>
        <w:t>“</w:t>
      </w:r>
      <w:r>
        <w:rPr>
          <w:rFonts w:hint="eastAsia"/>
          <w:sz w:val="32"/>
          <w:szCs w:val="32"/>
        </w:rPr>
        <w:t>三线一单</w:t>
      </w:r>
      <w:r>
        <w:rPr>
          <w:sz w:val="32"/>
          <w:szCs w:val="32"/>
        </w:rPr>
        <w:t>”</w:t>
      </w:r>
      <w:r>
        <w:rPr>
          <w:rFonts w:hint="eastAsia"/>
          <w:sz w:val="32"/>
          <w:szCs w:val="32"/>
        </w:rPr>
        <w:t>生态环境分区管控要求，确保环境空气质量、水质、噪声质量、土壤环境质量、污染物排放均达到相关标准。</w:t>
      </w:r>
    </w:p>
    <w:p>
      <w:pPr>
        <w:pStyle w:val="93"/>
        <w:spacing w:line="560" w:lineRule="exact"/>
        <w:ind w:firstLine="640"/>
        <w:rPr>
          <w:sz w:val="32"/>
          <w:szCs w:val="32"/>
        </w:rPr>
      </w:pPr>
      <w:r>
        <w:rPr>
          <w:rFonts w:hint="eastAsia"/>
          <w:sz w:val="32"/>
          <w:szCs w:val="32"/>
        </w:rPr>
        <w:t>积极加强对重点生态功能区、生态环境敏感脆弱区的生态保护，大力实施保护修复重大工程和生物多样性保护工程。根据分区管控规则和环境保护要求，生态保护红线等生态环境敏感区严格禁止开发性、生产性建设活动。</w:t>
      </w:r>
    </w:p>
    <w:p>
      <w:pPr>
        <w:pStyle w:val="93"/>
        <w:spacing w:line="560" w:lineRule="exact"/>
        <w:ind w:firstLine="640"/>
        <w:rPr>
          <w:sz w:val="32"/>
          <w:szCs w:val="32"/>
        </w:rPr>
      </w:pPr>
      <w:r>
        <w:rPr>
          <w:rFonts w:hint="eastAsia"/>
          <w:sz w:val="32"/>
          <w:szCs w:val="32"/>
        </w:rPr>
        <w:t>各级各地林业、自然资源、生态环境等部门要认真履职，积极配合，加强监管，强化</w:t>
      </w:r>
      <w:r>
        <w:rPr>
          <w:sz w:val="32"/>
          <w:szCs w:val="32"/>
        </w:rPr>
        <w:t>“</w:t>
      </w:r>
      <w:r>
        <w:rPr>
          <w:rFonts w:hint="eastAsia"/>
          <w:sz w:val="32"/>
          <w:szCs w:val="32"/>
        </w:rPr>
        <w:t>三线一单</w:t>
      </w:r>
      <w:r>
        <w:rPr>
          <w:sz w:val="32"/>
          <w:szCs w:val="32"/>
        </w:rPr>
        <w:t>”</w:t>
      </w:r>
      <w:r>
        <w:rPr>
          <w:rFonts w:hint="eastAsia"/>
          <w:sz w:val="32"/>
          <w:szCs w:val="32"/>
        </w:rPr>
        <w:t>制度在生态、水、大气、土壤、固体废物、排污许可、环保督察等环境保护与管理中的应用。同时，加强生态环境保护宣传教育，防止各地为经济利益毁坏林地、破坏草原、占用湿地、侵占自然保护地等现象出现。</w:t>
      </w:r>
    </w:p>
    <w:p>
      <w:pPr>
        <w:pStyle w:val="93"/>
        <w:spacing w:line="560" w:lineRule="exact"/>
        <w:ind w:firstLine="640"/>
        <w:rPr>
          <w:sz w:val="32"/>
          <w:szCs w:val="32"/>
        </w:rPr>
      </w:pPr>
    </w:p>
    <w:p>
      <w:pPr>
        <w:pStyle w:val="93"/>
        <w:spacing w:line="560" w:lineRule="exact"/>
        <w:ind w:firstLine="640"/>
        <w:rPr>
          <w:sz w:val="32"/>
          <w:szCs w:val="32"/>
        </w:rPr>
      </w:pPr>
    </w:p>
    <w:p>
      <w:pPr>
        <w:widowControl/>
        <w:spacing w:beforeAutospacing="1"/>
        <w:jc w:val="left"/>
        <w:rPr>
          <w:rFonts w:eastAsia="仿宋_GB2312"/>
          <w:kern w:val="0"/>
          <w:sz w:val="32"/>
          <w:szCs w:val="32"/>
          <w:lang w:val="zh-CN"/>
        </w:rPr>
        <w:sectPr>
          <w:pgSz w:w="11906" w:h="16838"/>
          <w:pgMar w:top="1418" w:right="1701" w:bottom="1418" w:left="1701" w:header="851" w:footer="992" w:gutter="0"/>
          <w:cols w:space="720" w:num="1"/>
          <w:docGrid w:type="linesAndChars" w:linePitch="312" w:charSpace="0"/>
        </w:sectPr>
      </w:pPr>
    </w:p>
    <w:p>
      <w:pPr>
        <w:pStyle w:val="2"/>
        <w:spacing w:after="324"/>
        <w:rPr>
          <w:rFonts w:ascii="Times New Roman" w:hAnsi="Times New Roman" w:cs="Times New Roman"/>
          <w:sz w:val="36"/>
          <w:szCs w:val="36"/>
        </w:rPr>
      </w:pPr>
      <w:bookmarkStart w:id="225" w:name="_Toc78381476"/>
      <w:bookmarkStart w:id="226" w:name="_Toc78296748"/>
      <w:r>
        <w:rPr>
          <w:rFonts w:hint="eastAsia" w:ascii="Times New Roman" w:hAnsi="Times New Roman"/>
          <w:sz w:val="36"/>
          <w:szCs w:val="36"/>
        </w:rPr>
        <w:t>第六章</w:t>
      </w:r>
      <w:r>
        <w:rPr>
          <w:rFonts w:ascii="Times New Roman" w:hAnsi="Times New Roman" w:cs="Times New Roman"/>
          <w:sz w:val="36"/>
          <w:szCs w:val="36"/>
        </w:rPr>
        <w:t xml:space="preserve">  </w:t>
      </w:r>
      <w:r>
        <w:rPr>
          <w:rFonts w:hint="eastAsia" w:ascii="Times New Roman" w:hAnsi="Times New Roman"/>
          <w:sz w:val="36"/>
          <w:szCs w:val="36"/>
        </w:rPr>
        <w:t>保障措施</w:t>
      </w:r>
      <w:bookmarkEnd w:id="218"/>
      <w:bookmarkEnd w:id="225"/>
      <w:bookmarkEnd w:id="226"/>
      <w:r>
        <w:rPr>
          <w:rFonts w:ascii="Times New Roman" w:hAnsi="Times New Roman" w:cs="Times New Roman"/>
          <w:sz w:val="36"/>
          <w:szCs w:val="36"/>
        </w:rPr>
        <w:tab/>
      </w:r>
    </w:p>
    <w:p>
      <w:pPr>
        <w:pStyle w:val="4"/>
        <w:ind w:firstLine="640" w:firstLineChars="200"/>
        <w:rPr>
          <w:rFonts w:ascii="Times New Roman" w:hAnsi="Times New Roman" w:eastAsia="黑体" w:cs="Times New Roman"/>
          <w:sz w:val="32"/>
          <w:szCs w:val="32"/>
        </w:rPr>
      </w:pPr>
      <w:bookmarkStart w:id="227" w:name="_Toc40077797"/>
      <w:bookmarkStart w:id="228" w:name="_Toc78296749"/>
      <w:bookmarkStart w:id="229" w:name="_Toc78381477"/>
      <w:r>
        <w:rPr>
          <w:rFonts w:ascii="Times New Roman" w:hAnsi="Times New Roman" w:eastAsia="黑体" w:cs="Times New Roman"/>
          <w:sz w:val="32"/>
          <w:szCs w:val="32"/>
        </w:rPr>
        <w:t xml:space="preserve">6.1 </w:t>
      </w:r>
      <w:r>
        <w:rPr>
          <w:rFonts w:hint="eastAsia" w:ascii="Times New Roman" w:hAnsi="Times New Roman" w:eastAsia="黑体"/>
          <w:sz w:val="32"/>
          <w:szCs w:val="32"/>
        </w:rPr>
        <w:t>组织保障</w:t>
      </w:r>
      <w:bookmarkEnd w:id="227"/>
      <w:bookmarkEnd w:id="228"/>
      <w:bookmarkEnd w:id="229"/>
    </w:p>
    <w:p>
      <w:pPr>
        <w:pStyle w:val="93"/>
        <w:spacing w:line="560" w:lineRule="exact"/>
        <w:ind w:firstLine="640"/>
        <w:rPr>
          <w:rFonts w:ascii="Times New Roman"/>
          <w:sz w:val="32"/>
          <w:szCs w:val="32"/>
        </w:rPr>
      </w:pPr>
      <w:r>
        <w:rPr>
          <w:rFonts w:hint="eastAsia"/>
          <w:sz w:val="32"/>
          <w:szCs w:val="32"/>
        </w:rPr>
        <w:t>加强组织领导。全省各级林业主管部门要充分认识</w:t>
      </w:r>
      <w:r>
        <w:rPr>
          <w:sz w:val="32"/>
          <w:szCs w:val="32"/>
        </w:rPr>
        <w:t>“</w:t>
      </w:r>
      <w:r>
        <w:rPr>
          <w:rFonts w:hint="eastAsia"/>
          <w:sz w:val="32"/>
          <w:szCs w:val="32"/>
        </w:rPr>
        <w:t>十四五</w:t>
      </w:r>
      <w:r>
        <w:rPr>
          <w:sz w:val="32"/>
          <w:szCs w:val="32"/>
        </w:rPr>
        <w:t>”</w:t>
      </w:r>
      <w:r>
        <w:rPr>
          <w:rFonts w:hint="eastAsia"/>
          <w:sz w:val="32"/>
          <w:szCs w:val="32"/>
        </w:rPr>
        <w:t>林业发展规划的重要意义，将其作为未来一段时期林业改革发展的行动指南，并将规划的各项任务层层分解，明确责任单位、责任人员、工作要求，确保各项指标任务如期圆满完成。</w:t>
      </w:r>
    </w:p>
    <w:p>
      <w:pPr>
        <w:pStyle w:val="93"/>
        <w:spacing w:line="560" w:lineRule="exact"/>
        <w:ind w:firstLine="640"/>
        <w:rPr>
          <w:sz w:val="32"/>
          <w:szCs w:val="32"/>
        </w:rPr>
      </w:pPr>
      <w:r>
        <w:rPr>
          <w:rFonts w:hint="eastAsia"/>
          <w:sz w:val="32"/>
          <w:szCs w:val="32"/>
        </w:rPr>
        <w:t>注重统筹协调。加强统筹各类林业生态空间规划，做好政策和任务的相互衔接，做到集中发力，重点突破，切实解决生态保护与修复存在的突出问题。各级林业主管部门要结合地方实际，突出地方特色，做好地方规划与本规划提出的发展目标、重点任务和重大项目的协调。加强年度计划与本规划的衔接，充分体现本规划提出的发展目标和主要任务。</w:t>
      </w:r>
    </w:p>
    <w:p>
      <w:pPr>
        <w:pStyle w:val="93"/>
        <w:spacing w:line="560" w:lineRule="exact"/>
        <w:ind w:firstLine="640"/>
        <w:rPr>
          <w:sz w:val="32"/>
          <w:szCs w:val="32"/>
        </w:rPr>
      </w:pPr>
      <w:r>
        <w:rPr>
          <w:rFonts w:hint="eastAsia"/>
          <w:sz w:val="32"/>
          <w:szCs w:val="32"/>
        </w:rPr>
        <w:t>强化实施监督。省林业局相关职能部门要对规划实施情况跟踪分析，建立规划实施评估机制，开展规划中期评估和终期考核，加强对规划执行情况的监督和检查，定期公布重点工程项目进展情况和规划目标完成情况。加大规划宣传力度，凝聚社会共识，完善规划实施的公众参与、科学决策和民主监督机制，及时公开规划实施情况，主动接受社会监督。</w:t>
      </w:r>
    </w:p>
    <w:p>
      <w:pPr>
        <w:pStyle w:val="4"/>
        <w:ind w:firstLine="640" w:firstLineChars="200"/>
        <w:rPr>
          <w:rFonts w:ascii="Times New Roman" w:hAnsi="Times New Roman" w:eastAsia="黑体" w:cs="Times New Roman"/>
          <w:sz w:val="32"/>
          <w:szCs w:val="32"/>
        </w:rPr>
      </w:pPr>
      <w:bookmarkStart w:id="230" w:name="_Toc78296750"/>
      <w:bookmarkStart w:id="231" w:name="_Toc78381478"/>
      <w:bookmarkStart w:id="232" w:name="_Toc40077798"/>
      <w:r>
        <w:rPr>
          <w:rFonts w:ascii="Times New Roman" w:hAnsi="Times New Roman" w:eastAsia="黑体" w:cs="Times New Roman"/>
          <w:sz w:val="32"/>
          <w:szCs w:val="32"/>
        </w:rPr>
        <w:t xml:space="preserve">6.2 </w:t>
      </w:r>
      <w:r>
        <w:rPr>
          <w:rFonts w:hint="eastAsia" w:ascii="Times New Roman" w:hAnsi="Times New Roman" w:eastAsia="黑体"/>
          <w:sz w:val="32"/>
          <w:szCs w:val="32"/>
        </w:rPr>
        <w:t>法制保障</w:t>
      </w:r>
      <w:bookmarkEnd w:id="230"/>
      <w:bookmarkEnd w:id="231"/>
      <w:bookmarkEnd w:id="232"/>
    </w:p>
    <w:p>
      <w:pPr>
        <w:pStyle w:val="93"/>
        <w:spacing w:line="560" w:lineRule="exact"/>
        <w:ind w:firstLine="640"/>
        <w:rPr>
          <w:rFonts w:ascii="Times New Roman"/>
          <w:sz w:val="32"/>
          <w:szCs w:val="32"/>
        </w:rPr>
      </w:pPr>
      <w:bookmarkStart w:id="233" w:name="_Toc40077799"/>
      <w:r>
        <w:rPr>
          <w:rFonts w:hint="eastAsia"/>
          <w:sz w:val="32"/>
          <w:szCs w:val="32"/>
        </w:rPr>
        <w:t>贯彻相关文件，依法高效管理。认真落实《国家林业和草原局关于〈林业草原发展</w:t>
      </w:r>
      <w:r>
        <w:rPr>
          <w:sz w:val="32"/>
          <w:szCs w:val="32"/>
        </w:rPr>
        <w:t>“</w:t>
      </w:r>
      <w:r>
        <w:rPr>
          <w:rFonts w:hint="eastAsia"/>
          <w:sz w:val="32"/>
          <w:szCs w:val="32"/>
        </w:rPr>
        <w:t>十四五</w:t>
      </w:r>
      <w:r>
        <w:rPr>
          <w:sz w:val="32"/>
          <w:szCs w:val="32"/>
        </w:rPr>
        <w:t>”</w:t>
      </w:r>
      <w:r>
        <w:rPr>
          <w:rFonts w:hint="eastAsia"/>
          <w:sz w:val="32"/>
          <w:szCs w:val="32"/>
        </w:rPr>
        <w:t>规划基本思路〉的通知》《中共中央办公厅</w:t>
      </w:r>
      <w:r>
        <w:rPr>
          <w:sz w:val="32"/>
          <w:szCs w:val="32"/>
        </w:rPr>
        <w:t xml:space="preserve"> </w:t>
      </w:r>
      <w:r>
        <w:rPr>
          <w:rFonts w:hint="eastAsia"/>
          <w:sz w:val="32"/>
          <w:szCs w:val="32"/>
        </w:rPr>
        <w:t>国务院办公厅关于印发〈天然林保护修复制度方案〉的通知》《湖南省林业局关于印发〈湖南省林业草原发展</w:t>
      </w:r>
      <w:r>
        <w:rPr>
          <w:sz w:val="32"/>
          <w:szCs w:val="32"/>
        </w:rPr>
        <w:t>“</w:t>
      </w:r>
      <w:r>
        <w:rPr>
          <w:rFonts w:hint="eastAsia"/>
          <w:sz w:val="32"/>
          <w:szCs w:val="32"/>
        </w:rPr>
        <w:t>十四五</w:t>
      </w:r>
      <w:r>
        <w:rPr>
          <w:sz w:val="32"/>
          <w:szCs w:val="32"/>
        </w:rPr>
        <w:t>”</w:t>
      </w:r>
      <w:r>
        <w:rPr>
          <w:rFonts w:hint="eastAsia"/>
          <w:sz w:val="32"/>
          <w:szCs w:val="32"/>
        </w:rPr>
        <w:t>规划编制工作方案〉的通知》《湖南省林业局关于统一规划体系更好发挥林业规划引领导向作用的通知》等通知和文件精神，贯彻实施《中华人民共和国森林法》《中华人民共和国野生动物保护法》《中华人民共和国长江保护法》等相关法律法规。规划中的项目建设实行依法、高效管理。</w:t>
      </w:r>
    </w:p>
    <w:p>
      <w:pPr>
        <w:pStyle w:val="93"/>
        <w:spacing w:line="560" w:lineRule="exact"/>
        <w:ind w:firstLine="640"/>
        <w:rPr>
          <w:sz w:val="32"/>
          <w:szCs w:val="32"/>
        </w:rPr>
      </w:pPr>
      <w:r>
        <w:rPr>
          <w:rFonts w:hint="eastAsia"/>
          <w:sz w:val="32"/>
          <w:szCs w:val="32"/>
        </w:rPr>
        <w:t>规范行政执法，加强资源保护。严格落实权责清单动态管理制度，规范林业行政许可、行政处罚、行政强制、行政检查等具体行政行为，聚焦行政执法源头、过程和结果</w:t>
      </w:r>
      <w:r>
        <w:rPr>
          <w:sz w:val="32"/>
          <w:szCs w:val="32"/>
        </w:rPr>
        <w:t>3</w:t>
      </w:r>
      <w:r>
        <w:rPr>
          <w:rFonts w:hint="eastAsia"/>
          <w:sz w:val="32"/>
          <w:szCs w:val="32"/>
        </w:rPr>
        <w:t>个关键环节，不断强化责任、完善制度、创新机制、强化技术支撑，全面推动行政执法</w:t>
      </w:r>
      <w:r>
        <w:rPr>
          <w:sz w:val="32"/>
          <w:szCs w:val="32"/>
        </w:rPr>
        <w:t>“</w:t>
      </w:r>
      <w:r>
        <w:rPr>
          <w:rFonts w:hint="eastAsia"/>
          <w:sz w:val="32"/>
          <w:szCs w:val="32"/>
        </w:rPr>
        <w:t>三项制度</w:t>
      </w:r>
      <w:r>
        <w:rPr>
          <w:sz w:val="32"/>
          <w:szCs w:val="32"/>
        </w:rPr>
        <w:t>”</w:t>
      </w:r>
      <w:r>
        <w:rPr>
          <w:rFonts w:hint="eastAsia"/>
          <w:sz w:val="32"/>
          <w:szCs w:val="32"/>
        </w:rPr>
        <w:t>落地实施，促进严格规范公正文明执法，保障和监督职责有效履行，维护人民群众合法权益。做到法有规定必须为。加强对森林草原火灾火源的监测管理、林木采伐管理、征收占用林地管理，强化有害生物检疫与防治，加强自然保护地等重要区域资源的管理，打击破坏林草资源、野生动植物和非法占用林地、湿地、草地的违法犯罪行为。</w:t>
      </w:r>
    </w:p>
    <w:p>
      <w:pPr>
        <w:pStyle w:val="93"/>
        <w:spacing w:line="560" w:lineRule="exact"/>
        <w:ind w:firstLine="640"/>
        <w:rPr>
          <w:sz w:val="32"/>
          <w:szCs w:val="32"/>
        </w:rPr>
      </w:pPr>
      <w:r>
        <w:rPr>
          <w:rFonts w:hint="eastAsia"/>
          <w:sz w:val="32"/>
          <w:szCs w:val="32"/>
        </w:rPr>
        <w:t>完善体制机制，统筹谋划林业立法。推动林草领域科学、民主、依法立法。结合贯彻实施《中华人民共和国森林法》，完善相关配套制度；着力推动法规规章的制修订工作；开展规范性文件定期清理。在国家立法空白的领域，积极推动国家公园、自然保护地等方面的地方立法，为国家立法积累经验、提供借鉴。</w:t>
      </w:r>
    </w:p>
    <w:p>
      <w:pPr>
        <w:pStyle w:val="4"/>
        <w:ind w:firstLine="640" w:firstLineChars="200"/>
        <w:rPr>
          <w:rFonts w:ascii="Times New Roman" w:hAnsi="Times New Roman" w:eastAsia="黑体" w:cs="Times New Roman"/>
          <w:sz w:val="32"/>
          <w:szCs w:val="32"/>
        </w:rPr>
      </w:pPr>
      <w:bookmarkStart w:id="234" w:name="_Toc78296751"/>
      <w:bookmarkStart w:id="235" w:name="_Toc78381479"/>
      <w:r>
        <w:rPr>
          <w:rFonts w:ascii="Times New Roman" w:hAnsi="Times New Roman" w:eastAsia="黑体" w:cs="Times New Roman"/>
          <w:sz w:val="32"/>
          <w:szCs w:val="32"/>
        </w:rPr>
        <w:t xml:space="preserve">6.3 </w:t>
      </w:r>
      <w:r>
        <w:rPr>
          <w:rFonts w:hint="eastAsia" w:ascii="Times New Roman" w:hAnsi="Times New Roman" w:eastAsia="黑体"/>
          <w:sz w:val="32"/>
          <w:szCs w:val="32"/>
        </w:rPr>
        <w:t>政策保障</w:t>
      </w:r>
      <w:bookmarkEnd w:id="233"/>
      <w:bookmarkEnd w:id="234"/>
      <w:bookmarkEnd w:id="235"/>
      <w:r>
        <w:rPr>
          <w:rFonts w:ascii="Times New Roman" w:hAnsi="Times New Roman" w:eastAsia="黑体" w:cs="Times New Roman"/>
          <w:sz w:val="32"/>
          <w:szCs w:val="32"/>
        </w:rPr>
        <w:tab/>
      </w:r>
    </w:p>
    <w:p>
      <w:pPr>
        <w:pStyle w:val="93"/>
        <w:spacing w:line="560" w:lineRule="exact"/>
        <w:ind w:firstLine="640"/>
        <w:rPr>
          <w:rFonts w:ascii="Times New Roman"/>
          <w:sz w:val="32"/>
          <w:szCs w:val="32"/>
        </w:rPr>
      </w:pPr>
      <w:r>
        <w:rPr>
          <w:rFonts w:hint="eastAsia"/>
          <w:sz w:val="32"/>
          <w:szCs w:val="32"/>
        </w:rPr>
        <w:t>全面推行林长制，进一步加强生态资源保护，推进生态资源合理利用，健全森林、湿地等生态资源保护的长效机制。完善生态补偿制度，多渠道筹集生态补偿资金，实行区域补偿、流域补偿和要素补偿相结合，以点带面，循序渐进，加强覆盖全省的生态效益补偿制度建设。进一步健全完善国土绿化制度、林草种质资源保护制度、森林资源保护制度、国有林管理制度、草原保护修复制度、湿地保护修复制度、石漠化综合治理制度、自然保护地保护管理制度、国家公园保护制度、资源利用监管制度、林草法治保障制度、林草支持政策制度、科技和人才支撑制度等。通过完善制度体系，提升治理效能，增强自然生态系统功能，促进多种效益充分发挥，为林草发展提供政策保障。</w:t>
      </w:r>
    </w:p>
    <w:p>
      <w:pPr>
        <w:pStyle w:val="4"/>
        <w:ind w:firstLine="640" w:firstLineChars="200"/>
        <w:rPr>
          <w:rFonts w:ascii="Times New Roman" w:hAnsi="Times New Roman" w:eastAsia="黑体" w:cs="Times New Roman"/>
          <w:sz w:val="32"/>
          <w:szCs w:val="32"/>
        </w:rPr>
      </w:pPr>
      <w:bookmarkStart w:id="236" w:name="_Toc78381480"/>
      <w:bookmarkStart w:id="237" w:name="_Toc40077800"/>
      <w:bookmarkStart w:id="238" w:name="_Toc78296752"/>
      <w:r>
        <w:rPr>
          <w:rFonts w:ascii="Times New Roman" w:hAnsi="Times New Roman" w:eastAsia="黑体" w:cs="Times New Roman"/>
          <w:sz w:val="32"/>
          <w:szCs w:val="32"/>
        </w:rPr>
        <w:t xml:space="preserve">6.4 </w:t>
      </w:r>
      <w:r>
        <w:rPr>
          <w:rFonts w:hint="eastAsia" w:ascii="Times New Roman" w:hAnsi="Times New Roman" w:eastAsia="黑体"/>
          <w:sz w:val="32"/>
          <w:szCs w:val="32"/>
        </w:rPr>
        <w:t>资金保障</w:t>
      </w:r>
      <w:bookmarkEnd w:id="236"/>
      <w:bookmarkEnd w:id="237"/>
      <w:bookmarkEnd w:id="238"/>
    </w:p>
    <w:p>
      <w:pPr>
        <w:pStyle w:val="93"/>
        <w:spacing w:line="560" w:lineRule="exact"/>
        <w:ind w:firstLine="640"/>
        <w:rPr>
          <w:rFonts w:ascii="Times New Roman"/>
          <w:sz w:val="32"/>
        </w:rPr>
      </w:pPr>
      <w:r>
        <w:rPr>
          <w:rFonts w:hint="eastAsia"/>
          <w:sz w:val="32"/>
        </w:rPr>
        <w:t>建立健全林业部门与财政之间的资金统筹协商机制，积极推进林业资金统筹使用。突出支持重点，统筹各级资金，重点向以国家公园为主体的自然保护地体系建设、生态保护与修复、林业产业发展、城乡绿化美化、长株潭森林城市群建设、生态廊道建设、林业科技创新等</w:t>
      </w:r>
      <w:r>
        <w:rPr>
          <w:sz w:val="32"/>
        </w:rPr>
        <w:t>“</w:t>
      </w:r>
      <w:r>
        <w:rPr>
          <w:rFonts w:hint="eastAsia"/>
          <w:sz w:val="32"/>
        </w:rPr>
        <w:t>十四五</w:t>
      </w:r>
      <w:r>
        <w:rPr>
          <w:sz w:val="32"/>
        </w:rPr>
        <w:t>”</w:t>
      </w:r>
      <w:r>
        <w:rPr>
          <w:rFonts w:hint="eastAsia"/>
          <w:sz w:val="32"/>
        </w:rPr>
        <w:t>期间重大工程项目倾斜。建立多元化投入机制，鼓励和引导社会资金进入林业产业，为林业发展提供有效的资金支持。完善各项林业补贴制度，制定合理补贴标准，建立稳定的补贴资金来源渠道。</w:t>
      </w:r>
    </w:p>
    <w:p>
      <w:pPr>
        <w:pStyle w:val="4"/>
        <w:ind w:firstLine="640" w:firstLineChars="200"/>
        <w:rPr>
          <w:rFonts w:ascii="Times New Roman" w:hAnsi="Times New Roman" w:eastAsia="黑体" w:cs="Times New Roman"/>
          <w:sz w:val="32"/>
          <w:szCs w:val="32"/>
        </w:rPr>
      </w:pPr>
      <w:bookmarkStart w:id="239" w:name="_Toc40077801"/>
      <w:bookmarkStart w:id="240" w:name="_Toc78381481"/>
      <w:bookmarkStart w:id="241" w:name="_Toc78296753"/>
      <w:r>
        <w:rPr>
          <w:rFonts w:ascii="Times New Roman" w:hAnsi="Times New Roman" w:eastAsia="黑体" w:cs="Times New Roman"/>
          <w:sz w:val="32"/>
          <w:szCs w:val="32"/>
        </w:rPr>
        <w:t xml:space="preserve">6.5 </w:t>
      </w:r>
      <w:r>
        <w:rPr>
          <w:rFonts w:hint="eastAsia" w:ascii="Times New Roman" w:hAnsi="Times New Roman" w:eastAsia="黑体"/>
          <w:sz w:val="32"/>
          <w:szCs w:val="32"/>
        </w:rPr>
        <w:t>技术保障</w:t>
      </w:r>
      <w:bookmarkEnd w:id="239"/>
      <w:bookmarkEnd w:id="240"/>
      <w:bookmarkEnd w:id="241"/>
      <w:r>
        <w:rPr>
          <w:rFonts w:ascii="Times New Roman" w:hAnsi="Times New Roman" w:eastAsia="黑体" w:cs="Times New Roman"/>
          <w:sz w:val="32"/>
          <w:szCs w:val="32"/>
        </w:rPr>
        <w:tab/>
      </w:r>
    </w:p>
    <w:p>
      <w:pPr>
        <w:pStyle w:val="93"/>
        <w:spacing w:line="560" w:lineRule="exact"/>
        <w:ind w:firstLine="640"/>
        <w:rPr>
          <w:rFonts w:ascii="Times New Roman"/>
          <w:sz w:val="32"/>
        </w:rPr>
      </w:pPr>
      <w:r>
        <w:rPr>
          <w:rFonts w:hint="eastAsia"/>
          <w:sz w:val="32"/>
        </w:rPr>
        <w:t>创新林业体制机制，赋能林草行业高质量发展。优化和完善林业科技管理、成果转化、激励分配、创新评价机制；优化创新力量布局，加强重点实验室、生态定位观测研究站等国家级平台建设；强化协同创新机制，建设国家创新联盟，建立科研院所、高校、涉林企业高效协同的研发组织体系，加强科技合作交流；培育企业技术创新主体，健全技术创新的市场导向机制和政府引导机制；统筹整合相关专项资金，加大对研发经费支持，创新科技投融资机制。</w:t>
      </w:r>
    </w:p>
    <w:p>
      <w:pPr>
        <w:pStyle w:val="93"/>
        <w:spacing w:line="560" w:lineRule="exact"/>
        <w:ind w:firstLine="640"/>
        <w:rPr>
          <w:sz w:val="32"/>
        </w:rPr>
      </w:pPr>
      <w:r>
        <w:rPr>
          <w:rFonts w:hint="eastAsia"/>
          <w:sz w:val="32"/>
        </w:rPr>
        <w:t>攻克林业发展关键技术，强化科技创新支撑能力。提升自主创新能力，重点加强林草种业、生态保护与修复、林草产业、林草装备与信息化方面的关键技术。在自然保护地管理、生物多样性保护、退化生境修复、森林质量精准提升等领域取得重大突破；突破林木种质资源保护和优质种苗保育、油茶全产业链提质增效、竹木资源高值化利用等关键技术，支撑优势林业特色产业发展；加强林业智能装备研发与应用、重大森林灾害监测预警与智慧防控技术、林业生态大数据和林业遥感技术、北斗导航系统应用、无人机应用，推进林业现代化进程。</w:t>
      </w:r>
    </w:p>
    <w:p>
      <w:pPr>
        <w:pStyle w:val="93"/>
        <w:spacing w:line="560" w:lineRule="exact"/>
        <w:ind w:firstLine="640"/>
        <w:rPr>
          <w:sz w:val="32"/>
        </w:rPr>
      </w:pPr>
      <w:r>
        <w:rPr>
          <w:rFonts w:hint="eastAsia"/>
          <w:sz w:val="32"/>
        </w:rPr>
        <w:t>加快推进成果转化推广，筑牢林业产业发展基础。构建科研成果信息及交易平台，创新成果转化推广服务模式，建立长期科技示范基地，带动区域特色产业培育和发展，促进生态惠民；实施标准化战略，制定修订林草标准，建设标准化示范区；健全林产品质量安全追溯体系，培育林业特色品牌，提升林产品质量；加速推进林业治理体系和治理能力的信息化、现代化进程，建立健全林业科技推广和服务体系。</w:t>
      </w:r>
    </w:p>
    <w:p>
      <w:pPr>
        <w:pStyle w:val="93"/>
        <w:spacing w:line="560" w:lineRule="exact"/>
        <w:ind w:firstLine="640"/>
        <w:rPr>
          <w:sz w:val="32"/>
        </w:rPr>
      </w:pPr>
      <w:r>
        <w:rPr>
          <w:rFonts w:hint="eastAsia"/>
          <w:sz w:val="32"/>
        </w:rPr>
        <w:t>全面加强创新能力建设，激活林草科技创新活力。加强科技教育普及，服务林草行业发展；加快创新型人才队伍建设，设立青年科技人才培养专项基金；加强知识产权保护制度建设，强化激励机制；优化营商环境，支撑创新创业；加大推进</w:t>
      </w:r>
      <w:r>
        <w:rPr>
          <w:sz w:val="32"/>
        </w:rPr>
        <w:t>“</w:t>
      </w:r>
      <w:r>
        <w:rPr>
          <w:rFonts w:hint="eastAsia"/>
          <w:sz w:val="32"/>
        </w:rPr>
        <w:t>互联网</w:t>
      </w:r>
      <w:r>
        <w:rPr>
          <w:sz w:val="32"/>
        </w:rPr>
        <w:t>+”</w:t>
      </w:r>
      <w:r>
        <w:rPr>
          <w:rFonts w:hint="eastAsia"/>
          <w:sz w:val="32"/>
        </w:rPr>
        <w:t>，打造数字经济新优势；建设面向中小微企业的公共科技服务平台，促进科技成果工程化和市场化开发，提高企业自主创新能力。</w:t>
      </w:r>
    </w:p>
    <w:p>
      <w:pPr>
        <w:wordWrap w:val="0"/>
        <w:spacing w:line="600" w:lineRule="exact"/>
        <w:jc w:val="right"/>
        <w:rPr>
          <w:rFonts w:eastAsia="方正仿宋_GBK"/>
          <w:sz w:val="32"/>
          <w:szCs w:val="32"/>
        </w:rPr>
      </w:pPr>
    </w:p>
    <w:p>
      <w:pPr>
        <w:spacing w:line="600" w:lineRule="exact"/>
        <w:jc w:val="right"/>
        <w:rPr>
          <w:rFonts w:eastAsia="方正仿宋_GBK"/>
          <w:sz w:val="32"/>
          <w:szCs w:val="32"/>
        </w:rPr>
      </w:pPr>
    </w:p>
    <w:p>
      <w:pPr>
        <w:spacing w:line="600" w:lineRule="exact"/>
        <w:jc w:val="right"/>
        <w:rPr>
          <w:rFonts w:eastAsia="方正仿宋_GBK"/>
          <w:sz w:val="32"/>
          <w:szCs w:val="32"/>
        </w:rPr>
      </w:pPr>
    </w:p>
    <w:p>
      <w:pPr>
        <w:spacing w:line="600" w:lineRule="exact"/>
        <w:jc w:val="left"/>
        <w:rPr>
          <w:rFonts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jc w:val="left"/>
        <w:rPr>
          <w:rFonts w:ascii="方正仿宋_GBK" w:eastAsia="方正仿宋_GBK"/>
          <w:sz w:val="32"/>
          <w:szCs w:val="32"/>
        </w:rPr>
      </w:pPr>
    </w:p>
    <w:p>
      <w:pPr>
        <w:widowControl/>
        <w:spacing w:line="560" w:lineRule="exact"/>
        <w:ind w:firstLine="280" w:firstLineChars="100"/>
        <w:jc w:val="left"/>
        <w:rPr>
          <w:rFonts w:eastAsia="方正仿宋_GBK"/>
          <w:sz w:val="28"/>
          <w:szCs w:val="28"/>
        </w:rPr>
      </w:pPr>
      <w:r>
        <w:rPr>
          <w:rFonts w:eastAsia="方正仿宋_GBK"/>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48260</wp:posOffset>
                </wp:positionV>
                <wp:extent cx="5594985" cy="0"/>
                <wp:effectExtent l="8255" t="12065" r="6985" b="698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594985" cy="0"/>
                        </a:xfrm>
                        <a:prstGeom prst="line">
                          <a:avLst/>
                        </a:prstGeom>
                        <a:noFill/>
                        <a:ln w="12700" cmpd="sng">
                          <a:solidFill>
                            <a:srgbClr val="000000"/>
                          </a:solidFill>
                          <a:round/>
                        </a:ln>
                      </wps:spPr>
                      <wps:bodyPr/>
                    </wps:wsp>
                  </a:graphicData>
                </a:graphic>
              </wp:anchor>
            </w:drawing>
          </mc:Choice>
          <mc:Fallback>
            <w:pict>
              <v:line id="_x0000_s1026" o:spid="_x0000_s1026" o:spt="20" style="position:absolute;left:0pt;margin-left:0pt;margin-top:3.8pt;height:0pt;width:440.55pt;z-index:251659264;mso-width-relative:page;mso-height-relative:page;" filled="f" stroked="t" coordsize="21600,21600" o:gfxdata="UEsDBAoAAAAAAIdO4kAAAAAAAAAAAAAAAAAEAAAAZHJzL1BLAwQUAAAACACHTuJA6BpsCNMAAAAE&#10;AQAADwAAAGRycy9kb3ducmV2LnhtbE2PzW7CMBCE75X6DtZW6q044QBWGodDK4RAvQCVel3ibRyI&#10;1yE2P337Gi7tcTSjmW/K2dV14kxDaD1ryEcZCOLam5YbDZ/b+YsCESKywc4zafihALPq8aHEwvgL&#10;r+m8iY1IJRwK1GBj7AspQ23JYRj5njh5335wGJMcGmkGvKRy18lxlk2kw5bTgsWe3izVh83JacD3&#10;xTp+qfFq2i7tx347Py6sOmr9/JRnryAiXeNfGG74CR2qxLTzJzZBdBrSkahhOgGRTKXyHMTurmVV&#10;yv/w1S9QSwMEFAAAAAgAh07iQCj9GWDRAQAAagMAAA4AAABkcnMvZTJvRG9jLnhtbK1TzW4TMRC+&#10;I/EOlu9kNxGBdpVND6nKpUCklgdwvN5dC9tjeZxs8hK8ABI3OHHk3rehPAZj56ct3BB7GK09M5+/&#10;7xt7drG1hm1UQA2u5uNRyZlyEhrtupp/uL16ccYZRuEaYcCpmu8U8ov582ezwVdqAj2YRgVGIA6r&#10;wde8j9FXRYGyV1bgCLxylGwhWBFpGbqiCWIgdGuKSVm+KgYIjQ8gFSLtXu6TfJ7x21bJ+L5tUUVm&#10;ak7cYo4hx1WKxXwmqi4I32t5oCH+gYUV2tGhJ6hLEQVbB/0XlNUyAEIbRxJsAW2rpcoaSM24/EPN&#10;TS+8ylrIHPQnm/D/wcp3m2VguqHZkT1OWJrR/ecfPz99/XX3heL992+MMmTT4LGi6oVbhiRUbt2N&#10;vwb5EZmDRS9cpzLd250niHHqKJ60pAV6Omw1vIWGasQ6QvZs2wabIMkNts2j2Z1Go7aRSdqcTs9f&#10;np9NOZPHXCGqY6MPGN8osCz91Nxol1wTldhcY0xERHUsSdsOrrQxefLGsYHYTl6XpF5aTz6g63Iz&#10;gtFNKkwtGLrVwgS2Eeke5S8rpMzjsgBr1+wPNO5gQNK8d28FzW4ZjsbQQDOzw+VLN+bxOnc/PJH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gabAjTAAAABAEAAA8AAAAAAAAAAQAgAAAAIgAAAGRy&#10;cy9kb3ducmV2LnhtbFBLAQIUABQAAAAIAIdO4kAo/Rlg0QEAAGoDAAAOAAAAAAAAAAEAIAAAACIB&#10;AABkcnMvZTJvRG9jLnhtbFBLBQYAAAAABgAGAFkBAABlBQAAAAA=&#10;">
                <v:fill on="f" focussize="0,0"/>
                <v:stroke weight="1pt" color="#000000" joinstyle="round"/>
                <v:imagedata o:title=""/>
                <o:lock v:ext="edit" aspectratio="f"/>
              </v:line>
            </w:pict>
          </mc:Fallback>
        </mc:AlternateContent>
      </w:r>
      <w:r>
        <w:rPr>
          <w:rFonts w:eastAsia="方正仿宋_GBK"/>
          <w:sz w:val="28"/>
          <w:szCs w:val="28"/>
        </w:rPr>
        <w:t>抄送：</w:t>
      </w:r>
      <w:r>
        <w:rPr>
          <w:rFonts w:hint="eastAsia" w:eastAsia="方正仿宋_GBK"/>
          <w:sz w:val="28"/>
          <w:szCs w:val="28"/>
        </w:rPr>
        <w:t>省发展改革委。</w:t>
      </w:r>
    </w:p>
    <w:p>
      <w:pPr>
        <w:widowControl/>
        <w:spacing w:line="560" w:lineRule="exact"/>
        <w:ind w:firstLine="280" w:firstLineChars="100"/>
        <w:jc w:val="left"/>
        <w:rPr>
          <w:rFonts w:eastAsia="方正仿宋_GBK"/>
          <w:sz w:val="28"/>
          <w:szCs w:val="28"/>
        </w:rPr>
      </w:pPr>
      <w:r>
        <w:rPr>
          <w:rFonts w:eastAsia="方正仿宋_GBK"/>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-5080</wp:posOffset>
                </wp:positionV>
                <wp:extent cx="5594985" cy="0"/>
                <wp:effectExtent l="8255" t="9525" r="6985" b="952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594985" cy="0"/>
                        </a:xfrm>
                        <a:prstGeom prst="line">
                          <a:avLst/>
                        </a:prstGeom>
                        <a:noFill/>
                        <a:ln w="12700" cmpd="sng">
                          <a:solidFill>
                            <a:srgbClr val="000000"/>
                          </a:solidFill>
                          <a:round/>
                        </a:ln>
                      </wps:spPr>
                      <wps:bodyPr/>
                    </wps:wsp>
                  </a:graphicData>
                </a:graphic>
              </wp:anchor>
            </w:drawing>
          </mc:Choice>
          <mc:Fallback>
            <w:pict>
              <v:line id="_x0000_s1026" o:spid="_x0000_s1026" o:spt="20" style="position:absolute;left:0pt;margin-left:0pt;margin-top:-0.4pt;height:0pt;width:440.55pt;z-index:251660288;mso-width-relative:page;mso-height-relative:page;" filled="f" stroked="t" coordsize="21600,21600" o:gfxdata="UEsDBAoAAAAAAIdO4kAAAAAAAAAAAAAAAAAEAAAAZHJzL1BLAwQUAAAACACHTuJACqAhTdIAAAAE&#10;AQAADwAAAGRycy9kb3ducmV2LnhtbE2PS0/DMBCE70j9D9YicaNOegArjdNDUVUVcelD6nUbL3Fo&#10;vE5j98G/x+UCx9GMZr4pZzfXiQsNofWsIR9nIIhrb1puNOy2i2cFIkRkg51n0vBNAWbV6KHEwvgr&#10;r+myiY1IJRwK1GBj7AspQ23JYRj7njh5n35wGJMcGmkGvKZy18lJlr1Ihy2nBYs9zS3Vx83ZacC3&#10;5Tru1eT9tV3Zj6/t4rS06qT102OeTUFEusW/MNzxEzpUiengz2yC6DSkI1HDHT+ZSuU5iMOvllUp&#10;/8NXP1BLAwQUAAAACACHTuJAFEeVCtEBAABoAwAADgAAAGRycy9lMm9Eb2MueG1srVNLjhMxEN0j&#10;cQfLe9KdiMCklc4sMho2A0Sa4QCO291tYbssl5NOLsEFkNjBiiX7uQ3DMSg7HwbYIbIoxa6q5/de&#10;Vc8vd9awrQqowdV8PCo5U05Co11X83d3188uOMMoXCMMOFXzvUJ+uXj6ZD74Sk2gB9OowAjEYTX4&#10;mvcx+qooUPbKChyBV46SLQQrIh1DVzRBDIRuTTEpyxfFAKHxAaRCpNurQ5IvMn7bKhnfti2qyEzN&#10;iVvMMeS4TrFYzEXVBeF7LY80xD+wsEI7evQMdSWiYJug/4KyWgZAaONIgi2gbbVUWQOpGZd/qLnt&#10;hVdZC5mD/mwT/j9Y+Wa7Ckw3NZ9x5oSlET18/Pb9w+cf958oPnz9wmbJpMFjRbVLtwpJpty5W38D&#10;8j0yB8teuE5lsnd7Twjj1FH81pIO6Omp9fAaGqoRmwjZsV0bbIIkL9guD2Z/HozaRSbpcjqdPZ9d&#10;TDmTp1whqlOjDxhfKbAs/am50S55JiqxvcGYiIjqVJKuHVxrY/LcjWMDsZ28LGk1pPXkArouNyMY&#10;3aTC1IKhWy9NYFuRtij/skLKPC4LsHHN4UHjjgYkzQf31tDsV+FkDI0zMzuuXtqXx+fc/esD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qAhTdIAAAAEAQAADwAAAAAAAAABACAAAAAiAAAAZHJz&#10;L2Rvd25yZXYueG1sUEsBAhQAFAAAAAgAh07iQBRHlQrRAQAAaAMAAA4AAAAAAAAAAQAgAAAAIQEA&#10;AGRycy9lMm9Eb2MueG1sUEsFBgAAAAAGAAYAWQEAAGQFAAAAAA==&#10;">
                <v:fill on="f" focussize="0,0"/>
                <v:stroke weight="1pt" color="#000000" joinstyle="round"/>
                <v:imagedata o:title=""/>
                <o:lock v:ext="edit" aspectratio="f"/>
              </v:line>
            </w:pict>
          </mc:Fallback>
        </mc:AlternateContent>
      </w:r>
      <w:r>
        <w:rPr>
          <w:rFonts w:eastAsia="方正仿宋_GBK"/>
          <w:sz w:val="28"/>
          <w:szCs w:val="28"/>
        </w:rPr>
        <w:t>湖南省林业</w:t>
      </w:r>
      <w:r>
        <w:rPr>
          <w:rFonts w:hint="eastAsia" w:eastAsia="方正仿宋_GBK"/>
          <w:sz w:val="28"/>
          <w:szCs w:val="28"/>
        </w:rPr>
        <w:t>局办公室</w:t>
      </w:r>
      <w:r>
        <w:rPr>
          <w:rFonts w:eastAsia="方正仿宋_GBK"/>
          <w:sz w:val="28"/>
          <w:szCs w:val="28"/>
        </w:rPr>
        <w:t xml:space="preserve">                    202</w:t>
      </w:r>
      <w:r>
        <w:rPr>
          <w:rFonts w:hint="eastAsia" w:eastAsia="方正仿宋_GBK"/>
          <w:sz w:val="28"/>
          <w:szCs w:val="28"/>
        </w:rPr>
        <w:t>1</w:t>
      </w:r>
      <w:r>
        <w:rPr>
          <w:rFonts w:eastAsia="方正仿宋_GBK"/>
          <w:sz w:val="28"/>
          <w:szCs w:val="28"/>
        </w:rPr>
        <w:t xml:space="preserve">年7月30日印发 </w:t>
      </w:r>
    </w:p>
    <w:p>
      <w:pPr>
        <w:rPr>
          <w:rFonts w:eastAsia="仿宋_GB2312"/>
        </w:rPr>
      </w:pPr>
      <w:r>
        <w:rPr>
          <w:rFonts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5594985" cy="0"/>
                <wp:effectExtent l="8255" t="11430" r="6985" b="762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594985" cy="0"/>
                        </a:xfrm>
                        <a:prstGeom prst="line">
                          <a:avLst/>
                        </a:prstGeom>
                        <a:noFill/>
                        <a:ln w="12700" cmpd="sng">
                          <a:solidFill>
                            <a:srgbClr val="000000"/>
                          </a:solidFill>
                          <a:round/>
                        </a:ln>
                      </wps:spPr>
                      <wps:bodyPr/>
                    </wps:wsp>
                  </a:graphicData>
                </a:graphic>
              </wp:anchor>
            </w:drawing>
          </mc:Choice>
          <mc:Fallback>
            <w:pict>
              <v:line id="_x0000_s1026" o:spid="_x0000_s1026" o:spt="20" style="position:absolute;left:0pt;margin-left:0pt;margin-top:0.25pt;height:0pt;width:440.55pt;z-index:251661312;mso-width-relative:page;mso-height-relative:page;" filled="f" stroked="t" coordsize="21600,21600" o:gfxdata="UEsDBAoAAAAAAIdO4kAAAAAAAAAAAAAAAAAEAAAAZHJzL1BLAwQUAAAACACHTuJARHDTINIAAAAC&#10;AQAADwAAAGRycy9kb3ducmV2LnhtbE2PzW7CMBCE75V4B2sr9VacILVYaRwORQi16gWo1OsSb+NA&#10;vA6x+enb15zgOJrRzDfl7OI6caIhtJ415OMMBHHtTcuNhu/N4lmBCBHZYOeZNPxRgFk1eiixMP7M&#10;KzqtYyNSCYcCNdgY+0LKUFtyGMa+J07erx8cxiSHRpoBz6ncdXKSZa/SYctpwWJP75bq/froNOB8&#10;uYo/avI5bT/s126zOCytOmj99JhnbyAiXeItDFf8hA5VYtr6I5sgOg3pSNTwAiJ5SuU5iO1VyqqU&#10;9+jVP1BLAwQUAAAACACHTuJAsvZGi9EBAABoAwAADgAAAGRycy9lMm9Eb2MueG1srVNLjhMxEN0j&#10;cQfLe9KdiECmlc4sMho2A0Sa4QCO291tYbssl5NOLsEFkNjBiiX7uQ3DMSg7HwbYIbIoxa6q5/de&#10;Vc8vd9awrQqowdV8PCo5U05Co11X83d3189mnGEUrhEGnKr5XiG/XDx9Mh98pSbQg2lUYATisBp8&#10;zfsYfVUUKHtlBY7AK0fJFoIVkY6hK5ogBkK3ppiU5YtigND4AFIh0u3VIckXGb9tlYxv2xZVZKbm&#10;xC3mGHJcp1gs5qLqgvC9lkca4h9YWKEdPXqGuhJRsE3Qf0FZLQMgtHEkwRbQtlqqrIHUjMs/1Nz2&#10;wqushcxBf7YJ/x+sfLNdBaabmtOgnLA0ooeP375/+Pzj/hPFh69f2CyZNHisqHbpViHJlDt3629A&#10;vkfmYNkL16lM9m7vCWGcOorfWtIBPT21Hl5DQzViEyE7tmuDTZDkBdvlwezPg1G7yCRdTqcXzy9m&#10;U87kKVeI6tToA8ZXCixLf2putEueiUpsbzAmIqI6laRrB9famDx349hAbCcvS1oNaT25gK7LzQhG&#10;N6kwtWDo1ksT2FakLcq/rJAyj8sCbFxzeNC4owFJ88G9NTT7VTgZQ+PMzI6rl/bl8Tl3//pA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HDTINIAAAACAQAADwAAAAAAAAABACAAAAAiAAAAZHJz&#10;L2Rvd25yZXYueG1sUEsBAhQAFAAAAAgAh07iQLL2RovRAQAAaAMAAA4AAAAAAAAAAQAgAAAAIQEA&#10;AGRycy9lMm9Eb2MueG1sUEsFBgAAAAAGAAYAWQEAAGQFAAAAAA==&#10;">
                <v:fill on="f" focussize="0,0"/>
                <v:stroke weight="1pt" color="#000000" joinstyle="round"/>
                <v:imagedata o:title=""/>
                <o:lock v:ext="edit" aspectratio="f"/>
              </v:line>
            </w:pict>
          </mc:Fallback>
        </mc:AlternateContent>
      </w:r>
    </w:p>
    <w:p/>
    <w:sectPr>
      <w:pgSz w:w="11905" w:h="16837"/>
      <w:pgMar w:top="2098" w:right="1531" w:bottom="1440" w:left="1588" w:header="720" w:footer="720" w:gutter="0"/>
      <w:pgNumType w:fmt="numberInDash"/>
      <w:cols w:space="720" w:num="1"/>
      <w:docGrid w:type="lines" w:linePitch="324" w:charSpace="-23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大标宋简体">
    <w:panose1 w:val="03000509000000000000"/>
    <w:charset w:val="86"/>
    <w:family w:val="script"/>
    <w:pitch w:val="default"/>
    <w:sig w:usb0="00000001" w:usb1="080E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3810" b="254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20"/>
                            <w:rPr>
                              <w:rStyle w:val="31"/>
                              <w:rFonts w:ascii="宋体" w:hAnsi="宋体"/>
                              <w:sz w:val="28"/>
                              <w:szCs w:val="28"/>
                            </w:rPr>
                          </w:pPr>
                          <w:r>
                            <w:rPr>
                              <w:rFonts w:ascii="宋体" w:hAnsi="宋体"/>
                              <w:sz w:val="28"/>
                              <w:szCs w:val="28"/>
                            </w:rPr>
                            <w:fldChar w:fldCharType="begin"/>
                          </w:r>
                          <w:r>
                            <w:rPr>
                              <w:rStyle w:val="31"/>
                              <w:rFonts w:ascii="宋体" w:hAnsi="宋体"/>
                              <w:sz w:val="28"/>
                              <w:szCs w:val="28"/>
                            </w:rPr>
                            <w:instrText xml:space="preserve">PAGE  </w:instrText>
                          </w:r>
                          <w:r>
                            <w:rPr>
                              <w:rFonts w:ascii="宋体" w:hAnsi="宋体"/>
                              <w:sz w:val="28"/>
                              <w:szCs w:val="28"/>
                            </w:rPr>
                            <w:fldChar w:fldCharType="separate"/>
                          </w:r>
                          <w:r>
                            <w:rPr>
                              <w:rStyle w:val="31"/>
                              <w:rFonts w:ascii="宋体" w:hAnsi="宋体"/>
                              <w:sz w:val="28"/>
                              <w:szCs w:val="28"/>
                            </w:rPr>
                            <w:t>53</w:t>
                          </w:r>
                          <w:r>
                            <w:rPr>
                              <w:rFonts w:ascii="宋体" w:hAnsi="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AINr6R7wEAALYDAAAOAAAAZHJzL2Uyb0RvYy54bWytU82O0zAQviPx&#10;DpbvNGl3i1DUdLXsqghp+ZEWHsB1nMQi9lhjt0l5AHgDTlz2znP1ORg7TVnghrhYk/H4m2+++bK6&#10;GkzH9gq9Blvy+SznTFkJlbZNyT9+2Dx7wZkPwlaiA6tKflCeX62fPln1rlALaKGrFDICsb7oXcnb&#10;EFyRZV62ygg/A6csXdaARgT6xCarUPSEbrpskefPsx6wcghSeU/Z2/GSrxN+XSsZ3tW1V4F1JSdu&#10;IZ2Yzm08s/VKFA0K12p5oiH+gYUR2lLTM9StCILtUP8FZbRE8FCHmQSTQV1rqdIMNM08/2Oa+1Y4&#10;lWYhcbw7y+T/H6x8u3+PTFe0uwVnVhja0fHb1+P3H8eHL4xyJFDvfEF1944qw/ASBipOw3p3B/KT&#10;ZxZuWmEbdY0IfatERQTn8WX26OmI4yPItn8DFTUSuwAJaKjRRPVID0botKjDeTlqCExS8vJyOb9Y&#10;cibpanGRL/Nl6iCK6bFDH14pMCwGJUfafQIX+zsfIhlRTCWxl4WN7rq0/87+lqDCmEnkI9+ReRi2&#10;w0mMLVQHGgNhtBPZn4IW8DNnPVmp5Ja8zln32pIQ0XVTgFOwnQJhJT0seeBsDG/C6M6dQ920hDtJ&#10;fU1ibXQaJKo6cjixJHOk+U5Gju57/J2qfv1u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ziEn&#10;0QAAAAMBAAAPAAAAAAAAAAEAIAAAACIAAABkcnMvZG93bnJldi54bWxQSwECFAAUAAAACACHTuJA&#10;CDa+ke8BAAC2AwAADgAAAAAAAAABACAAAAAgAQAAZHJzL2Uyb0RvYy54bWxQSwUGAAAAAAYABgBZ&#10;AQAAgQUAAAAA&#10;">
              <v:fill on="f" focussize="0,0"/>
              <v:stroke on="f"/>
              <v:imagedata o:title=""/>
              <o:lock v:ext="edit" aspectratio="f"/>
              <v:textbox inset="0mm,0mm,0mm,0mm" style="mso-fit-shape-to-text:t;">
                <w:txbxContent>
                  <w:p>
                    <w:pPr>
                      <w:pStyle w:val="20"/>
                      <w:rPr>
                        <w:rStyle w:val="31"/>
                        <w:rFonts w:ascii="宋体" w:hAnsi="宋体"/>
                        <w:sz w:val="28"/>
                        <w:szCs w:val="28"/>
                      </w:rPr>
                    </w:pPr>
                    <w:r>
                      <w:rPr>
                        <w:rFonts w:ascii="宋体" w:hAnsi="宋体"/>
                        <w:sz w:val="28"/>
                        <w:szCs w:val="28"/>
                      </w:rPr>
                      <w:fldChar w:fldCharType="begin"/>
                    </w:r>
                    <w:r>
                      <w:rPr>
                        <w:rStyle w:val="31"/>
                        <w:rFonts w:ascii="宋体" w:hAnsi="宋体"/>
                        <w:sz w:val="28"/>
                        <w:szCs w:val="28"/>
                      </w:rPr>
                      <w:instrText xml:space="preserve">PAGE  </w:instrText>
                    </w:r>
                    <w:r>
                      <w:rPr>
                        <w:rFonts w:ascii="宋体" w:hAnsi="宋体"/>
                        <w:sz w:val="28"/>
                        <w:szCs w:val="28"/>
                      </w:rPr>
                      <w:fldChar w:fldCharType="separate"/>
                    </w:r>
                    <w:r>
                      <w:rPr>
                        <w:rStyle w:val="31"/>
                        <w:rFonts w:ascii="宋体" w:hAnsi="宋体"/>
                        <w:sz w:val="28"/>
                        <w:szCs w:val="28"/>
                      </w:rPr>
                      <w:t>53</w:t>
                    </w:r>
                    <w:r>
                      <w:rPr>
                        <w:rFonts w:ascii="宋体" w:hAnsi="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D1F"/>
    <w:rsid w:val="0001737F"/>
    <w:rsid w:val="00020C7B"/>
    <w:rsid w:val="00026DCE"/>
    <w:rsid w:val="00027322"/>
    <w:rsid w:val="00047DB3"/>
    <w:rsid w:val="00052CF2"/>
    <w:rsid w:val="000612FD"/>
    <w:rsid w:val="00064078"/>
    <w:rsid w:val="0007178B"/>
    <w:rsid w:val="00075E27"/>
    <w:rsid w:val="000769C6"/>
    <w:rsid w:val="00080AB6"/>
    <w:rsid w:val="00091410"/>
    <w:rsid w:val="0009407A"/>
    <w:rsid w:val="000A1275"/>
    <w:rsid w:val="000B0AB4"/>
    <w:rsid w:val="000B73DF"/>
    <w:rsid w:val="000C39A5"/>
    <w:rsid w:val="000C648C"/>
    <w:rsid w:val="000D5830"/>
    <w:rsid w:val="000D61AC"/>
    <w:rsid w:val="000E5204"/>
    <w:rsid w:val="000E5B5C"/>
    <w:rsid w:val="000F1553"/>
    <w:rsid w:val="000F64EE"/>
    <w:rsid w:val="001010C5"/>
    <w:rsid w:val="00102F71"/>
    <w:rsid w:val="00120E9A"/>
    <w:rsid w:val="001379E1"/>
    <w:rsid w:val="001504B0"/>
    <w:rsid w:val="001550CA"/>
    <w:rsid w:val="0016033A"/>
    <w:rsid w:val="0016150A"/>
    <w:rsid w:val="001649B4"/>
    <w:rsid w:val="00186273"/>
    <w:rsid w:val="00192B7B"/>
    <w:rsid w:val="001B1A52"/>
    <w:rsid w:val="001F3756"/>
    <w:rsid w:val="001F3926"/>
    <w:rsid w:val="001F740D"/>
    <w:rsid w:val="00201E3D"/>
    <w:rsid w:val="002028C2"/>
    <w:rsid w:val="00224ABA"/>
    <w:rsid w:val="00230B8D"/>
    <w:rsid w:val="00231996"/>
    <w:rsid w:val="002358C8"/>
    <w:rsid w:val="00236E43"/>
    <w:rsid w:val="0024410C"/>
    <w:rsid w:val="00251398"/>
    <w:rsid w:val="002558E3"/>
    <w:rsid w:val="002564EA"/>
    <w:rsid w:val="00263A52"/>
    <w:rsid w:val="002714F5"/>
    <w:rsid w:val="00283EFD"/>
    <w:rsid w:val="00295194"/>
    <w:rsid w:val="002962EE"/>
    <w:rsid w:val="0029680A"/>
    <w:rsid w:val="00297F8D"/>
    <w:rsid w:val="002A01F4"/>
    <w:rsid w:val="002A1474"/>
    <w:rsid w:val="002B416C"/>
    <w:rsid w:val="002B67B0"/>
    <w:rsid w:val="002B7740"/>
    <w:rsid w:val="002E34FA"/>
    <w:rsid w:val="002E570A"/>
    <w:rsid w:val="002F1DB6"/>
    <w:rsid w:val="00303451"/>
    <w:rsid w:val="00304205"/>
    <w:rsid w:val="00315105"/>
    <w:rsid w:val="00332405"/>
    <w:rsid w:val="00340FBE"/>
    <w:rsid w:val="0035260B"/>
    <w:rsid w:val="00352946"/>
    <w:rsid w:val="00377053"/>
    <w:rsid w:val="003827BA"/>
    <w:rsid w:val="00382C8F"/>
    <w:rsid w:val="00383C9D"/>
    <w:rsid w:val="00392CE3"/>
    <w:rsid w:val="00392EBC"/>
    <w:rsid w:val="00393F21"/>
    <w:rsid w:val="00397C13"/>
    <w:rsid w:val="003A4247"/>
    <w:rsid w:val="003A68EF"/>
    <w:rsid w:val="003B2B56"/>
    <w:rsid w:val="003B50CC"/>
    <w:rsid w:val="003D5707"/>
    <w:rsid w:val="003D7A67"/>
    <w:rsid w:val="003E1EEC"/>
    <w:rsid w:val="0040065D"/>
    <w:rsid w:val="00421297"/>
    <w:rsid w:val="00423EFF"/>
    <w:rsid w:val="004459E1"/>
    <w:rsid w:val="004710F2"/>
    <w:rsid w:val="00482F14"/>
    <w:rsid w:val="00483048"/>
    <w:rsid w:val="00495D62"/>
    <w:rsid w:val="004A2D1F"/>
    <w:rsid w:val="004B1D03"/>
    <w:rsid w:val="004C5893"/>
    <w:rsid w:val="004C75E7"/>
    <w:rsid w:val="004D6D8B"/>
    <w:rsid w:val="004D746C"/>
    <w:rsid w:val="004E3E2C"/>
    <w:rsid w:val="004E55D2"/>
    <w:rsid w:val="00500066"/>
    <w:rsid w:val="00503D88"/>
    <w:rsid w:val="00510A4D"/>
    <w:rsid w:val="00521B96"/>
    <w:rsid w:val="00521EA0"/>
    <w:rsid w:val="00523BFB"/>
    <w:rsid w:val="005424EF"/>
    <w:rsid w:val="005548E2"/>
    <w:rsid w:val="00555168"/>
    <w:rsid w:val="00583147"/>
    <w:rsid w:val="005A1298"/>
    <w:rsid w:val="005C1A1C"/>
    <w:rsid w:val="005C2CEA"/>
    <w:rsid w:val="005C46A4"/>
    <w:rsid w:val="005D62FC"/>
    <w:rsid w:val="005E2302"/>
    <w:rsid w:val="005E6193"/>
    <w:rsid w:val="00601E35"/>
    <w:rsid w:val="00623429"/>
    <w:rsid w:val="00625406"/>
    <w:rsid w:val="00630E55"/>
    <w:rsid w:val="00632437"/>
    <w:rsid w:val="0063254C"/>
    <w:rsid w:val="00636645"/>
    <w:rsid w:val="0065307A"/>
    <w:rsid w:val="00662445"/>
    <w:rsid w:val="006667DF"/>
    <w:rsid w:val="00680A71"/>
    <w:rsid w:val="00683890"/>
    <w:rsid w:val="0068396C"/>
    <w:rsid w:val="00684EF7"/>
    <w:rsid w:val="00694290"/>
    <w:rsid w:val="006A020C"/>
    <w:rsid w:val="006B4123"/>
    <w:rsid w:val="006B5B28"/>
    <w:rsid w:val="006C3DDB"/>
    <w:rsid w:val="006D1111"/>
    <w:rsid w:val="006D32A4"/>
    <w:rsid w:val="006D578D"/>
    <w:rsid w:val="006E09D4"/>
    <w:rsid w:val="006E3B67"/>
    <w:rsid w:val="006E758A"/>
    <w:rsid w:val="006F4C93"/>
    <w:rsid w:val="006F7A49"/>
    <w:rsid w:val="0070090C"/>
    <w:rsid w:val="007051FE"/>
    <w:rsid w:val="0071014C"/>
    <w:rsid w:val="00711DD5"/>
    <w:rsid w:val="007225FF"/>
    <w:rsid w:val="00723859"/>
    <w:rsid w:val="00724691"/>
    <w:rsid w:val="00744138"/>
    <w:rsid w:val="00746B03"/>
    <w:rsid w:val="00752562"/>
    <w:rsid w:val="00756FCB"/>
    <w:rsid w:val="00757448"/>
    <w:rsid w:val="00765E95"/>
    <w:rsid w:val="00787068"/>
    <w:rsid w:val="0079271B"/>
    <w:rsid w:val="00796529"/>
    <w:rsid w:val="007967BE"/>
    <w:rsid w:val="007A1AA4"/>
    <w:rsid w:val="007A2583"/>
    <w:rsid w:val="007A2853"/>
    <w:rsid w:val="007B4143"/>
    <w:rsid w:val="0080360D"/>
    <w:rsid w:val="00803864"/>
    <w:rsid w:val="00821BC6"/>
    <w:rsid w:val="00823CE2"/>
    <w:rsid w:val="00835FD2"/>
    <w:rsid w:val="00837F89"/>
    <w:rsid w:val="0084596E"/>
    <w:rsid w:val="0085019A"/>
    <w:rsid w:val="008530F0"/>
    <w:rsid w:val="00855BF3"/>
    <w:rsid w:val="00862BCF"/>
    <w:rsid w:val="00866C95"/>
    <w:rsid w:val="008716F8"/>
    <w:rsid w:val="00874D46"/>
    <w:rsid w:val="00881C7F"/>
    <w:rsid w:val="00891919"/>
    <w:rsid w:val="008A42DD"/>
    <w:rsid w:val="008A5300"/>
    <w:rsid w:val="008B3AB0"/>
    <w:rsid w:val="008D1992"/>
    <w:rsid w:val="008D7575"/>
    <w:rsid w:val="008F4870"/>
    <w:rsid w:val="008F593E"/>
    <w:rsid w:val="009127CB"/>
    <w:rsid w:val="00920579"/>
    <w:rsid w:val="0092185B"/>
    <w:rsid w:val="00922849"/>
    <w:rsid w:val="00926E53"/>
    <w:rsid w:val="00927AFD"/>
    <w:rsid w:val="00940F85"/>
    <w:rsid w:val="009461E8"/>
    <w:rsid w:val="009471FC"/>
    <w:rsid w:val="009601A9"/>
    <w:rsid w:val="00965AB3"/>
    <w:rsid w:val="00972AE4"/>
    <w:rsid w:val="00985EAB"/>
    <w:rsid w:val="00990797"/>
    <w:rsid w:val="00992F24"/>
    <w:rsid w:val="009A29EC"/>
    <w:rsid w:val="009A3666"/>
    <w:rsid w:val="009A4F0B"/>
    <w:rsid w:val="009A56BA"/>
    <w:rsid w:val="009B64DC"/>
    <w:rsid w:val="009B7E2D"/>
    <w:rsid w:val="009C1B07"/>
    <w:rsid w:val="009D21F7"/>
    <w:rsid w:val="009F1EC0"/>
    <w:rsid w:val="009F78C1"/>
    <w:rsid w:val="00A02E20"/>
    <w:rsid w:val="00A03A62"/>
    <w:rsid w:val="00A11767"/>
    <w:rsid w:val="00A11B61"/>
    <w:rsid w:val="00A1468F"/>
    <w:rsid w:val="00A273BF"/>
    <w:rsid w:val="00A3393A"/>
    <w:rsid w:val="00A35206"/>
    <w:rsid w:val="00A35962"/>
    <w:rsid w:val="00A62BC8"/>
    <w:rsid w:val="00A8246D"/>
    <w:rsid w:val="00A90294"/>
    <w:rsid w:val="00A933F2"/>
    <w:rsid w:val="00A953C8"/>
    <w:rsid w:val="00AB3D93"/>
    <w:rsid w:val="00AB5E18"/>
    <w:rsid w:val="00AC51E9"/>
    <w:rsid w:val="00AC7146"/>
    <w:rsid w:val="00AF2B5D"/>
    <w:rsid w:val="00B02D20"/>
    <w:rsid w:val="00B11DB8"/>
    <w:rsid w:val="00B43DAC"/>
    <w:rsid w:val="00B57546"/>
    <w:rsid w:val="00B6092B"/>
    <w:rsid w:val="00B77D7D"/>
    <w:rsid w:val="00B800E4"/>
    <w:rsid w:val="00B922BA"/>
    <w:rsid w:val="00BA2645"/>
    <w:rsid w:val="00BA398A"/>
    <w:rsid w:val="00BC43B9"/>
    <w:rsid w:val="00BC6588"/>
    <w:rsid w:val="00BD1854"/>
    <w:rsid w:val="00BD6C37"/>
    <w:rsid w:val="00BD7C1E"/>
    <w:rsid w:val="00BE3033"/>
    <w:rsid w:val="00BF0275"/>
    <w:rsid w:val="00BF7AEA"/>
    <w:rsid w:val="00C0044F"/>
    <w:rsid w:val="00C03FB2"/>
    <w:rsid w:val="00C14A61"/>
    <w:rsid w:val="00C1548A"/>
    <w:rsid w:val="00C273F6"/>
    <w:rsid w:val="00C3258B"/>
    <w:rsid w:val="00C34A73"/>
    <w:rsid w:val="00C406AF"/>
    <w:rsid w:val="00C52162"/>
    <w:rsid w:val="00C52D36"/>
    <w:rsid w:val="00C74B05"/>
    <w:rsid w:val="00D21FD7"/>
    <w:rsid w:val="00D2280A"/>
    <w:rsid w:val="00D309C1"/>
    <w:rsid w:val="00D62742"/>
    <w:rsid w:val="00D62808"/>
    <w:rsid w:val="00D65C23"/>
    <w:rsid w:val="00D77221"/>
    <w:rsid w:val="00D87C7D"/>
    <w:rsid w:val="00D90F6C"/>
    <w:rsid w:val="00D95B8C"/>
    <w:rsid w:val="00DA3F56"/>
    <w:rsid w:val="00DA7220"/>
    <w:rsid w:val="00DC0E8A"/>
    <w:rsid w:val="00DD033F"/>
    <w:rsid w:val="00DE37F8"/>
    <w:rsid w:val="00DE4910"/>
    <w:rsid w:val="00DF05B6"/>
    <w:rsid w:val="00E178C5"/>
    <w:rsid w:val="00E22654"/>
    <w:rsid w:val="00E25CB1"/>
    <w:rsid w:val="00E308A3"/>
    <w:rsid w:val="00E36EF8"/>
    <w:rsid w:val="00E62497"/>
    <w:rsid w:val="00E83969"/>
    <w:rsid w:val="00EA4D88"/>
    <w:rsid w:val="00EB7AED"/>
    <w:rsid w:val="00EC4E50"/>
    <w:rsid w:val="00EE2F3C"/>
    <w:rsid w:val="00EE409C"/>
    <w:rsid w:val="00EE6399"/>
    <w:rsid w:val="00EF7043"/>
    <w:rsid w:val="00F05071"/>
    <w:rsid w:val="00F1471C"/>
    <w:rsid w:val="00F206D6"/>
    <w:rsid w:val="00F22C39"/>
    <w:rsid w:val="00F249B9"/>
    <w:rsid w:val="00F259C4"/>
    <w:rsid w:val="00F43D02"/>
    <w:rsid w:val="00F46B25"/>
    <w:rsid w:val="00F57C9B"/>
    <w:rsid w:val="00F73734"/>
    <w:rsid w:val="00F91D31"/>
    <w:rsid w:val="00F967C5"/>
    <w:rsid w:val="00FA1F9C"/>
    <w:rsid w:val="00FB3D72"/>
    <w:rsid w:val="00FB5714"/>
    <w:rsid w:val="00FD075B"/>
    <w:rsid w:val="00FD1FB7"/>
    <w:rsid w:val="00FE5479"/>
    <w:rsid w:val="00FF3954"/>
    <w:rsid w:val="0FF8596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0"/>
    <w:qFormat/>
    <w:uiPriority w:val="0"/>
    <w:pPr>
      <w:spacing w:before="0" w:after="0" w:afterLines="100" w:line="240" w:lineRule="atLeast"/>
    </w:pPr>
    <w:rPr>
      <w:rFonts w:ascii="方正小标宋简体" w:eastAsia="方正小标宋简体" w:cs="宋体"/>
      <w:b w:val="0"/>
    </w:rPr>
  </w:style>
  <w:style w:type="paragraph" w:styleId="4">
    <w:name w:val="heading 2"/>
    <w:basedOn w:val="5"/>
    <w:next w:val="1"/>
    <w:link w:val="41"/>
    <w:qFormat/>
    <w:uiPriority w:val="0"/>
    <w:pPr>
      <w:spacing w:before="0" w:after="0" w:line="240" w:lineRule="atLeast"/>
      <w:jc w:val="both"/>
    </w:pPr>
    <w:rPr>
      <w:rFonts w:ascii="方正小标宋简体" w:eastAsia="方正小标宋简体" w:cs="宋体"/>
      <w:b w:val="0"/>
      <w:sz w:val="28"/>
      <w:szCs w:val="28"/>
    </w:rPr>
  </w:style>
  <w:style w:type="paragraph" w:styleId="6">
    <w:name w:val="heading 3"/>
    <w:basedOn w:val="1"/>
    <w:next w:val="1"/>
    <w:link w:val="42"/>
    <w:qFormat/>
    <w:uiPriority w:val="0"/>
    <w:pPr>
      <w:spacing w:line="560" w:lineRule="exact"/>
      <w:outlineLvl w:val="2"/>
    </w:pPr>
    <w:rPr>
      <w:rFonts w:ascii="华文中宋" w:hAnsi="华文中宋" w:eastAsia="楷体_GB2312" w:cs="宋体"/>
      <w:sz w:val="32"/>
      <w:szCs w:val="32"/>
      <w:lang w:val="zh-CN"/>
    </w:rPr>
  </w:style>
  <w:style w:type="character" w:default="1" w:styleId="29">
    <w:name w:val="Default Paragraph Font"/>
    <w:unhideWhenUsed/>
    <w:uiPriority w:val="1"/>
  </w:style>
  <w:style w:type="table" w:default="1" w:styleId="36">
    <w:name w:val="Normal Table"/>
    <w:unhideWhenUsed/>
    <w:uiPriority w:val="99"/>
    <w:tblPr>
      <w:tblLayout w:type="fixed"/>
      <w:tblCellMar>
        <w:top w:w="0" w:type="dxa"/>
        <w:left w:w="108" w:type="dxa"/>
        <w:bottom w:w="0" w:type="dxa"/>
        <w:right w:w="108" w:type="dxa"/>
      </w:tblCellMar>
    </w:tblPr>
  </w:style>
  <w:style w:type="paragraph" w:styleId="3">
    <w:name w:val="Title"/>
    <w:basedOn w:val="1"/>
    <w:next w:val="1"/>
    <w:link w:val="45"/>
    <w:qFormat/>
    <w:uiPriority w:val="99"/>
    <w:pPr>
      <w:spacing w:before="240" w:after="60"/>
      <w:jc w:val="center"/>
      <w:outlineLvl w:val="0"/>
    </w:pPr>
    <w:rPr>
      <w:rFonts w:ascii="Calibri Light" w:hAnsi="Calibri Light" w:eastAsiaTheme="minorEastAsia" w:cstheme="minorBidi"/>
      <w:b/>
      <w:bCs/>
      <w:sz w:val="32"/>
      <w:szCs w:val="32"/>
      <w:lang w:val="zh-CN"/>
    </w:rPr>
  </w:style>
  <w:style w:type="paragraph" w:styleId="5">
    <w:name w:val="Subtitle"/>
    <w:basedOn w:val="1"/>
    <w:next w:val="1"/>
    <w:link w:val="75"/>
    <w:qFormat/>
    <w:uiPriority w:val="99"/>
    <w:pPr>
      <w:spacing w:before="240" w:after="60" w:line="312" w:lineRule="auto"/>
      <w:jc w:val="center"/>
      <w:outlineLvl w:val="1"/>
    </w:pPr>
    <w:rPr>
      <w:rFonts w:ascii="Calibri Light" w:hAnsi="Calibri Light" w:eastAsiaTheme="minorEastAsia" w:cstheme="minorBidi"/>
      <w:b/>
      <w:bCs/>
      <w:kern w:val="28"/>
      <w:sz w:val="32"/>
      <w:szCs w:val="32"/>
      <w:lang w:val="zh-CN"/>
    </w:rPr>
  </w:style>
  <w:style w:type="paragraph" w:styleId="7">
    <w:name w:val="annotation subject"/>
    <w:basedOn w:val="8"/>
    <w:next w:val="8"/>
    <w:link w:val="48"/>
    <w:unhideWhenUsed/>
    <w:qFormat/>
    <w:uiPriority w:val="99"/>
    <w:rPr>
      <w:b/>
      <w:bCs/>
    </w:rPr>
  </w:style>
  <w:style w:type="paragraph" w:styleId="8">
    <w:name w:val="annotation text"/>
    <w:basedOn w:val="1"/>
    <w:link w:val="47"/>
    <w:unhideWhenUsed/>
    <w:qFormat/>
    <w:uiPriority w:val="99"/>
    <w:pPr>
      <w:jc w:val="left"/>
    </w:pPr>
    <w:rPr>
      <w:rFonts w:asciiTheme="minorHAnsi" w:hAnsiTheme="minorHAnsi" w:eastAsiaTheme="minorEastAsia" w:cstheme="minorBidi"/>
      <w:lang w:val="zh-CN"/>
    </w:rPr>
  </w:style>
  <w:style w:type="paragraph" w:styleId="9">
    <w:name w:val="toc 7"/>
    <w:basedOn w:val="1"/>
    <w:next w:val="1"/>
    <w:unhideWhenUsed/>
    <w:qFormat/>
    <w:uiPriority w:val="39"/>
    <w:pPr>
      <w:ind w:left="1260"/>
      <w:jc w:val="left"/>
    </w:pPr>
    <w:rPr>
      <w:rFonts w:ascii="Calibri" w:hAnsi="Calibri"/>
      <w:sz w:val="18"/>
      <w:szCs w:val="18"/>
    </w:rPr>
  </w:style>
  <w:style w:type="paragraph" w:styleId="10">
    <w:name w:val="Normal Indent"/>
    <w:basedOn w:val="1"/>
    <w:unhideWhenUsed/>
    <w:qFormat/>
    <w:uiPriority w:val="99"/>
    <w:pPr>
      <w:ind w:firstLine="420" w:firstLineChars="200"/>
    </w:pPr>
  </w:style>
  <w:style w:type="paragraph" w:styleId="11">
    <w:name w:val="Document Map"/>
    <w:basedOn w:val="1"/>
    <w:link w:val="70"/>
    <w:unhideWhenUsed/>
    <w:qFormat/>
    <w:uiPriority w:val="99"/>
    <w:rPr>
      <w:rFonts w:ascii="宋体" w:hAnsi="Calibri" w:eastAsiaTheme="minorEastAsia" w:cstheme="minorBidi"/>
      <w:sz w:val="18"/>
      <w:szCs w:val="18"/>
    </w:rPr>
  </w:style>
  <w:style w:type="paragraph" w:styleId="12">
    <w:name w:val="Body Text"/>
    <w:basedOn w:val="1"/>
    <w:link w:val="100"/>
    <w:qFormat/>
    <w:uiPriority w:val="0"/>
    <w:pPr>
      <w:spacing w:after="120"/>
    </w:pPr>
  </w:style>
  <w:style w:type="paragraph" w:styleId="13">
    <w:name w:val="toc 5"/>
    <w:basedOn w:val="1"/>
    <w:next w:val="1"/>
    <w:unhideWhenUsed/>
    <w:qFormat/>
    <w:uiPriority w:val="39"/>
    <w:pPr>
      <w:ind w:left="840"/>
      <w:jc w:val="left"/>
    </w:pPr>
    <w:rPr>
      <w:rFonts w:ascii="Calibri" w:hAnsi="Calibri"/>
      <w:sz w:val="18"/>
      <w:szCs w:val="18"/>
    </w:rPr>
  </w:style>
  <w:style w:type="paragraph" w:styleId="14">
    <w:name w:val="toc 3"/>
    <w:basedOn w:val="1"/>
    <w:next w:val="1"/>
    <w:unhideWhenUsed/>
    <w:qFormat/>
    <w:uiPriority w:val="39"/>
    <w:pPr>
      <w:spacing w:line="400" w:lineRule="exact"/>
      <w:ind w:left="737"/>
      <w:jc w:val="left"/>
    </w:pPr>
    <w:rPr>
      <w:rFonts w:ascii="Calibri" w:hAnsi="Calibri" w:eastAsia="方正仿宋_GBK"/>
      <w:iCs/>
      <w:sz w:val="28"/>
      <w:szCs w:val="20"/>
    </w:rPr>
  </w:style>
  <w:style w:type="paragraph" w:styleId="15">
    <w:name w:val="Plain Text"/>
    <w:basedOn w:val="1"/>
    <w:link w:val="83"/>
    <w:unhideWhenUsed/>
    <w:qFormat/>
    <w:uiPriority w:val="99"/>
    <w:pPr>
      <w:spacing w:line="360" w:lineRule="auto"/>
      <w:ind w:firstLine="480"/>
    </w:pPr>
    <w:rPr>
      <w:rFonts w:ascii="宋体" w:hAnsi="Courier New" w:eastAsiaTheme="minorEastAsia" w:cstheme="minorBidi"/>
      <w:sz w:val="24"/>
      <w:szCs w:val="22"/>
    </w:rPr>
  </w:style>
  <w:style w:type="paragraph" w:styleId="16">
    <w:name w:val="toc 8"/>
    <w:basedOn w:val="1"/>
    <w:next w:val="1"/>
    <w:unhideWhenUsed/>
    <w:qFormat/>
    <w:uiPriority w:val="39"/>
    <w:pPr>
      <w:ind w:left="1470"/>
      <w:jc w:val="left"/>
    </w:pPr>
    <w:rPr>
      <w:rFonts w:ascii="Calibri" w:hAnsi="Calibri"/>
      <w:sz w:val="18"/>
      <w:szCs w:val="18"/>
    </w:rPr>
  </w:style>
  <w:style w:type="paragraph" w:styleId="17">
    <w:name w:val="Date"/>
    <w:basedOn w:val="1"/>
    <w:next w:val="1"/>
    <w:link w:val="73"/>
    <w:unhideWhenUsed/>
    <w:qFormat/>
    <w:uiPriority w:val="99"/>
    <w:pPr>
      <w:ind w:left="100" w:leftChars="2500"/>
    </w:pPr>
    <w:rPr>
      <w:rFonts w:asciiTheme="minorHAnsi" w:hAnsiTheme="minorHAnsi" w:eastAsiaTheme="minorEastAsia" w:cstheme="minorBidi"/>
    </w:rPr>
  </w:style>
  <w:style w:type="paragraph" w:styleId="18">
    <w:name w:val="endnote text"/>
    <w:basedOn w:val="1"/>
    <w:link w:val="85"/>
    <w:unhideWhenUsed/>
    <w:qFormat/>
    <w:uiPriority w:val="99"/>
    <w:pPr>
      <w:snapToGrid w:val="0"/>
      <w:jc w:val="left"/>
    </w:pPr>
    <w:rPr>
      <w:rFonts w:ascii="Calibri" w:hAnsi="Calibri" w:eastAsiaTheme="minorEastAsia" w:cstheme="minorBidi"/>
    </w:rPr>
  </w:style>
  <w:style w:type="paragraph" w:styleId="19">
    <w:name w:val="Balloon Text"/>
    <w:basedOn w:val="1"/>
    <w:link w:val="88"/>
    <w:qFormat/>
    <w:uiPriority w:val="99"/>
    <w:rPr>
      <w:rFonts w:asciiTheme="minorHAnsi" w:hAnsiTheme="minorHAnsi" w:eastAsiaTheme="minorEastAsia" w:cstheme="minorBidi"/>
      <w:sz w:val="18"/>
      <w:szCs w:val="18"/>
    </w:rPr>
  </w:style>
  <w:style w:type="paragraph" w:styleId="20">
    <w:name w:val="footer"/>
    <w:basedOn w:val="1"/>
    <w:link w:val="3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3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2">
    <w:name w:val="toc 1"/>
    <w:basedOn w:val="1"/>
    <w:next w:val="1"/>
    <w:unhideWhenUsed/>
    <w:qFormat/>
    <w:uiPriority w:val="39"/>
    <w:pPr>
      <w:wordWrap w:val="0"/>
      <w:spacing w:line="380" w:lineRule="exact"/>
      <w:jc w:val="left"/>
    </w:pPr>
    <w:rPr>
      <w:rFonts w:ascii="Calibri" w:hAnsi="Calibri" w:eastAsia="黑体"/>
      <w:bCs/>
      <w:caps/>
      <w:sz w:val="32"/>
      <w:szCs w:val="20"/>
    </w:rPr>
  </w:style>
  <w:style w:type="paragraph" w:styleId="23">
    <w:name w:val="toc 4"/>
    <w:basedOn w:val="1"/>
    <w:next w:val="1"/>
    <w:unhideWhenUsed/>
    <w:qFormat/>
    <w:uiPriority w:val="39"/>
    <w:pPr>
      <w:ind w:left="630"/>
      <w:jc w:val="left"/>
    </w:pPr>
    <w:rPr>
      <w:rFonts w:ascii="Calibri" w:hAnsi="Calibri"/>
      <w:sz w:val="18"/>
      <w:szCs w:val="18"/>
    </w:rPr>
  </w:style>
  <w:style w:type="paragraph" w:styleId="24">
    <w:name w:val="List"/>
    <w:basedOn w:val="12"/>
    <w:qFormat/>
    <w:uiPriority w:val="0"/>
    <w:pPr>
      <w:suppressAutoHyphens/>
      <w:jc w:val="left"/>
    </w:pPr>
    <w:rPr>
      <w:rFonts w:cs="Tahoma"/>
      <w:kern w:val="0"/>
      <w:sz w:val="24"/>
    </w:rPr>
  </w:style>
  <w:style w:type="paragraph" w:styleId="25">
    <w:name w:val="toc 6"/>
    <w:basedOn w:val="1"/>
    <w:next w:val="1"/>
    <w:unhideWhenUsed/>
    <w:qFormat/>
    <w:uiPriority w:val="39"/>
    <w:pPr>
      <w:ind w:left="1050"/>
      <w:jc w:val="left"/>
    </w:pPr>
    <w:rPr>
      <w:rFonts w:ascii="Calibri" w:hAnsi="Calibri"/>
      <w:sz w:val="18"/>
      <w:szCs w:val="18"/>
    </w:rPr>
  </w:style>
  <w:style w:type="paragraph" w:styleId="26">
    <w:name w:val="toc 2"/>
    <w:basedOn w:val="1"/>
    <w:next w:val="1"/>
    <w:unhideWhenUsed/>
    <w:qFormat/>
    <w:uiPriority w:val="39"/>
    <w:pPr>
      <w:spacing w:line="400" w:lineRule="exact"/>
      <w:ind w:left="210"/>
      <w:jc w:val="left"/>
    </w:pPr>
    <w:rPr>
      <w:rFonts w:ascii="Calibri" w:hAnsi="Calibri" w:eastAsia="方正仿宋_GBK"/>
      <w:b/>
      <w:smallCaps/>
      <w:sz w:val="30"/>
      <w:szCs w:val="20"/>
    </w:rPr>
  </w:style>
  <w:style w:type="paragraph" w:styleId="27">
    <w:name w:val="toc 9"/>
    <w:basedOn w:val="1"/>
    <w:next w:val="1"/>
    <w:unhideWhenUsed/>
    <w:qFormat/>
    <w:uiPriority w:val="39"/>
    <w:pPr>
      <w:ind w:left="1680"/>
      <w:jc w:val="left"/>
    </w:pPr>
    <w:rPr>
      <w:rFonts w:ascii="Calibri" w:hAnsi="Calibri"/>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30">
    <w:name w:val="Strong"/>
    <w:qFormat/>
    <w:uiPriority w:val="0"/>
    <w:rPr>
      <w:rFonts w:hint="default" w:ascii="Times New Roman" w:hAnsi="Times New Roman" w:eastAsia="宋体" w:cs="Times New Roman"/>
      <w:b/>
      <w:bCs/>
    </w:rPr>
  </w:style>
  <w:style w:type="character" w:styleId="31">
    <w:name w:val="page number"/>
    <w:uiPriority w:val="0"/>
  </w:style>
  <w:style w:type="character" w:styleId="32">
    <w:name w:val="FollowedHyperlink"/>
    <w:unhideWhenUsed/>
    <w:qFormat/>
    <w:uiPriority w:val="99"/>
    <w:rPr>
      <w:color w:val="800080"/>
      <w:u w:val="none"/>
    </w:rPr>
  </w:style>
  <w:style w:type="character" w:styleId="33">
    <w:name w:val="Emphasis"/>
    <w:qFormat/>
    <w:uiPriority w:val="20"/>
    <w:rPr>
      <w:rFonts w:hint="default" w:ascii="Times New Roman" w:hAnsi="Times New Roman" w:eastAsia="宋体" w:cs="Times New Roman"/>
      <w:color w:val="CC0000"/>
    </w:rPr>
  </w:style>
  <w:style w:type="character" w:styleId="34">
    <w:name w:val="Hyperlink"/>
    <w:unhideWhenUsed/>
    <w:qFormat/>
    <w:uiPriority w:val="99"/>
    <w:rPr>
      <w:rFonts w:hint="default" w:ascii="Times New Roman" w:hAnsi="Times New Roman" w:eastAsia="宋体" w:cs="Times New Roman"/>
      <w:color w:val="0000FF"/>
      <w:u w:val="single"/>
    </w:rPr>
  </w:style>
  <w:style w:type="character" w:styleId="35">
    <w:name w:val="annotation reference"/>
    <w:unhideWhenUsed/>
    <w:qFormat/>
    <w:uiPriority w:val="0"/>
    <w:rPr>
      <w:rFonts w:hint="default" w:ascii="Times New Roman" w:hAnsi="Times New Roman" w:eastAsia="宋体" w:cs="Times New Roman"/>
      <w:sz w:val="21"/>
      <w:szCs w:val="21"/>
    </w:rPr>
  </w:style>
  <w:style w:type="table" w:styleId="37">
    <w:name w:val="Table Grid"/>
    <w:basedOn w:val="36"/>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8">
    <w:name w:val="页眉 Char"/>
    <w:basedOn w:val="29"/>
    <w:link w:val="21"/>
    <w:qFormat/>
    <w:uiPriority w:val="99"/>
    <w:rPr>
      <w:sz w:val="18"/>
      <w:szCs w:val="18"/>
    </w:rPr>
  </w:style>
  <w:style w:type="character" w:customStyle="1" w:styleId="39">
    <w:name w:val="页脚 Char"/>
    <w:basedOn w:val="29"/>
    <w:link w:val="20"/>
    <w:qFormat/>
    <w:uiPriority w:val="99"/>
    <w:rPr>
      <w:sz w:val="18"/>
      <w:szCs w:val="18"/>
    </w:rPr>
  </w:style>
  <w:style w:type="character" w:customStyle="1" w:styleId="40">
    <w:name w:val="标题 1 Char"/>
    <w:basedOn w:val="29"/>
    <w:link w:val="2"/>
    <w:qFormat/>
    <w:uiPriority w:val="0"/>
    <w:rPr>
      <w:rFonts w:ascii="方正小标宋简体" w:hAnsi="Calibri Light" w:eastAsia="方正小标宋简体" w:cs="宋体"/>
      <w:bCs/>
      <w:sz w:val="32"/>
      <w:szCs w:val="32"/>
      <w:lang w:val="zh-CN"/>
    </w:rPr>
  </w:style>
  <w:style w:type="character" w:customStyle="1" w:styleId="41">
    <w:name w:val="标题 2 Char"/>
    <w:basedOn w:val="29"/>
    <w:link w:val="4"/>
    <w:qFormat/>
    <w:uiPriority w:val="0"/>
    <w:rPr>
      <w:rFonts w:ascii="方正小标宋简体" w:hAnsi="Calibri Light" w:eastAsia="方正小标宋简体" w:cs="宋体"/>
      <w:bCs/>
      <w:kern w:val="28"/>
      <w:sz w:val="28"/>
      <w:szCs w:val="28"/>
      <w:lang w:val="zh-CN"/>
    </w:rPr>
  </w:style>
  <w:style w:type="character" w:customStyle="1" w:styleId="42">
    <w:name w:val="标题 3 Char"/>
    <w:basedOn w:val="29"/>
    <w:link w:val="6"/>
    <w:qFormat/>
    <w:uiPriority w:val="0"/>
    <w:rPr>
      <w:rFonts w:ascii="华文中宋" w:hAnsi="华文中宋" w:eastAsia="楷体_GB2312" w:cs="宋体"/>
      <w:sz w:val="32"/>
      <w:szCs w:val="32"/>
      <w:lang w:val="zh-CN"/>
    </w:rPr>
  </w:style>
  <w:style w:type="character" w:customStyle="1" w:styleId="43">
    <w:name w:val="样式13 Char"/>
    <w:link w:val="44"/>
    <w:qFormat/>
    <w:locked/>
    <w:uiPriority w:val="0"/>
    <w:rPr>
      <w:rFonts w:ascii="方正仿宋_GBK" w:eastAsia="方正仿宋_GBK"/>
      <w:b/>
      <w:sz w:val="32"/>
      <w:szCs w:val="32"/>
    </w:rPr>
  </w:style>
  <w:style w:type="paragraph" w:customStyle="1" w:styleId="44">
    <w:name w:val="样式13"/>
    <w:basedOn w:val="1"/>
    <w:link w:val="43"/>
    <w:qFormat/>
    <w:uiPriority w:val="0"/>
    <w:pPr>
      <w:spacing w:line="240" w:lineRule="atLeast"/>
      <w:ind w:firstLine="643" w:firstLineChars="200"/>
    </w:pPr>
    <w:rPr>
      <w:rFonts w:ascii="方正仿宋_GBK" w:eastAsia="方正仿宋_GBK" w:hAnsiTheme="minorHAnsi" w:cstheme="minorBidi"/>
      <w:b/>
      <w:sz w:val="32"/>
      <w:szCs w:val="32"/>
    </w:rPr>
  </w:style>
  <w:style w:type="character" w:customStyle="1" w:styleId="45">
    <w:name w:val="标题 Char"/>
    <w:link w:val="3"/>
    <w:qFormat/>
    <w:uiPriority w:val="99"/>
    <w:rPr>
      <w:rFonts w:ascii="Calibri Light" w:hAnsi="Calibri Light"/>
      <w:b/>
      <w:bCs/>
      <w:sz w:val="32"/>
      <w:szCs w:val="32"/>
      <w:lang w:val="zh-CN"/>
    </w:rPr>
  </w:style>
  <w:style w:type="character" w:customStyle="1" w:styleId="46">
    <w:name w:val="未处理的提及1"/>
    <w:qFormat/>
    <w:uiPriority w:val="99"/>
    <w:rPr>
      <w:color w:val="605E5C"/>
      <w:shd w:val="clear" w:color="auto" w:fill="E1DFDD"/>
    </w:rPr>
  </w:style>
  <w:style w:type="character" w:customStyle="1" w:styleId="47">
    <w:name w:val="批注文字 Char"/>
    <w:link w:val="8"/>
    <w:qFormat/>
    <w:uiPriority w:val="99"/>
    <w:rPr>
      <w:szCs w:val="24"/>
      <w:lang w:val="zh-CN"/>
    </w:rPr>
  </w:style>
  <w:style w:type="character" w:customStyle="1" w:styleId="48">
    <w:name w:val="批注主题 Char"/>
    <w:link w:val="7"/>
    <w:qFormat/>
    <w:uiPriority w:val="99"/>
    <w:rPr>
      <w:b/>
      <w:bCs/>
      <w:szCs w:val="24"/>
      <w:lang w:val="zh-CN"/>
    </w:rPr>
  </w:style>
  <w:style w:type="character" w:customStyle="1" w:styleId="49">
    <w:name w:val="样式3 Char"/>
    <w:link w:val="50"/>
    <w:qFormat/>
    <w:locked/>
    <w:uiPriority w:val="0"/>
    <w:rPr>
      <w:rFonts w:ascii="仿宋_GB2312" w:eastAsia="仿宋_GB2312"/>
      <w:b/>
      <w:color w:val="000000"/>
      <w:sz w:val="28"/>
      <w:szCs w:val="28"/>
    </w:rPr>
  </w:style>
  <w:style w:type="paragraph" w:customStyle="1" w:styleId="50">
    <w:name w:val="样式3"/>
    <w:basedOn w:val="1"/>
    <w:link w:val="49"/>
    <w:qFormat/>
    <w:uiPriority w:val="0"/>
    <w:pPr>
      <w:adjustRightInd w:val="0"/>
      <w:spacing w:line="360" w:lineRule="auto"/>
      <w:ind w:firstLine="562" w:firstLineChars="200"/>
      <w:outlineLvl w:val="0"/>
    </w:pPr>
    <w:rPr>
      <w:rFonts w:ascii="仿宋_GB2312" w:eastAsia="仿宋_GB2312" w:hAnsiTheme="minorHAnsi" w:cstheme="minorBidi"/>
      <w:b/>
      <w:color w:val="000000"/>
      <w:sz w:val="28"/>
      <w:szCs w:val="28"/>
    </w:rPr>
  </w:style>
  <w:style w:type="character" w:customStyle="1" w:styleId="51">
    <w:name w:val="样式5 Char"/>
    <w:link w:val="52"/>
    <w:qFormat/>
    <w:locked/>
    <w:uiPriority w:val="0"/>
    <w:rPr>
      <w:rFonts w:ascii="仿宋_GB2312" w:eastAsia="仿宋_GB2312"/>
      <w:sz w:val="28"/>
      <w:szCs w:val="28"/>
    </w:rPr>
  </w:style>
  <w:style w:type="paragraph" w:customStyle="1" w:styleId="52">
    <w:name w:val="样式5"/>
    <w:basedOn w:val="1"/>
    <w:link w:val="51"/>
    <w:qFormat/>
    <w:uiPriority w:val="0"/>
    <w:pPr>
      <w:spacing w:line="360" w:lineRule="auto"/>
      <w:ind w:firstLine="280" w:firstLineChars="100"/>
    </w:pPr>
    <w:rPr>
      <w:rFonts w:ascii="仿宋_GB2312" w:eastAsia="仿宋_GB2312" w:hAnsiTheme="minorHAnsi" w:cstheme="minorBidi"/>
      <w:sz w:val="28"/>
      <w:szCs w:val="28"/>
    </w:rPr>
  </w:style>
  <w:style w:type="character" w:customStyle="1" w:styleId="53">
    <w:name w:val="UserStyle_32"/>
    <w:link w:val="54"/>
    <w:qFormat/>
    <w:locked/>
    <w:uiPriority w:val="0"/>
    <w:rPr>
      <w:sz w:val="18"/>
      <w:szCs w:val="18"/>
    </w:rPr>
  </w:style>
  <w:style w:type="paragraph" w:customStyle="1" w:styleId="54">
    <w:name w:val="Acetate"/>
    <w:basedOn w:val="1"/>
    <w:link w:val="53"/>
    <w:qFormat/>
    <w:uiPriority w:val="0"/>
    <w:pPr>
      <w:widowControl/>
    </w:pPr>
    <w:rPr>
      <w:rFonts w:asciiTheme="minorHAnsi" w:hAnsiTheme="minorHAnsi" w:eastAsiaTheme="minorEastAsia" w:cstheme="minorBidi"/>
      <w:sz w:val="18"/>
      <w:szCs w:val="18"/>
    </w:rPr>
  </w:style>
  <w:style w:type="character" w:customStyle="1" w:styleId="55">
    <w:name w:val="fontstyle01"/>
    <w:qFormat/>
    <w:uiPriority w:val="0"/>
    <w:rPr>
      <w:rFonts w:hint="eastAsia" w:ascii="仿宋" w:hAnsi="仿宋" w:eastAsia="宋体" w:cs="Times New Roman"/>
      <w:color w:val="000000"/>
      <w:sz w:val="32"/>
      <w:szCs w:val="32"/>
    </w:rPr>
  </w:style>
  <w:style w:type="character" w:customStyle="1" w:styleId="56">
    <w:name w:val="样式4 Char"/>
    <w:link w:val="57"/>
    <w:qFormat/>
    <w:locked/>
    <w:uiPriority w:val="0"/>
    <w:rPr>
      <w:rFonts w:ascii="仿宋_GB2312" w:eastAsia="仿宋_GB2312"/>
      <w:b/>
      <w:color w:val="000000"/>
      <w:sz w:val="28"/>
      <w:szCs w:val="28"/>
    </w:rPr>
  </w:style>
  <w:style w:type="paragraph" w:customStyle="1" w:styleId="57">
    <w:name w:val="样式4"/>
    <w:basedOn w:val="1"/>
    <w:link w:val="56"/>
    <w:qFormat/>
    <w:uiPriority w:val="0"/>
    <w:pPr>
      <w:adjustRightInd w:val="0"/>
      <w:spacing w:line="360" w:lineRule="auto"/>
      <w:ind w:firstLine="562" w:firstLineChars="200"/>
      <w:outlineLvl w:val="0"/>
    </w:pPr>
    <w:rPr>
      <w:rFonts w:ascii="仿宋_GB2312" w:eastAsia="仿宋_GB2312" w:hAnsiTheme="minorHAnsi" w:cstheme="minorBidi"/>
      <w:b/>
      <w:color w:val="000000"/>
      <w:sz w:val="28"/>
      <w:szCs w:val="28"/>
    </w:rPr>
  </w:style>
  <w:style w:type="character" w:customStyle="1" w:styleId="58">
    <w:name w:val="样式12 Char"/>
    <w:link w:val="59"/>
    <w:qFormat/>
    <w:locked/>
    <w:uiPriority w:val="0"/>
    <w:rPr>
      <w:rFonts w:ascii="黑体" w:hAnsi="黑体" w:eastAsia="黑体"/>
      <w:sz w:val="28"/>
      <w:szCs w:val="28"/>
    </w:rPr>
  </w:style>
  <w:style w:type="paragraph" w:customStyle="1" w:styleId="59">
    <w:name w:val="样式12"/>
    <w:basedOn w:val="1"/>
    <w:link w:val="58"/>
    <w:qFormat/>
    <w:uiPriority w:val="0"/>
    <w:pPr>
      <w:jc w:val="center"/>
    </w:pPr>
    <w:rPr>
      <w:rFonts w:ascii="黑体" w:hAnsi="黑体" w:eastAsia="黑体" w:cstheme="minorBidi"/>
      <w:sz w:val="28"/>
      <w:szCs w:val="28"/>
    </w:rPr>
  </w:style>
  <w:style w:type="character" w:customStyle="1" w:styleId="60">
    <w:name w:val="样式9 Char"/>
    <w:link w:val="61"/>
    <w:qFormat/>
    <w:locked/>
    <w:uiPriority w:val="0"/>
    <w:rPr>
      <w:rFonts w:ascii="方正仿宋_GBK" w:eastAsia="方正仿宋_GBK"/>
      <w:sz w:val="32"/>
      <w:szCs w:val="32"/>
    </w:rPr>
  </w:style>
  <w:style w:type="paragraph" w:customStyle="1" w:styleId="61">
    <w:name w:val="样式9"/>
    <w:basedOn w:val="1"/>
    <w:link w:val="60"/>
    <w:qFormat/>
    <w:uiPriority w:val="0"/>
    <w:pPr>
      <w:wordWrap w:val="0"/>
      <w:spacing w:line="560" w:lineRule="exact"/>
      <w:ind w:firstLine="1280" w:firstLineChars="400"/>
      <w:outlineLvl w:val="3"/>
    </w:pPr>
    <w:rPr>
      <w:rFonts w:ascii="方正仿宋_GBK" w:eastAsia="方正仿宋_GBK" w:hAnsiTheme="minorHAnsi" w:cstheme="minorBidi"/>
      <w:sz w:val="32"/>
      <w:szCs w:val="32"/>
    </w:rPr>
  </w:style>
  <w:style w:type="character" w:customStyle="1" w:styleId="62">
    <w:name w:val="样式10 Char"/>
    <w:link w:val="63"/>
    <w:qFormat/>
    <w:locked/>
    <w:uiPriority w:val="0"/>
    <w:rPr>
      <w:rFonts w:ascii="方正仿宋_GBK" w:eastAsia="方正仿宋_GBK"/>
      <w:sz w:val="32"/>
      <w:szCs w:val="44"/>
    </w:rPr>
  </w:style>
  <w:style w:type="paragraph" w:customStyle="1" w:styleId="63">
    <w:name w:val="样式10"/>
    <w:basedOn w:val="1"/>
    <w:link w:val="62"/>
    <w:qFormat/>
    <w:uiPriority w:val="0"/>
    <w:pPr>
      <w:spacing w:line="560" w:lineRule="exact"/>
      <w:jc w:val="left"/>
    </w:pPr>
    <w:rPr>
      <w:rFonts w:ascii="方正仿宋_GBK" w:eastAsia="方正仿宋_GBK" w:hAnsiTheme="minorHAnsi" w:cstheme="minorBidi"/>
      <w:sz w:val="32"/>
      <w:szCs w:val="44"/>
    </w:rPr>
  </w:style>
  <w:style w:type="character" w:customStyle="1" w:styleId="64">
    <w:name w:val="UserStyle_2"/>
    <w:link w:val="65"/>
    <w:qFormat/>
    <w:locked/>
    <w:uiPriority w:val="0"/>
    <w:rPr>
      <w:rFonts w:ascii="仿宋_GB2312" w:eastAsia="仿宋_GB2312"/>
      <w:sz w:val="28"/>
      <w:szCs w:val="28"/>
    </w:rPr>
  </w:style>
  <w:style w:type="paragraph" w:customStyle="1" w:styleId="65">
    <w:name w:val="UserStyle_3"/>
    <w:basedOn w:val="1"/>
    <w:link w:val="64"/>
    <w:qFormat/>
    <w:uiPriority w:val="0"/>
    <w:pPr>
      <w:widowControl/>
      <w:spacing w:line="240" w:lineRule="atLeast"/>
      <w:ind w:firstLine="560" w:firstLineChars="200"/>
    </w:pPr>
    <w:rPr>
      <w:rFonts w:ascii="仿宋_GB2312" w:eastAsia="仿宋_GB2312" w:hAnsiTheme="minorHAnsi" w:cstheme="minorBidi"/>
      <w:sz w:val="28"/>
      <w:szCs w:val="28"/>
    </w:rPr>
  </w:style>
  <w:style w:type="character" w:customStyle="1" w:styleId="66">
    <w:name w:val="样式7 Char"/>
    <w:link w:val="67"/>
    <w:qFormat/>
    <w:locked/>
    <w:uiPriority w:val="0"/>
    <w:rPr>
      <w:rFonts w:ascii="仿宋_GB2312" w:eastAsia="仿宋_GB2312"/>
      <w:color w:val="000000"/>
      <w:sz w:val="32"/>
      <w:szCs w:val="32"/>
      <w:shd w:val="clear" w:color="auto" w:fill="FFFFFF"/>
    </w:rPr>
  </w:style>
  <w:style w:type="paragraph" w:customStyle="1" w:styleId="67">
    <w:name w:val="样式7"/>
    <w:basedOn w:val="1"/>
    <w:link w:val="66"/>
    <w:qFormat/>
    <w:uiPriority w:val="0"/>
    <w:pPr>
      <w:widowControl/>
      <w:shd w:val="clear" w:color="auto" w:fill="FFFFFF"/>
      <w:spacing w:line="240" w:lineRule="atLeast"/>
      <w:ind w:firstLine="640" w:firstLineChars="200"/>
    </w:pPr>
    <w:rPr>
      <w:rFonts w:ascii="仿宋_GB2312" w:eastAsia="仿宋_GB2312" w:hAnsiTheme="minorHAnsi" w:cstheme="minorBidi"/>
      <w:color w:val="000000"/>
      <w:sz w:val="32"/>
      <w:szCs w:val="32"/>
    </w:rPr>
  </w:style>
  <w:style w:type="character" w:customStyle="1" w:styleId="68">
    <w:name w:val="样式11 Char"/>
    <w:link w:val="69"/>
    <w:qFormat/>
    <w:locked/>
    <w:uiPriority w:val="0"/>
    <w:rPr>
      <w:rFonts w:ascii="方正小标宋简体" w:eastAsia="方正小标宋简体"/>
      <w:sz w:val="44"/>
      <w:szCs w:val="44"/>
    </w:rPr>
  </w:style>
  <w:style w:type="paragraph" w:customStyle="1" w:styleId="69">
    <w:name w:val="样式11"/>
    <w:basedOn w:val="1"/>
    <w:link w:val="68"/>
    <w:qFormat/>
    <w:uiPriority w:val="0"/>
    <w:pPr>
      <w:spacing w:line="560" w:lineRule="exact"/>
      <w:jc w:val="center"/>
    </w:pPr>
    <w:rPr>
      <w:rFonts w:ascii="方正小标宋简体" w:eastAsia="方正小标宋简体" w:hAnsiTheme="minorHAnsi" w:cstheme="minorBidi"/>
      <w:sz w:val="44"/>
      <w:szCs w:val="44"/>
    </w:rPr>
  </w:style>
  <w:style w:type="character" w:customStyle="1" w:styleId="70">
    <w:name w:val="文档结构图 Char"/>
    <w:link w:val="11"/>
    <w:qFormat/>
    <w:uiPriority w:val="99"/>
    <w:rPr>
      <w:rFonts w:ascii="宋体" w:hAnsi="Calibri"/>
      <w:sz w:val="18"/>
      <w:szCs w:val="18"/>
    </w:rPr>
  </w:style>
  <w:style w:type="character" w:customStyle="1" w:styleId="71">
    <w:name w:val="UserStyle_35"/>
    <w:link w:val="72"/>
    <w:qFormat/>
    <w:locked/>
    <w:uiPriority w:val="0"/>
    <w:rPr>
      <w:rFonts w:ascii="仿宋_GB2312" w:eastAsia="仿宋_GB2312"/>
      <w:color w:val="000000"/>
      <w:sz w:val="32"/>
      <w:szCs w:val="32"/>
    </w:rPr>
  </w:style>
  <w:style w:type="paragraph" w:customStyle="1" w:styleId="72">
    <w:name w:val="UserStyle_34"/>
    <w:basedOn w:val="1"/>
    <w:link w:val="71"/>
    <w:qFormat/>
    <w:uiPriority w:val="0"/>
    <w:pPr>
      <w:widowControl/>
      <w:spacing w:line="240" w:lineRule="atLeast"/>
      <w:ind w:firstLine="640" w:firstLineChars="200"/>
    </w:pPr>
    <w:rPr>
      <w:rFonts w:ascii="仿宋_GB2312" w:eastAsia="仿宋_GB2312" w:hAnsiTheme="minorHAnsi" w:cstheme="minorBidi"/>
      <w:color w:val="000000"/>
      <w:sz w:val="32"/>
      <w:szCs w:val="32"/>
    </w:rPr>
  </w:style>
  <w:style w:type="character" w:customStyle="1" w:styleId="73">
    <w:name w:val="日期 Char"/>
    <w:link w:val="17"/>
    <w:qFormat/>
    <w:uiPriority w:val="99"/>
    <w:rPr>
      <w:szCs w:val="24"/>
    </w:rPr>
  </w:style>
  <w:style w:type="character" w:customStyle="1" w:styleId="74">
    <w:name w:val="hover93"/>
    <w:qFormat/>
    <w:uiPriority w:val="0"/>
    <w:rPr>
      <w:color w:val="000000"/>
      <w:shd w:val="clear" w:color="auto" w:fill="FFFFFF"/>
    </w:rPr>
  </w:style>
  <w:style w:type="character" w:customStyle="1" w:styleId="75">
    <w:name w:val="副标题 Char"/>
    <w:link w:val="5"/>
    <w:qFormat/>
    <w:uiPriority w:val="99"/>
    <w:rPr>
      <w:rFonts w:ascii="Calibri Light" w:hAnsi="Calibri Light"/>
      <w:b/>
      <w:bCs/>
      <w:kern w:val="28"/>
      <w:sz w:val="32"/>
      <w:szCs w:val="32"/>
      <w:lang w:val="zh-CN"/>
    </w:rPr>
  </w:style>
  <w:style w:type="character" w:customStyle="1" w:styleId="76">
    <w:name w:val="样式8 Char"/>
    <w:link w:val="77"/>
    <w:qFormat/>
    <w:locked/>
    <w:uiPriority w:val="0"/>
    <w:rPr>
      <w:rFonts w:ascii="Calibri" w:hAnsi="Calibri"/>
      <w:szCs w:val="24"/>
    </w:rPr>
  </w:style>
  <w:style w:type="paragraph" w:customStyle="1" w:styleId="77">
    <w:name w:val="样式8"/>
    <w:basedOn w:val="1"/>
    <w:link w:val="76"/>
    <w:qFormat/>
    <w:uiPriority w:val="0"/>
    <w:rPr>
      <w:rFonts w:ascii="Calibri" w:hAnsi="Calibri" w:eastAsiaTheme="minorEastAsia" w:cstheme="minorBidi"/>
    </w:rPr>
  </w:style>
  <w:style w:type="character" w:customStyle="1" w:styleId="78">
    <w:name w:val="fontstyle21"/>
    <w:qFormat/>
    <w:uiPriority w:val="0"/>
    <w:rPr>
      <w:rFonts w:hint="eastAsia" w:ascii="仿宋_GB2312" w:hAnsi="Times New Roman" w:eastAsia="仿宋_GB2312" w:cs="Times New Roman"/>
      <w:color w:val="000000"/>
      <w:sz w:val="28"/>
      <w:szCs w:val="28"/>
    </w:rPr>
  </w:style>
  <w:style w:type="character" w:customStyle="1" w:styleId="79">
    <w:name w:val="样式2 Char"/>
    <w:link w:val="80"/>
    <w:qFormat/>
    <w:locked/>
    <w:uiPriority w:val="0"/>
    <w:rPr>
      <w:rFonts w:ascii="黑体" w:hAnsi="黑体" w:eastAsia="黑体"/>
      <w:sz w:val="28"/>
      <w:szCs w:val="28"/>
    </w:rPr>
  </w:style>
  <w:style w:type="paragraph" w:customStyle="1" w:styleId="80">
    <w:name w:val="样式2"/>
    <w:basedOn w:val="1"/>
    <w:link w:val="79"/>
    <w:qFormat/>
    <w:uiPriority w:val="0"/>
    <w:pPr>
      <w:spacing w:line="360" w:lineRule="auto"/>
    </w:pPr>
    <w:rPr>
      <w:rFonts w:ascii="黑体" w:hAnsi="黑体" w:eastAsia="黑体" w:cstheme="minorBidi"/>
      <w:sz w:val="28"/>
      <w:szCs w:val="28"/>
    </w:rPr>
  </w:style>
  <w:style w:type="character" w:customStyle="1" w:styleId="81">
    <w:name w:val="font11"/>
    <w:qFormat/>
    <w:uiPriority w:val="0"/>
    <w:rPr>
      <w:rFonts w:hint="default" w:ascii="Times New Roman" w:hAnsi="Times New Roman" w:eastAsia="宋体" w:cs="Times New Roman"/>
      <w:color w:val="000000"/>
      <w:sz w:val="21"/>
      <w:szCs w:val="21"/>
      <w:u w:val="none"/>
    </w:rPr>
  </w:style>
  <w:style w:type="character" w:customStyle="1" w:styleId="82">
    <w:name w:val="15"/>
    <w:qFormat/>
    <w:uiPriority w:val="0"/>
    <w:rPr>
      <w:rFonts w:hint="default" w:ascii="Times New Roman" w:hAnsi="Times New Roman" w:eastAsia="宋体" w:cs="Times New Roman"/>
      <w:b/>
    </w:rPr>
  </w:style>
  <w:style w:type="character" w:customStyle="1" w:styleId="83">
    <w:name w:val="纯文本 Char"/>
    <w:link w:val="15"/>
    <w:qFormat/>
    <w:uiPriority w:val="99"/>
    <w:rPr>
      <w:rFonts w:ascii="宋体" w:hAnsi="Courier New"/>
      <w:sz w:val="24"/>
    </w:rPr>
  </w:style>
  <w:style w:type="character" w:customStyle="1" w:styleId="84">
    <w:name w:val="bsharetext"/>
    <w:qFormat/>
    <w:uiPriority w:val="0"/>
  </w:style>
  <w:style w:type="character" w:customStyle="1" w:styleId="85">
    <w:name w:val="尾注文本 Char"/>
    <w:link w:val="18"/>
    <w:qFormat/>
    <w:uiPriority w:val="99"/>
    <w:rPr>
      <w:rFonts w:ascii="Calibri" w:hAnsi="Calibri"/>
      <w:szCs w:val="24"/>
    </w:rPr>
  </w:style>
  <w:style w:type="character" w:customStyle="1" w:styleId="86">
    <w:name w:val="NormalCharacter"/>
    <w:qFormat/>
    <w:uiPriority w:val="0"/>
    <w:rPr>
      <w:rFonts w:hint="default" w:ascii="Times New Roman" w:hAnsi="Times New Roman" w:eastAsia="宋体" w:cs="Times New Roman"/>
    </w:rPr>
  </w:style>
  <w:style w:type="character" w:customStyle="1" w:styleId="87">
    <w:name w:val="font21"/>
    <w:qFormat/>
    <w:uiPriority w:val="0"/>
    <w:rPr>
      <w:rFonts w:hint="eastAsia" w:ascii="仿宋_GB2312" w:hAnsi="Times New Roman" w:eastAsia="仿宋_GB2312" w:cs="仿宋_GB2312"/>
      <w:color w:val="000000"/>
      <w:sz w:val="21"/>
      <w:szCs w:val="21"/>
      <w:u w:val="none"/>
    </w:rPr>
  </w:style>
  <w:style w:type="character" w:customStyle="1" w:styleId="88">
    <w:name w:val="批注框文本 Char"/>
    <w:link w:val="19"/>
    <w:qFormat/>
    <w:uiPriority w:val="99"/>
    <w:rPr>
      <w:sz w:val="18"/>
      <w:szCs w:val="18"/>
    </w:rPr>
  </w:style>
  <w:style w:type="character" w:customStyle="1" w:styleId="89">
    <w:name w:val="UserStyle_13"/>
    <w:qFormat/>
    <w:uiPriority w:val="0"/>
    <w:rPr>
      <w:rFonts w:hint="eastAsia" w:ascii="仿宋" w:hAnsi="仿宋" w:eastAsia="宋体"/>
      <w:color w:val="000000"/>
      <w:sz w:val="32"/>
      <w:szCs w:val="32"/>
    </w:rPr>
  </w:style>
  <w:style w:type="character" w:customStyle="1" w:styleId="90">
    <w:name w:val="样式14 Char"/>
    <w:link w:val="91"/>
    <w:qFormat/>
    <w:locked/>
    <w:uiPriority w:val="0"/>
    <w:rPr>
      <w:rFonts w:ascii="黑体" w:hAnsi="黑体" w:eastAsia="黑体"/>
      <w:sz w:val="28"/>
      <w:szCs w:val="28"/>
    </w:rPr>
  </w:style>
  <w:style w:type="paragraph" w:customStyle="1" w:styleId="91">
    <w:name w:val="样式14"/>
    <w:basedOn w:val="1"/>
    <w:link w:val="90"/>
    <w:qFormat/>
    <w:uiPriority w:val="0"/>
    <w:pPr>
      <w:jc w:val="center"/>
    </w:pPr>
    <w:rPr>
      <w:rFonts w:ascii="黑体" w:hAnsi="黑体" w:eastAsia="黑体" w:cstheme="minorBidi"/>
      <w:sz w:val="28"/>
      <w:szCs w:val="28"/>
    </w:rPr>
  </w:style>
  <w:style w:type="character" w:customStyle="1" w:styleId="92">
    <w:name w:val="样式1 Char"/>
    <w:link w:val="93"/>
    <w:qFormat/>
    <w:locked/>
    <w:uiPriority w:val="0"/>
    <w:rPr>
      <w:rFonts w:ascii="仿宋_GB2312" w:eastAsia="仿宋_GB2312"/>
      <w:sz w:val="28"/>
      <w:szCs w:val="28"/>
      <w:lang w:val="zh-CN"/>
    </w:rPr>
  </w:style>
  <w:style w:type="paragraph" w:customStyle="1" w:styleId="93">
    <w:name w:val="样式1"/>
    <w:basedOn w:val="10"/>
    <w:link w:val="92"/>
    <w:qFormat/>
    <w:uiPriority w:val="0"/>
    <w:pPr>
      <w:widowControl/>
      <w:spacing w:line="240" w:lineRule="atLeast"/>
      <w:ind w:firstLine="560"/>
    </w:pPr>
    <w:rPr>
      <w:rFonts w:ascii="仿宋_GB2312" w:eastAsia="仿宋_GB2312" w:hAnsiTheme="minorHAnsi" w:cstheme="minorBidi"/>
      <w:sz w:val="28"/>
      <w:szCs w:val="28"/>
      <w:lang w:val="zh-CN"/>
    </w:rPr>
  </w:style>
  <w:style w:type="character" w:customStyle="1" w:styleId="94">
    <w:name w:val="hover92"/>
    <w:qFormat/>
    <w:uiPriority w:val="0"/>
    <w:rPr>
      <w:shd w:val="clear" w:color="auto" w:fill="C0DBF2"/>
    </w:rPr>
  </w:style>
  <w:style w:type="paragraph" w:customStyle="1" w:styleId="95">
    <w:name w:val="xl84"/>
    <w:basedOn w:val="1"/>
    <w:qFormat/>
    <w:uiPriority w:val="99"/>
    <w:pPr>
      <w:widowControl/>
      <w:pBdr>
        <w:bottom w:val="single" w:color="auto" w:sz="4" w:space="0"/>
      </w:pBdr>
      <w:spacing w:before="100" w:beforeAutospacing="1" w:after="100" w:afterAutospacing="1"/>
      <w:jc w:val="center"/>
    </w:pPr>
    <w:rPr>
      <w:rFonts w:ascii="宋体" w:hAnsi="宋体" w:cs="宋体"/>
      <w:i/>
      <w:iCs/>
      <w:kern w:val="0"/>
      <w:sz w:val="32"/>
      <w:szCs w:val="32"/>
    </w:rPr>
  </w:style>
  <w:style w:type="paragraph" w:customStyle="1" w:styleId="96">
    <w:name w:val="WPSOffice手动目录 1"/>
    <w:qFormat/>
    <w:uiPriority w:val="99"/>
    <w:rPr>
      <w:rFonts w:ascii="Calibri" w:hAnsi="Calibri" w:eastAsia="宋体" w:cs="Times New Roman"/>
      <w:kern w:val="0"/>
      <w:sz w:val="20"/>
      <w:szCs w:val="20"/>
      <w:lang w:val="en-US" w:eastAsia="zh-CN" w:bidi="ar-SA"/>
    </w:rPr>
  </w:style>
  <w:style w:type="character" w:customStyle="1" w:styleId="97">
    <w:name w:val="批注文字 Char1"/>
    <w:basedOn w:val="29"/>
    <w:semiHidden/>
    <w:uiPriority w:val="99"/>
    <w:rPr>
      <w:rFonts w:ascii="Times New Roman" w:hAnsi="Times New Roman" w:eastAsia="宋体" w:cs="Times New Roman"/>
      <w:szCs w:val="24"/>
    </w:rPr>
  </w:style>
  <w:style w:type="character" w:customStyle="1" w:styleId="98">
    <w:name w:val="日期 Char1"/>
    <w:basedOn w:val="29"/>
    <w:semiHidden/>
    <w:qFormat/>
    <w:uiPriority w:val="99"/>
    <w:rPr>
      <w:rFonts w:ascii="Times New Roman" w:hAnsi="Times New Roman" w:eastAsia="宋体" w:cs="Times New Roman"/>
      <w:szCs w:val="24"/>
    </w:rPr>
  </w:style>
  <w:style w:type="paragraph" w:customStyle="1" w:styleId="99">
    <w:name w:val="_Style 3"/>
    <w:basedOn w:val="1"/>
    <w:qFormat/>
    <w:uiPriority w:val="99"/>
  </w:style>
  <w:style w:type="character" w:customStyle="1" w:styleId="100">
    <w:name w:val="正文文本 Char"/>
    <w:basedOn w:val="29"/>
    <w:link w:val="12"/>
    <w:qFormat/>
    <w:uiPriority w:val="0"/>
    <w:rPr>
      <w:rFonts w:ascii="Times New Roman" w:hAnsi="Times New Roman" w:eastAsia="宋体" w:cs="Times New Roman"/>
      <w:szCs w:val="24"/>
    </w:rPr>
  </w:style>
  <w:style w:type="character" w:customStyle="1" w:styleId="101">
    <w:name w:val="批注主题 Char1"/>
    <w:basedOn w:val="97"/>
    <w:semiHidden/>
    <w:qFormat/>
    <w:uiPriority w:val="99"/>
    <w:rPr>
      <w:rFonts w:ascii="Times New Roman" w:hAnsi="Times New Roman" w:eastAsia="宋体" w:cs="Times New Roman"/>
      <w:b/>
      <w:bCs/>
      <w:szCs w:val="24"/>
    </w:rPr>
  </w:style>
  <w:style w:type="paragraph" w:customStyle="1" w:styleId="102">
    <w:name w:val="paragraph"/>
    <w:basedOn w:val="1"/>
    <w:qFormat/>
    <w:uiPriority w:val="99"/>
    <w:pPr>
      <w:widowControl/>
      <w:spacing w:before="100" w:beforeAutospacing="1" w:after="100" w:afterAutospacing="1"/>
      <w:jc w:val="left"/>
    </w:pPr>
    <w:rPr>
      <w:rFonts w:ascii="宋体" w:hAnsi="宋体" w:cs="宋体"/>
      <w:kern w:val="0"/>
      <w:sz w:val="24"/>
    </w:rPr>
  </w:style>
  <w:style w:type="character" w:customStyle="1" w:styleId="103">
    <w:name w:val="文档结构图 Char1"/>
    <w:basedOn w:val="29"/>
    <w:semiHidden/>
    <w:qFormat/>
    <w:uiPriority w:val="99"/>
    <w:rPr>
      <w:rFonts w:ascii="Microsoft YaHei UI" w:hAnsi="Times New Roman" w:eastAsia="Microsoft YaHei UI" w:cs="Times New Roman"/>
      <w:sz w:val="18"/>
      <w:szCs w:val="18"/>
    </w:rPr>
  </w:style>
  <w:style w:type="character" w:customStyle="1" w:styleId="104">
    <w:name w:val="标题 Char1"/>
    <w:basedOn w:val="29"/>
    <w:uiPriority w:val="10"/>
    <w:rPr>
      <w:rFonts w:eastAsia="宋体" w:asciiTheme="majorHAnsi" w:hAnsiTheme="majorHAnsi" w:cstheme="majorBidi"/>
      <w:b/>
      <w:bCs/>
      <w:sz w:val="32"/>
      <w:szCs w:val="32"/>
    </w:rPr>
  </w:style>
  <w:style w:type="character" w:customStyle="1" w:styleId="105">
    <w:name w:val="批注框文本 Char1"/>
    <w:basedOn w:val="29"/>
    <w:semiHidden/>
    <w:qFormat/>
    <w:uiPriority w:val="99"/>
    <w:rPr>
      <w:rFonts w:ascii="Times New Roman" w:hAnsi="Times New Roman" w:eastAsia="宋体" w:cs="Times New Roman"/>
      <w:sz w:val="18"/>
      <w:szCs w:val="18"/>
    </w:rPr>
  </w:style>
  <w:style w:type="paragraph" w:customStyle="1" w:styleId="106">
    <w:name w:val="样式6"/>
    <w:basedOn w:val="1"/>
    <w:qFormat/>
    <w:uiPriority w:val="99"/>
    <w:pPr>
      <w:spacing w:line="240" w:lineRule="atLeast"/>
      <w:ind w:firstLine="560" w:firstLineChars="200"/>
    </w:pPr>
    <w:rPr>
      <w:rFonts w:eastAsia="仿宋_GB2312"/>
      <w:sz w:val="28"/>
      <w:szCs w:val="28"/>
    </w:rPr>
  </w:style>
  <w:style w:type="character" w:customStyle="1" w:styleId="107">
    <w:name w:val="副标题 Char1"/>
    <w:basedOn w:val="29"/>
    <w:uiPriority w:val="11"/>
    <w:rPr>
      <w:rFonts w:eastAsia="宋体" w:asciiTheme="majorHAnsi" w:hAnsiTheme="majorHAnsi" w:cstheme="majorBidi"/>
      <w:b/>
      <w:bCs/>
      <w:kern w:val="28"/>
      <w:sz w:val="32"/>
      <w:szCs w:val="32"/>
    </w:rPr>
  </w:style>
  <w:style w:type="paragraph" w:customStyle="1" w:styleId="108">
    <w:name w:val="WPSOffice手动目录 3"/>
    <w:qFormat/>
    <w:uiPriority w:val="99"/>
    <w:pPr>
      <w:ind w:left="400" w:leftChars="400"/>
    </w:pPr>
    <w:rPr>
      <w:rFonts w:ascii="Calibri" w:hAnsi="Calibri" w:eastAsia="宋体" w:cs="Times New Roman"/>
      <w:kern w:val="0"/>
      <w:sz w:val="20"/>
      <w:szCs w:val="20"/>
      <w:lang w:val="en-US" w:eastAsia="zh-CN" w:bidi="ar-SA"/>
    </w:rPr>
  </w:style>
  <w:style w:type="paragraph" w:customStyle="1" w:styleId="109">
    <w:name w:val="TOC 标题1"/>
    <w:basedOn w:val="2"/>
    <w:next w:val="1"/>
    <w:qFormat/>
    <w:uiPriority w:val="99"/>
    <w:pPr>
      <w:keepNext/>
      <w:keepLines/>
      <w:widowControl/>
      <w:spacing w:before="240" w:afterLines="0" w:line="256" w:lineRule="auto"/>
      <w:jc w:val="left"/>
      <w:outlineLvl w:val="9"/>
    </w:pPr>
    <w:rPr>
      <w:rFonts w:ascii="Calibri Light" w:eastAsia="宋体" w:cs="Times New Roman"/>
      <w:color w:val="2E74B5"/>
      <w:kern w:val="0"/>
    </w:rPr>
  </w:style>
  <w:style w:type="paragraph" w:customStyle="1" w:styleId="110">
    <w:name w:val="WPSOffice手动目录 2"/>
    <w:qFormat/>
    <w:uiPriority w:val="99"/>
    <w:pPr>
      <w:ind w:left="200" w:leftChars="200"/>
    </w:pPr>
    <w:rPr>
      <w:rFonts w:ascii="Calibri" w:hAnsi="Calibri" w:eastAsia="宋体" w:cs="Times New Roman"/>
      <w:kern w:val="0"/>
      <w:sz w:val="20"/>
      <w:szCs w:val="20"/>
      <w:lang w:val="en-US" w:eastAsia="zh-CN" w:bidi="ar-SA"/>
    </w:rPr>
  </w:style>
  <w:style w:type="paragraph" w:customStyle="1" w:styleId="111">
    <w:name w:val="修订2"/>
    <w:qFormat/>
    <w:uiPriority w:val="99"/>
    <w:rPr>
      <w:rFonts w:ascii="Calibri" w:hAnsi="Calibri" w:eastAsia="宋体" w:cs="Times New Roman"/>
      <w:kern w:val="2"/>
      <w:sz w:val="21"/>
      <w:szCs w:val="24"/>
      <w:lang w:val="en-US" w:eastAsia="zh-CN" w:bidi="ar-SA"/>
    </w:rPr>
  </w:style>
  <w:style w:type="paragraph" w:customStyle="1" w:styleId="112">
    <w:name w:val="Char"/>
    <w:basedOn w:val="1"/>
    <w:qFormat/>
    <w:uiPriority w:val="99"/>
    <w:rPr>
      <w:rFonts w:ascii="Tahoma" w:hAnsi="Tahoma"/>
      <w:sz w:val="24"/>
    </w:rPr>
  </w:style>
  <w:style w:type="character" w:customStyle="1" w:styleId="113">
    <w:name w:val="纯文本 Char1"/>
    <w:basedOn w:val="29"/>
    <w:semiHidden/>
    <w:uiPriority w:val="99"/>
    <w:rPr>
      <w:rFonts w:ascii="宋体" w:hAnsi="Courier New" w:eastAsia="宋体" w:cs="Courier New"/>
      <w:szCs w:val="21"/>
    </w:rPr>
  </w:style>
  <w:style w:type="character" w:customStyle="1" w:styleId="114">
    <w:name w:val="尾注文本 Char1"/>
    <w:basedOn w:val="29"/>
    <w:semiHidden/>
    <w:uiPriority w:val="99"/>
    <w:rPr>
      <w:rFonts w:ascii="Times New Roman" w:hAnsi="Times New Roman" w:eastAsia="宋体" w:cs="Times New Roman"/>
      <w:szCs w:val="24"/>
    </w:rPr>
  </w:style>
  <w:style w:type="paragraph" w:customStyle="1" w:styleId="115">
    <w:name w:val="修订1"/>
    <w:qFormat/>
    <w:uiPriority w:val="99"/>
    <w:rPr>
      <w:rFonts w:ascii="Calibri" w:hAnsi="Calibri" w:eastAsia="宋体" w:cs="Times New Roman"/>
      <w:kern w:val="2"/>
      <w:sz w:val="21"/>
      <w:szCs w:val="24"/>
      <w:lang w:val="en-US" w:eastAsia="zh-CN" w:bidi="ar-SA"/>
    </w:rPr>
  </w:style>
  <w:style w:type="paragraph" w:customStyle="1" w:styleId="116">
    <w:name w:val="Default"/>
    <w:qFormat/>
    <w:uiPriority w:val="99"/>
    <w:pPr>
      <w:widowControl w:val="0"/>
      <w:autoSpaceDE w:val="0"/>
      <w:autoSpaceDN w:val="0"/>
      <w:adjustRightInd w:val="0"/>
    </w:pPr>
    <w:rPr>
      <w:rFonts w:ascii="仿宋_GB2312" w:hAnsi="仿宋_GB2312" w:eastAsia="仿宋_GB2312" w:cs="Times New Roman"/>
      <w:color w:val="000000"/>
      <w:kern w:val="0"/>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7917</Words>
  <Characters>45128</Characters>
  <Lines>376</Lines>
  <Paragraphs>105</Paragraphs>
  <TotalTime>0</TotalTime>
  <ScaleCrop>false</ScaleCrop>
  <LinksUpToDate>false</LinksUpToDate>
  <CharactersWithSpaces>52940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2021-08-02T07:11:00Z</dcterms:created>
  <dc:creator>邹宇</dc:creator>
  <cp:lastModifiedBy>宋静</cp:lastModifiedBy>
  <dcterms:modified xsi:type="dcterms:W3CDTF">2021-08-20T01:45:03Z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