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FFFFFF" w:sz="4" w:space="31"/>
        </w:pBdr>
        <w:tabs>
          <w:tab w:val="left" w:pos="1440"/>
        </w:tabs>
        <w:adjustRightInd w:val="0"/>
        <w:snapToGrid w:val="0"/>
        <w:spacing w:line="560" w:lineRule="exact"/>
        <w:ind w:firstLine="0" w:firstLineChars="0"/>
        <w:rPr>
          <w:rFonts w:ascii="黑体" w:hAnsi="黑体" w:eastAsia="黑体" w:cs="方正黑体_GBK"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黑体_GBK"/>
          <w:color w:val="000000"/>
          <w:szCs w:val="32"/>
        </w:rPr>
        <w:t>附件</w:t>
      </w:r>
    </w:p>
    <w:p>
      <w:pPr>
        <w:pBdr>
          <w:bottom w:val="single" w:color="FFFFFF" w:sz="4" w:space="31"/>
        </w:pBdr>
        <w:tabs>
          <w:tab w:val="left" w:pos="1440"/>
        </w:tabs>
        <w:adjustRightInd w:val="0"/>
        <w:snapToGrid w:val="0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</w:rPr>
        <w:t>2023年度科技专家服务团考核情况表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850"/>
        <w:gridCol w:w="8871"/>
        <w:gridCol w:w="100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56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专家服务团</w:t>
            </w: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名称</w:t>
            </w:r>
          </w:p>
        </w:tc>
        <w:tc>
          <w:tcPr>
            <w:tcW w:w="8871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主要工作成效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考核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等次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资助金额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656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资阳区科技专家服务团</w:t>
            </w:r>
          </w:p>
        </w:tc>
        <w:tc>
          <w:tcPr>
            <w:tcW w:w="8871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2023年，资阳科技专家服务团成员共100名，其中外籍专家1名，覆盖全区23个村和56家企业，培养返乡创业的农民工或大学生18人。技术引进推广实用新型技术14项，应用新型专利产品3个，申报国家发明专利1项。指导宇晶、鸿源稀土等3家企业成功申报省级专家工作站；全区举办培训班7次，培训农民1850多名，送科技资料6000余份，对口帮扶科技示范户650多户。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优秀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656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南县科技专家服务团</w:t>
            </w:r>
          </w:p>
        </w:tc>
        <w:tc>
          <w:tcPr>
            <w:tcW w:w="8871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2023年，南县科技专家服务团成员共85名。积极参与关键共性技术攻关，和湖南农大的教授共同筛选培育出了“稻虾香1号”“稻虾香2号”的稻虾米专用品种；开展产学研对接活动3次；引进和推广新技术、新品种10项，5家企业评选为科技专家服务团创新创业示范基地；完成1项科技成果评价和5项发明专利；培训农业经营主体大约8000人次；助力春耕生产，粮、棉、油、菜、虾比去年增产3%-25%；成功申报2023年省级科技特派员服务乡村振兴项目1个；积极参与“科技活动周”等活动，现场接受咨询4000多人次，发放宣传资料6000多册；湖南省打好科技创新攻坚仗第53期工作专报采用《南县：稻虾“携手”育出产业发展好“丰”景》。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优秀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656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沅江市科技专家服务团</w:t>
            </w:r>
          </w:p>
        </w:tc>
        <w:tc>
          <w:tcPr>
            <w:tcW w:w="8871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zh-CN"/>
              </w:rPr>
              <w:t>沅江市组建了100人的科技专家服务团，着力推进科技“下沉”服务，2023年主要工作成效有：编制四季红镇腐乳团体标准1个；创建省级研究中心1个、县级科技特派员工作站3个；入选湖南省第二批创新型县（市、区）培育建设名单；科技特派团短视频被省科技厅选为优秀作品送至科技部参评，协办湖南省骨干科技特派员培训班（益阳专场、约200人）；与高校签订《合作框架协议》2份，获批实用新型专利19项，省级媒体报道7次。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合格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656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安化县科技专家服务团</w:t>
            </w:r>
          </w:p>
        </w:tc>
        <w:tc>
          <w:tcPr>
            <w:tcW w:w="8871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lang w:val="zh-CN"/>
              </w:rPr>
              <w:t>安化县科技专家服务团共114人，分为农业技术类、医疗服务类、企业服务类三大类。今年以来，科技专家服务团紧紧围绕“打好科技创新攻坚仗”开展工作，以“专家工作站+示范点”为主线的纵向服务体系，全力壮大村集体经济，助力乡村振兴。全年举办茶叶、水果、中药材、畜禽、粮油等培训班100多期、培训近6000人次，突破安化柑桔品种改良试验研究等产业发展技术20项,开发灭虫装置及景观灯等新产品24项，引进或推广双季稻轮作等实用新型技术6项、新品种23项。依托资源禀赋，按照“一村一策”工作思路，为每个村集体培育1个特色支柱产业，形成“一村一品”的特色优势产业发展新格局，与200余个行政村一一结对帮扶，带动全县12000多户农户增产创收，村集体经济平均增收25.6万元，带动培养农村实用人才50名。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合格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656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赫山区科技专家服务团</w:t>
            </w:r>
          </w:p>
        </w:tc>
        <w:tc>
          <w:tcPr>
            <w:tcW w:w="8871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2023年，赫山区科技专家服务团总人数106人，自然人科技特派员146人。重点突出稻米、生猪、水产、蔬菜、竹筷、艾叶六大产业，建立示范基地20个，服务企业125家，合作社138个，农民增收1898户，辐射带动农民10.25万人，开展技术培训158次，培训实用型技术2.48万人，推广新技术40项，引进新品种24个，覆盖贫困村21个，结对帮扶85户。重点服务国家农业科技园区，开展低镉品种示范与专用品种培育，建成全省最大面积（2500亩）的镉低积累水稻品种试验示范基地，助力乡村振兴。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合格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656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cs="方正黑体_GBK" w:asciiTheme="minorEastAsia" w:hAnsiTheme="minorEastAsia" w:eastAsiaTheme="minorEastAsia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850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桃江县科技专家服务团</w:t>
            </w:r>
          </w:p>
        </w:tc>
        <w:tc>
          <w:tcPr>
            <w:tcW w:w="8871" w:type="dxa"/>
            <w:noWrap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桃江县专家服务团共有成员87人，2023年开展了科技活动周、全国科技工作者日、文化科技卫生“三下乡”等宣传活动。先后组织高校院所的专家教授来桃开展交流合作。组织企业申报高新技术企业（高企总数预计可达90家以上）。指导444家企业入库中小企业，技术合同已录入700多份，登记金额21.356亿元。组织企业参加创新创业大赛，大队长农业获省级优胜奖，入围参加国赛。组织企业开展各类平台建设工作。潇湘科技要素大市场桃江工作站申报成功。农业、林业、畜牧业各小组组织专家开展实地指导与技能培训，直接培训人数达到8000人，发放培训资料20000余份，开展培训班60余期，已形成“企业+专家+基地+农户”的服务模式。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合格</w:t>
            </w: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77" w:type="dxa"/>
            <w:gridSpan w:val="3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合         计</w:t>
            </w:r>
          </w:p>
        </w:tc>
        <w:tc>
          <w:tcPr>
            <w:tcW w:w="100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25" w:type="dxa"/>
            <w:noWrap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kern w:val="0"/>
                <w:sz w:val="21"/>
                <w:szCs w:val="21"/>
              </w:rPr>
              <w:t>70</w:t>
            </w:r>
          </w:p>
        </w:tc>
      </w:tr>
    </w:tbl>
    <w:p>
      <w:pPr>
        <w:pStyle w:val="2"/>
        <w:ind w:firstLine="360"/>
      </w:pPr>
    </w:p>
    <w:p>
      <w:pPr>
        <w:pStyle w:val="2"/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701" w:right="1418" w:bottom="1418" w:left="1418" w:header="851" w:footer="1474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方正楷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ind w:firstLine="0" w:firstLineChars="0"/>
      <w:jc w:val="center"/>
      <w:rPr>
        <w:rFonts w:asciiTheme="minorEastAsia" w:hAnsiTheme="minorEastAsia" w:eastAsiaTheme="minorEastAsia"/>
        <w:sz w:val="24"/>
        <w:szCs w:val="24"/>
      </w:rPr>
    </w:pPr>
    <w:r>
      <w:rPr>
        <w:rFonts w:hint="eastAsia" w:asciiTheme="minorEastAsia" w:hAnsiTheme="minorEastAsia" w:eastAsiaTheme="minorEastAsia"/>
        <w:sz w:val="24"/>
        <w:szCs w:val="24"/>
      </w:rPr>
      <w:t xml:space="preserve">－ </w:t>
    </w:r>
    <w:r>
      <w:rPr>
        <w:rFonts w:asciiTheme="minorEastAsia" w:hAnsiTheme="minorEastAsia" w:eastAsiaTheme="minorEastAsia"/>
        <w:sz w:val="24"/>
        <w:szCs w:val="24"/>
      </w:rPr>
      <w:fldChar w:fldCharType="begin"/>
    </w:r>
    <w:r>
      <w:rPr>
        <w:rFonts w:asciiTheme="minorEastAsia" w:hAnsiTheme="minorEastAsia" w:eastAsiaTheme="minorEastAsia"/>
        <w:sz w:val="24"/>
        <w:szCs w:val="24"/>
      </w:rPr>
      <w:instrText xml:space="preserve"> PAGE   \* MERGEFORMAT </w:instrText>
    </w:r>
    <w:r>
      <w:rPr>
        <w:rFonts w:asciiTheme="minorEastAsia" w:hAnsiTheme="minorEastAsia" w:eastAsiaTheme="minorEastAsia"/>
        <w:sz w:val="24"/>
        <w:szCs w:val="24"/>
      </w:rPr>
      <w:fldChar w:fldCharType="separate"/>
    </w:r>
    <w:r>
      <w:rPr>
        <w:rFonts w:asciiTheme="minorEastAsia" w:hAnsiTheme="minorEastAsia" w:eastAsiaTheme="minorEastAsia"/>
        <w:sz w:val="24"/>
        <w:szCs w:val="24"/>
        <w:lang w:val="zh-CN"/>
      </w:rPr>
      <w:t>1</w:t>
    </w:r>
    <w:r>
      <w:rPr>
        <w:rFonts w:asciiTheme="minorEastAsia" w:hAnsiTheme="minorEastAsia" w:eastAsiaTheme="minorEastAsia"/>
        <w:sz w:val="24"/>
        <w:szCs w:val="24"/>
      </w:rPr>
      <w:fldChar w:fldCharType="end"/>
    </w:r>
    <w:r>
      <w:rPr>
        <w:rFonts w:hint="eastAsia" w:asciiTheme="minorEastAsia" w:hAnsiTheme="minorEastAsia" w:eastAsiaTheme="minorEastAsia"/>
        <w:sz w:val="24"/>
        <w:szCs w:val="24"/>
      </w:rPr>
      <w:t xml:space="preserve"> 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" w:lineRule="exact"/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Zjg5ZDI3ZDBmYTc0ZDRkODk3ZTc4NGEyMGY1NGMifQ=="/>
  </w:docVars>
  <w:rsids>
    <w:rsidRoot w:val="5E665657"/>
    <w:rsid w:val="001A3840"/>
    <w:rsid w:val="00366DCC"/>
    <w:rsid w:val="00495C0E"/>
    <w:rsid w:val="004E44C8"/>
    <w:rsid w:val="004F7799"/>
    <w:rsid w:val="0053060B"/>
    <w:rsid w:val="00531EBC"/>
    <w:rsid w:val="005B2D1B"/>
    <w:rsid w:val="005B5BE7"/>
    <w:rsid w:val="006A6CDA"/>
    <w:rsid w:val="00AB5CF5"/>
    <w:rsid w:val="00B85181"/>
    <w:rsid w:val="00BC7C90"/>
    <w:rsid w:val="00DB57F7"/>
    <w:rsid w:val="00DD05AB"/>
    <w:rsid w:val="00E377ED"/>
    <w:rsid w:val="00E8310D"/>
    <w:rsid w:val="00F04E86"/>
    <w:rsid w:val="00F34D2B"/>
    <w:rsid w:val="00F61C71"/>
    <w:rsid w:val="13FBBAFF"/>
    <w:rsid w:val="4FDF45A0"/>
    <w:rsid w:val="5E665657"/>
    <w:rsid w:val="6FFF9AB3"/>
    <w:rsid w:val="7FFFC663"/>
    <w:rsid w:val="BBBF41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ind w:firstLine="562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lock Text"/>
    <w:basedOn w:val="1"/>
    <w:qFormat/>
    <w:uiPriority w:val="0"/>
    <w:pPr>
      <w:spacing w:line="360" w:lineRule="auto"/>
      <w:ind w:firstLine="720"/>
    </w:pPr>
    <w:rPr>
      <w:rFonts w:ascii="Times New Roman" w:hAnsi="Times New Roman" w:eastAsia="仿宋"/>
      <w:color w:val="000000"/>
      <w:kern w:val="0"/>
    </w:rPr>
  </w:style>
  <w:style w:type="paragraph" w:styleId="6">
    <w:name w:val="Balloon Text"/>
    <w:basedOn w:val="1"/>
    <w:link w:val="14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3">
    <w:name w:val="页脚 Char"/>
    <w:basedOn w:val="11"/>
    <w:link w:val="2"/>
    <w:qFormat/>
    <w:uiPriority w:val="99"/>
    <w:rPr>
      <w:rFonts w:ascii="Calibri" w:hAnsi="Calibri" w:eastAsia="仿宋_GB2312"/>
      <w:kern w:val="2"/>
      <w:sz w:val="18"/>
      <w:szCs w:val="18"/>
    </w:rPr>
  </w:style>
  <w:style w:type="character" w:customStyle="1" w:styleId="14">
    <w:name w:val="批注框文本 Char"/>
    <w:basedOn w:val="11"/>
    <w:link w:val="6"/>
    <w:qFormat/>
    <w:uiPriority w:val="0"/>
    <w:rPr>
      <w:rFonts w:ascii="Calibri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4</Pages>
  <Words>2114</Words>
  <Characters>271</Characters>
  <Lines>2</Lines>
  <Paragraphs>4</Paragraphs>
  <TotalTime>11</TotalTime>
  <ScaleCrop>false</ScaleCrop>
  <LinksUpToDate>false</LinksUpToDate>
  <CharactersWithSpaces>2381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2023-11-30T09:10:00Z</dcterms:created>
  <dc:creator>Administrator</dc:creator>
  <cp:lastModifiedBy>huawei</cp:lastModifiedBy>
  <cp:lastPrinted>2023-09-01T16:30:00Z</cp:lastPrinted>
  <dcterms:modified xsi:type="dcterms:W3CDTF">2023-11-30T14:47:25Z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5541AB2917A34F88BB54F13A59F1D2EC_11</vt:lpwstr>
  </property>
</Properties>
</file>