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topLinePunct w:val="0"/>
        <w:bidi w:val="0"/>
        <w:spacing w:line="520" w:lineRule="exact"/>
        <w:ind w:left="0" w:leftChars="0" w:right="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附件1</w:t>
      </w:r>
    </w:p>
    <w:p>
      <w:pPr>
        <w:pStyle w:val="2"/>
        <w:keepNext w:val="0"/>
        <w:keepLines w:val="0"/>
        <w:pageBreakBefore w:val="0"/>
        <w:kinsoku/>
        <w:wordWrap/>
        <w:topLinePunct w:val="0"/>
        <w:bidi w:val="0"/>
        <w:spacing w:line="520" w:lineRule="exact"/>
        <w:ind w:left="0" w:leftChars="0" w:right="0"/>
        <w:textAlignment w:val="auto"/>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0"/>
        <w:rPr>
          <w:rFonts w:hint="eastAsia" w:ascii="方正小标宋简体" w:hAnsi="微软雅黑" w:eastAsia="方正小标宋简体" w:cs="宋体"/>
          <w:b w:val="0"/>
          <w:bCs w:val="0"/>
          <w:kern w:val="36"/>
          <w:sz w:val="40"/>
          <w:szCs w:val="40"/>
          <w:lang w:val="en-US" w:eastAsia="zh-CN"/>
        </w:rPr>
      </w:pPr>
      <w:r>
        <w:rPr>
          <w:rFonts w:hint="eastAsia" w:ascii="方正小标宋简体" w:hAnsi="微软雅黑" w:eastAsia="方正小标宋简体" w:cs="宋体"/>
          <w:b w:val="0"/>
          <w:bCs w:val="0"/>
          <w:kern w:val="36"/>
          <w:sz w:val="40"/>
          <w:szCs w:val="40"/>
          <w:lang w:val="en-US" w:eastAsia="zh-CN"/>
        </w:rPr>
        <w:fldChar w:fldCharType="begin"/>
      </w:r>
      <w:r>
        <w:rPr>
          <w:rFonts w:hint="eastAsia" w:ascii="方正小标宋简体" w:hAnsi="微软雅黑" w:eastAsia="方正小标宋简体" w:cs="宋体"/>
          <w:b w:val="0"/>
          <w:bCs w:val="0"/>
          <w:kern w:val="36"/>
          <w:sz w:val="40"/>
          <w:szCs w:val="40"/>
          <w:lang w:val="en-US" w:eastAsia="zh-CN"/>
        </w:rPr>
        <w:instrText xml:space="preserve"> HYPERLINK "http://kjt.hunan.gov.cn/kjt/xxgk/xmxx/xmsb/202005/12122843/files/f6ce42c654f842b08cd9b6624651c789.docx" \t "_blank" </w:instrText>
      </w:r>
      <w:r>
        <w:rPr>
          <w:rFonts w:hint="eastAsia" w:ascii="方正小标宋简体" w:hAnsi="微软雅黑" w:eastAsia="方正小标宋简体" w:cs="宋体"/>
          <w:b w:val="0"/>
          <w:bCs w:val="0"/>
          <w:kern w:val="36"/>
          <w:sz w:val="40"/>
          <w:szCs w:val="40"/>
          <w:lang w:val="en-US" w:eastAsia="zh-CN"/>
        </w:rPr>
        <w:fldChar w:fldCharType="separate"/>
      </w:r>
      <w:r>
        <w:rPr>
          <w:rFonts w:hint="eastAsia" w:ascii="方正小标宋简体" w:hAnsi="微软雅黑" w:eastAsia="方正小标宋简体" w:cs="宋体"/>
          <w:b w:val="0"/>
          <w:bCs w:val="0"/>
          <w:kern w:val="36"/>
          <w:sz w:val="40"/>
          <w:szCs w:val="40"/>
          <w:lang w:val="en-US" w:eastAsia="zh-CN"/>
        </w:rPr>
        <w:t>2022年益阳市“揭榜挂帅”重大科技项目榜单</w:t>
      </w:r>
      <w:r>
        <w:rPr>
          <w:rFonts w:hint="eastAsia" w:ascii="方正小标宋简体" w:hAnsi="微软雅黑" w:eastAsia="方正小标宋简体" w:cs="宋体"/>
          <w:b w:val="0"/>
          <w:bCs w:val="0"/>
          <w:kern w:val="36"/>
          <w:sz w:val="40"/>
          <w:szCs w:val="40"/>
          <w:lang w:val="en-US" w:eastAsia="zh-CN"/>
        </w:rPr>
        <w:fldChar w:fldCharType="end"/>
      </w:r>
    </w:p>
    <w:p>
      <w:pPr>
        <w:overflowPunct w:val="0"/>
        <w:adjustRightInd w:val="0"/>
        <w:snapToGrid w:val="0"/>
        <w:spacing w:line="520" w:lineRule="exact"/>
        <w:ind w:firstLine="640" w:firstLineChars="200"/>
        <w:rPr>
          <w:rFonts w:hint="eastAsia" w:ascii="黑体" w:hAnsi="黑体" w:eastAsia="黑体" w:cs="黑体"/>
          <w:sz w:val="32"/>
          <w:szCs w:val="32"/>
        </w:rPr>
      </w:pPr>
    </w:p>
    <w:p>
      <w:pPr>
        <w:overflowPunct w:val="0"/>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项目1</w:t>
      </w:r>
    </w:p>
    <w:p>
      <w:pPr>
        <w:overflowPunct w:val="0"/>
        <w:adjustRightInd w:val="0"/>
        <w:snapToGrid w:val="0"/>
        <w:spacing w:line="520" w:lineRule="exact"/>
        <w:ind w:firstLine="643" w:firstLineChars="200"/>
        <w:jc w:val="left"/>
        <w:rPr>
          <w:rFonts w:ascii="楷体_GB2312" w:hAnsi="楷体_GB2312" w:eastAsia="楷体_GB2312" w:cs="楷体_GB2312"/>
          <w:bCs/>
          <w:sz w:val="32"/>
          <w:szCs w:val="32"/>
        </w:rPr>
      </w:pPr>
      <w:r>
        <w:rPr>
          <w:rFonts w:hint="eastAsia" w:ascii="楷体_GB2312" w:hAnsi="楷体_GB2312" w:eastAsia="楷体_GB2312" w:cs="楷体_GB2312"/>
          <w:b/>
          <w:sz w:val="32"/>
          <w:szCs w:val="32"/>
        </w:rPr>
        <w:t>项目名称：</w:t>
      </w:r>
      <w:r>
        <w:rPr>
          <w:rFonts w:hint="eastAsia" w:ascii="楷体_GB2312" w:hAnsi="楷体_GB2312" w:eastAsia="楷体_GB2312" w:cs="楷体_GB2312"/>
          <w:bCs/>
          <w:sz w:val="32"/>
          <w:szCs w:val="32"/>
        </w:rPr>
        <w:t>新一代汽车（新能源车）电子用高可靠性铝电解电容器核心技术</w:t>
      </w:r>
    </w:p>
    <w:p>
      <w:pPr>
        <w:overflowPunct w:val="0"/>
        <w:adjustRightInd w:val="0"/>
        <w:snapToGrid w:val="0"/>
        <w:spacing w:line="520" w:lineRule="exact"/>
        <w:ind w:firstLine="643" w:firstLineChars="200"/>
        <w:jc w:val="left"/>
        <w:rPr>
          <w:rFonts w:ascii="楷体_GB2312" w:hAnsi="楷体_GB2312" w:eastAsia="楷体_GB2312" w:cs="楷体_GB2312"/>
          <w:bCs/>
          <w:sz w:val="32"/>
          <w:szCs w:val="32"/>
        </w:rPr>
      </w:pPr>
      <w:r>
        <w:rPr>
          <w:rFonts w:hint="eastAsia" w:ascii="楷体_GB2312" w:hAnsi="楷体_GB2312" w:eastAsia="楷体_GB2312" w:cs="楷体_GB2312"/>
          <w:b/>
          <w:sz w:val="32"/>
          <w:szCs w:val="32"/>
        </w:rPr>
        <w:t>发榜单位：</w:t>
      </w:r>
      <w:r>
        <w:rPr>
          <w:rFonts w:hint="eastAsia" w:ascii="楷体_GB2312" w:hAnsi="楷体_GB2312" w:eastAsia="楷体_GB2312" w:cs="楷体_GB2312"/>
          <w:bCs/>
          <w:sz w:val="32"/>
          <w:szCs w:val="32"/>
        </w:rPr>
        <w:t>湖南艾华集团股份有限公司</w:t>
      </w:r>
    </w:p>
    <w:p>
      <w:pPr>
        <w:pStyle w:val="2"/>
        <w:spacing w:line="520" w:lineRule="exact"/>
        <w:ind w:firstLine="643" w:firstLineChars="200"/>
        <w:rPr>
          <w:rFonts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攻关任务：</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基于增材制造的高比容电子铝箔：针对传统腐蚀箔成本高和比容低的问题，突破间接式3D打印制备三维多孔高纯电子铝箔（积层箔）技术，实现积层箔电化学特性与机械特性的匹配与协调控制。针对性开发积层箔阳极氧化技术，制备出多种满足铝电解电容器阳极箔耐压和比容要求的阳极箔。</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2.无水电解液开发与应用：开发以二甲基甲酰胺（DMF）、γ-丁内酯和二甲基乙酰胺（DMA）为主的无水电解液体系（含水量≤0.5%），确定此类电解液的稳定参数体系，包括低漏电流和高可靠性，实现-55℃-+150℃宽温长寿命。</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3.电容器用关键橡胶材料研发与应用: 车载用电容器需适应各种极端工作环境，针对性的开发多种新型橡胶塞，使其在高温、高氧含量、高水含量、高温差等各类型极限环境下，保证对电容器芯包的保护作用。</w:t>
      </w:r>
    </w:p>
    <w:p>
      <w:pPr>
        <w:pStyle w:val="2"/>
        <w:spacing w:line="520" w:lineRule="exact"/>
        <w:ind w:left="210" w:leftChars="100" w:firstLine="320" w:firstLineChars="1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4.电容器应用与可靠性模型：建立电容器关键参数数据库和电容器多物理场仿真模型，实现对不同工况下电容器电-热场模拟，不断改进与优化电容器设计，提高电容器可靠性。</w:t>
      </w:r>
    </w:p>
    <w:p>
      <w:pPr>
        <w:pStyle w:val="2"/>
        <w:spacing w:line="520" w:lineRule="exact"/>
        <w:ind w:firstLine="643"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b/>
          <w:bCs/>
          <w:color w:val="auto"/>
          <w:kern w:val="2"/>
          <w:sz w:val="32"/>
          <w:szCs w:val="32"/>
        </w:rPr>
        <w:t>技术指标:</w:t>
      </w:r>
      <w:r>
        <w:rPr>
          <w:rFonts w:hint="eastAsia" w:ascii="Times New Roman" w:hAnsi="Times New Roman" w:eastAsia="仿宋_GB2312" w:cs="仿宋_GB2312"/>
          <w:color w:val="auto"/>
          <w:kern w:val="2"/>
          <w:sz w:val="32"/>
          <w:szCs w:val="32"/>
        </w:rPr>
        <w:t xml:space="preserve"> </w:t>
      </w:r>
    </w:p>
    <w:p>
      <w:pPr>
        <w:numPr>
          <w:ilvl w:val="0"/>
          <w:numId w:val="0"/>
        </w:numPr>
        <w:overflowPunct w:val="0"/>
        <w:adjustRightInd w:val="0"/>
        <w:snapToGrid w:val="0"/>
        <w:spacing w:line="52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铝箔厚度130um，520V化成电压下，比容&gt;0.95uf/cm2；</w:t>
      </w:r>
      <w:r>
        <w:rPr>
          <w:rFonts w:hint="eastAsia" w:ascii="Times New Roman" w:hAnsi="Times New Roman" w:eastAsia="仿宋_GB2312" w:cs="仿宋_GB2312"/>
          <w:sz w:val="32"/>
          <w:szCs w:val="32"/>
          <w:lang w:val="en-US" w:eastAsia="zh-CN"/>
        </w:rPr>
        <w:t xml:space="preserve"> </w:t>
      </w:r>
    </w:p>
    <w:p>
      <w:pPr>
        <w:numPr>
          <w:ilvl w:val="0"/>
          <w:numId w:val="0"/>
        </w:numPr>
        <w:overflowPunct w:val="0"/>
        <w:adjustRightInd w:val="0"/>
        <w:snapToGrid w:val="0"/>
        <w:spacing w:line="520" w:lineRule="exact"/>
        <w:ind w:firstLine="640" w:firstLineChars="200"/>
        <w:rPr>
          <w:rFonts w:ascii="Times New Roman" w:hAnsi="Times New Roman" w:eastAsia="仿宋_GB2312" w:cs="仿宋_GB2312"/>
          <w:color w:val="auto"/>
          <w:kern w:val="2"/>
          <w:sz w:val="32"/>
          <w:szCs w:val="32"/>
        </w:rPr>
      </w:pPr>
      <w:r>
        <w:rPr>
          <w:rFonts w:ascii="黑体" w:hAnsi="黑体" w:eastAsia="黑体" w:cs="黑体"/>
          <w:sz w:val="32"/>
          <w:szCs w:val="32"/>
        </w:rPr>
        <w:t>2.</w:t>
      </w:r>
      <w:r>
        <w:rPr>
          <w:rFonts w:hint="eastAsia" w:ascii="Times New Roman" w:hAnsi="Times New Roman" w:eastAsia="仿宋_GB2312" w:cs="仿宋_GB2312"/>
          <w:color w:val="auto"/>
          <w:kern w:val="2"/>
          <w:sz w:val="32"/>
          <w:szCs w:val="32"/>
        </w:rPr>
        <w:t>橡胶塞溶媒透过性≤2</w:t>
      </w:r>
      <w:r>
        <w:rPr>
          <w:rFonts w:ascii="Times New Roman" w:hAnsi="Times New Roman" w:eastAsia="仿宋_GB2312" w:cs="仿宋_GB2312"/>
          <w:color w:val="auto"/>
          <w:kern w:val="2"/>
          <w:sz w:val="32"/>
          <w:szCs w:val="32"/>
        </w:rPr>
        <w:t>mg.mm/cm</w:t>
      </w:r>
      <w:r>
        <w:rPr>
          <w:rFonts w:ascii="Times New Roman" w:hAnsi="Times New Roman" w:eastAsia="仿宋_GB2312" w:cs="仿宋_GB2312"/>
          <w:color w:val="auto"/>
          <w:kern w:val="2"/>
          <w:sz w:val="32"/>
          <w:szCs w:val="32"/>
          <w:vertAlign w:val="superscript"/>
        </w:rPr>
        <w:t>2</w:t>
      </w:r>
      <w:r>
        <w:rPr>
          <w:rFonts w:hint="eastAsia" w:ascii="Times New Roman" w:hAnsi="Times New Roman" w:eastAsia="仿宋_GB2312" w:cs="仿宋_GB2312"/>
          <w:color w:val="auto"/>
          <w:kern w:val="2"/>
          <w:sz w:val="32"/>
          <w:szCs w:val="32"/>
        </w:rPr>
        <w:t>；1</w:t>
      </w:r>
      <w:r>
        <w:rPr>
          <w:rFonts w:ascii="Times New Roman" w:hAnsi="Times New Roman" w:eastAsia="仿宋_GB2312" w:cs="仿宋_GB2312"/>
          <w:color w:val="auto"/>
          <w:kern w:val="2"/>
          <w:sz w:val="32"/>
          <w:szCs w:val="32"/>
        </w:rPr>
        <w:t>05</w:t>
      </w:r>
      <w:r>
        <w:rPr>
          <w:rFonts w:hint="eastAsia" w:ascii="Times New Roman" w:hAnsi="Times New Roman" w:eastAsia="仿宋_GB2312" w:cs="仿宋_GB2312"/>
          <w:color w:val="auto"/>
          <w:kern w:val="2"/>
          <w:sz w:val="32"/>
          <w:szCs w:val="32"/>
        </w:rPr>
        <w:t>℃</w:t>
      </w:r>
      <w:r>
        <w:rPr>
          <w:rFonts w:ascii="Times New Roman" w:hAnsi="Times New Roman" w:eastAsia="仿宋_GB2312" w:cs="仿宋_GB2312"/>
          <w:color w:val="auto"/>
          <w:kern w:val="2"/>
          <w:sz w:val="32"/>
          <w:szCs w:val="32"/>
        </w:rPr>
        <w:t>100</w:t>
      </w:r>
      <w:r>
        <w:rPr>
          <w:rFonts w:hint="eastAsia" w:ascii="Times New Roman" w:hAnsi="Times New Roman" w:eastAsia="仿宋_GB2312" w:cs="仿宋_GB2312"/>
          <w:color w:val="auto"/>
          <w:kern w:val="2"/>
          <w:sz w:val="32"/>
          <w:szCs w:val="32"/>
        </w:rPr>
        <w:t>h热老化实验后硬度与初始硬度比较在±</w:t>
      </w:r>
      <w:r>
        <w:rPr>
          <w:rFonts w:ascii="Times New Roman" w:hAnsi="Times New Roman" w:eastAsia="仿宋_GB2312" w:cs="仿宋_GB2312"/>
          <w:color w:val="auto"/>
          <w:kern w:val="2"/>
          <w:sz w:val="32"/>
          <w:szCs w:val="32"/>
        </w:rPr>
        <w:t>5</w:t>
      </w:r>
      <w:r>
        <w:rPr>
          <w:rFonts w:hint="eastAsia" w:ascii="Times New Roman" w:hAnsi="Times New Roman" w:eastAsia="仿宋_GB2312" w:cs="仿宋_GB2312"/>
          <w:color w:val="auto"/>
          <w:kern w:val="2"/>
          <w:sz w:val="32"/>
          <w:szCs w:val="32"/>
        </w:rPr>
        <w:t>邵尔度以内；</w:t>
      </w:r>
    </w:p>
    <w:p>
      <w:pPr>
        <w:keepNext w:val="0"/>
        <w:keepLines w:val="0"/>
        <w:pageBreakBefore w:val="0"/>
        <w:widowControl/>
        <w:shd w:val="clear" w:color="auto" w:fill="FFFFFF"/>
        <w:kinsoku/>
        <w:wordWrap/>
        <w:topLinePunct w:val="0"/>
        <w:autoSpaceDE/>
        <w:autoSpaceDN/>
        <w:bidi w:val="0"/>
        <w:spacing w:line="520" w:lineRule="exact"/>
        <w:ind w:left="0" w:leftChars="0" w:right="0" w:firstLine="640" w:firstLineChars="200"/>
        <w:jc w:val="left"/>
        <w:textAlignment w:val="auto"/>
        <w:rPr>
          <w:rFonts w:hint="eastAsia" w:ascii="Times New Roman" w:hAnsi="Times New Roman" w:eastAsia="仿宋_GB2312" w:cs="仿宋_GB2312"/>
          <w:kern w:val="0"/>
          <w:sz w:val="32"/>
          <w:szCs w:val="32"/>
        </w:rPr>
      </w:pPr>
      <w:r>
        <w:rPr>
          <w:rFonts w:ascii="Times New Roman" w:hAnsi="Times New Roman" w:eastAsia="仿宋_GB2312" w:cs="仿宋_GB2312"/>
          <w:color w:val="auto"/>
          <w:kern w:val="2"/>
          <w:sz w:val="32"/>
          <w:szCs w:val="32"/>
        </w:rPr>
        <w:t>3</w:t>
      </w:r>
      <w:r>
        <w:rPr>
          <w:rFonts w:hint="eastAsia" w:ascii="Times New Roman" w:hAnsi="Times New Roman" w:eastAsia="仿宋_GB2312" w:cs="仿宋_GB2312"/>
          <w:color w:val="auto"/>
          <w:kern w:val="2"/>
          <w:sz w:val="32"/>
          <w:szCs w:val="32"/>
        </w:rPr>
        <w:t>.电容器寿命：1</w:t>
      </w:r>
      <w:r>
        <w:rPr>
          <w:rFonts w:ascii="Times New Roman" w:hAnsi="Times New Roman" w:eastAsia="仿宋_GB2312" w:cs="仿宋_GB2312"/>
          <w:color w:val="auto"/>
          <w:kern w:val="2"/>
          <w:sz w:val="32"/>
          <w:szCs w:val="32"/>
        </w:rPr>
        <w:t>30</w:t>
      </w:r>
      <w:r>
        <w:rPr>
          <w:rFonts w:hint="eastAsia" w:ascii="Times New Roman" w:hAnsi="Times New Roman" w:eastAsia="仿宋_GB2312" w:cs="仿宋_GB2312"/>
          <w:color w:val="auto"/>
          <w:kern w:val="2"/>
          <w:sz w:val="32"/>
          <w:szCs w:val="32"/>
        </w:rPr>
        <w:t xml:space="preserve">℃ </w:t>
      </w:r>
      <w:r>
        <w:rPr>
          <w:rFonts w:ascii="Times New Roman" w:hAnsi="Times New Roman" w:eastAsia="仿宋_GB2312" w:cs="仿宋_GB2312"/>
          <w:color w:val="auto"/>
          <w:kern w:val="2"/>
          <w:sz w:val="32"/>
          <w:szCs w:val="32"/>
        </w:rPr>
        <w:t>3</w:t>
      </w:r>
      <w:r>
        <w:rPr>
          <w:rFonts w:hint="eastAsia" w:ascii="Times New Roman" w:hAnsi="Times New Roman" w:eastAsia="仿宋_GB2312" w:cs="仿宋_GB2312"/>
          <w:color w:val="auto"/>
          <w:kern w:val="2"/>
          <w:sz w:val="32"/>
          <w:szCs w:val="32"/>
        </w:rPr>
        <w:t>000h；抗振等级≥3</w:t>
      </w:r>
      <w:r>
        <w:rPr>
          <w:rFonts w:ascii="Times New Roman" w:hAnsi="Times New Roman" w:eastAsia="仿宋_GB2312" w:cs="仿宋_GB2312"/>
          <w:color w:val="auto"/>
          <w:kern w:val="2"/>
          <w:sz w:val="32"/>
          <w:szCs w:val="32"/>
        </w:rPr>
        <w:t>0</w:t>
      </w:r>
      <w:r>
        <w:rPr>
          <w:rFonts w:hint="eastAsia" w:ascii="Times New Roman" w:hAnsi="Times New Roman" w:eastAsia="仿宋_GB2312" w:cs="仿宋_GB2312"/>
          <w:color w:val="auto"/>
          <w:kern w:val="2"/>
          <w:sz w:val="32"/>
          <w:szCs w:val="32"/>
        </w:rPr>
        <w:t>G；-40℃下使用电容量下降幅度低于20%。</w:t>
      </w: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color w:val="auto"/>
          <w:sz w:val="32"/>
          <w:szCs w:val="32"/>
        </w:rPr>
      </w:pPr>
    </w:p>
    <w:p>
      <w:pPr>
        <w:overflowPunct w:val="0"/>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项目2</w:t>
      </w:r>
    </w:p>
    <w:p>
      <w:pPr>
        <w:overflowPunct w:val="0"/>
        <w:adjustRightInd w:val="0"/>
        <w:snapToGrid w:val="0"/>
        <w:spacing w:line="520" w:lineRule="exact"/>
        <w:ind w:firstLine="643" w:firstLineChars="200"/>
        <w:jc w:val="left"/>
        <w:rPr>
          <w:rFonts w:ascii="楷体_GB2312" w:hAnsi="楷体_GB2312" w:eastAsia="楷体_GB2312" w:cs="楷体_GB2312"/>
          <w:bCs/>
          <w:sz w:val="32"/>
          <w:szCs w:val="32"/>
        </w:rPr>
      </w:pPr>
      <w:r>
        <w:rPr>
          <w:rFonts w:hint="eastAsia" w:ascii="楷体_GB2312" w:hAnsi="楷体_GB2312" w:eastAsia="楷体_GB2312" w:cs="楷体_GB2312"/>
          <w:b/>
          <w:sz w:val="32"/>
          <w:szCs w:val="32"/>
        </w:rPr>
        <w:t>项目名称：</w:t>
      </w:r>
      <w:r>
        <w:rPr>
          <w:rFonts w:hint="eastAsia" w:ascii="楷体_GB2312" w:hAnsi="楷体_GB2312" w:eastAsia="楷体_GB2312" w:cs="楷体_GB2312"/>
          <w:bCs/>
          <w:sz w:val="32"/>
          <w:szCs w:val="32"/>
        </w:rPr>
        <w:t>大尺寸硬脆基片超精密表面加工装备核心技术</w:t>
      </w:r>
    </w:p>
    <w:p>
      <w:pPr>
        <w:overflowPunct w:val="0"/>
        <w:adjustRightInd w:val="0"/>
        <w:snapToGrid w:val="0"/>
        <w:spacing w:line="520" w:lineRule="exact"/>
        <w:ind w:firstLine="643" w:firstLineChars="200"/>
        <w:jc w:val="left"/>
        <w:rPr>
          <w:rFonts w:ascii="楷体_GB2312" w:hAnsi="楷体_GB2312" w:eastAsia="楷体_GB2312" w:cs="楷体_GB2312"/>
          <w:bCs/>
          <w:sz w:val="32"/>
          <w:szCs w:val="32"/>
        </w:rPr>
      </w:pPr>
      <w:r>
        <w:rPr>
          <w:rFonts w:hint="eastAsia" w:ascii="楷体_GB2312" w:hAnsi="楷体_GB2312" w:eastAsia="楷体_GB2312" w:cs="楷体_GB2312"/>
          <w:b/>
          <w:sz w:val="32"/>
          <w:szCs w:val="32"/>
        </w:rPr>
        <w:t>发榜单位：</w:t>
      </w:r>
      <w:r>
        <w:rPr>
          <w:rFonts w:hint="eastAsia" w:ascii="楷体_GB2312" w:hAnsi="楷体_GB2312" w:eastAsia="楷体_GB2312" w:cs="楷体_GB2312"/>
          <w:bCs/>
          <w:sz w:val="32"/>
          <w:szCs w:val="32"/>
        </w:rPr>
        <w:t>湖南宇晶机器股份有限公司</w:t>
      </w:r>
    </w:p>
    <w:p>
      <w:pPr>
        <w:pStyle w:val="2"/>
        <w:spacing w:line="520" w:lineRule="exact"/>
        <w:ind w:firstLine="643" w:firstLineChars="200"/>
        <w:rPr>
          <w:rFonts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攻关任务：</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1.装备主机磨盘与工件相对运动模式分析与优化</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上、下磨盘相对运动速度、工件自转轨迹分析与优化；</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下磨盘主轴系统结构设计与分析；</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上磨盘主轴系统结构设计与分析。</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2.加工过程磨盘-工件热力耦合控制的新方法</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加工压力分阶段控制、具备反馈功能的柔性加压系统设计；</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磨盘工作区间温度控制、水冷系统设计；</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3.加工装备动态性能与服役可靠性</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机架、磨盘主轴、上磨盘加压系统等关键结构的固有振动特性分析及优化设计；</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磨盘驱动、润滑密封等关键参数和结构的选取与优化；</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磨盘主轴支承、配合等关键零部件的服役可靠性分析和寿命预测。</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4.加工表面质量参数检测技术</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研究纳米精度面型、超光滑表面、表面完整性等加工表面质量参数在线测量硬件构架；</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研究多源测量信号处理技术；</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研究加工-测量一体化闭环控制技术。</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5.大尺寸硬脆材料超精密表面制造装备集成</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完成整机结构方案设计；</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建立零部件模型和整机装配模型；</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完成自制件工程图、整机装配图和BOM表；</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整机控制系统设计；</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完成样机装配和调试。</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6.自动上、下料系统集成</w:t>
      </w:r>
    </w:p>
    <w:p>
      <w:pPr>
        <w:pStyle w:val="2"/>
        <w:spacing w:line="52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基于表面制造装备主机结构的自动上、下料执行机构选型与设计，模块化自动上、下料系统集成。</w:t>
      </w:r>
    </w:p>
    <w:p>
      <w:pPr>
        <w:pStyle w:val="2"/>
        <w:spacing w:line="520" w:lineRule="exact"/>
        <w:ind w:firstLine="643"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b/>
          <w:bCs/>
          <w:color w:val="auto"/>
          <w:kern w:val="2"/>
          <w:sz w:val="32"/>
          <w:szCs w:val="32"/>
        </w:rPr>
        <w:t>技术指标：</w:t>
      </w:r>
      <w:r>
        <w:rPr>
          <w:rFonts w:hint="eastAsia" w:ascii="Times New Roman" w:hAnsi="Times New Roman" w:eastAsia="仿宋_GB2312" w:cs="仿宋_GB2312"/>
          <w:color w:val="auto"/>
          <w:kern w:val="2"/>
          <w:sz w:val="32"/>
          <w:szCs w:val="32"/>
        </w:rPr>
        <w:t>形成原理样机1台，适应8英寸Si、SiC等硬脆材料基片，基片厚度≤725</w:t>
      </w:r>
      <w:r>
        <w:rPr>
          <w:rFonts w:ascii="Times New Roman" w:hAnsi="Times New Roman" w:eastAsia="仿宋_GB2312" w:cs="Times New Roman"/>
          <w:color w:val="auto"/>
          <w:kern w:val="2"/>
          <w:sz w:val="32"/>
          <w:szCs w:val="32"/>
        </w:rPr>
        <w:t>μm</w:t>
      </w:r>
      <w:r>
        <w:rPr>
          <w:rFonts w:hint="eastAsia" w:ascii="Times New Roman" w:hAnsi="Times New Roman" w:eastAsia="仿宋_GB2312" w:cs="仿宋_GB2312"/>
          <w:color w:val="auto"/>
          <w:kern w:val="2"/>
          <w:sz w:val="32"/>
          <w:szCs w:val="32"/>
        </w:rPr>
        <w:t>；主机磨盘结合面工作温度≤35℃；上磨盘加压范围0~10000N、可调；基片TTV≤3</w:t>
      </w:r>
      <w:r>
        <w:rPr>
          <w:rFonts w:ascii="Times New Roman" w:hAnsi="Times New Roman" w:eastAsia="仿宋_GB2312" w:cs="Times New Roman"/>
          <w:color w:val="auto"/>
          <w:kern w:val="2"/>
          <w:sz w:val="32"/>
          <w:szCs w:val="32"/>
        </w:rPr>
        <w:t>μm</w:t>
      </w:r>
      <w:r>
        <w:rPr>
          <w:rFonts w:hint="eastAsia" w:ascii="Times New Roman" w:hAnsi="Times New Roman" w:eastAsia="仿宋_GB2312" w:cs="仿宋_GB2312"/>
          <w:color w:val="auto"/>
          <w:kern w:val="2"/>
          <w:sz w:val="32"/>
          <w:szCs w:val="32"/>
        </w:rPr>
        <w:t>，表面粗糙度Ra≤1nm；整机重量≤10吨；申请发明专利≥5项。</w:t>
      </w: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3</w:t>
      </w:r>
    </w:p>
    <w:p>
      <w:pPr>
        <w:keepNext w:val="0"/>
        <w:keepLines w:val="0"/>
        <w:pageBreakBefore w:val="0"/>
        <w:widowControl w:val="0"/>
        <w:kinsoku/>
        <w:wordWrap/>
        <w:topLinePunct w:val="0"/>
        <w:autoSpaceDE/>
        <w:autoSpaceDN/>
        <w:bidi w:val="0"/>
        <w:spacing w:line="520" w:lineRule="exact"/>
        <w:ind w:firstLine="643"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楷体_GB2312" w:hAnsi="楷体_GB2312" w:eastAsia="楷体_GB2312" w:cs="楷体_GB2312"/>
          <w:b/>
          <w:color w:val="auto"/>
          <w:sz w:val="32"/>
          <w:szCs w:val="32"/>
          <w:lang w:val="en-US" w:eastAsia="zh-CN"/>
        </w:rPr>
        <w:t>项目名称</w:t>
      </w:r>
      <w:r>
        <w:rPr>
          <w:rFonts w:hint="eastAsia"/>
          <w:lang w:val="en-US" w:eastAsia="zh-CN"/>
        </w:rPr>
        <w:t>：</w:t>
      </w:r>
      <w:r>
        <w:rPr>
          <w:rFonts w:hint="eastAsia" w:ascii="楷体_GB2312" w:hAnsi="楷体_GB2312" w:eastAsia="楷体_GB2312" w:cs="楷体_GB2312"/>
          <w:bCs/>
          <w:sz w:val="32"/>
          <w:szCs w:val="32"/>
          <w:lang w:val="en-US" w:eastAsia="zh-CN"/>
        </w:rPr>
        <w:t>配电网高阻接地故障检测技术研究</w:t>
      </w:r>
    </w:p>
    <w:p>
      <w:pPr>
        <w:keepNext w:val="0"/>
        <w:keepLines w:val="0"/>
        <w:pageBreakBefore w:val="0"/>
        <w:widowControl w:val="0"/>
        <w:kinsoku/>
        <w:wordWrap/>
        <w:topLinePunct w:val="0"/>
        <w:autoSpaceDE/>
        <w:autoSpaceDN/>
        <w:bidi w:val="0"/>
        <w:spacing w:line="520" w:lineRule="exact"/>
        <w:ind w:firstLine="643" w:firstLineChars="200"/>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
          <w:color w:val="auto"/>
          <w:sz w:val="32"/>
          <w:szCs w:val="32"/>
          <w:lang w:val="en-US" w:eastAsia="zh-CN"/>
        </w:rPr>
        <w:t>发榜单位</w:t>
      </w:r>
      <w:r>
        <w:rPr>
          <w:rFonts w:hint="eastAsia" w:ascii="仿宋_GB2312" w:eastAsia="仿宋_GB2312"/>
          <w:sz w:val="28"/>
          <w:szCs w:val="28"/>
          <w:lang w:val="en-US" w:eastAsia="zh-CN"/>
        </w:rPr>
        <w:t>：</w:t>
      </w:r>
      <w:r>
        <w:rPr>
          <w:rFonts w:hint="eastAsia" w:ascii="楷体_GB2312" w:hAnsi="楷体_GB2312" w:eastAsia="楷体_GB2312" w:cs="楷体_GB2312"/>
          <w:bCs/>
          <w:sz w:val="32"/>
          <w:szCs w:val="32"/>
          <w:lang w:val="en-US" w:eastAsia="zh-CN"/>
        </w:rPr>
        <w:t>湖南三木电气股份有限公司</w:t>
      </w:r>
    </w:p>
    <w:p>
      <w:pPr>
        <w:keepNext w:val="0"/>
        <w:keepLines w:val="0"/>
        <w:pageBreakBefore w:val="0"/>
        <w:widowControl w:val="0"/>
        <w:kinsoku/>
        <w:wordWrap/>
        <w:topLinePunct w:val="0"/>
        <w:autoSpaceDE/>
        <w:autoSpaceDN/>
        <w:bidi w:val="0"/>
        <w:snapToGrid w:val="0"/>
        <w:spacing w:line="520" w:lineRule="exact"/>
        <w:ind w:left="0" w:leftChars="0" w:right="0" w:firstLine="643" w:firstLineChars="200"/>
        <w:jc w:val="left"/>
        <w:textAlignment w:val="auto"/>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攻关任务：</w:t>
      </w:r>
    </w:p>
    <w:p>
      <w:pPr>
        <w:keepNext w:val="0"/>
        <w:keepLines w:val="0"/>
        <w:pageBreakBefore w:val="0"/>
        <w:widowControl w:val="0"/>
        <w:kinsoku/>
        <w:wordWrap/>
        <w:topLinePunct w:val="0"/>
        <w:autoSpaceDE/>
        <w:autoSpaceDN/>
        <w:bidi w:val="0"/>
        <w:snapToGrid w:val="0"/>
        <w:spacing w:line="520" w:lineRule="exact"/>
        <w:ind w:left="90" w:leftChars="43"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（1）提炼出高阻接地故障的典型暂稳态故障特征，并提出高阻接地故障检测方法；</w:t>
      </w:r>
    </w:p>
    <w:p>
      <w:pPr>
        <w:keepNext w:val="0"/>
        <w:keepLines w:val="0"/>
        <w:pageBreakBefore w:val="0"/>
        <w:widowControl w:val="0"/>
        <w:kinsoku/>
        <w:wordWrap/>
        <w:topLinePunct w:val="0"/>
        <w:autoSpaceDE/>
        <w:autoSpaceDN/>
        <w:bidi w:val="0"/>
        <w:snapToGrid w:val="0"/>
        <w:spacing w:line="520" w:lineRule="exact"/>
        <w:ind w:left="90" w:leftChars="43"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 xml:space="preserve">（2）研制出高阻接地故障检测装置，通过实验室和现场的试验；使高阻接地故障检测的方法和装置实用化。基于此目标，项目研究过程针对高阻接地故障时故障电流的间歇特性、暂态行波特性和对检测灵敏度和选择性的要求，要实现的技术成果如下：  </w:t>
      </w:r>
    </w:p>
    <w:p>
      <w:pPr>
        <w:keepNext w:val="0"/>
        <w:keepLines w:val="0"/>
        <w:pageBreakBefore w:val="0"/>
        <w:widowControl w:val="0"/>
        <w:kinsoku/>
        <w:wordWrap/>
        <w:topLinePunct w:val="0"/>
        <w:autoSpaceDE/>
        <w:autoSpaceDN/>
        <w:bidi w:val="0"/>
        <w:snapToGrid w:val="0"/>
        <w:spacing w:line="520" w:lineRule="exact"/>
        <w:ind w:left="90" w:leftChars="43"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理论成果：针对传统电弧模型依赖热平衡方程的弊端，基于固体介质电击穿原理，提出配电线路高阻接地故障非线性电阻模型，精确描绘电弧的动态时域特性；提出基于行波的高频暂态高阻接地故障分析模型，弥补现有国际上高阻接地故障检测分析主要依赖频域特性的弊端；检测算法从频域角度，提出基于三次谐波与基波相位比较的检测算法，以及针对间歇性故障的基于希尔伯特变换的瞬时功率检测算法，从时域角度重点关注电弧电流过零点波形畸变的特征，提出零序电流波形畸变凹凸性的检测新算法，以及基于弧光电阻非线性识别的高阻接地方法，相比频域检测方法，要大幅提高检测的精度；同时也要基于行波原理的灵敏高阻接地故障检测算法，原理上要克服中性点接地方式的影响。</w:t>
      </w:r>
    </w:p>
    <w:p>
      <w:pPr>
        <w:keepNext w:val="0"/>
        <w:keepLines w:val="0"/>
        <w:pageBreakBefore w:val="0"/>
        <w:widowControl w:val="0"/>
        <w:kinsoku/>
        <w:wordWrap/>
        <w:topLinePunct w:val="0"/>
        <w:autoSpaceDE/>
        <w:autoSpaceDN/>
        <w:bidi w:val="0"/>
        <w:snapToGrid w:val="0"/>
        <w:spacing w:line="520" w:lineRule="exact"/>
        <w:ind w:left="90" w:leftChars="43"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应用成果：基于频域和间歇性检测算法的高阻接地故障检测装置，要通过现场实验室物理测试，达到实用化水平。</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firstLine="643" w:firstLineChars="200"/>
        <w:jc w:val="left"/>
        <w:textAlignment w:val="auto"/>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技术指标：</w:t>
      </w:r>
    </w:p>
    <w:p>
      <w:pPr>
        <w:keepNext w:val="0"/>
        <w:keepLines w:val="0"/>
        <w:pageBreakBefore w:val="0"/>
        <w:widowControl w:val="0"/>
        <w:kinsoku/>
        <w:wordWrap/>
        <w:topLinePunct w:val="0"/>
        <w:autoSpaceDE/>
        <w:autoSpaceDN/>
        <w:bidi w:val="0"/>
        <w:snapToGrid w:val="0"/>
        <w:spacing w:line="520" w:lineRule="exact"/>
        <w:ind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1.环境温度：</w:t>
      </w:r>
    </w:p>
    <w:p>
      <w:pPr>
        <w:keepNext w:val="0"/>
        <w:keepLines w:val="0"/>
        <w:pageBreakBefore w:val="0"/>
        <w:widowControl w:val="0"/>
        <w:kinsoku/>
        <w:wordWrap/>
        <w:topLinePunct w:val="0"/>
        <w:autoSpaceDE/>
        <w:autoSpaceDN/>
        <w:bidi w:val="0"/>
        <w:snapToGrid w:val="0"/>
        <w:spacing w:line="520" w:lineRule="exact"/>
        <w:ind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0℃～+45℃，相对湿度：≤85%RH</w:t>
      </w:r>
    </w:p>
    <w:p>
      <w:pPr>
        <w:keepNext w:val="0"/>
        <w:keepLines w:val="0"/>
        <w:pageBreakBefore w:val="0"/>
        <w:widowControl w:val="0"/>
        <w:kinsoku/>
        <w:wordWrap/>
        <w:topLinePunct w:val="0"/>
        <w:autoSpaceDE/>
        <w:autoSpaceDN/>
        <w:bidi w:val="0"/>
        <w:snapToGrid w:val="0"/>
        <w:spacing w:line="520" w:lineRule="exact"/>
        <w:ind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2.测量范围及恒流值（有效值）：</w:t>
      </w:r>
    </w:p>
    <w:p>
      <w:pPr>
        <w:keepNext w:val="0"/>
        <w:keepLines w:val="0"/>
        <w:pageBreakBefore w:val="0"/>
        <w:widowControl w:val="0"/>
        <w:kinsoku/>
        <w:wordWrap/>
        <w:topLinePunct w:val="0"/>
        <w:autoSpaceDE/>
        <w:autoSpaceDN/>
        <w:bidi w:val="0"/>
        <w:snapToGrid w:val="0"/>
        <w:spacing w:line="520" w:lineRule="exact"/>
        <w:ind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电阻：0～2Ω（10mA），2～20Ω（10mA），20～200Ω（1mA）</w:t>
      </w:r>
    </w:p>
    <w:p>
      <w:pPr>
        <w:keepNext w:val="0"/>
        <w:keepLines w:val="0"/>
        <w:pageBreakBefore w:val="0"/>
        <w:widowControl w:val="0"/>
        <w:kinsoku/>
        <w:wordWrap/>
        <w:topLinePunct w:val="0"/>
        <w:autoSpaceDE/>
        <w:autoSpaceDN/>
        <w:bidi w:val="0"/>
        <w:snapToGrid w:val="0"/>
        <w:spacing w:line="520" w:lineRule="exact"/>
        <w:ind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电压：AC 0～20V</w:t>
      </w:r>
    </w:p>
    <w:p>
      <w:pPr>
        <w:keepNext w:val="0"/>
        <w:keepLines w:val="0"/>
        <w:pageBreakBefore w:val="0"/>
        <w:widowControl w:val="0"/>
        <w:kinsoku/>
        <w:wordWrap/>
        <w:topLinePunct w:val="0"/>
        <w:autoSpaceDE/>
        <w:autoSpaceDN/>
        <w:bidi w:val="0"/>
        <w:snapToGrid w:val="0"/>
        <w:spacing w:line="520" w:lineRule="exact"/>
        <w:ind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3.测量精度及分辨率：</w:t>
      </w:r>
    </w:p>
    <w:p>
      <w:pPr>
        <w:keepNext w:val="0"/>
        <w:keepLines w:val="0"/>
        <w:pageBreakBefore w:val="0"/>
        <w:widowControl w:val="0"/>
        <w:kinsoku/>
        <w:wordWrap/>
        <w:topLinePunct w:val="0"/>
        <w:autoSpaceDE/>
        <w:autoSpaceDN/>
        <w:bidi w:val="0"/>
        <w:snapToGrid w:val="0"/>
        <w:spacing w:line="520" w:lineRule="exact"/>
        <w:ind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精度：0～0.2Ω≤0.1，0.2Ω～200Ω≤2101～20V≤21</w:t>
      </w:r>
    </w:p>
    <w:p>
      <w:pPr>
        <w:keepNext w:val="0"/>
        <w:keepLines w:val="0"/>
        <w:pageBreakBefore w:val="0"/>
        <w:widowControl w:val="0"/>
        <w:kinsoku/>
        <w:wordWrap/>
        <w:topLinePunct w:val="0"/>
        <w:autoSpaceDE/>
        <w:autoSpaceDN/>
        <w:bidi w:val="0"/>
        <w:snapToGrid w:val="0"/>
        <w:spacing w:line="520" w:lineRule="exact"/>
        <w:ind w:right="26" w:firstLine="640" w:firstLineChars="200"/>
        <w:jc w:val="lef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分辨率：0.001Ω、0.01Ω、0.1Ω、0.01</w:t>
      </w:r>
    </w:p>
    <w:p>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0" w:rightChars="0" w:firstLine="643" w:firstLineChars="200"/>
        <w:jc w:val="left"/>
        <w:textAlignment w:val="auto"/>
        <w:outlineLvl w:val="9"/>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color w:val="auto"/>
          <w:sz w:val="32"/>
          <w:szCs w:val="32"/>
        </w:rPr>
        <w:t>项目名称：</w:t>
      </w:r>
      <w:r>
        <w:rPr>
          <w:rFonts w:hint="eastAsia" w:ascii="楷体_GB2312" w:hAnsi="楷体_GB2312" w:eastAsia="楷体_GB2312" w:cs="楷体_GB2312"/>
          <w:b w:val="0"/>
          <w:bCs/>
          <w:color w:val="auto"/>
          <w:kern w:val="2"/>
          <w:sz w:val="32"/>
          <w:szCs w:val="32"/>
          <w:lang w:val="en-US" w:eastAsia="zh-CN" w:bidi="ar-SA"/>
        </w:rPr>
        <w:t>造纸黑液（木质素）替代橡胶制品用炭黑的应用技术研究</w:t>
      </w:r>
    </w:p>
    <w:p>
      <w:pPr>
        <w:pStyle w:val="2"/>
        <w:keepNext w:val="0"/>
        <w:keepLines w:val="0"/>
        <w:pageBreakBefore w:val="0"/>
        <w:kinsoku/>
        <w:wordWrap/>
        <w:topLinePunct w:val="0"/>
        <w:bidi w:val="0"/>
        <w:spacing w:line="520" w:lineRule="exact"/>
        <w:ind w:left="0" w:leftChars="0" w:right="0" w:firstLine="643" w:firstLineChars="200"/>
        <w:textAlignment w:val="auto"/>
        <w:rPr>
          <w:rFonts w:hint="eastAsia" w:ascii="黑体" w:hAnsi="黑体" w:eastAsia="黑体" w:cs="黑体"/>
          <w:b w:val="0"/>
          <w:bCs/>
          <w:color w:val="auto"/>
          <w:sz w:val="32"/>
          <w:szCs w:val="32"/>
        </w:rPr>
      </w:pPr>
      <w:r>
        <w:rPr>
          <w:rFonts w:hint="eastAsia" w:ascii="楷体_GB2312" w:hAnsi="楷体_GB2312" w:eastAsia="楷体_GB2312" w:cs="楷体_GB2312"/>
          <w:b/>
          <w:color w:val="auto"/>
          <w:sz w:val="32"/>
          <w:szCs w:val="32"/>
          <w:lang w:eastAsia="zh-CN"/>
        </w:rPr>
        <w:t>发榜单位</w:t>
      </w:r>
      <w:r>
        <w:rPr>
          <w:rFonts w:hint="eastAsia" w:ascii="楷体_GB2312" w:hAnsi="楷体_GB2312" w:eastAsia="楷体_GB2312" w:cs="楷体_GB2312"/>
          <w:b/>
          <w:color w:val="auto"/>
          <w:sz w:val="32"/>
          <w:szCs w:val="32"/>
        </w:rPr>
        <w:t>：</w:t>
      </w:r>
      <w:r>
        <w:rPr>
          <w:rFonts w:hint="eastAsia" w:ascii="楷体_GB2312" w:hAnsi="楷体_GB2312" w:eastAsia="楷体_GB2312" w:cs="楷体_GB2312"/>
          <w:b w:val="0"/>
          <w:bCs/>
          <w:color w:val="auto"/>
          <w:sz w:val="32"/>
          <w:szCs w:val="32"/>
        </w:rPr>
        <w:t>湖南布林特橡塑厂有限公司</w:t>
      </w:r>
    </w:p>
    <w:p>
      <w:pPr>
        <w:keepNext w:val="0"/>
        <w:keepLines w:val="0"/>
        <w:pageBreakBefore w:val="0"/>
        <w:numPr>
          <w:ilvl w:val="-1"/>
          <w:numId w:val="0"/>
        </w:numPr>
        <w:kinsoku/>
        <w:wordWrap/>
        <w:topLinePunct w:val="0"/>
        <w:bidi w:val="0"/>
        <w:spacing w:line="520" w:lineRule="exact"/>
        <w:ind w:left="0" w:leftChars="0" w:right="0" w:firstLine="643"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攻关任务：</w:t>
      </w:r>
      <w:r>
        <w:rPr>
          <w:rFonts w:hint="eastAsia" w:ascii="Times New Roman" w:hAnsi="Times New Roman" w:eastAsia="仿宋_GB2312" w:cs="仿宋_GB2312"/>
          <w:color w:val="auto"/>
          <w:kern w:val="2"/>
          <w:sz w:val="32"/>
          <w:szCs w:val="32"/>
          <w:lang w:val="en-US" w:eastAsia="zh-CN" w:bidi="ar-SA"/>
        </w:rPr>
        <w:t>研究以粘土絮凝处理造纸黑液，并通过纳米技术处理得到可应用于橡胶制品的填料。项目技术的关键在于将造纸黑液与无机粘土有机结合，使所制备的填料兼具生物质材料和无机粘土的性能优势，同时又能在橡胶基体中达到纳米分散，显著改善橡胶制品的性能。该技术可以直接处理造纸黑液，变废为宝，大大减少处理黑液的费用和资源，同时因为可以替代炭黑，减少使用石化资源，获得生态效益。</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1.以天然粘土作絮凝剂处理造纸黑液制备由短纤维、木质素、粘土等组成的新型生物质纳米填料。</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2.新型生物质纳米填料在橡胶制品中替代炭黑的应用研究，获得新型生物质纳米填料。</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研究开发出各类符合应用要求的橡胶制品配方；制作样品。通过自主实验和检测以及第三方权威机构检验检测，获得性能参数数据；开展中试，获得产品应用场景性能数据。完成生物质纳米填料和其填充橡胶制品的工业化生产和应用所需实验和检测准备。</w:t>
      </w:r>
    </w:p>
    <w:p>
      <w:pPr>
        <w:keepNext w:val="0"/>
        <w:keepLines w:val="0"/>
        <w:pageBreakBefore w:val="0"/>
        <w:kinsoku/>
        <w:wordWrap/>
        <w:topLinePunct w:val="0"/>
        <w:bidi w:val="0"/>
        <w:spacing w:line="520" w:lineRule="exact"/>
        <w:ind w:left="0" w:leftChars="0" w:right="0" w:firstLine="643"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技术指标：</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1.填料在橡胶基体中的分散相筹尺寸≤100nm；</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2.填料填充材料拉伸强度和拉断伸长率大于等于炭黑N330填充材料，因此可以替代炭黑；</w:t>
      </w:r>
    </w:p>
    <w:p>
      <w:pPr>
        <w:keepNext w:val="0"/>
        <w:keepLines w:val="0"/>
        <w:pageBreakBefore w:val="0"/>
        <w:numPr>
          <w:ilvl w:val="-1"/>
          <w:numId w:val="0"/>
        </w:numPr>
        <w:kinsoku/>
        <w:wordWrap/>
        <w:topLinePunct w:val="0"/>
        <w:bidi w:val="0"/>
        <w:spacing w:line="520" w:lineRule="exact"/>
        <w:ind w:left="0" w:leftChars="0" w:right="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3.母胶、制品各项性能实验室测试数据达到国家标准或行业标准；</w:t>
      </w:r>
    </w:p>
    <w:p>
      <w:pPr>
        <w:pStyle w:val="2"/>
        <w:keepNext w:val="0"/>
        <w:keepLines w:val="0"/>
        <w:pageBreakBefore w:val="0"/>
        <w:kinsoku/>
        <w:wordWrap/>
        <w:topLinePunct w:val="0"/>
        <w:bidi w:val="0"/>
        <w:spacing w:line="520" w:lineRule="exact"/>
        <w:ind w:left="0" w:leftChars="0" w:right="0" w:firstLine="640" w:firstLineChars="200"/>
        <w:textAlignment w:val="auto"/>
        <w:rPr>
          <w:rFonts w:hint="eastAsia" w:ascii="黑体" w:hAnsi="黑体" w:eastAsia="黑体" w:cs="黑体"/>
          <w:color w:val="auto"/>
          <w:sz w:val="32"/>
          <w:szCs w:val="32"/>
        </w:rPr>
      </w:pPr>
      <w:r>
        <w:rPr>
          <w:rFonts w:hint="eastAsia" w:ascii="Times New Roman" w:hAnsi="Times New Roman" w:eastAsia="仿宋_GB2312" w:cs="仿宋_GB2312"/>
          <w:color w:val="auto"/>
          <w:kern w:val="2"/>
          <w:sz w:val="32"/>
          <w:szCs w:val="32"/>
          <w:lang w:val="en-US" w:eastAsia="zh-CN" w:bidi="ar-SA"/>
        </w:rPr>
        <w:t>4.产品性能满足客户要求，销售价格有竞争优势。</w:t>
      </w:r>
    </w:p>
    <w:p>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Times New Roman" w:hAnsi="Times New Roman" w:eastAsia="仿宋_GB2312" w:cs="仿宋_GB2312"/>
          <w:kern w:val="2"/>
          <w:sz w:val="32"/>
          <w:szCs w:val="32"/>
        </w:rPr>
      </w:pPr>
    </w:p>
    <w:sectPr>
      <w:headerReference r:id="rId3" w:type="default"/>
      <w:footerReference r:id="rId4" w:type="default"/>
      <w:pgSz w:w="11906" w:h="16838"/>
      <w:pgMar w:top="1814" w:right="1531" w:bottom="1531"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楷体">
    <w:altName w:val="楷体"/>
    <w:panose1 w:val="02010604000101010101"/>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ind w:left="350" w:right="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tabs>
                              <w:tab w:val="clear" w:pos="4153"/>
                              <w:tab w:val="clear" w:pos="8306"/>
                            </w:tabs>
                            <w:ind w:left="350" w:right="360"/>
                            <w:jc w:val="both"/>
                            <w:rPr>
                              <w:rFonts w:hint="default" w:ascii="Times New Roman" w:hAnsi="Times New Roman" w:cs="Times New Roman"/>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Style w:val="20"/>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20"/>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11"/>
                      <w:tabs>
                        <w:tab w:val="clear" w:pos="4153"/>
                        <w:tab w:val="clear" w:pos="8306"/>
                      </w:tabs>
                      <w:ind w:left="350" w:right="360"/>
                      <w:jc w:val="both"/>
                      <w:rPr>
                        <w:rFonts w:hint="default" w:ascii="Times New Roman" w:hAnsi="Times New Roman" w:cs="Times New Roman"/>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Style w:val="20"/>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20"/>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YTZiNGZmZjI1NDc0YTRhYzdkYWYzMzNjNzFlZmMifQ=="/>
  </w:docVars>
  <w:rsids>
    <w:rsidRoot w:val="00BB4282"/>
    <w:rsid w:val="000303C9"/>
    <w:rsid w:val="00072CAF"/>
    <w:rsid w:val="000D1A88"/>
    <w:rsid w:val="000F68EE"/>
    <w:rsid w:val="00125F51"/>
    <w:rsid w:val="00153343"/>
    <w:rsid w:val="0016096F"/>
    <w:rsid w:val="001A4378"/>
    <w:rsid w:val="001D5B79"/>
    <w:rsid w:val="001F727A"/>
    <w:rsid w:val="00210F74"/>
    <w:rsid w:val="00264C98"/>
    <w:rsid w:val="002C06E9"/>
    <w:rsid w:val="003A38CD"/>
    <w:rsid w:val="003C7F6E"/>
    <w:rsid w:val="003D21EF"/>
    <w:rsid w:val="003E2FFE"/>
    <w:rsid w:val="0042644E"/>
    <w:rsid w:val="00444CCD"/>
    <w:rsid w:val="00491233"/>
    <w:rsid w:val="004C61D0"/>
    <w:rsid w:val="00536D3B"/>
    <w:rsid w:val="005B09B1"/>
    <w:rsid w:val="006021C7"/>
    <w:rsid w:val="00611A5A"/>
    <w:rsid w:val="00657CE5"/>
    <w:rsid w:val="00661FD9"/>
    <w:rsid w:val="006B5DE7"/>
    <w:rsid w:val="006B70AE"/>
    <w:rsid w:val="006F2A1F"/>
    <w:rsid w:val="007053E4"/>
    <w:rsid w:val="007230FF"/>
    <w:rsid w:val="00725B64"/>
    <w:rsid w:val="0079147E"/>
    <w:rsid w:val="007B375C"/>
    <w:rsid w:val="007F46E7"/>
    <w:rsid w:val="00882A78"/>
    <w:rsid w:val="008D15A6"/>
    <w:rsid w:val="008E78F9"/>
    <w:rsid w:val="00933244"/>
    <w:rsid w:val="0097230D"/>
    <w:rsid w:val="009C0340"/>
    <w:rsid w:val="009E27E4"/>
    <w:rsid w:val="00A01D43"/>
    <w:rsid w:val="00A0729D"/>
    <w:rsid w:val="00A37095"/>
    <w:rsid w:val="00A64831"/>
    <w:rsid w:val="00AB74DD"/>
    <w:rsid w:val="00AD48F3"/>
    <w:rsid w:val="00B34B62"/>
    <w:rsid w:val="00B47165"/>
    <w:rsid w:val="00B6555A"/>
    <w:rsid w:val="00B708D0"/>
    <w:rsid w:val="00B964BC"/>
    <w:rsid w:val="00BB4282"/>
    <w:rsid w:val="00CB61C9"/>
    <w:rsid w:val="00CC5937"/>
    <w:rsid w:val="00CD44E6"/>
    <w:rsid w:val="00CE5B8C"/>
    <w:rsid w:val="00D24EE6"/>
    <w:rsid w:val="00D63A99"/>
    <w:rsid w:val="00D92EB9"/>
    <w:rsid w:val="00DA6368"/>
    <w:rsid w:val="00DB1BFE"/>
    <w:rsid w:val="00DB6EEB"/>
    <w:rsid w:val="00DE1626"/>
    <w:rsid w:val="00DE3587"/>
    <w:rsid w:val="00DF297F"/>
    <w:rsid w:val="00E24519"/>
    <w:rsid w:val="00E43BBC"/>
    <w:rsid w:val="00E579C2"/>
    <w:rsid w:val="00E66B8C"/>
    <w:rsid w:val="00F06D0D"/>
    <w:rsid w:val="00F70F5C"/>
    <w:rsid w:val="00F75978"/>
    <w:rsid w:val="00F92094"/>
    <w:rsid w:val="05EF530B"/>
    <w:rsid w:val="07635F9A"/>
    <w:rsid w:val="09110855"/>
    <w:rsid w:val="0BD201D9"/>
    <w:rsid w:val="0C1F7517"/>
    <w:rsid w:val="0D57785B"/>
    <w:rsid w:val="0F6815DE"/>
    <w:rsid w:val="107D4C0F"/>
    <w:rsid w:val="12744621"/>
    <w:rsid w:val="153547DB"/>
    <w:rsid w:val="155D5D13"/>
    <w:rsid w:val="17FF528A"/>
    <w:rsid w:val="18621A53"/>
    <w:rsid w:val="19F37965"/>
    <w:rsid w:val="20245A86"/>
    <w:rsid w:val="2071562A"/>
    <w:rsid w:val="22A36D5E"/>
    <w:rsid w:val="28033CF3"/>
    <w:rsid w:val="2A556B45"/>
    <w:rsid w:val="2C2FDF2F"/>
    <w:rsid w:val="2D103237"/>
    <w:rsid w:val="2F077F48"/>
    <w:rsid w:val="2F1F1FA1"/>
    <w:rsid w:val="2F214216"/>
    <w:rsid w:val="301674FD"/>
    <w:rsid w:val="30F06795"/>
    <w:rsid w:val="31C30013"/>
    <w:rsid w:val="333A6387"/>
    <w:rsid w:val="334529D1"/>
    <w:rsid w:val="36312B49"/>
    <w:rsid w:val="364E5AFB"/>
    <w:rsid w:val="377F99F9"/>
    <w:rsid w:val="398532C9"/>
    <w:rsid w:val="3BFF8830"/>
    <w:rsid w:val="3D3B6767"/>
    <w:rsid w:val="3EFFAEDF"/>
    <w:rsid w:val="3FB32854"/>
    <w:rsid w:val="40AA7253"/>
    <w:rsid w:val="44E80344"/>
    <w:rsid w:val="49041A82"/>
    <w:rsid w:val="493348A7"/>
    <w:rsid w:val="4A6B74B7"/>
    <w:rsid w:val="4B8A1D7B"/>
    <w:rsid w:val="4BFE9F99"/>
    <w:rsid w:val="4C1A5365"/>
    <w:rsid w:val="4F4C0B68"/>
    <w:rsid w:val="50D04F16"/>
    <w:rsid w:val="536F492B"/>
    <w:rsid w:val="569D3D74"/>
    <w:rsid w:val="58F254E9"/>
    <w:rsid w:val="59227B5A"/>
    <w:rsid w:val="59F57E62"/>
    <w:rsid w:val="5A3F3AB0"/>
    <w:rsid w:val="5B1677BD"/>
    <w:rsid w:val="5BF5F8FC"/>
    <w:rsid w:val="5CA21B71"/>
    <w:rsid w:val="5D7A5072"/>
    <w:rsid w:val="5DD35E03"/>
    <w:rsid w:val="5EE7DD9F"/>
    <w:rsid w:val="5F5FB4AC"/>
    <w:rsid w:val="61ED2248"/>
    <w:rsid w:val="623E18CA"/>
    <w:rsid w:val="62E460F0"/>
    <w:rsid w:val="62EC4F46"/>
    <w:rsid w:val="63D23900"/>
    <w:rsid w:val="644E3585"/>
    <w:rsid w:val="66806406"/>
    <w:rsid w:val="67237D86"/>
    <w:rsid w:val="684B0AA2"/>
    <w:rsid w:val="68BB28FA"/>
    <w:rsid w:val="69270612"/>
    <w:rsid w:val="6A05024A"/>
    <w:rsid w:val="6DA739BD"/>
    <w:rsid w:val="6FD54F0D"/>
    <w:rsid w:val="6FEE7690"/>
    <w:rsid w:val="6FF7D599"/>
    <w:rsid w:val="715C70D5"/>
    <w:rsid w:val="71FE61D4"/>
    <w:rsid w:val="727B2B72"/>
    <w:rsid w:val="749D01C2"/>
    <w:rsid w:val="77F51928"/>
    <w:rsid w:val="793F4B64"/>
    <w:rsid w:val="79941004"/>
    <w:rsid w:val="79F84CEB"/>
    <w:rsid w:val="7A0D222C"/>
    <w:rsid w:val="7BEB22D1"/>
    <w:rsid w:val="7C7C617D"/>
    <w:rsid w:val="7D5E3B77"/>
    <w:rsid w:val="7DBF1504"/>
    <w:rsid w:val="7DFF2005"/>
    <w:rsid w:val="7E7816E4"/>
    <w:rsid w:val="7E914142"/>
    <w:rsid w:val="7EA7D132"/>
    <w:rsid w:val="7EBFD729"/>
    <w:rsid w:val="7FB73A21"/>
    <w:rsid w:val="7FBB84A3"/>
    <w:rsid w:val="7FD1AD22"/>
    <w:rsid w:val="7FDF6DBB"/>
    <w:rsid w:val="7FEF903B"/>
    <w:rsid w:val="7FF1FEC2"/>
    <w:rsid w:val="7FFAD0EE"/>
    <w:rsid w:val="7FFF9502"/>
    <w:rsid w:val="9577A005"/>
    <w:rsid w:val="9F17C9B0"/>
    <w:rsid w:val="B9FFAD4C"/>
    <w:rsid w:val="BBD9DFC8"/>
    <w:rsid w:val="BFD78CB8"/>
    <w:rsid w:val="CBFBCF79"/>
    <w:rsid w:val="CFF9F5E1"/>
    <w:rsid w:val="D72EE566"/>
    <w:rsid w:val="DE1D2CEA"/>
    <w:rsid w:val="DEF745B7"/>
    <w:rsid w:val="DEFF32F5"/>
    <w:rsid w:val="DFEEC2B2"/>
    <w:rsid w:val="E3CB92C9"/>
    <w:rsid w:val="E7BF86C8"/>
    <w:rsid w:val="EFF508FF"/>
    <w:rsid w:val="F56E3EF6"/>
    <w:rsid w:val="F7EFB60E"/>
    <w:rsid w:val="F7EFC901"/>
    <w:rsid w:val="FAEF2B5A"/>
    <w:rsid w:val="FAFE9FDD"/>
    <w:rsid w:val="FB9B438C"/>
    <w:rsid w:val="FBFF454A"/>
    <w:rsid w:val="FC7636FF"/>
    <w:rsid w:val="FDB97632"/>
    <w:rsid w:val="FEF9AE68"/>
    <w:rsid w:val="FF6B28F0"/>
    <w:rsid w:val="FF6FCD1B"/>
    <w:rsid w:val="FFAF294B"/>
    <w:rsid w:val="FFF52317"/>
    <w:rsid w:val="FFFD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qFormat/>
    <w:uiPriority w:val="0"/>
    <w:pPr>
      <w:suppressAutoHyphens/>
      <w:bidi w:val="0"/>
      <w:jc w:val="left"/>
      <w:outlineLvl w:val="2"/>
    </w:pPr>
    <w:rPr>
      <w:rFonts w:hint="eastAsia" w:ascii="宋体" w:hAnsi="宋体"/>
      <w:color w:val="auto"/>
      <w:kern w:val="0"/>
      <w:sz w:val="24"/>
      <w:szCs w:val="24"/>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paragraph" w:styleId="6">
    <w:name w:val="Normal Indent"/>
    <w:basedOn w:val="1"/>
    <w:qFormat/>
    <w:uiPriority w:val="0"/>
    <w:pPr>
      <w:ind w:firstLine="420" w:firstLineChars="200"/>
    </w:pPr>
    <w:rPr>
      <w:rFonts w:ascii="Times New Roman" w:hAnsi="Times New Roman"/>
    </w:rPr>
  </w:style>
  <w:style w:type="paragraph" w:styleId="7">
    <w:name w:val="annotation text"/>
    <w:basedOn w:val="1"/>
    <w:qFormat/>
    <w:uiPriority w:val="0"/>
    <w:pPr>
      <w:jc w:val="left"/>
    </w:pPr>
  </w:style>
  <w:style w:type="paragraph" w:styleId="8">
    <w:name w:val="Body Text"/>
    <w:basedOn w:val="1"/>
    <w:qFormat/>
    <w:uiPriority w:val="0"/>
    <w:pPr>
      <w:spacing w:after="120" w:afterLines="0" w:afterAutospacing="0"/>
    </w:pPr>
    <w:rPr>
      <w:rFonts w:ascii="Calibri" w:hAnsi="Calibri" w:eastAsia="宋体" w:cs="Times New Roman"/>
    </w:rPr>
  </w:style>
  <w:style w:type="paragraph" w:styleId="9">
    <w:name w:val="endnote text"/>
    <w:basedOn w:val="1"/>
    <w:qFormat/>
    <w:uiPriority w:val="0"/>
  </w:style>
  <w:style w:type="paragraph" w:styleId="10">
    <w:name w:val="Balloon Text"/>
    <w:basedOn w:val="1"/>
    <w:link w:val="30"/>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tabs>
        <w:tab w:val="center" w:pos="4153"/>
        <w:tab w:val="right" w:pos="8306"/>
      </w:tabs>
      <w:snapToGrid w:val="0"/>
      <w:jc w:val="center"/>
    </w:pPr>
    <w:rPr>
      <w:sz w:val="18"/>
    </w:rPr>
  </w:style>
  <w:style w:type="paragraph" w:styleId="13">
    <w:name w:val="footnote text"/>
    <w:basedOn w:val="1"/>
    <w:qFormat/>
    <w:uiPriority w:val="0"/>
    <w:pPr>
      <w:adjustRightInd w:val="0"/>
      <w:snapToGrid w:val="0"/>
      <w:spacing w:line="360" w:lineRule="atLeast"/>
      <w:jc w:val="left"/>
      <w:textAlignment w:val="baseline"/>
    </w:pPr>
    <w:rPr>
      <w:kern w:val="0"/>
      <w:sz w:val="18"/>
      <w:szCs w:val="20"/>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qFormat/>
    <w:uiPriority w:val="0"/>
    <w:rPr>
      <w:rFonts w:eastAsia="宋体"/>
      <w:sz w:val="28"/>
    </w:rPr>
  </w:style>
  <w:style w:type="character" w:styleId="21">
    <w:name w:val="Hyperlink"/>
    <w:basedOn w:val="18"/>
    <w:unhideWhenUsed/>
    <w:qFormat/>
    <w:uiPriority w:val="99"/>
    <w:rPr>
      <w:color w:val="0000FF"/>
      <w:u w:val="single"/>
    </w:rPr>
  </w:style>
  <w:style w:type="paragraph" w:customStyle="1" w:styleId="22">
    <w:name w:val="EndnoteText"/>
    <w:basedOn w:val="1"/>
    <w:qFormat/>
    <w:uiPriority w:val="0"/>
  </w:style>
  <w:style w:type="character" w:customStyle="1" w:styleId="23">
    <w:name w:val="标题 1 Char"/>
    <w:basedOn w:val="18"/>
    <w:link w:val="3"/>
    <w:qFormat/>
    <w:uiPriority w:val="9"/>
    <w:rPr>
      <w:rFonts w:ascii="宋体" w:hAnsi="宋体" w:eastAsia="宋体" w:cs="宋体"/>
      <w:b/>
      <w:bCs/>
      <w:kern w:val="36"/>
      <w:sz w:val="48"/>
      <w:szCs w:val="48"/>
    </w:rPr>
  </w:style>
  <w:style w:type="character" w:customStyle="1" w:styleId="24">
    <w:name w:val="标题 4 Char"/>
    <w:basedOn w:val="18"/>
    <w:link w:val="5"/>
    <w:qFormat/>
    <w:uiPriority w:val="9"/>
    <w:rPr>
      <w:rFonts w:ascii="宋体" w:hAnsi="宋体" w:eastAsia="宋体" w:cs="宋体"/>
      <w:b/>
      <w:bCs/>
      <w:kern w:val="0"/>
      <w:sz w:val="24"/>
      <w:szCs w:val="24"/>
    </w:rPr>
  </w:style>
  <w:style w:type="character" w:customStyle="1" w:styleId="25">
    <w:name w:val="show-tip"/>
    <w:basedOn w:val="18"/>
    <w:qFormat/>
    <w:uiPriority w:val="0"/>
  </w:style>
  <w:style w:type="character" w:customStyle="1" w:styleId="26">
    <w:name w:val="detail-show-time"/>
    <w:basedOn w:val="18"/>
    <w:qFormat/>
    <w:uiPriority w:val="0"/>
  </w:style>
  <w:style w:type="paragraph" w:customStyle="1" w:styleId="27">
    <w:name w:val="List Paragraph"/>
    <w:basedOn w:val="1"/>
    <w:qFormat/>
    <w:uiPriority w:val="34"/>
    <w:pPr>
      <w:ind w:firstLine="420" w:firstLineChars="200"/>
    </w:pPr>
    <w:rPr>
      <w:rFonts w:ascii="Calibri" w:hAnsi="Calibri" w:eastAsia="仿宋_GB2312" w:cs="黑体"/>
      <w:sz w:val="32"/>
      <w:szCs w:val="32"/>
    </w:rPr>
  </w:style>
  <w:style w:type="character" w:customStyle="1" w:styleId="28">
    <w:name w:val="NormalCharacter"/>
    <w:semiHidden/>
    <w:qFormat/>
    <w:uiPriority w:val="0"/>
    <w:rPr>
      <w:rFonts w:ascii="Calibri" w:hAnsi="Calibri"/>
      <w:kern w:val="2"/>
      <w:sz w:val="21"/>
      <w:szCs w:val="24"/>
      <w:lang w:val="en-US" w:eastAsia="zh-CN" w:bidi="ar-SA"/>
    </w:rPr>
  </w:style>
  <w:style w:type="paragraph" w:customStyle="1" w:styleId="29">
    <w:name w:val="普通(网站)1"/>
    <w:basedOn w:val="1"/>
    <w:qFormat/>
    <w:uiPriority w:val="0"/>
    <w:pPr>
      <w:jc w:val="left"/>
    </w:pPr>
    <w:rPr>
      <w:rFonts w:ascii="Calibri" w:hAnsi="Calibri" w:eastAsia="宋体" w:cs="黑体"/>
      <w:kern w:val="0"/>
      <w:sz w:val="24"/>
      <w:szCs w:val="24"/>
    </w:rPr>
  </w:style>
  <w:style w:type="character" w:customStyle="1" w:styleId="30">
    <w:name w:val="批注框文本 Char"/>
    <w:basedOn w:val="18"/>
    <w:link w:val="10"/>
    <w:semiHidden/>
    <w:qFormat/>
    <w:uiPriority w:val="99"/>
    <w:rPr>
      <w:sz w:val="18"/>
      <w:szCs w:val="18"/>
    </w:rPr>
  </w:style>
  <w:style w:type="character" w:customStyle="1" w:styleId="31">
    <w:name w:val="font251"/>
    <w:basedOn w:val="18"/>
    <w:qFormat/>
    <w:uiPriority w:val="0"/>
    <w:rPr>
      <w:rFonts w:hint="eastAsia" w:ascii="仿宋_GB2312" w:eastAsia="仿宋_GB2312" w:cs="仿宋_GB2312"/>
      <w:color w:val="000000"/>
      <w:sz w:val="31"/>
      <w:szCs w:val="31"/>
      <w:u w:val="none"/>
    </w:rPr>
  </w:style>
  <w:style w:type="character" w:customStyle="1" w:styleId="32">
    <w:name w:val="font241"/>
    <w:basedOn w:val="18"/>
    <w:qFormat/>
    <w:uiPriority w:val="0"/>
    <w:rPr>
      <w:rFonts w:hint="eastAsia" w:ascii="仿宋_GB2312" w:eastAsia="仿宋_GB2312" w:cs="仿宋_GB2312"/>
      <w:b/>
      <w:color w:val="000000"/>
      <w:sz w:val="31"/>
      <w:szCs w:val="31"/>
      <w:u w:val="none"/>
    </w:rPr>
  </w:style>
  <w:style w:type="paragraph" w:customStyle="1" w:styleId="33">
    <w:name w:val="正文-表格填制格式"/>
    <w:basedOn w:val="1"/>
    <w:qFormat/>
    <w:uiPriority w:val="0"/>
    <w:pPr>
      <w:widowControl/>
      <w:snapToGrid w:val="0"/>
      <w:spacing w:line="440" w:lineRule="exact"/>
      <w:ind w:firstLine="200" w:firstLineChars="200"/>
    </w:pPr>
    <w:rPr>
      <w:rFonts w:ascii="仿宋_GB2312" w:hAnsi="Times New Roman" w:eastAsia="仿宋_GB2312" w:cs="Times New Roman"/>
      <w:kern w:val="0"/>
      <w:sz w:val="28"/>
      <w:szCs w:val="28"/>
    </w:rPr>
  </w:style>
  <w:style w:type="character" w:customStyle="1" w:styleId="34">
    <w:name w:val="font91"/>
    <w:basedOn w:val="18"/>
    <w:qFormat/>
    <w:uiPriority w:val="0"/>
    <w:rPr>
      <w:rFonts w:hint="eastAsia" w:ascii="仿宋_GB2312" w:eastAsia="仿宋_GB2312" w:cs="仿宋_GB2312"/>
      <w:b/>
      <w:color w:val="000000"/>
      <w:sz w:val="31"/>
      <w:szCs w:val="31"/>
      <w:u w:val="none"/>
    </w:rPr>
  </w:style>
  <w:style w:type="character" w:customStyle="1" w:styleId="35">
    <w:name w:val="font101"/>
    <w:basedOn w:val="18"/>
    <w:qFormat/>
    <w:uiPriority w:val="0"/>
    <w:rPr>
      <w:rFonts w:hint="eastAsia" w:ascii="仿宋_GB2312" w:eastAsia="仿宋_GB2312" w:cs="仿宋_GB2312"/>
      <w:color w:val="000000"/>
      <w:sz w:val="31"/>
      <w:szCs w:val="3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1987</Words>
  <Characters>2102</Characters>
  <Lines>58</Lines>
  <Paragraphs>16</Paragraphs>
  <TotalTime>15</TotalTime>
  <ScaleCrop>false</ScaleCrop>
  <LinksUpToDate>false</LinksUpToDate>
  <CharactersWithSpaces>2108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2021-01-30T00:01:00Z</dcterms:created>
  <dc:creator>张小平</dc:creator>
  <cp:lastModifiedBy>纯</cp:lastModifiedBy>
  <cp:lastPrinted>2022-09-29T08:59:00Z</cp:lastPrinted>
  <dcterms:modified xsi:type="dcterms:W3CDTF">2022-10-27T01:03:52Z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A1475C850131404E8F5E7C9017D413F8</vt:lpwstr>
  </property>
</Properties>
</file>