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BCCDE">
      <w:pPr>
        <w:jc w:val="center"/>
        <w:rPr>
          <w:rFonts w:hint="eastAsia" w:ascii="Calibri" w:hAnsi="Calibri" w:eastAsia="方正小标宋简体" w:cs="Arial"/>
          <w:color w:val="FFFFFF"/>
          <w:spacing w:val="20"/>
          <w:w w:val="60"/>
          <w:kern w:val="0"/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-402590</wp:posOffset>
                </wp:positionV>
                <wp:extent cx="1893570" cy="403225"/>
                <wp:effectExtent l="0" t="0" r="1143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29335" y="929640"/>
                          <a:ext cx="1893570" cy="40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2BA50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YYCR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-2026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-27001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-31.7pt;height:31.75pt;width:149.1pt;z-index:251660288;mso-width-relative:page;mso-height-relative:page;" fillcolor="#FFFFFF [3201]" filled="t" stroked="f" coordsize="21600,21600" o:gfxdata="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eJIOvQAAAABgEAAA8A&#10;AAAAAAAAAQAgAAAAIgAAAGRycy9kb3ducmV2LnhtbFBLAQIUABQAAAAIAIdO4kCdfmGMWAIAAJoE&#10;AAAOAAAAAAAAAAEAIAAAAB8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892BA50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YYCR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-2026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-27001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9"/>
        <w:gridCol w:w="1845"/>
      </w:tblGrid>
      <w:tr w14:paraId="20E0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</w:tcPr>
          <w:p w14:paraId="4473A002">
            <w:pPr>
              <w:spacing w:line="1360" w:lineRule="exact"/>
              <w:jc w:val="distribute"/>
              <w:rPr>
                <w:rFonts w:ascii="Calibri" w:hAnsi="Calibri" w:eastAsia="方正小标宋简体" w:cs="Arial"/>
                <w:color w:val="FF0000"/>
                <w:w w:val="62"/>
                <w:kern w:val="0"/>
                <w:sz w:val="96"/>
                <w:szCs w:val="130"/>
                <w:lang w:val="en-US" w:eastAsia="zh-CN"/>
              </w:rPr>
            </w:pPr>
            <w:r>
              <w:rPr>
                <w:rFonts w:hint="eastAsia" w:ascii="Calibri" w:hAnsi="Calibri" w:eastAsia="方正小标宋简体" w:cs="Arial"/>
                <w:color w:val="FF0000"/>
                <w:w w:val="62"/>
                <w:kern w:val="0"/>
                <w:sz w:val="96"/>
                <w:szCs w:val="130"/>
                <w:lang w:val="en-US" w:eastAsia="zh-CN"/>
              </w:rPr>
              <w:t>益阳市生态环境局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18C4ED2">
            <w:pPr>
              <w:spacing w:line="2000" w:lineRule="exact"/>
              <w:rPr>
                <w:rFonts w:ascii="Calibri" w:hAnsi="Calibri" w:eastAsia="方正小标宋简体" w:cs="Arial"/>
                <w:color w:val="FF0000"/>
                <w:w w:val="50"/>
                <w:kern w:val="0"/>
                <w:sz w:val="96"/>
                <w:szCs w:val="130"/>
              </w:rPr>
            </w:pPr>
            <w:r>
              <w:rPr>
                <w:rFonts w:hint="eastAsia" w:ascii="Calibri" w:hAnsi="Calibri" w:eastAsia="方正小标宋简体" w:cs="Arial"/>
                <w:color w:val="FF0000"/>
                <w:w w:val="48"/>
                <w:kern w:val="0"/>
                <w:sz w:val="166"/>
                <w:szCs w:val="166"/>
              </w:rPr>
              <w:t>文件</w:t>
            </w:r>
          </w:p>
        </w:tc>
      </w:tr>
      <w:tr w14:paraId="74AF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</w:tcPr>
          <w:p w14:paraId="6B47AC3F">
            <w:pPr>
              <w:spacing w:line="1360" w:lineRule="exact"/>
              <w:jc w:val="distribute"/>
              <w:rPr>
                <w:rFonts w:hint="eastAsia" w:ascii="Calibri" w:hAnsi="Calibri" w:eastAsia="方正小标宋简体" w:cs="Arial"/>
                <w:color w:val="FF0000"/>
                <w:w w:val="70"/>
                <w:kern w:val="0"/>
                <w:sz w:val="96"/>
                <w:szCs w:val="130"/>
                <w:lang w:val="en-US" w:eastAsia="zh-CN"/>
              </w:rPr>
            </w:pPr>
            <w:r>
              <w:rPr>
                <w:rFonts w:hint="eastAsia" w:ascii="Calibri" w:hAnsi="Calibri" w:eastAsia="方正小标宋简体" w:cs="Arial"/>
                <w:color w:val="FF0000"/>
                <w:spacing w:val="0"/>
                <w:w w:val="62"/>
                <w:kern w:val="0"/>
                <w:sz w:val="96"/>
                <w:szCs w:val="130"/>
                <w:lang w:val="en-US" w:eastAsia="zh-CN"/>
              </w:rPr>
              <w:t>益阳市发展和改革委员会</w:t>
            </w:r>
          </w:p>
        </w:tc>
        <w:tc>
          <w:tcPr>
            <w:tcW w:w="1845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</w:tcPr>
          <w:p w14:paraId="4DC9653A">
            <w:pPr>
              <w:rPr>
                <w:rFonts w:ascii="Calibri" w:hAnsi="Calibri" w:eastAsia="宋体" w:cs="Arial"/>
              </w:rPr>
            </w:pPr>
          </w:p>
        </w:tc>
      </w:tr>
      <w:tr w14:paraId="09E8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</w:tcPr>
          <w:p w14:paraId="4F16BD03">
            <w:pPr>
              <w:spacing w:line="1360" w:lineRule="exact"/>
              <w:jc w:val="distribute"/>
              <w:rPr>
                <w:rFonts w:ascii="Calibri" w:hAnsi="Calibri" w:eastAsia="方正小标宋简体" w:cs="Arial"/>
                <w:color w:val="FF0000"/>
                <w:w w:val="62"/>
                <w:kern w:val="0"/>
                <w:sz w:val="96"/>
                <w:szCs w:val="130"/>
                <w:lang w:val="en-US" w:eastAsia="zh-CN"/>
              </w:rPr>
            </w:pPr>
            <w:r>
              <w:rPr>
                <w:rFonts w:hint="eastAsia" w:ascii="Calibri" w:hAnsi="Calibri" w:eastAsia="方正小标宋简体" w:cs="Arial"/>
                <w:color w:val="FF0000"/>
                <w:w w:val="62"/>
                <w:kern w:val="0"/>
                <w:sz w:val="96"/>
                <w:szCs w:val="130"/>
                <w:lang w:val="en-US" w:eastAsia="zh-CN"/>
              </w:rPr>
              <w:t>益阳市工业和信息化局</w:t>
            </w:r>
          </w:p>
        </w:tc>
        <w:tc>
          <w:tcPr>
            <w:tcW w:w="1845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</w:tcPr>
          <w:p w14:paraId="1D3B5792">
            <w:pPr>
              <w:rPr>
                <w:rFonts w:ascii="Calibri" w:hAnsi="Calibri" w:eastAsia="宋体" w:cs="Arial"/>
              </w:rPr>
            </w:pPr>
          </w:p>
        </w:tc>
      </w:tr>
    </w:tbl>
    <w:p w14:paraId="2C28EC8C">
      <w:pPr>
        <w:adjustRightInd w:val="0"/>
        <w:snapToGrid w:val="0"/>
        <w:spacing w:line="240" w:lineRule="exact"/>
        <w:ind w:firstLine="640" w:firstLineChars="200"/>
        <w:rPr>
          <w:rFonts w:ascii="Times New Roman" w:hAnsi="Times New Roman" w:eastAsia="方正仿宋简体" w:cs="Arial"/>
          <w:kern w:val="0"/>
          <w:sz w:val="32"/>
        </w:rPr>
      </w:pPr>
    </w:p>
    <w:p w14:paraId="3FA8FA34">
      <w:pPr>
        <w:adjustRightInd w:val="0"/>
        <w:snapToGrid w:val="0"/>
        <w:spacing w:line="240" w:lineRule="exact"/>
        <w:ind w:firstLine="640" w:firstLineChars="200"/>
        <w:rPr>
          <w:rFonts w:hint="eastAsia" w:ascii="Times New Roman" w:hAnsi="Times New Roman" w:eastAsia="方正仿宋简体" w:cs="Arial"/>
          <w:kern w:val="0"/>
          <w:sz w:val="32"/>
        </w:rPr>
      </w:pPr>
    </w:p>
    <w:p w14:paraId="6A98AB82">
      <w:pPr>
        <w:adjustRightInd w:val="0"/>
        <w:snapToGrid w:val="0"/>
        <w:spacing w:line="240" w:lineRule="exact"/>
        <w:ind w:firstLine="640" w:firstLineChars="200"/>
        <w:rPr>
          <w:rFonts w:ascii="Times New Roman" w:hAnsi="Times New Roman" w:eastAsia="方正仿宋简体" w:cs="Arial"/>
          <w:kern w:val="0"/>
          <w:sz w:val="32"/>
        </w:rPr>
      </w:pPr>
    </w:p>
    <w:p w14:paraId="41C3A204">
      <w:pPr>
        <w:adjustRightInd w:val="0"/>
        <w:snapToGrid w:val="0"/>
        <w:spacing w:line="600" w:lineRule="exact"/>
        <w:ind w:left="210" w:leftChars="100" w:right="210" w:rightChars="100"/>
        <w:jc w:val="center"/>
        <w:rPr>
          <w:rFonts w:ascii="Times New Roman" w:hAnsi="Times New Roman" w:eastAsia="方正楷体简体" w:cs="Arial"/>
          <w:kern w:val="0"/>
          <w:sz w:val="32"/>
        </w:rPr>
      </w:pPr>
      <w:r>
        <w:rPr>
          <w:rFonts w:hint="eastAsia" w:ascii="Times New Roman" w:hAnsi="Times New Roman" w:eastAsia="方正仿宋简体" w:cs="Arial"/>
          <w:kern w:val="0"/>
          <w:sz w:val="32"/>
        </w:rPr>
        <w:t>益环</w:t>
      </w:r>
      <w:r>
        <w:rPr>
          <w:rFonts w:hint="eastAsia" w:ascii="Times New Roman" w:hAnsi="Times New Roman" w:eastAsia="方正仿宋简体" w:cs="Arial"/>
          <w:kern w:val="0"/>
          <w:sz w:val="32"/>
          <w:lang w:val="en-US" w:eastAsia="zh-CN"/>
        </w:rPr>
        <w:t>发</w:t>
      </w:r>
      <w:r>
        <w:rPr>
          <w:rFonts w:hint="eastAsia" w:ascii="Times New Roman" w:hAnsi="Times New Roman" w:eastAsia="方正仿宋简体" w:cs="Arial"/>
          <w:kern w:val="0"/>
          <w:sz w:val="32"/>
        </w:rPr>
        <w:t>〔</w:t>
      </w:r>
      <w:r>
        <w:rPr>
          <w:rFonts w:hint="eastAsia" w:ascii="Times New Roman" w:hAnsi="Times New Roman" w:eastAsia="方正仿宋简体" w:cs="Arial"/>
          <w:kern w:val="0"/>
          <w:sz w:val="32"/>
        </w:rPr>
        <w:t>202</w:t>
      </w:r>
      <w:r>
        <w:rPr>
          <w:rFonts w:hint="eastAsia" w:ascii="Times New Roman" w:hAnsi="Times New Roman" w:eastAsia="方正仿宋简体" w:cs="Arial"/>
          <w:kern w:val="0"/>
          <w:sz w:val="32"/>
          <w:lang w:val="en-US" w:eastAsia="zh-CN"/>
        </w:rPr>
        <w:t>6</w:t>
      </w:r>
      <w:r>
        <w:rPr>
          <w:rFonts w:hint="eastAsia" w:ascii="Times New Roman" w:hAnsi="Times New Roman" w:eastAsia="方正仿宋简体" w:cs="Arial"/>
          <w:kern w:val="0"/>
          <w:sz w:val="32"/>
        </w:rPr>
        <w:t>〕</w:t>
      </w:r>
      <w:r>
        <w:rPr>
          <w:rFonts w:hint="eastAsia" w:ascii="Times New Roman" w:hAnsi="Times New Roman" w:eastAsia="方正仿宋简体" w:cs="Arial"/>
          <w:kern w:val="0"/>
          <w:sz w:val="32"/>
          <w:lang w:val="en-US" w:eastAsia="zh-CN"/>
        </w:rPr>
        <w:t>1</w:t>
      </w:r>
      <w:r>
        <w:rPr>
          <w:rFonts w:hint="eastAsia" w:ascii="Times New Roman" w:hAnsi="Times New Roman" w:eastAsia="方正仿宋简体" w:cs="Arial"/>
          <w:kern w:val="0"/>
          <w:sz w:val="32"/>
        </w:rPr>
        <w:t>号</w:t>
      </w:r>
    </w:p>
    <w:p w14:paraId="0D829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8" w:afterLines="60" w:line="580" w:lineRule="exact"/>
        <w:textAlignment w:val="auto"/>
        <w:rPr>
          <w:rFonts w:ascii="Calibri" w:hAnsi="Calibri" w:eastAsia="宋体" w:cs="Arial"/>
        </w:rPr>
      </w:pPr>
      <w:r>
        <w:rPr>
          <w:rFonts w:ascii="Times New Roman" w:hAnsi="Times New Roman" w:eastAsia="方正仿宋简体" w:cs="Arial"/>
          <w:kern w:val="0"/>
          <w:sz w:val="20"/>
        </w:rPr>
        <mc:AlternateContent>
          <mc:Choice Requires="wps">
            <w:drawing>
              <wp:anchor distT="0" distB="0" distL="90805" distR="90805" simplePos="0" relativeHeight="25165926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168275</wp:posOffset>
                </wp:positionV>
                <wp:extent cx="5687695" cy="635"/>
                <wp:effectExtent l="0" t="0" r="0" b="0"/>
                <wp:wrapNone/>
                <wp:docPr id="4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4" cy="761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2.8pt;margin-top:13.25pt;height:0.05pt;width:447.85pt;z-index:251659264;mso-width-relative:page;mso-height-relative:page;" fillcolor="#FFFFFF" filled="t" stroked="t" coordsize="21600,21600" o:gfxdata="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rC1cn1QAAAAcBAAAPAAAAAAAAAAEAIAAAACIA&#10;AABkcnMvZG93bnJldi54bWxQSwECFAAUAAAACACHTuJA0ZIsOQwCAABHBAAADgAAAAAAAAABACAA&#10;AAAkAQAAZHJzL2Uyb0RvYy54bWxQSwUGAAAAAAYABgBZAQAAogUAAAAA&#10;">
                <v:fill on="t" focussize="0,0"/>
                <v:stroke weight="2pt" color="#FF0000" joinstyle="miter"/>
                <v:imagedata o:title=""/>
                <o:lock v:ext="edit" aspectratio="f"/>
              </v:line>
            </w:pict>
          </mc:Fallback>
        </mc:AlternateContent>
      </w:r>
    </w:p>
    <w:p w14:paraId="4463BC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益阳市生态环境局</w:t>
      </w:r>
    </w:p>
    <w:p w14:paraId="6467F2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益阳市发展和改革委员会</w:t>
      </w:r>
    </w:p>
    <w:p w14:paraId="68D15C27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益阳市工业和信息化局</w:t>
      </w:r>
    </w:p>
    <w:p w14:paraId="16AD86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关于印发《关于压实产业园区生态环境管理责任的若干措施》的通知</w:t>
      </w:r>
    </w:p>
    <w:p w14:paraId="626104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3354A9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各县市区人民政府（管委会），市直有关单位，各园区管理机构：</w:t>
      </w:r>
    </w:p>
    <w:p w14:paraId="631CCB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《关于压实产业园区生态环境管理责任的若干措施》已经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年二季度大气污染防治党政联席会议审议通过，现印发给你们，请对照要求，认真抓好落实。</w:t>
      </w:r>
    </w:p>
    <w:p w14:paraId="7886F6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5A8936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31691B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益阳市生态环境局        益阳市发展和改革委员会</w:t>
      </w:r>
    </w:p>
    <w:p w14:paraId="127E18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39F5C3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4C4566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10772A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3840" w:firstLineChars="1200"/>
        <w:jc w:val="center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益阳市工业和信息化局</w:t>
      </w:r>
    </w:p>
    <w:p w14:paraId="0828CC6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日</w:t>
      </w:r>
    </w:p>
    <w:p w14:paraId="202994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25E635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4C0F5B6F"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br w:type="page"/>
      </w:r>
    </w:p>
    <w:p w14:paraId="6023B4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关于压实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产业园区生态环境管理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责任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的</w:t>
      </w:r>
    </w:p>
    <w:p w14:paraId="70F3B3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若干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措施</w:t>
      </w:r>
    </w:p>
    <w:p w14:paraId="6A5AC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EAE7E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为进一步加强产业园区（包括经济技术开发区、高新技术产业开发区，以下简称园区）生态环境管理，压实园区污染防治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日常管理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责任，推动园区高质量发展，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结合我市实际，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特提出如下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</w:p>
    <w:p w14:paraId="72618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严格环境准入。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落实园区规划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环评、总量控制和生态环境分区管控要求，按照行业准入正面清单和负面清单要求控制项目准入，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不得将降低环境准入门槛作为园区招商引资的优惠条件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格落实园区环境防护距离要求，协助自然资源和规划部门做好园区控规工作，避免出现居民住宅包围企业造成群众反复投诉的情况。加强生态环境分区管控制度实施和落地应用，在规划编制、产业布局优化和转型升级、环境准入等领域推动园区绿色发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，逐步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引导不符合园区规划与准入要求的企业有序退出。</w:t>
      </w:r>
    </w:p>
    <w:p w14:paraId="15C08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二、强化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责任。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各园区管委会要加强园区环境保护工作的日常管理，建立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工作机制，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制定产业园区生态环境管理责任清单（见附件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开展环境问题排查整治，每年至少组织开展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次园区环境问题全面排查，针对排查出的问题制定并实施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一园一策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限期整治方案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对企业建立明白卡（见附件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），并将日常管理情况进行相应记录留存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发现问题、分析原因、整改落实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的问题整改闭环机制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加强批后管理，园区要将环评批复落实情况纳入日常管理内容，在项目建成后督促企业按规定取得排污许可证或进行排污许可登记，并按规定程序实施竣工环境保护验收，严禁企业虚假验收。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强化对“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环保管家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”的管理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督促其不得借助第三方服务影响和干涉园区内企业正常市场行为，相关工作情况纳入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效评价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7F1A9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三、健全联动机制。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园区（含其委托的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环保管家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管理过程中发现的涉及环境执法事项的违法线索应及时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属地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生态环境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保护主管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违法行为轻微的督促立行立改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问题严重的及时向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属地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生态环境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保护主管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部门移交违法线索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见附件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。生态环境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保护主管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部门应对移交的违法线索及时进行调查核实，对构成生态环境违法的，进行立案调查。对受理并立案的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生态环境违法线索，生态环境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保护主管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部门应当在结案后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将处理情况反馈给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园区，并由园区督促企业抓好整改。</w:t>
      </w:r>
    </w:p>
    <w:p w14:paraId="792D0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、强化成果应用。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园区每年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应将本园区上一年度环境管理情况报告当地生态环境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保护主管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部门和园区主管部门。相关部门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强化成果应用，建立园区环境诚信档案。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严格落实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用干部问环保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机制，在选拔使用干部时，生态环境管理责任落实情况将作为评价干部的重要参考。加强信用评价，将园区企业因生态环境违法受到行政处罚的信息，依法依规纳入环境信用等级评价体系。将对园区企业的执法情况和园区企业守法情况，纳入年度污染防治攻坚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成效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考核体系。</w:t>
      </w:r>
    </w:p>
    <w:p w14:paraId="500FD3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、严肃责任追究。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对落实生态环境保护责任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，违规引进建设项目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环境管理混乱、生态环境事件多发、群众反映强烈的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取消当年评优评先及政策扶持资格，实施环保限批或区域限产。园区企业发生偷排、未批先建、治污设施长期停运等严重违法行为，且园区管理机构存在日常巡查缺位、问题隐瞒不报或督促整改不力情形的，启动园区层级责任追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对相关责任人员严肃追责问责。</w:t>
      </w:r>
    </w:p>
    <w:p w14:paraId="2553574E"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本措施自印发之日起施行</w:t>
      </w:r>
      <w:r>
        <w:rPr>
          <w:rFonts w:hint="eastAsia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有效期五年。</w:t>
      </w:r>
    </w:p>
    <w:p w14:paraId="28B35323">
      <w:pPr>
        <w:pStyle w:val="7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 w14:paraId="7C0509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.产业园区生态环境管理责任清单</w:t>
      </w:r>
    </w:p>
    <w:p w14:paraId="00577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.企业废水（废气）处理环保设施明白卡</w:t>
      </w:r>
    </w:p>
    <w:p w14:paraId="145C0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.益阳市生态环境违法线索移交书</w:t>
      </w:r>
    </w:p>
    <w:p w14:paraId="41AEF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42F9B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D2B30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A9222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产业园区生态环境管理责任清单</w:t>
      </w:r>
    </w:p>
    <w:p w14:paraId="4310A4A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7734C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.贯彻落实习近平生态文明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思想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和党中央、国务院关于加快生态文明建设、加强生态环境保护方针政策、省委省政府及市委市政府有关决策部署，加强对生态环境保护工作的领导。</w:t>
      </w:r>
    </w:p>
    <w:p w14:paraId="3D651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.负责组织编制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园区生态环境保护规划并纳入国民经济和社会发展规划，充分考虑园区所在地的生态环境承载能力，合理确定产业定位、规模和布局。</w:t>
      </w:r>
    </w:p>
    <w:p w14:paraId="2251B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.加强规划环评和项目环评联动。在项目落地前园区要主动对接生态环境保护主管部门，对于需要取得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V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O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C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subscript"/>
          <w:lang w:val="en-US" w:eastAsia="zh-CN"/>
        </w:rPr>
        <w:t>S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总量指标倍量替代项目、重金属指标总量项目、省生态环境厅开展会商的危险废物利用处置项目（含危险废物自行利用项目）等，园区需提前做好相关总量指标替代来源方案，助力项目落地获批。</w:t>
      </w:r>
    </w:p>
    <w:p w14:paraId="1F1AD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.制定园区生态环境保护管理制度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明确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部门和相关人员责任。加强生态环境日常管理，督促指导园区内企业落实生态环境保护措施，定期对企业污染防治设施运行情况、污染物排放情况、环境管理台账记录等进行检查，发现生态环境违法线索及时移交生态环境保护主管部门，并配合做好生态环境违法行为调查工作。</w:t>
      </w:r>
    </w:p>
    <w:p w14:paraId="6FA1A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对园区生态环境质量负责。加强生态环境保护基础设施建设，落实生态环境分区管控、环境影响评价、排污许可等制度。组织实施大气、水、土壤、噪声等环境污染防治，加强核与辐射环境安全管理，强化环境风险防控，切实维护生态环境安全。</w:t>
      </w:r>
    </w:p>
    <w:p w14:paraId="45FB468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强化园区大气污染防治工作。根据全市大气污染防治工作部署要求，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推进特护期应急减排落实和重点行业企业环保绩效等级提升“创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A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创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B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”工作，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开展园区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施工扬尘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餐饮油烟、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露天焚烧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、烟花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爆竹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燃放等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企业的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巡查整治。</w:t>
      </w:r>
    </w:p>
    <w:p w14:paraId="3B4AD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.加强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环保管家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管理。明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环保管家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责任，督促其不得借助第三方服务影响和干涉园区内企业正常市场行为，相关工作情况纳入服务成效评价。</w:t>
      </w:r>
    </w:p>
    <w:p w14:paraId="244BC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.加大生态环境保护投入和能力建设。加强园区废水收集处理，依托城镇生活污水处理厂处理的园区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应开展依托评估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，严格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园区涉水企业，尤其是涉高盐、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重金属、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有毒有害等物质废水排放企业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优化园区废气、固废处置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完善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集中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供热配套设施。加强园区监测监控能力建设，及时全面掌握园区环境质量状况和对周边环境影响。</w:t>
      </w:r>
    </w:p>
    <w:p w14:paraId="2317E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.加强生态环境应急管理。组织编制并实施突发生态环境事件应急预案，做好突发生态环境事件的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信息报告、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风险控制、应急准备、应急演练、应急处置和事后恢复等工作。将重污染天气应对纳入应急管理体系。</w:t>
      </w:r>
    </w:p>
    <w:p w14:paraId="59491F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598673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D1E21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企业废水处理环保设施明白卡</w:t>
      </w:r>
    </w:p>
    <w:p w14:paraId="79C7BD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B1A01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环保设施名称：</w:t>
      </w:r>
    </w:p>
    <w:p w14:paraId="703542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废水排放标准：</w:t>
      </w:r>
    </w:p>
    <w:p w14:paraId="42DB50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排水去向：</w:t>
      </w:r>
    </w:p>
    <w:p w14:paraId="0E4067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废水处理设施设计规模（××吨/日）：</w:t>
      </w:r>
    </w:p>
    <w:p w14:paraId="323061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废水处理设施实际处理规模（××吨/日）：</w:t>
      </w:r>
    </w:p>
    <w:p w14:paraId="287342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运行方式（电/气）：</w:t>
      </w:r>
    </w:p>
    <w:p w14:paraId="6BB291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是否安装在线监测设施（主要处理因子）：</w:t>
      </w:r>
    </w:p>
    <w:p w14:paraId="1EB46B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废水处理设施处理效率（主要处理因子）：</w:t>
      </w:r>
    </w:p>
    <w:p w14:paraId="22A1C0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废水处理设施工艺流程图：</w:t>
      </w:r>
    </w:p>
    <w:p w14:paraId="5F841E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药剂投加方式（自动/人工）：</w:t>
      </w:r>
    </w:p>
    <w:p w14:paraId="1B86EE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药剂投加数量（自定义）：</w:t>
      </w:r>
    </w:p>
    <w:p w14:paraId="29F330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环保耗材（滤芯、过滤膜、紫外线灯管等）更换频次：</w:t>
      </w:r>
    </w:p>
    <w:p w14:paraId="41C2EF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废水处理污泥压滤频次：</w:t>
      </w:r>
    </w:p>
    <w:p w14:paraId="41C8D9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废弃物（滤芯、过滤膜、紫外线灯管、污泥等）处置去向：</w:t>
      </w:r>
    </w:p>
    <w:p w14:paraId="6FA427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 w14:paraId="749A40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备注：此明白卡需制作并悬挂于废水污染防治设施醒目处。</w:t>
      </w:r>
    </w:p>
    <w:p w14:paraId="4D8262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92DF6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551B1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EDC58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企业废气处理环保设施明白卡</w:t>
      </w:r>
    </w:p>
    <w:p w14:paraId="4932E7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6EDC33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环保设施名称：</w:t>
      </w:r>
    </w:p>
    <w:p w14:paraId="3FBF48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废气排放标准：</w:t>
      </w:r>
    </w:p>
    <w:p w14:paraId="28B636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废气处理设施规模（风机风量）：</w:t>
      </w:r>
    </w:p>
    <w:p w14:paraId="7833C3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运行方式（电/气）：</w:t>
      </w:r>
    </w:p>
    <w:p w14:paraId="040665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是否安装在线监测设施（主要处理因子）：</w:t>
      </w:r>
    </w:p>
    <w:p w14:paraId="4F197A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废气处理设施处理效率（主要处理因子）：</w:t>
      </w:r>
    </w:p>
    <w:p w14:paraId="63E493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废气处理设施工艺原理：</w:t>
      </w:r>
    </w:p>
    <w:p w14:paraId="291C30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药剂投加方式（自动/人工）：</w:t>
      </w:r>
    </w:p>
    <w:p w14:paraId="172DDE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药剂投加数量（自定义）：</w:t>
      </w:r>
    </w:p>
    <w:p w14:paraId="590C41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环保耗材（活性炭、催化剂、布袋等）更换频次：</w:t>
      </w:r>
    </w:p>
    <w:p w14:paraId="27C1A3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废弃物（废活性炭、废布袋、脱硫石膏等）处置去向：</w:t>
      </w:r>
    </w:p>
    <w:p w14:paraId="3C18B4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</w:p>
    <w:p w14:paraId="16769B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备注：此明白卡需制作并悬挂于废气污染防治设施醒目处。</w:t>
      </w:r>
    </w:p>
    <w:p w14:paraId="011806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01AD309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 w14:paraId="7A6DD6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5D404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ACAFD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益阳市生态环境违法线索移交书</w:t>
      </w:r>
    </w:p>
    <w:p w14:paraId="7C1BD8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</w:p>
    <w:p w14:paraId="13665D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>益阳市生态环境局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XX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县（市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区）分局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  <w:t>：</w:t>
      </w:r>
    </w:p>
    <w:p w14:paraId="3FE250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我管委会在履行生态环境保护日常监管职责过程中，发现涉嫌生态环境违法行为的单位或个人名称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如暂不清楚可不填写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存在环境违法行为线索简要描述，现将违法线索移交你单位处理。</w:t>
      </w:r>
    </w:p>
    <w:p w14:paraId="077963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违法线索移交人签字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  <w:t>：</w:t>
      </w:r>
    </w:p>
    <w:p w14:paraId="123396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联系电话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  <w:t>：</w:t>
      </w:r>
    </w:p>
    <w:p w14:paraId="3FA16F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违法线索接收人签字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  <w:t>：</w:t>
      </w:r>
    </w:p>
    <w:p w14:paraId="12053E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联系电话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  <w:t>：</w:t>
      </w:r>
    </w:p>
    <w:p w14:paraId="0BDEC3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相关材料清单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份</w:t>
      </w:r>
    </w:p>
    <w:p w14:paraId="2A16FF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.一</w:t>
      </w:r>
    </w:p>
    <w:p w14:paraId="2DA61B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.一</w:t>
      </w:r>
    </w:p>
    <w:p w14:paraId="29864C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3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.一</w:t>
      </w:r>
    </w:p>
    <w:p w14:paraId="232F84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...</w:t>
      </w:r>
    </w:p>
    <w:p w14:paraId="386945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 xml:space="preserve">                          移送时间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 xml:space="preserve"> 年  月  日</w:t>
      </w:r>
    </w:p>
    <w:p w14:paraId="38C387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</w:pPr>
    </w:p>
    <w:p w14:paraId="30CC41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备注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color w:val="auto"/>
          <w:sz w:val="32"/>
          <w:szCs w:val="32"/>
        </w:rPr>
        <w:t>本违法线索移交书一式三份，移交部门和接收部门各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执一份，抄送同级执法机构一份。</w:t>
      </w:r>
    </w:p>
    <w:p w14:paraId="270992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165070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1AD67F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3F6B76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1B8F95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42D699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6C557F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5C18BE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3CC2AC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45CFB3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64A1B9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47CD37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42F398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2EF15C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6CBEB9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2AEEFC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1F4675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68F9C1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204588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7FF413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p w14:paraId="1F8CFB20">
      <w:pP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br w:type="page"/>
      </w:r>
    </w:p>
    <w:p w14:paraId="43B17A7C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1555A431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4A2B2A80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56129202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7B3CD489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58244710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502ACD9D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4E581BC0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49293D12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662F7FD6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594459BA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7A1BBBC0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086C80B6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27CAE185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58F405A0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7D93A038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7B7F3CA1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204090B6">
      <w:pPr>
        <w:widowControl/>
        <w:spacing w:line="594" w:lineRule="exact"/>
        <w:rPr>
          <w:rFonts w:hint="eastAsia" w:ascii="Calibri" w:hAnsi="Calibri" w:eastAsia="仿宋_GB2312" w:cs="Arial"/>
          <w:spacing w:val="0"/>
          <w:kern w:val="0"/>
          <w:sz w:val="32"/>
          <w:szCs w:val="32"/>
          <w:lang w:val="en-US" w:eastAsia="zh-CN"/>
        </w:rPr>
      </w:pPr>
    </w:p>
    <w:p w14:paraId="729F97E5">
      <w:pPr>
        <w:pStyle w:val="7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1571" w:tblpY="968"/>
        <w:tblOverlap w:val="never"/>
        <w:tblW w:w="9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8"/>
      </w:tblGrid>
      <w:tr w14:paraId="10BE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8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6BEB53D">
            <w:pPr>
              <w:adjustRightInd w:val="0"/>
              <w:snapToGrid w:val="0"/>
              <w:ind w:left="210" w:leftChars="100" w:right="210" w:rightChars="100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ascii="Times New Roman" w:hAnsi="Times New Roman" w:eastAsia="仿宋"/>
                <w:sz w:val="28"/>
              </w:rPr>
              <w:t xml:space="preserve">益阳市生态环境局办公室        </w:t>
            </w:r>
            <w:r>
              <w:rPr>
                <w:rFonts w:hint="eastAsia" w:ascii="Times New Roman" w:hAnsi="Times New Roman" w:eastAsia="仿宋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8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仿宋"/>
                <w:sz w:val="28"/>
              </w:rPr>
              <w:t xml:space="preserve"> </w:t>
            </w:r>
            <w:r>
              <w:rPr>
                <w:rFonts w:ascii="Times New Roman" w:hAnsi="Times New Roman" w:eastAsia="仿宋"/>
                <w:sz w:val="28"/>
              </w:rPr>
              <w:t xml:space="preserve">   </w:t>
            </w:r>
            <w:r>
              <w:rPr>
                <w:rFonts w:ascii="Times New Roman" w:hAnsi="Times New Roman" w:eastAsia="仿宋"/>
                <w:sz w:val="28"/>
              </w:rPr>
              <w:t>202</w:t>
            </w:r>
            <w:r>
              <w:rPr>
                <w:rFonts w:hint="eastAsia" w:ascii="Times New Roman" w:hAnsi="Times New Roman" w:eastAsia="仿宋"/>
                <w:sz w:val="28"/>
                <w:lang w:val="en-US" w:eastAsia="zh-CN"/>
              </w:rPr>
              <w:t>6</w:t>
            </w:r>
            <w:r>
              <w:rPr>
                <w:rFonts w:ascii="Times New Roman" w:hAnsi="Times New Roman" w:eastAsia="仿宋"/>
                <w:sz w:val="28"/>
              </w:rPr>
              <w:t>年</w:t>
            </w:r>
            <w:r>
              <w:rPr>
                <w:rFonts w:hint="eastAsia" w:ascii="Times New Roman" w:hAnsi="Times New Roman" w:eastAsia="仿宋"/>
                <w:sz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sz w:val="28"/>
              </w:rPr>
              <w:t>月</w:t>
            </w:r>
            <w:r>
              <w:rPr>
                <w:rFonts w:hint="eastAsia" w:ascii="Times New Roman" w:hAnsi="Times New Roman" w:eastAsia="仿宋"/>
                <w:sz w:val="28"/>
                <w:lang w:val="en-US" w:eastAsia="zh-CN"/>
              </w:rPr>
              <w:t>13</w:t>
            </w:r>
            <w:r>
              <w:rPr>
                <w:rFonts w:ascii="Times New Roman" w:hAnsi="Times New Roman" w:eastAsia="仿宋"/>
                <w:sz w:val="28"/>
              </w:rPr>
              <w:t>日印发</w:t>
            </w:r>
          </w:p>
        </w:tc>
      </w:tr>
    </w:tbl>
    <w:p w14:paraId="71CADD1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erra Blanca">
    <w:panose1 w:val="02000506020000020004"/>
    <w:charset w:val="00"/>
    <w:family w:val="auto"/>
    <w:pitch w:val="default"/>
    <w:sig w:usb0="00000001" w:usb1="00000000" w:usb2="00000000" w:usb3="00000000" w:csb0="00000001" w:csb1="00000000"/>
  </w:font>
  <w:font w:name="TiM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BAD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C892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C892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2357A"/>
    <w:rsid w:val="031672D7"/>
    <w:rsid w:val="05CD222A"/>
    <w:rsid w:val="0641302C"/>
    <w:rsid w:val="0AC00045"/>
    <w:rsid w:val="0B753148"/>
    <w:rsid w:val="0FF60653"/>
    <w:rsid w:val="10F36FE9"/>
    <w:rsid w:val="130A6021"/>
    <w:rsid w:val="13380E91"/>
    <w:rsid w:val="17EB26A8"/>
    <w:rsid w:val="1971594F"/>
    <w:rsid w:val="1B2F335A"/>
    <w:rsid w:val="1E896788"/>
    <w:rsid w:val="32885DDC"/>
    <w:rsid w:val="336C01A4"/>
    <w:rsid w:val="33C26DC9"/>
    <w:rsid w:val="34086670"/>
    <w:rsid w:val="350E3B9A"/>
    <w:rsid w:val="36E549E4"/>
    <w:rsid w:val="3D9D1F07"/>
    <w:rsid w:val="3F3D6DB9"/>
    <w:rsid w:val="45CE29AD"/>
    <w:rsid w:val="513D270C"/>
    <w:rsid w:val="609E223F"/>
    <w:rsid w:val="63C17E4E"/>
    <w:rsid w:val="676A5D68"/>
    <w:rsid w:val="67F74D81"/>
    <w:rsid w:val="683D28C3"/>
    <w:rsid w:val="6D7A425F"/>
    <w:rsid w:val="6F32357A"/>
    <w:rsid w:val="72436B55"/>
    <w:rsid w:val="77B26DF6"/>
    <w:rsid w:val="7D40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无间隔1"/>
    <w:basedOn w:val="1"/>
    <w:qFormat/>
    <w:uiPriority w:val="99"/>
    <w:pPr>
      <w:widowControl/>
      <w:adjustRightInd/>
      <w:spacing w:line="400" w:lineRule="exact"/>
      <w:ind w:left="0" w:firstLine="0"/>
      <w:jc w:val="left"/>
      <w:textAlignment w:val="auto"/>
    </w:pPr>
    <w:rPr>
      <w:rFonts w:asci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3185</Words>
  <Characters>3224</Characters>
  <Lines>0</Lines>
  <Paragraphs>0</Paragraphs>
  <TotalTime>17</TotalTime>
  <ScaleCrop>false</ScaleCrop>
  <LinksUpToDate>false</LinksUpToDate>
  <CharactersWithSpaces>3286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2025-06-19T09:26:00Z</dcterms:created>
  <dc:creator>WPS_1661705375</dc:creator>
  <cp:lastModifiedBy>方</cp:lastModifiedBy>
  <cp:lastPrinted>2025-10-28T06:57:00Z</cp:lastPrinted>
  <dcterms:modified xsi:type="dcterms:W3CDTF">2026-01-14T01:48:10Z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366ECF4CCE7B4E76A0231699B30EB694_13</vt:lpwstr>
  </property>
  <property fmtid="{D5CDD505-2E9C-101B-9397-08002B2CF9AE}" pid="4" name="KSOTemplateDocerSaveRecord">
    <vt:lpwstr>eyJoZGlkIjoiY2M1NTJjYjI4MDgwNjFiYWJjN2M5MTEyMGE0YzdkYTQiLCJ1c2VySWQiOiIzMjc1NDU2NjIifQ==</vt:lpwstr>
  </property>
</Properties>
</file>