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C0FBE">
      <w:pPr>
        <w:rPr>
          <w:color w:val="000000"/>
        </w:rPr>
      </w:pPr>
    </w:p>
    <w:p w14:paraId="7D37CD8E">
      <w:pPr>
        <w:pStyle w:val="2"/>
        <w:spacing w:before="0" w:after="0" w:line="240" w:lineRule="auto"/>
        <w:ind w:left="0" w:firstLine="0"/>
      </w:pPr>
    </w:p>
    <w:p w14:paraId="76502F25">
      <w:pPr>
        <w:rPr>
          <w:rFonts w:ascii="方正小标宋简体" w:eastAsia="方正小标宋简体"/>
          <w:color w:val="FF0000"/>
          <w:sz w:val="24"/>
        </w:rPr>
      </w:pPr>
    </w:p>
    <w:p w14:paraId="38754D60">
      <w:pPr>
        <w:rPr>
          <w:color w:val="FF0000"/>
        </w:rPr>
      </w:pPr>
      <w:r>
        <w:rPr>
          <w:rFonts w:hint="eastAsia" w:ascii="仿宋_GB2312"/>
          <w:color w:val="FF0000"/>
          <w:sz w:val="24"/>
        </w:rPr>
        <w:t xml:space="preserve">                               </w:t>
      </w:r>
      <w:r>
        <w:rPr>
          <w:rFonts w:hint="eastAsia"/>
          <w:color w:val="FF0000"/>
          <w:sz w:val="24"/>
          <w:lang w:val="en-US" w:eastAsia="zh-CN"/>
        </w:rPr>
        <w:t xml:space="preserve">      </w:t>
      </w:r>
      <w:r>
        <w:rPr>
          <w:rFonts w:hint="eastAsia" w:ascii="仿宋_GB2312"/>
          <w:color w:val="auto"/>
          <w:kern w:val="0"/>
          <w:szCs w:val="32"/>
        </w:rPr>
        <w:t>益高环评表〔2025〕</w:t>
      </w:r>
      <w:r>
        <w:rPr>
          <w:rFonts w:hint="eastAsia" w:ascii="仿宋_GB2312"/>
          <w:color w:val="auto"/>
          <w:kern w:val="0"/>
          <w:szCs w:val="32"/>
          <w:lang w:val="en-US" w:eastAsia="zh-CN"/>
        </w:rPr>
        <w:t>1</w:t>
      </w:r>
      <w:r>
        <w:rPr>
          <w:rFonts w:hint="eastAsia"/>
          <w:color w:val="auto"/>
          <w:kern w:val="0"/>
          <w:szCs w:val="32"/>
          <w:lang w:val="en-US" w:eastAsia="zh-CN"/>
        </w:rPr>
        <w:t>2</w:t>
      </w:r>
      <w:r>
        <w:rPr>
          <w:rFonts w:hint="eastAsia" w:ascii="仿宋_GB2312"/>
          <w:color w:val="auto"/>
          <w:kern w:val="0"/>
          <w:szCs w:val="32"/>
        </w:rPr>
        <w:t>号</w:t>
      </w:r>
    </w:p>
    <w:p w14:paraId="3E29D36A">
      <w:pPr>
        <w:tabs>
          <w:tab w:val="left" w:pos="6240"/>
        </w:tabs>
        <w:spacing w:line="560" w:lineRule="exact"/>
        <w:jc w:val="center"/>
        <w:rPr>
          <w:rFonts w:eastAsia="方正小标宋简体"/>
          <w:color w:val="000000"/>
          <w:spacing w:val="0"/>
          <w:sz w:val="44"/>
          <w:szCs w:val="44"/>
        </w:rPr>
      </w:pPr>
      <w:r>
        <w:rPr>
          <w:rFonts w:eastAsia="方正小标宋简体"/>
          <w:color w:val="000000"/>
          <w:sz w:val="44"/>
          <w:szCs w:val="44"/>
        </w:rPr>
        <w:t xml:space="preserve"> </w:t>
      </w:r>
    </w:p>
    <w:p w14:paraId="0F45888C">
      <w:pPr>
        <w:tabs>
          <w:tab w:val="left" w:pos="6240"/>
        </w:tabs>
        <w:spacing w:line="560" w:lineRule="exact"/>
        <w:jc w:val="center"/>
        <w:rPr>
          <w:rFonts w:eastAsia="方正小标宋简体"/>
          <w:color w:val="000000"/>
          <w:sz w:val="44"/>
          <w:szCs w:val="44"/>
        </w:rPr>
      </w:pPr>
      <w:r>
        <w:rPr>
          <w:rFonts w:ascii="方正小标宋简体" w:hAnsi="方正小标宋简体" w:eastAsia="方正小标宋简体"/>
          <w:color w:val="000000"/>
          <w:sz w:val="44"/>
          <w:szCs w:val="44"/>
        </w:rPr>
        <w:t>益阳市生态环境局</w:t>
      </w:r>
    </w:p>
    <w:p w14:paraId="38DB742B">
      <w:pPr>
        <w:spacing w:line="560" w:lineRule="exact"/>
        <w:jc w:val="center"/>
      </w:pPr>
      <w:r>
        <w:rPr>
          <w:rFonts w:ascii="方正小标宋简体" w:hAnsi="方正小标宋简体" w:eastAsia="方正小标宋简体"/>
          <w:color w:val="000000"/>
          <w:spacing w:val="-20"/>
          <w:sz w:val="44"/>
          <w:szCs w:val="44"/>
        </w:rPr>
        <w:t>关于</w:t>
      </w:r>
      <w:bookmarkStart w:id="0" w:name="OLE_LINK8"/>
      <w:r>
        <w:rPr>
          <w:rFonts w:hint="eastAsia" w:ascii="方正小标宋简体" w:hAnsi="方正小标宋简体" w:eastAsia="方正小标宋简体"/>
          <w:color w:val="000000"/>
          <w:spacing w:val="-20"/>
          <w:sz w:val="44"/>
          <w:szCs w:val="44"/>
        </w:rPr>
        <w:t>益阳市赫山区鱼形山水库管理所益阳市鱼形山水库弃渣场项目</w:t>
      </w:r>
      <w:bookmarkEnd w:id="0"/>
      <w:r>
        <w:rPr>
          <w:rFonts w:hint="eastAsia" w:ascii="方正小标宋简体" w:hAnsi="方正小标宋简体" w:eastAsia="方正小标宋简体"/>
          <w:color w:val="000000"/>
          <w:spacing w:val="-20"/>
          <w:sz w:val="44"/>
          <w:szCs w:val="44"/>
        </w:rPr>
        <w:t>环境影响报告表</w:t>
      </w:r>
      <w:r>
        <w:rPr>
          <w:rFonts w:ascii="方正小标宋简体" w:hAnsi="方正小标宋简体" w:eastAsia="方正小标宋简体"/>
          <w:color w:val="000000"/>
          <w:spacing w:val="-20"/>
          <w:sz w:val="44"/>
          <w:szCs w:val="44"/>
        </w:rPr>
        <w:t>的批复</w:t>
      </w:r>
    </w:p>
    <w:p w14:paraId="6664EC4C">
      <w:pPr>
        <w:widowControl/>
        <w:spacing w:after="200" w:line="240" w:lineRule="auto"/>
        <w:ind w:firstLine="629"/>
        <w:jc w:val="right"/>
      </w:pPr>
    </w:p>
    <w:p w14:paraId="464E0C9D">
      <w:pPr>
        <w:spacing w:line="560" w:lineRule="exact"/>
        <w:rPr>
          <w:rFonts w:hAnsi="仿宋_GB2312" w:cs="仿宋_GB2312"/>
        </w:rPr>
      </w:pPr>
      <w:r>
        <w:rPr>
          <w:rFonts w:hint="eastAsia" w:hAnsi="仿宋_GB2312" w:cs="仿宋_GB2312"/>
        </w:rPr>
        <w:t>益阳市赫山区鱼形山水库管理所：</w:t>
      </w:r>
    </w:p>
    <w:p w14:paraId="65F181D6">
      <w:pPr>
        <w:spacing w:line="560" w:lineRule="exact"/>
        <w:ind w:firstLine="656" w:firstLineChars="200"/>
        <w:rPr>
          <w:rFonts w:hAnsi="仿宋_GB2312" w:cs="仿宋_GB2312"/>
        </w:rPr>
      </w:pPr>
      <w:r>
        <w:rPr>
          <w:rFonts w:hint="eastAsia" w:hAnsi="仿宋_GB2312" w:cs="仿宋_GB2312"/>
        </w:rPr>
        <w:t>你单位关于《益阳市赫山区鱼形山水库管理所益阳市鱼形山水库弃渣场项目环境影响</w:t>
      </w:r>
      <w:r>
        <w:rPr>
          <w:rFonts w:hint="eastAsia" w:ascii="仿宋_GB2312" w:hAnsi="仿宋_GB2312" w:eastAsia="仿宋_GB2312" w:cs="仿宋_GB2312"/>
          <w:spacing w:val="4"/>
          <w:kern w:val="2"/>
          <w:sz w:val="32"/>
          <w:szCs w:val="32"/>
          <w:lang w:val="en-US" w:eastAsia="zh-CN" w:bidi="ar-SA"/>
        </w:rPr>
        <w:t>报告</w:t>
      </w:r>
      <w:r>
        <w:rPr>
          <w:rFonts w:hint="eastAsia" w:hAnsi="仿宋_GB2312" w:cs="仿宋_GB2312"/>
        </w:rPr>
        <w:t>表》申请批复的报告及相关材料已收悉。经审查研究，批复如下：</w:t>
      </w:r>
    </w:p>
    <w:p w14:paraId="3EE12EF8">
      <w:pPr>
        <w:pStyle w:val="16"/>
        <w:numPr>
          <w:ilvl w:val="0"/>
          <w:numId w:val="1"/>
        </w:numPr>
        <w:spacing w:line="560" w:lineRule="exact"/>
        <w:ind w:firstLine="656" w:firstLineChars="200"/>
        <w:rPr>
          <w:rFonts w:hAnsi="仿宋_GB2312" w:cs="仿宋_GB2312"/>
          <w:color w:val="000000" w:themeColor="text1"/>
          <w14:textFill>
            <w14:solidFill>
              <w14:schemeClr w14:val="tx1"/>
            </w14:solidFill>
          </w14:textFill>
        </w:rPr>
        <w:sectPr>
          <w:footerReference r:id="rId5" w:type="default"/>
          <w:pgSz w:w="11906" w:h="16838"/>
          <w:pgMar w:top="1701" w:right="1701" w:bottom="1701" w:left="1701" w:header="851" w:footer="992" w:gutter="0"/>
          <w:pgNumType w:start="2"/>
          <w:cols w:space="425" w:num="1"/>
          <w:docGrid w:type="lines" w:linePitch="312" w:charSpace="0"/>
        </w:sectPr>
      </w:pPr>
      <w:r>
        <w:rPr>
          <w:rFonts w:hint="eastAsia" w:hAnsi="仿宋_GB2312" w:cs="仿宋_GB2312"/>
        </w:rPr>
        <w:t>益阳市鱼形山水库除险加固工程项目于2024年8月取得我局环评批复（益高环评表〔2024〕16号）。</w:t>
      </w:r>
      <w:r>
        <w:rPr>
          <w:rFonts w:hint="eastAsia" w:hAnsi="仿宋_GB2312" w:cs="仿宋_GB2312"/>
          <w:color w:val="000000"/>
        </w:rPr>
        <w:t>至</w:t>
      </w:r>
      <w:r>
        <w:rPr>
          <w:rFonts w:hint="eastAsia" w:hAnsi="仿宋_GB2312" w:cs="仿宋_GB2312"/>
        </w:rPr>
        <w:t>鱼形山水库管辖权调整前已有</w:t>
      </w:r>
      <w:r>
        <w:rPr>
          <w:rFonts w:hint="eastAsia" w:hAnsi="仿宋_GB2312" w:cs="仿宋_GB2312"/>
          <w:color w:val="000000"/>
        </w:rPr>
        <w:t>7000m</w:t>
      </w:r>
      <w:r>
        <w:rPr>
          <w:rFonts w:hint="eastAsia" w:hAnsi="仿宋_GB2312" w:cs="仿宋_GB2312"/>
          <w:color w:val="000000"/>
          <w:vertAlign w:val="superscript"/>
        </w:rPr>
        <w:t>3</w:t>
      </w:r>
      <w:r>
        <w:rPr>
          <w:rFonts w:hint="eastAsia" w:hAnsi="仿宋_GB2312" w:cs="仿宋_GB2312"/>
          <w:color w:val="000000"/>
        </w:rPr>
        <w:t>弃方</w:t>
      </w:r>
      <w:r>
        <w:rPr>
          <w:rFonts w:hint="eastAsia" w:hAnsi="仿宋_GB2312" w:cs="仿宋_GB2312"/>
        </w:rPr>
        <w:t>由专业的渣土运输公司运至益阳市鱼形山灌区续建配套与节水改造项目设置的弃渣场处置。因项目单位管辖权进行调整至赫山区，原弃渣场(益阳高新区管辖)不再接受益阳市鱼形山水库除险加固工程的弃方。益阳市赫山区鱼形山水库管理所拟</w:t>
      </w:r>
      <w:r>
        <w:rPr>
          <w:rFonts w:hint="eastAsia" w:hAnsi="仿宋_GB2312" w:cs="仿宋_GB2312"/>
          <w:color w:val="000000"/>
        </w:rPr>
        <w:t>投资120万元</w:t>
      </w:r>
      <w:r>
        <w:rPr>
          <w:rFonts w:hint="eastAsia" w:hAnsi="仿宋_GB2312" w:cs="仿宋_GB2312"/>
        </w:rPr>
        <w:t>，在</w:t>
      </w:r>
      <w:r>
        <w:rPr>
          <w:rFonts w:hint="eastAsia" w:hAnsi="仿宋_GB2312" w:cs="仿宋_GB2312"/>
          <w:color w:val="000000" w:themeColor="text1"/>
          <w14:textFill>
            <w14:solidFill>
              <w14:schemeClr w14:val="tx1"/>
            </w14:solidFill>
          </w14:textFill>
        </w:rPr>
        <w:t>益阳市鱼形山街道鱼形湖社区火把冲</w:t>
      </w:r>
      <w:r>
        <w:rPr>
          <w:rFonts w:hint="eastAsia" w:hAnsi="仿宋_GB2312" w:cs="仿宋_GB2312"/>
          <w:color w:val="000000"/>
        </w:rPr>
        <w:t>建设</w:t>
      </w:r>
      <w:r>
        <w:rPr>
          <w:rFonts w:hint="eastAsia" w:hAnsi="仿宋_GB2312" w:cs="仿宋_GB2312"/>
        </w:rPr>
        <w:t>益阳市鱼形山水库弃渣场项目，项目占地面积</w:t>
      </w:r>
      <w:r>
        <w:rPr>
          <w:rFonts w:hint="eastAsia" w:hAnsi="仿宋_GB2312" w:cs="仿宋_GB2312"/>
          <w:color w:val="000000"/>
        </w:rPr>
        <w:t>2500m</w:t>
      </w:r>
      <w:r>
        <w:rPr>
          <w:rFonts w:hint="eastAsia" w:hAnsi="仿宋_GB2312" w:cs="仿宋_GB2312"/>
          <w:color w:val="000000"/>
          <w:vertAlign w:val="superscript"/>
        </w:rPr>
        <w:t>2</w:t>
      </w:r>
      <w:r>
        <w:rPr>
          <w:rFonts w:hint="eastAsia" w:hAnsi="仿宋_GB2312" w:cs="仿宋_GB2312"/>
        </w:rPr>
        <w:t>，设计弃渣场堆置量约为</w:t>
      </w:r>
      <w:r>
        <w:rPr>
          <w:rFonts w:hint="eastAsia" w:hAnsi="仿宋_GB2312" w:cs="仿宋_GB2312"/>
          <w:color w:val="000000"/>
        </w:rPr>
        <w:t>2.5</w:t>
      </w:r>
      <w:r>
        <w:rPr>
          <w:rFonts w:hint="eastAsia" w:hAnsi="仿宋_GB2312" w:cs="仿宋_GB2312"/>
        </w:rPr>
        <w:t>万</w:t>
      </w:r>
      <w:r>
        <w:rPr>
          <w:rFonts w:hint="eastAsia" w:hAnsi="仿宋_GB2312" w:cs="仿宋_GB2312"/>
          <w:color w:val="000000"/>
        </w:rPr>
        <w:t>m</w:t>
      </w:r>
      <w:bookmarkStart w:id="1" w:name="OLE_LINK7"/>
      <w:r>
        <w:rPr>
          <w:rFonts w:hint="eastAsia" w:hAnsi="仿宋_GB2312" w:cs="仿宋_GB2312"/>
          <w:color w:val="000000"/>
          <w:vertAlign w:val="superscript"/>
        </w:rPr>
        <w:t>3</w:t>
      </w:r>
      <w:bookmarkEnd w:id="1"/>
      <w:r>
        <w:rPr>
          <w:rFonts w:hint="eastAsia" w:hAnsi="仿宋_GB2312" w:cs="仿宋_GB2312"/>
        </w:rPr>
        <w:t>，主要服务于益阳市鱼形山水库除险加固工</w:t>
      </w:r>
    </w:p>
    <w:p w14:paraId="6775762C">
      <w:pPr>
        <w:pStyle w:val="16"/>
        <w:numPr>
          <w:numId w:val="0"/>
        </w:numPr>
        <w:spacing w:line="560" w:lineRule="exact"/>
        <w:rPr>
          <w:rFonts w:hAnsi="仿宋_GB2312" w:cs="仿宋_GB2312"/>
          <w:color w:val="000000" w:themeColor="text1"/>
          <w14:textFill>
            <w14:solidFill>
              <w14:schemeClr w14:val="tx1"/>
            </w14:solidFill>
          </w14:textFill>
        </w:rPr>
      </w:pPr>
      <w:bookmarkStart w:id="2" w:name="_GoBack"/>
      <w:bookmarkEnd w:id="2"/>
      <w:r>
        <w:rPr>
          <w:rFonts w:hint="eastAsia" w:hAnsi="仿宋_GB2312" w:cs="仿宋_GB2312"/>
        </w:rPr>
        <w:t>程项目的剩余弃方。</w:t>
      </w:r>
      <w:r>
        <w:rPr>
          <w:rFonts w:hint="eastAsia" w:hAnsi="仿宋_GB2312" w:cs="仿宋_GB2312"/>
          <w:color w:val="000000" w:themeColor="text1"/>
          <w14:textFill>
            <w14:solidFill>
              <w14:schemeClr w14:val="tx1"/>
            </w14:solidFill>
          </w14:textFill>
        </w:rPr>
        <w:t>项目弃渣场西南侧为公路，若项目服务</w:t>
      </w:r>
      <w:r>
        <w:rPr>
          <w:rFonts w:hint="eastAsia" w:hAnsi="仿宋_GB2312" w:cs="仿宋_GB2312"/>
          <w:color w:val="000000" w:themeColor="text1"/>
          <w:lang w:val="en-US" w:eastAsia="zh-CN"/>
          <w14:textFill>
            <w14:solidFill>
              <w14:schemeClr w14:val="tx1"/>
            </w14:solidFill>
          </w14:textFill>
        </w:rPr>
        <w:t xml:space="preserve"> </w:t>
      </w:r>
      <w:r>
        <w:rPr>
          <w:rFonts w:hint="eastAsia" w:hAnsi="仿宋_GB2312" w:cs="仿宋_GB2312"/>
          <w:color w:val="000000" w:themeColor="text1"/>
          <w14:textFill>
            <w14:solidFill>
              <w14:schemeClr w14:val="tx1"/>
            </w14:solidFill>
          </w14:textFill>
        </w:rPr>
        <w:t>期弃渣高度高于道路1m，则需要在弃渣场西南侧设置挡土墙。服务年限为2025年</w:t>
      </w:r>
      <w:r>
        <w:rPr>
          <w:rFonts w:hAnsi="仿宋_GB2312" w:cs="仿宋_GB2312"/>
          <w:color w:val="000000" w:themeColor="text1"/>
          <w14:textFill>
            <w14:solidFill>
              <w14:schemeClr w14:val="tx1"/>
            </w14:solidFill>
          </w14:textFill>
        </w:rPr>
        <w:t>9</w:t>
      </w:r>
      <w:r>
        <w:rPr>
          <w:rFonts w:hint="eastAsia" w:hAnsi="仿宋_GB2312" w:cs="仿宋_GB2312"/>
          <w:color w:val="000000" w:themeColor="text1"/>
          <w14:textFill>
            <w14:solidFill>
              <w14:schemeClr w14:val="tx1"/>
            </w14:solidFill>
          </w14:textFill>
        </w:rPr>
        <w:t>月</w:t>
      </w:r>
      <w:r>
        <w:rPr>
          <w:rFonts w:hAnsi="仿宋_GB2312" w:cs="仿宋_GB2312"/>
          <w:color w:val="000000" w:themeColor="text1"/>
          <w14:textFill>
            <w14:solidFill>
              <w14:schemeClr w14:val="tx1"/>
            </w14:solidFill>
          </w14:textFill>
        </w:rPr>
        <w:t>至</w:t>
      </w:r>
      <w:r>
        <w:rPr>
          <w:rFonts w:hint="eastAsia" w:hAnsi="仿宋_GB2312" w:cs="仿宋_GB2312"/>
          <w:color w:val="000000" w:themeColor="text1"/>
          <w14:textFill>
            <w14:solidFill>
              <w14:schemeClr w14:val="tx1"/>
            </w14:solidFill>
          </w14:textFill>
        </w:rPr>
        <w:t>2026年</w:t>
      </w:r>
      <w:r>
        <w:rPr>
          <w:rFonts w:hAnsi="仿宋_GB2312" w:cs="仿宋_GB2312"/>
          <w:color w:val="000000" w:themeColor="text1"/>
          <w14:textFill>
            <w14:solidFill>
              <w14:schemeClr w14:val="tx1"/>
            </w14:solidFill>
          </w14:textFill>
        </w:rPr>
        <w:t>9</w:t>
      </w:r>
      <w:r>
        <w:rPr>
          <w:rFonts w:hint="eastAsia" w:hAnsi="仿宋_GB2312" w:cs="仿宋_GB2312"/>
          <w:color w:val="000000" w:themeColor="text1"/>
          <w14:textFill>
            <w14:solidFill>
              <w14:schemeClr w14:val="tx1"/>
            </w14:solidFill>
          </w14:textFill>
        </w:rPr>
        <w:t>月</w:t>
      </w:r>
      <w:r>
        <w:rPr>
          <w:rFonts w:hint="eastAsia" w:hAnsi="仿宋_GB2312" w:cs="仿宋_GB2312"/>
          <w:color w:val="000000" w:themeColor="text1"/>
          <w:lang w:eastAsia="zh-CN"/>
          <w14:textFill>
            <w14:solidFill>
              <w14:schemeClr w14:val="tx1"/>
            </w14:solidFill>
          </w14:textFill>
        </w:rPr>
        <w:t>，共</w:t>
      </w:r>
      <w:r>
        <w:rPr>
          <w:rFonts w:hint="eastAsia" w:hAnsi="仿宋_GB2312" w:cs="仿宋_GB2312"/>
          <w:color w:val="000000" w:themeColor="text1"/>
          <w:lang w:val="en-US" w:eastAsia="zh-CN"/>
          <w14:textFill>
            <w14:solidFill>
              <w14:schemeClr w14:val="tx1"/>
            </w14:solidFill>
          </w14:textFill>
        </w:rPr>
        <w:t>1年。</w:t>
      </w:r>
    </w:p>
    <w:p w14:paraId="0DF4A71A">
      <w:pPr>
        <w:spacing w:line="560" w:lineRule="exact"/>
        <w:ind w:firstLine="656" w:firstLineChars="200"/>
        <w:rPr>
          <w:rFonts w:hAnsi="仿宋_GB2312" w:cs="仿宋_GB2312"/>
        </w:rPr>
      </w:pPr>
      <w:r>
        <w:rPr>
          <w:rFonts w:hint="eastAsia" w:hAnsi="仿宋_GB2312" w:cs="仿宋_GB2312"/>
          <w:color w:val="000000" w:themeColor="text1"/>
          <w14:textFill>
            <w14:solidFill>
              <w14:schemeClr w14:val="tx1"/>
            </w14:solidFill>
          </w14:textFill>
        </w:rPr>
        <w:t>项目符合国家产业政策，</w:t>
      </w:r>
      <w:r>
        <w:rPr>
          <w:rFonts w:hint="eastAsia" w:ascii="仿宋_GB2312" w:hAnsi="仿宋_GB2312" w:eastAsia="仿宋_GB2312" w:cs="仿宋_GB2312"/>
          <w:color w:val="auto"/>
          <w:kern w:val="0"/>
          <w:sz w:val="32"/>
          <w:szCs w:val="32"/>
          <w:lang w:val="en-US" w:eastAsia="zh-CN"/>
        </w:rPr>
        <w:t>符合益阳市“三线一单”生态环境总体管控要求</w:t>
      </w:r>
      <w:r>
        <w:rPr>
          <w:rFonts w:hint="eastAsia" w:hAnsi="仿宋_GB2312" w:cs="仿宋_GB2312"/>
          <w:color w:val="000000" w:themeColor="text1"/>
          <w14:textFill>
            <w14:solidFill>
              <w14:schemeClr w14:val="tx1"/>
            </w14:solidFill>
          </w14:textFill>
        </w:rPr>
        <w:t>和</w:t>
      </w:r>
      <w:r>
        <w:rPr>
          <w:rFonts w:hint="eastAsia" w:hAnsi="仿宋_GB2312" w:cs="仿宋_GB2312"/>
        </w:rPr>
        <w:t>赫山区鱼形山街道生态环境准入清单要求。根据湖南中鉴生态环境科技有限公司编制的报告表的分析结论，在建设单位认真落实报告表和本批复提出的各项生态环境保护措施，确保各类污染物稳定达标排放的前提下，我局原则同意益阳市赫山区鱼形山水库管理所益阳市鱼形山水库弃渣场项目的选址及建设。</w:t>
      </w:r>
    </w:p>
    <w:p w14:paraId="587B49BB">
      <w:pPr>
        <w:spacing w:line="560" w:lineRule="exact"/>
        <w:ind w:firstLine="656" w:firstLineChars="200"/>
        <w:rPr>
          <w:rFonts w:hAnsi="仿宋_GB2312" w:cs="仿宋_GB2312"/>
        </w:rPr>
      </w:pPr>
      <w:r>
        <w:rPr>
          <w:rFonts w:hint="eastAsia" w:hAnsi="仿宋_GB2312" w:cs="仿宋_GB2312"/>
        </w:rPr>
        <w:t>二、你单位在工程设计、建设和运营管理中，必须落实环评提出的各项污染防治和风险防范措施要求，着重做好以下工作：</w:t>
      </w:r>
    </w:p>
    <w:p w14:paraId="72AB2595">
      <w:pPr>
        <w:spacing w:line="560" w:lineRule="exact"/>
        <w:ind w:firstLine="656" w:firstLineChars="200"/>
        <w:rPr>
          <w:rFonts w:hAnsi="仿宋_GB2312" w:cs="仿宋_GB2312"/>
        </w:rPr>
      </w:pPr>
      <w:r>
        <w:rPr>
          <w:rFonts w:ascii="Times New Roman" w:eastAsia="楷体_GB2312"/>
        </w:rPr>
        <w:t>（一）严格履行建设单位的环保主体责任</w:t>
      </w:r>
      <w:r>
        <w:rPr>
          <w:rFonts w:ascii="Times New Roman" w:eastAsia="楷体"/>
        </w:rPr>
        <w:t>，加强环境管理。</w:t>
      </w:r>
      <w:r>
        <w:rPr>
          <w:rFonts w:hint="eastAsia"/>
        </w:rPr>
        <w:t>建立健全环保规章制度和岗位责任制，</w:t>
      </w:r>
      <w:r>
        <w:rPr>
          <w:rFonts w:hint="eastAsia" w:hAnsi="仿宋_GB2312" w:cs="仿宋_GB2312"/>
        </w:rPr>
        <w:t>配备专职或兼职环保管理人员，</w:t>
      </w:r>
      <w:r>
        <w:rPr>
          <w:rFonts w:hint="eastAsia" w:hAnsi="仿宋_GB2312" w:cs="仿宋_GB2312"/>
          <w:color w:val="000000" w:themeColor="text1"/>
          <w14:textFill>
            <w14:solidFill>
              <w14:schemeClr w14:val="tx1"/>
            </w14:solidFill>
          </w14:textFill>
        </w:rPr>
        <w:t>加强弃渣场管理，本项目仅接纳益阳市鱼形山水库除险加固工程项目的剩余弃方，不接纳其他建筑垃圾、生活垃圾、危险废物、工业固体废物等</w:t>
      </w:r>
      <w:r>
        <w:rPr>
          <w:rFonts w:hint="eastAsia" w:hAnsi="仿宋_GB2312" w:cs="仿宋_GB2312"/>
          <w:color w:val="000000"/>
        </w:rPr>
        <w:t>；</w:t>
      </w:r>
      <w:r>
        <w:rPr>
          <w:rFonts w:hint="eastAsia" w:hAnsi="仿宋_GB2312" w:cs="仿宋_GB2312"/>
        </w:rPr>
        <w:t>落实文明施工规定和各项污染防控措施，确保各类污染物的稳定达标排放</w:t>
      </w:r>
      <w:r>
        <w:rPr>
          <w:rFonts w:hint="eastAsia"/>
        </w:rPr>
        <w:t>；</w:t>
      </w:r>
      <w:r>
        <w:rPr>
          <w:rFonts w:hint="eastAsia" w:ascii="仿宋" w:hAnsi="仿宋" w:eastAsia="仿宋"/>
        </w:rPr>
        <w:t>建</w:t>
      </w:r>
      <w:r>
        <w:rPr>
          <w:rFonts w:hint="eastAsia" w:hAnsi="仿宋_GB2312" w:cs="仿宋_GB2312"/>
        </w:rPr>
        <w:t>设单位根据《湖南省突发环境事件应急预案管理办法（修订版）》（湘环发〔2024〕49号）的要求进行应急预案管理，落实事故风险防范措施，切实防范各类环境风险事故。</w:t>
      </w:r>
    </w:p>
    <w:p w14:paraId="5A7530C7">
      <w:pPr>
        <w:spacing w:line="560" w:lineRule="exact"/>
        <w:ind w:firstLine="656" w:firstLineChars="200"/>
        <w:rPr>
          <w:rFonts w:ascii="Times New Roman"/>
          <w:spacing w:val="0"/>
        </w:rPr>
      </w:pPr>
      <w:r>
        <w:rPr>
          <w:rFonts w:ascii="Times New Roman" w:eastAsia="楷体_GB2312"/>
        </w:rPr>
        <w:t>（</w:t>
      </w:r>
      <w:r>
        <w:rPr>
          <w:rFonts w:hint="eastAsia" w:eastAsia="楷体_GB2312"/>
        </w:rPr>
        <w:t>二</w:t>
      </w:r>
      <w:r>
        <w:rPr>
          <w:rFonts w:ascii="Times New Roman" w:eastAsia="楷体_GB2312"/>
        </w:rPr>
        <w:t>）</w:t>
      </w:r>
      <w:r>
        <w:rPr>
          <w:rFonts w:ascii="Times New Roman" w:eastAsia="楷体"/>
          <w:color w:val="000000"/>
        </w:rPr>
        <w:t>落实生态</w:t>
      </w:r>
      <w:r>
        <w:rPr>
          <w:rFonts w:hint="eastAsia" w:ascii="Times New Roman" w:eastAsia="楷体"/>
          <w:color w:val="000000"/>
        </w:rPr>
        <w:t>环境</w:t>
      </w:r>
      <w:r>
        <w:rPr>
          <w:rFonts w:ascii="Times New Roman" w:eastAsia="楷体"/>
          <w:color w:val="000000"/>
        </w:rPr>
        <w:t>保护措施。</w:t>
      </w:r>
      <w:r>
        <w:rPr>
          <w:rFonts w:hint="eastAsia" w:hAnsi="仿宋_GB2312" w:cs="仿宋_GB2312"/>
        </w:rPr>
        <w:t>优化工程设计，严格落实施工方案，合理安排工期；严格控制施工场界，加强施工管理，不得越界施工破坏周边生态环境，严格落实水土保持方案，防止水土流失</w:t>
      </w:r>
      <w:r>
        <w:rPr>
          <w:rFonts w:hint="eastAsia"/>
        </w:rPr>
        <w:t>；服务期满后按</w:t>
      </w:r>
      <w:r>
        <w:rPr>
          <w:rFonts w:hint="eastAsia" w:hAnsi="仿宋_GB2312" w:cs="仿宋_GB2312"/>
        </w:rPr>
        <w:t>水土保持方案进行植被恢复，切实保护库区水生、陆生生物的安全，减少施工对周边生态环境的影响</w:t>
      </w:r>
      <w:r>
        <w:rPr>
          <w:rFonts w:hint="eastAsia" w:ascii="Times New Roman"/>
          <w:spacing w:val="0"/>
        </w:rPr>
        <w:t>。</w:t>
      </w:r>
    </w:p>
    <w:p w14:paraId="08D04D7E">
      <w:pPr>
        <w:spacing w:line="560" w:lineRule="exact"/>
        <w:ind w:firstLine="656" w:firstLineChars="200"/>
        <w:rPr>
          <w:rFonts w:hAnsi="仿宋_GB2312" w:cs="仿宋_GB2312"/>
        </w:rPr>
      </w:pPr>
      <w:r>
        <w:rPr>
          <w:rFonts w:hint="eastAsia" w:ascii="Times New Roman" w:eastAsia="楷体"/>
          <w:color w:val="000000"/>
        </w:rPr>
        <w:t>（三）落实大气污染防治措施。</w:t>
      </w:r>
      <w:r>
        <w:rPr>
          <w:rFonts w:hint="eastAsia"/>
        </w:rPr>
        <w:t>严格落实《益阳市扬尘污染防治条例》的要求，</w:t>
      </w:r>
      <w:r>
        <w:rPr>
          <w:rFonts w:hint="eastAsia" w:hAnsi="仿宋_GB2312" w:cs="仿宋_GB2312"/>
          <w:color w:val="000000"/>
        </w:rPr>
        <w:t>优化施工工艺，</w:t>
      </w:r>
      <w:r>
        <w:rPr>
          <w:rFonts w:hint="eastAsia" w:hAnsi="仿宋_GB2312" w:cs="仿宋_GB2312"/>
          <w:bCs/>
        </w:rPr>
        <w:t>施工场地设置围挡，</w:t>
      </w:r>
      <w:r>
        <w:rPr>
          <w:rFonts w:hint="eastAsia" w:hAnsi="仿宋_GB2312" w:cs="仿宋_GB2312"/>
          <w:color w:val="000000"/>
        </w:rPr>
        <w:t>表土堆放区应及时覆盖防尘网，场内配备喷淋设施，</w:t>
      </w:r>
      <w:r>
        <w:rPr>
          <w:rFonts w:hint="eastAsia" w:hAnsi="仿宋_GB2312" w:cs="仿宋_GB2312"/>
          <w:bCs/>
        </w:rPr>
        <w:t>定期对弃渣场和运输道路洒水抑尘，设置洗车平台对进出车辆轮胎清洗，</w:t>
      </w:r>
      <w:r>
        <w:rPr>
          <w:rFonts w:hint="eastAsia" w:hAnsi="仿宋_GB2312" w:cs="仿宋_GB2312"/>
        </w:rPr>
        <w:t>运输车辆用篷布遮盖并低速行驶，减少无组织粉尘和恶臭对周边环境的影响，确保外排废气满足《大气污染物综合排放标准》（GB16297-1996）表2中无组织排放监控浓度限值要求。</w:t>
      </w:r>
    </w:p>
    <w:p w14:paraId="793F2779">
      <w:pPr>
        <w:spacing w:line="560" w:lineRule="exact"/>
        <w:ind w:firstLine="656" w:firstLineChars="200"/>
        <w:rPr>
          <w:rFonts w:ascii="Times New Roman"/>
        </w:rPr>
      </w:pPr>
      <w:r>
        <w:rPr>
          <w:rFonts w:ascii="Times New Roman" w:eastAsia="楷体_GB2312"/>
          <w:color w:val="000000" w:themeColor="text1"/>
          <w14:textFill>
            <w14:solidFill>
              <w14:schemeClr w14:val="tx1"/>
            </w14:solidFill>
          </w14:textFill>
        </w:rPr>
        <w:t>（</w:t>
      </w:r>
      <w:r>
        <w:rPr>
          <w:rFonts w:hint="eastAsia" w:eastAsia="楷体_GB2312"/>
          <w:color w:val="000000" w:themeColor="text1"/>
          <w14:textFill>
            <w14:solidFill>
              <w14:schemeClr w14:val="tx1"/>
            </w14:solidFill>
          </w14:textFill>
        </w:rPr>
        <w:t>四</w:t>
      </w:r>
      <w:r>
        <w:rPr>
          <w:rFonts w:ascii="Times New Roman" w:eastAsia="楷体_GB2312"/>
          <w:color w:val="000000" w:themeColor="text1"/>
          <w14:textFill>
            <w14:solidFill>
              <w14:schemeClr w14:val="tx1"/>
            </w14:solidFill>
          </w14:textFill>
        </w:rPr>
        <w:t>）落实水污染防治措施。</w:t>
      </w:r>
      <w:r>
        <w:rPr>
          <w:rFonts w:hint="eastAsia"/>
        </w:rPr>
        <w:t>按要求设置截排水沟和沉淀池，车辆冲洗废水、弃</w:t>
      </w:r>
      <w:r>
        <w:rPr>
          <w:rFonts w:hint="eastAsia"/>
          <w:lang w:eastAsia="zh-CN"/>
        </w:rPr>
        <w:t>渣</w:t>
      </w:r>
      <w:r>
        <w:rPr>
          <w:rFonts w:hint="eastAsia"/>
        </w:rPr>
        <w:t>场淋溶水经收集沉淀处理后</w:t>
      </w:r>
      <w:r>
        <w:rPr>
          <w:rFonts w:hint="eastAsia" w:hAnsi="仿宋_GB2312" w:cs="仿宋_GB2312"/>
        </w:rPr>
        <w:t>用于场内洒水抑尘</w:t>
      </w:r>
      <w:r>
        <w:rPr>
          <w:rFonts w:hint="eastAsia"/>
        </w:rPr>
        <w:t>；</w:t>
      </w:r>
      <w:r>
        <w:rPr>
          <w:rFonts w:hint="eastAsia" w:hAnsi="仿宋_GB2312" w:cs="仿宋_GB2312"/>
          <w:color w:val="000000" w:themeColor="text1"/>
          <w14:textFill>
            <w14:solidFill>
              <w14:schemeClr w14:val="tx1"/>
            </w14:solidFill>
          </w14:textFill>
        </w:rPr>
        <w:t>施工人员生活污</w:t>
      </w:r>
      <w:r>
        <w:rPr>
          <w:rFonts w:hint="eastAsia" w:hAnsi="仿宋_GB2312" w:cs="仿宋_GB2312"/>
        </w:rPr>
        <w:t>水依托周边居民的化粪池处理后用于周边农田菜地施肥。</w:t>
      </w:r>
    </w:p>
    <w:p w14:paraId="28D3B9CC">
      <w:pPr>
        <w:spacing w:line="560" w:lineRule="exact"/>
        <w:ind w:firstLine="656" w:firstLineChars="200"/>
        <w:rPr>
          <w:rFonts w:hAnsi="仿宋_GB2312" w:cs="仿宋_GB2312"/>
          <w:color w:val="000000" w:themeColor="text1"/>
          <w:kern w:val="0"/>
          <w14:textFill>
            <w14:solidFill>
              <w14:schemeClr w14:val="tx1"/>
            </w14:solidFill>
          </w14:textFill>
        </w:rPr>
      </w:pPr>
      <w:r>
        <w:rPr>
          <w:rFonts w:hint="eastAsia" w:ascii="Times New Roman" w:eastAsia="楷体_GB2312"/>
          <w:color w:val="000000" w:themeColor="text1"/>
          <w14:textFill>
            <w14:solidFill>
              <w14:schemeClr w14:val="tx1"/>
            </w14:solidFill>
          </w14:textFill>
        </w:rPr>
        <w:t>（五）</w:t>
      </w:r>
      <w:r>
        <w:rPr>
          <w:rFonts w:ascii="Times New Roman" w:eastAsia="楷体_GB2312"/>
          <w:color w:val="000000" w:themeColor="text1"/>
          <w14:textFill>
            <w14:solidFill>
              <w14:schemeClr w14:val="tx1"/>
            </w14:solidFill>
          </w14:textFill>
        </w:rPr>
        <w:t>落实固体废物处置措施。</w:t>
      </w:r>
      <w:r>
        <w:rPr>
          <w:rFonts w:hint="eastAsia" w:hAnsi="仿宋_GB2312" w:cs="仿宋_GB2312"/>
          <w:color w:val="000000"/>
        </w:rPr>
        <w:t>按照“无害化、资源化、减量化”的原则做好固体废物的综合利用和安全处置工作，</w:t>
      </w:r>
      <w:r>
        <w:rPr>
          <w:rFonts w:hint="eastAsia"/>
        </w:rPr>
        <w:t>表土在弃渣场内妥善暂存，用于后期生态恢复；沉淀池沉渣定期清掏，回填于弃渣场；生活垃圾由环卫部门定期清运</w:t>
      </w:r>
      <w:r>
        <w:rPr>
          <w:rFonts w:hint="eastAsia" w:hAnsi="仿宋_GB2312" w:cs="仿宋_GB2312"/>
          <w:color w:val="000000" w:themeColor="text1"/>
          <w:kern w:val="0"/>
          <w14:textFill>
            <w14:solidFill>
              <w14:schemeClr w14:val="tx1"/>
            </w14:solidFill>
          </w14:textFill>
        </w:rPr>
        <w:t>。</w:t>
      </w:r>
    </w:p>
    <w:p w14:paraId="546B36B2">
      <w:pPr>
        <w:spacing w:line="560" w:lineRule="exact"/>
        <w:ind w:firstLine="656" w:firstLineChars="200"/>
        <w:rPr>
          <w:rFonts w:hAnsi="仿宋_GB2312" w:cs="仿宋_GB2312"/>
          <w:spacing w:val="0"/>
        </w:rPr>
      </w:pPr>
      <w:r>
        <w:rPr>
          <w:rFonts w:hint="eastAsia" w:ascii="Times New Roman" w:eastAsia="楷体_GB2312"/>
          <w:color w:val="000000" w:themeColor="text1"/>
          <w14:textFill>
            <w14:solidFill>
              <w14:schemeClr w14:val="tx1"/>
            </w14:solidFill>
          </w14:textFill>
        </w:rPr>
        <w:t>（六）落实噪声污染防治措施。</w:t>
      </w:r>
      <w:r>
        <w:rPr>
          <w:rFonts w:hint="eastAsia" w:hAnsi="仿宋_GB2312" w:cs="仿宋_GB2312"/>
        </w:rPr>
        <w:t>选用低噪声的施工机械和工艺，</w:t>
      </w:r>
      <w:r>
        <w:rPr>
          <w:rFonts w:hint="eastAsia" w:hAnsi="仿宋_GB2312" w:cs="仿宋_GB2312"/>
          <w:color w:val="000000"/>
        </w:rPr>
        <w:t>午间（12:00-14:00）停止高噪声设备作业，夜间（22:00-次日6:00）禁止施工</w:t>
      </w:r>
      <w:r>
        <w:rPr>
          <w:rFonts w:hint="eastAsia" w:hAnsi="仿宋_GB2312" w:cs="仿宋_GB2312"/>
        </w:rPr>
        <w:t>，确保场界噪声满足《建筑施工场界环境噪声排放标准》（</w:t>
      </w:r>
      <w:r>
        <w:rPr>
          <w:rFonts w:hint="eastAsia" w:hAnsi="仿宋_GB2312" w:cs="仿宋_GB2312"/>
          <w:color w:val="000000"/>
        </w:rPr>
        <w:t>GB12523-2011</w:t>
      </w:r>
      <w:r>
        <w:rPr>
          <w:rFonts w:hint="eastAsia" w:hAnsi="仿宋_GB2312" w:cs="仿宋_GB2312"/>
        </w:rPr>
        <w:t>）中</w:t>
      </w:r>
      <w:r>
        <w:rPr>
          <w:rFonts w:hint="eastAsia" w:hAnsi="仿宋_GB2312" w:cs="仿宋_GB2312"/>
          <w:bCs/>
          <w:color w:val="000000"/>
        </w:rPr>
        <w:t>的要求</w:t>
      </w:r>
      <w:r>
        <w:rPr>
          <w:rFonts w:hint="eastAsia" w:hAnsi="仿宋_GB2312" w:cs="仿宋_GB2312"/>
          <w:color w:val="000000"/>
        </w:rPr>
        <w:t>，防止施工噪声扰民</w:t>
      </w:r>
      <w:r>
        <w:rPr>
          <w:rFonts w:hint="eastAsia" w:hAnsi="仿宋_GB2312" w:cs="仿宋_GB2312"/>
        </w:rPr>
        <w:t>。</w:t>
      </w:r>
    </w:p>
    <w:p w14:paraId="111CAB6F">
      <w:pPr>
        <w:adjustRightInd/>
        <w:snapToGrid/>
        <w:spacing w:line="560" w:lineRule="exact"/>
        <w:ind w:firstLine="656" w:firstLineChars="200"/>
        <w:rPr>
          <w:rFonts w:hAnsi="仿宋_GB2312" w:cs="仿宋_GB2312"/>
          <w:color w:val="000000" w:themeColor="text1"/>
          <w14:textFill>
            <w14:solidFill>
              <w14:schemeClr w14:val="tx1"/>
            </w14:solidFill>
          </w14:textFill>
        </w:rPr>
      </w:pPr>
      <w:r>
        <w:rPr>
          <w:rFonts w:hint="eastAsia"/>
        </w:rPr>
        <w:t>三、本项目经审批后，建设的性质、规模、地点、采用的生产工艺或者防治污染、防止生态破坏的措施发生重大变动的，应重新报批建设项目的环评文件。</w:t>
      </w:r>
      <w:r>
        <w:rPr>
          <w:rFonts w:hint="eastAsia" w:hAnsi="仿宋_GB2312" w:cs="仿宋_GB2312"/>
          <w:color w:val="000000"/>
        </w:rPr>
        <w:t>项目</w:t>
      </w:r>
      <w:r>
        <w:rPr>
          <w:rFonts w:hint="eastAsia" w:hAnsi="仿宋_GB2312" w:cs="仿宋_GB2312"/>
        </w:rPr>
        <w:t>实施完成后，须按照《建设项目环境保护管理条例》的有关规定，及时进行项目竣工环保自主验收手续。</w:t>
      </w:r>
      <w:r>
        <w:rPr>
          <w:rFonts w:hint="eastAsia" w:hAnsi="仿宋_GB2312" w:cs="仿宋_GB2312"/>
          <w:color w:val="000000" w:themeColor="text1"/>
          <w14:textFill>
            <w14:solidFill>
              <w14:schemeClr w14:val="tx1"/>
            </w14:solidFill>
          </w14:textFill>
        </w:rPr>
        <w:t>益阳市生态环境保护综合行政执法支队高新区大队负责本项目“三同时”监督检查和管理工作。</w:t>
      </w:r>
    </w:p>
    <w:p w14:paraId="790C4452">
      <w:pPr>
        <w:spacing w:line="560" w:lineRule="exact"/>
        <w:ind w:firstLine="656" w:firstLineChars="200"/>
        <w:rPr>
          <w:rFonts w:hAnsi="仿宋_GB2312" w:cs="仿宋_GB2312"/>
        </w:rPr>
      </w:pPr>
      <w:r>
        <w:rPr>
          <w:rFonts w:hint="eastAsia"/>
        </w:rPr>
        <w:t>四、你单位在收到本批复后</w:t>
      </w:r>
      <w:r>
        <w:rPr>
          <w:rFonts w:hint="eastAsia" w:hAnsi="仿宋_GB2312" w:cs="仿宋_GB2312"/>
          <w:color w:val="000000"/>
        </w:rPr>
        <w:t>15</w:t>
      </w:r>
      <w:r>
        <w:rPr>
          <w:rFonts w:hint="eastAsia" w:hAnsi="仿宋_GB2312" w:cs="仿宋_GB2312"/>
        </w:rPr>
        <w:t>个工作日内，将本批复及项目环评报告表送至益阳市生态环境局高新区分局。</w:t>
      </w:r>
    </w:p>
    <w:p w14:paraId="6177AFC5">
      <w:pPr>
        <w:jc w:val="right"/>
        <w:rPr>
          <w:rFonts w:hAnsi="仿宋_GB2312" w:cs="仿宋_GB2312"/>
        </w:rPr>
      </w:pPr>
      <w:r>
        <w:rPr>
          <w:rFonts w:hint="eastAsia" w:hAnsi="仿宋_GB2312" w:cs="仿宋_GB2312"/>
        </w:rPr>
        <w:t xml:space="preserve">                   </w:t>
      </w:r>
    </w:p>
    <w:p w14:paraId="0AF72BCA">
      <w:pPr>
        <w:adjustRightInd/>
        <w:snapToGrid/>
        <w:spacing w:line="560" w:lineRule="exact"/>
        <w:ind w:firstLine="640" w:firstLineChars="200"/>
        <w:jc w:val="center"/>
        <w:rPr>
          <w:rFonts w:hAnsi="仿宋_GB2312" w:cs="仿宋_GB2312"/>
          <w:color w:val="000000" w:themeColor="text1"/>
          <w:spacing w:val="0"/>
          <w14:textFill>
            <w14:solidFill>
              <w14:schemeClr w14:val="tx1"/>
            </w14:solidFill>
          </w14:textFill>
        </w:rPr>
      </w:pPr>
    </w:p>
    <w:p w14:paraId="06923368">
      <w:pPr>
        <w:adjustRightInd/>
        <w:snapToGrid/>
        <w:spacing w:line="560" w:lineRule="exact"/>
        <w:ind w:firstLine="640" w:firstLineChars="200"/>
        <w:jc w:val="center"/>
        <w:rPr>
          <w:rFonts w:hAnsi="仿宋_GB2312" w:cs="仿宋_GB2312"/>
          <w:color w:val="000000" w:themeColor="text1"/>
          <w:spacing w:val="0"/>
          <w14:textFill>
            <w14:solidFill>
              <w14:schemeClr w14:val="tx1"/>
            </w14:solidFill>
          </w14:textFill>
        </w:rPr>
      </w:pPr>
      <w:r>
        <w:rPr>
          <w:rFonts w:hint="eastAsia" w:hAnsi="仿宋_GB2312" w:cs="仿宋_GB2312"/>
          <w:color w:val="000000" w:themeColor="text1"/>
          <w:spacing w:val="0"/>
          <w14:textFill>
            <w14:solidFill>
              <w14:schemeClr w14:val="tx1"/>
            </w14:solidFill>
          </w14:textFill>
        </w:rPr>
        <w:t xml:space="preserve">                 益阳市生态环境局</w:t>
      </w:r>
    </w:p>
    <w:p w14:paraId="760E1ED9">
      <w:pPr>
        <w:adjustRightInd/>
        <w:snapToGrid/>
        <w:spacing w:line="560" w:lineRule="exact"/>
        <w:ind w:firstLine="640" w:firstLineChars="200"/>
        <w:jc w:val="center"/>
        <w:rPr>
          <w:rFonts w:hAnsi="仿宋_GB2312" w:cs="仿宋_GB2312"/>
          <w:color w:val="000000" w:themeColor="text1"/>
          <w:spacing w:val="0"/>
          <w14:textFill>
            <w14:solidFill>
              <w14:schemeClr w14:val="tx1"/>
            </w14:solidFill>
          </w14:textFill>
        </w:rPr>
      </w:pPr>
      <w:r>
        <w:rPr>
          <w:rFonts w:hint="eastAsia" w:hAnsi="仿宋_GB2312" w:cs="仿宋_GB2312"/>
          <w:color w:val="000000" w:themeColor="text1"/>
          <w:spacing w:val="0"/>
          <w14:textFill>
            <w14:solidFill>
              <w14:schemeClr w14:val="tx1"/>
            </w14:solidFill>
          </w14:textFill>
        </w:rPr>
        <w:t xml:space="preserve">                 2025年8月2</w:t>
      </w:r>
      <w:r>
        <w:rPr>
          <w:rFonts w:hint="eastAsia" w:hAnsi="仿宋_GB2312" w:cs="仿宋_GB2312"/>
          <w:color w:val="000000" w:themeColor="text1"/>
          <w:spacing w:val="0"/>
          <w:lang w:val="en-US" w:eastAsia="zh-CN"/>
          <w14:textFill>
            <w14:solidFill>
              <w14:schemeClr w14:val="tx1"/>
            </w14:solidFill>
          </w14:textFill>
        </w:rPr>
        <w:t>8</w:t>
      </w:r>
      <w:r>
        <w:rPr>
          <w:rFonts w:hint="eastAsia" w:hAnsi="仿宋_GB2312" w:cs="仿宋_GB2312"/>
          <w:color w:val="000000" w:themeColor="text1"/>
          <w:spacing w:val="0"/>
          <w14:textFill>
            <w14:solidFill>
              <w14:schemeClr w14:val="tx1"/>
            </w14:solidFill>
          </w14:textFill>
        </w:rPr>
        <w:t>日</w:t>
      </w:r>
    </w:p>
    <w:sectPr>
      <w:footerReference r:id="rId6" w:type="default"/>
      <w:pgSz w:w="11906" w:h="16838"/>
      <w:pgMar w:top="1701" w:right="1701" w:bottom="1701" w:left="1701" w:header="851" w:footer="992" w:gutter="0"/>
      <w:pgNumType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AA21F">
    <w:pPr>
      <w:pStyle w:val="8"/>
      <w:tabs>
        <w:tab w:val="center" w:pos="425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8DD3A">
    <w:pPr>
      <w:pStyle w:val="8"/>
      <w:tabs>
        <w:tab w:val="center" w:pos="4252"/>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35D2A">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A835D2A">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lang w:eastAsia="zh-CN"/>
      </w:rPr>
      <w:tab/>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501B7"/>
    <w:multiLevelType w:val="singleLevel"/>
    <w:tmpl w:val="9D3501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xMTk3NTc1NzI3NTBmNjE3NTg5YTVhYmVmNzdhOWQifQ=="/>
  </w:docVars>
  <w:rsids>
    <w:rsidRoot w:val="7DB33405"/>
    <w:rsid w:val="00025EC4"/>
    <w:rsid w:val="000A4949"/>
    <w:rsid w:val="000A49D3"/>
    <w:rsid w:val="00282E3A"/>
    <w:rsid w:val="00285BF6"/>
    <w:rsid w:val="00382DEE"/>
    <w:rsid w:val="00425B8D"/>
    <w:rsid w:val="0046380A"/>
    <w:rsid w:val="00476E6B"/>
    <w:rsid w:val="004B6E1B"/>
    <w:rsid w:val="00511AD3"/>
    <w:rsid w:val="00516A8B"/>
    <w:rsid w:val="00530324"/>
    <w:rsid w:val="00541C4B"/>
    <w:rsid w:val="00556424"/>
    <w:rsid w:val="00641170"/>
    <w:rsid w:val="00677229"/>
    <w:rsid w:val="00700895"/>
    <w:rsid w:val="007E2290"/>
    <w:rsid w:val="00802A72"/>
    <w:rsid w:val="008F73D9"/>
    <w:rsid w:val="00955F62"/>
    <w:rsid w:val="00985661"/>
    <w:rsid w:val="009A7F7B"/>
    <w:rsid w:val="00A06640"/>
    <w:rsid w:val="00A44ED0"/>
    <w:rsid w:val="00A65FC5"/>
    <w:rsid w:val="00A92C3F"/>
    <w:rsid w:val="00AB53E0"/>
    <w:rsid w:val="00B76507"/>
    <w:rsid w:val="00BF50E9"/>
    <w:rsid w:val="00CC04C7"/>
    <w:rsid w:val="00CC4588"/>
    <w:rsid w:val="00DA0314"/>
    <w:rsid w:val="00EC654A"/>
    <w:rsid w:val="00ED7147"/>
    <w:rsid w:val="018076E9"/>
    <w:rsid w:val="01D86637"/>
    <w:rsid w:val="02ED6112"/>
    <w:rsid w:val="03B83B4E"/>
    <w:rsid w:val="07D369E5"/>
    <w:rsid w:val="09FE0C04"/>
    <w:rsid w:val="0C8F3D96"/>
    <w:rsid w:val="0DCB34F3"/>
    <w:rsid w:val="0E667697"/>
    <w:rsid w:val="102660B1"/>
    <w:rsid w:val="1068327B"/>
    <w:rsid w:val="1206262D"/>
    <w:rsid w:val="12C14EC5"/>
    <w:rsid w:val="13765CAF"/>
    <w:rsid w:val="15495B9A"/>
    <w:rsid w:val="16747E6A"/>
    <w:rsid w:val="171F098A"/>
    <w:rsid w:val="18A961DF"/>
    <w:rsid w:val="193F08F1"/>
    <w:rsid w:val="19F65454"/>
    <w:rsid w:val="1B182296"/>
    <w:rsid w:val="1DA358F3"/>
    <w:rsid w:val="1E4F7095"/>
    <w:rsid w:val="1ECE4BF1"/>
    <w:rsid w:val="1FDC1300"/>
    <w:rsid w:val="20604F27"/>
    <w:rsid w:val="20EB18B3"/>
    <w:rsid w:val="22806203"/>
    <w:rsid w:val="22E7342D"/>
    <w:rsid w:val="235558E1"/>
    <w:rsid w:val="23E32F6D"/>
    <w:rsid w:val="24C218A1"/>
    <w:rsid w:val="252F1A25"/>
    <w:rsid w:val="257A3206"/>
    <w:rsid w:val="25FE652C"/>
    <w:rsid w:val="26CB1A16"/>
    <w:rsid w:val="27FA0128"/>
    <w:rsid w:val="285048C9"/>
    <w:rsid w:val="29B93B49"/>
    <w:rsid w:val="29E0546B"/>
    <w:rsid w:val="29E259F5"/>
    <w:rsid w:val="2B595843"/>
    <w:rsid w:val="2D614E83"/>
    <w:rsid w:val="2E304F81"/>
    <w:rsid w:val="2E3C4096"/>
    <w:rsid w:val="2EDE1BFA"/>
    <w:rsid w:val="2F4F27ED"/>
    <w:rsid w:val="2F8258A2"/>
    <w:rsid w:val="2FD111ED"/>
    <w:rsid w:val="2FE75B13"/>
    <w:rsid w:val="3082583C"/>
    <w:rsid w:val="30B67293"/>
    <w:rsid w:val="31D62637"/>
    <w:rsid w:val="32316565"/>
    <w:rsid w:val="32B24CA3"/>
    <w:rsid w:val="32D970F4"/>
    <w:rsid w:val="33706DBE"/>
    <w:rsid w:val="33FD5BB8"/>
    <w:rsid w:val="341B5A61"/>
    <w:rsid w:val="34E00D83"/>
    <w:rsid w:val="36C46BAE"/>
    <w:rsid w:val="3DF52EB3"/>
    <w:rsid w:val="3E073D9A"/>
    <w:rsid w:val="3EE80688"/>
    <w:rsid w:val="40544927"/>
    <w:rsid w:val="424470DF"/>
    <w:rsid w:val="42BD2703"/>
    <w:rsid w:val="436311E1"/>
    <w:rsid w:val="44240C8C"/>
    <w:rsid w:val="44E16B7D"/>
    <w:rsid w:val="45294080"/>
    <w:rsid w:val="45EA3648"/>
    <w:rsid w:val="46154B59"/>
    <w:rsid w:val="46B56B5F"/>
    <w:rsid w:val="476A2E5A"/>
    <w:rsid w:val="47C307BC"/>
    <w:rsid w:val="48846505"/>
    <w:rsid w:val="4AA93C99"/>
    <w:rsid w:val="4F4E3061"/>
    <w:rsid w:val="526861E8"/>
    <w:rsid w:val="53317391"/>
    <w:rsid w:val="53D1600F"/>
    <w:rsid w:val="53DA4EC3"/>
    <w:rsid w:val="54794C90"/>
    <w:rsid w:val="54813591"/>
    <w:rsid w:val="554611D2"/>
    <w:rsid w:val="55FC0C50"/>
    <w:rsid w:val="56FC7846"/>
    <w:rsid w:val="571D4CEB"/>
    <w:rsid w:val="59B07562"/>
    <w:rsid w:val="5A0802B0"/>
    <w:rsid w:val="5CAE513F"/>
    <w:rsid w:val="5D373E65"/>
    <w:rsid w:val="5D804D2D"/>
    <w:rsid w:val="5D891708"/>
    <w:rsid w:val="5EEC1B4A"/>
    <w:rsid w:val="5FAC4437"/>
    <w:rsid w:val="5FE41D14"/>
    <w:rsid w:val="60216AC4"/>
    <w:rsid w:val="604407C3"/>
    <w:rsid w:val="613A550F"/>
    <w:rsid w:val="62EF64DC"/>
    <w:rsid w:val="64156940"/>
    <w:rsid w:val="6469740C"/>
    <w:rsid w:val="659E0BB7"/>
    <w:rsid w:val="65EE3E73"/>
    <w:rsid w:val="668F7D8F"/>
    <w:rsid w:val="66FC5B95"/>
    <w:rsid w:val="6735607D"/>
    <w:rsid w:val="676217A2"/>
    <w:rsid w:val="67A1673C"/>
    <w:rsid w:val="69394E7E"/>
    <w:rsid w:val="6A040A94"/>
    <w:rsid w:val="6A8219B9"/>
    <w:rsid w:val="6BCE3061"/>
    <w:rsid w:val="6CF03552"/>
    <w:rsid w:val="6D3E42BD"/>
    <w:rsid w:val="6F6402DD"/>
    <w:rsid w:val="70480FAF"/>
    <w:rsid w:val="70D016D0"/>
    <w:rsid w:val="71E76CD1"/>
    <w:rsid w:val="721E46BD"/>
    <w:rsid w:val="72516841"/>
    <w:rsid w:val="729257A8"/>
    <w:rsid w:val="738E13CF"/>
    <w:rsid w:val="73BC418E"/>
    <w:rsid w:val="73DC213A"/>
    <w:rsid w:val="75733ED7"/>
    <w:rsid w:val="758A6A62"/>
    <w:rsid w:val="764346F2"/>
    <w:rsid w:val="76805946"/>
    <w:rsid w:val="76C42ACB"/>
    <w:rsid w:val="790973F0"/>
    <w:rsid w:val="795135CA"/>
    <w:rsid w:val="7B754F5D"/>
    <w:rsid w:val="7B9D7CA1"/>
    <w:rsid w:val="7C712AA1"/>
    <w:rsid w:val="7D0E5A5A"/>
    <w:rsid w:val="7D2F67E0"/>
    <w:rsid w:val="7DB33405"/>
    <w:rsid w:val="7E775881"/>
    <w:rsid w:val="7F6C55DE"/>
    <w:rsid w:val="7FDA6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spacing w:line="360" w:lineRule="auto"/>
      <w:jc w:val="both"/>
    </w:pPr>
    <w:rPr>
      <w:rFonts w:ascii="仿宋_GB2312" w:hAnsi="Times New Roman" w:eastAsia="仿宋_GB2312" w:cs="Times New Roman"/>
      <w:spacing w:val="4"/>
      <w:kern w:val="2"/>
      <w:sz w:val="32"/>
      <w:szCs w:val="32"/>
      <w:lang w:val="en-US" w:eastAsia="zh-CN" w:bidi="ar-SA"/>
    </w:rPr>
  </w:style>
  <w:style w:type="paragraph" w:styleId="2">
    <w:name w:val="heading 1"/>
    <w:basedOn w:val="1"/>
    <w:next w:val="1"/>
    <w:autoRedefine/>
    <w:qFormat/>
    <w:uiPriority w:val="99"/>
    <w:pPr>
      <w:keepNext/>
      <w:overflowPunct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7"/>
    <w:qFormat/>
    <w:uiPriority w:val="0"/>
    <w:pPr>
      <w:spacing w:after="120"/>
    </w:pPr>
  </w:style>
  <w:style w:type="paragraph" w:styleId="5">
    <w:name w:val="Body Text Indent"/>
    <w:basedOn w:val="1"/>
    <w:next w:val="6"/>
    <w:autoRedefine/>
    <w:qFormat/>
    <w:uiPriority w:val="0"/>
    <w:pPr>
      <w:tabs>
        <w:tab w:val="left" w:pos="5985"/>
      </w:tabs>
      <w:adjustRightInd/>
      <w:snapToGrid/>
      <w:ind w:firstLine="560" w:firstLineChars="200"/>
    </w:pPr>
    <w:rPr>
      <w:rFonts w:ascii="Times New Roman" w:eastAsia="宋体"/>
      <w:sz w:val="28"/>
      <w:szCs w:val="24"/>
    </w:rPr>
  </w:style>
  <w:style w:type="paragraph" w:styleId="6">
    <w:name w:val="Body Text Indent 2"/>
    <w:basedOn w:val="1"/>
    <w:autoRedefine/>
    <w:qFormat/>
    <w:uiPriority w:val="0"/>
    <w:pPr>
      <w:spacing w:after="120" w:line="480" w:lineRule="auto"/>
      <w:ind w:left="420" w:leftChars="200"/>
    </w:pPr>
  </w:style>
  <w:style w:type="paragraph" w:styleId="7">
    <w:name w:val="Balloon Text"/>
    <w:basedOn w:val="1"/>
    <w:link w:val="19"/>
    <w:qFormat/>
    <w:uiPriority w:val="0"/>
    <w:pPr>
      <w:spacing w:line="240" w:lineRule="auto"/>
    </w:pPr>
    <w:rPr>
      <w:sz w:val="18"/>
      <w:szCs w:val="18"/>
    </w:rPr>
  </w:style>
  <w:style w:type="paragraph" w:styleId="8">
    <w:name w:val="footer"/>
    <w:basedOn w:val="1"/>
    <w:qFormat/>
    <w:uiPriority w:val="0"/>
    <w:pPr>
      <w:tabs>
        <w:tab w:val="center" w:pos="4153"/>
        <w:tab w:val="right" w:pos="8306"/>
      </w:tabs>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0">
    <w:name w:val="Body Text First Indent 2"/>
    <w:basedOn w:val="5"/>
    <w:next w:val="1"/>
    <w:autoRedefine/>
    <w:qFormat/>
    <w:uiPriority w:val="0"/>
    <w:pPr>
      <w:ind w:firstLine="420"/>
    </w:pPr>
  </w:style>
  <w:style w:type="character" w:styleId="13">
    <w:name w:val="annotation reference"/>
    <w:basedOn w:val="12"/>
    <w:qFormat/>
    <w:uiPriority w:val="0"/>
    <w:rPr>
      <w:sz w:val="21"/>
      <w:szCs w:val="21"/>
    </w:rPr>
  </w:style>
  <w:style w:type="paragraph" w:customStyle="1" w:styleId="14">
    <w:name w:val="Default"/>
    <w:basedOn w:val="15"/>
    <w:next w:val="1"/>
    <w:autoRedefine/>
    <w:qFormat/>
    <w:uiPriority w:val="99"/>
    <w:rPr>
      <w:rFonts w:ascii="仿宋" w:eastAsia="仿宋" w:cs="仿宋"/>
      <w:color w:val="000000"/>
      <w:sz w:val="24"/>
      <w:lang w:val="en-US"/>
    </w:rPr>
  </w:style>
  <w:style w:type="paragraph" w:customStyle="1" w:styleId="15">
    <w:name w:val="文本"/>
    <w:basedOn w:val="1"/>
    <w:next w:val="1"/>
    <w:autoRedefine/>
    <w:qFormat/>
    <w:uiPriority w:val="0"/>
    <w:pPr>
      <w:autoSpaceDE w:val="0"/>
      <w:autoSpaceDN w:val="0"/>
      <w:ind w:firstLine="480"/>
    </w:pPr>
    <w:rPr>
      <w:szCs w:val="24"/>
      <w:lang w:val="zh-CN"/>
    </w:rPr>
  </w:style>
  <w:style w:type="paragraph" w:styleId="16">
    <w:name w:val="List Paragraph"/>
    <w:basedOn w:val="1"/>
    <w:qFormat/>
    <w:uiPriority w:val="99"/>
    <w:pPr>
      <w:ind w:firstLine="420"/>
    </w:pPr>
  </w:style>
  <w:style w:type="character" w:customStyle="1" w:styleId="17">
    <w:name w:val="正文文本 字符"/>
    <w:basedOn w:val="12"/>
    <w:link w:val="4"/>
    <w:qFormat/>
    <w:uiPriority w:val="0"/>
    <w:rPr>
      <w:rFonts w:ascii="仿宋_GB2312" w:eastAsia="仿宋_GB2312"/>
      <w:spacing w:val="4"/>
      <w:kern w:val="2"/>
      <w:sz w:val="32"/>
      <w:szCs w:val="32"/>
    </w:rPr>
  </w:style>
  <w:style w:type="paragraph" w:customStyle="1" w:styleId="18">
    <w:name w:val="Body text|2"/>
    <w:basedOn w:val="1"/>
    <w:qFormat/>
    <w:uiPriority w:val="0"/>
    <w:pPr>
      <w:adjustRightInd/>
      <w:snapToGrid/>
      <w:spacing w:before="100" w:beforeAutospacing="1" w:after="260" w:line="360" w:lineRule="exact"/>
      <w:ind w:left="640"/>
      <w:jc w:val="center"/>
    </w:pPr>
    <w:rPr>
      <w:rFonts w:ascii="宋体" w:hAnsi="宋体" w:eastAsia="宋体" w:cs="宋体"/>
      <w:color w:val="000000"/>
      <w:spacing w:val="0"/>
      <w:kern w:val="0"/>
      <w:sz w:val="20"/>
      <w:szCs w:val="20"/>
    </w:rPr>
  </w:style>
  <w:style w:type="character" w:customStyle="1" w:styleId="19">
    <w:name w:val="批注框文本 字符"/>
    <w:basedOn w:val="12"/>
    <w:link w:val="7"/>
    <w:qFormat/>
    <w:uiPriority w:val="0"/>
    <w:rPr>
      <w:rFonts w:ascii="仿宋_GB2312" w:eastAsia="仿宋_GB2312"/>
      <w:spacing w:val="4"/>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1735</Words>
  <Characters>1817</Characters>
  <Lines>14</Lines>
  <Paragraphs>3</Paragraphs>
  <TotalTime>1</TotalTime>
  <ScaleCrop>false</ScaleCrop>
  <LinksUpToDate>false</LinksUpToDate>
  <CharactersWithSpaces>1872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2025-08-20T09:28:00Z</dcterms:created>
  <dc:creator>福</dc:creator>
  <cp:lastModifiedBy>郭静</cp:lastModifiedBy>
  <cp:lastPrinted>2025-08-28T01:29:08Z</cp:lastPrinted>
  <dcterms:modified xsi:type="dcterms:W3CDTF">2025-08-28T01:31:55Z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E3B0837016594EC0AA5418EB045C3475_13</vt:lpwstr>
  </property>
  <property fmtid="{D5CDD505-2E9C-101B-9397-08002B2CF9AE}" pid="4" name="KSOTemplateDocerSaveRecord">
    <vt:lpwstr>eyJoZGlkIjoiNDkxN2M1MmY1NDU2YzE2OWEwNjZkM2VhNWM2YTJjYTEiLCJ1c2VySWQiOiI0MzA0MDYyMTAifQ==</vt:lpwstr>
  </property>
</Properties>
</file>