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5F39D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81A6F04">
      <w:pPr>
        <w:pStyle w:val="2"/>
        <w:spacing w:before="0" w:after="0" w:line="240" w:lineRule="auto"/>
        <w:ind w:left="0" w:firstLine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76226C0">
      <w:pPr>
        <w:jc w:val="both"/>
        <w:rPr>
          <w:rFonts w:hint="eastAsia" w:ascii="方正小标宋简体" w:eastAsia="方正小标宋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A00D5F6">
      <w:pPr>
        <w:widowControl/>
        <w:adjustRightInd w:val="0"/>
        <w:snapToGrid w:val="0"/>
        <w:spacing w:after="200" w:line="240" w:lineRule="auto"/>
        <w:ind w:firstLine="629"/>
        <w:jc w:val="right"/>
        <w:rPr>
          <w:rFonts w:hint="eastAsia" w:ascii="仿宋_GB2312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_GB2312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益</w:t>
      </w:r>
      <w:r>
        <w:rPr>
          <w:rFonts w:hint="eastAsia" w:ascii="仿宋_GB2312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_GB2312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环评</w:t>
      </w:r>
      <w:r>
        <w:rPr>
          <w:rFonts w:hint="eastAsia" w:ascii="仿宋_GB2312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仿宋_GB2312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号</w:t>
      </w:r>
    </w:p>
    <w:p w14:paraId="4435E229">
      <w:pPr>
        <w:pStyle w:val="2"/>
        <w:ind w:left="0" w:leftChars="0" w:firstLine="0" w:firstLineChars="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73ABFF91">
      <w:pPr>
        <w:keepNext w:val="0"/>
        <w:keepLines w:val="0"/>
        <w:pageBreakBefore w:val="0"/>
        <w:widowControl w:val="0"/>
        <w:tabs>
          <w:tab w:val="left" w:pos="6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益阳市生态环境局</w:t>
      </w:r>
    </w:p>
    <w:p w14:paraId="2F4F40CC">
      <w:pPr>
        <w:keepNext w:val="0"/>
        <w:keepLines w:val="0"/>
        <w:pageBreakBefore w:val="0"/>
        <w:widowControl w:val="0"/>
        <w:tabs>
          <w:tab w:val="left" w:pos="6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关于益阳超益机械有限公司矿山设备工件加工项目环境影响报告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的批复</w:t>
      </w:r>
    </w:p>
    <w:p w14:paraId="2A2D284A">
      <w:pPr>
        <w:jc w:val="center"/>
        <w:rPr>
          <w:rFonts w:hint="default" w:ascii="Times New Roman" w:hAnsi="Times New Roman" w:eastAsia="黑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 w14:paraId="78A9D0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益阳超益机械有限公司：</w:t>
      </w:r>
    </w:p>
    <w:p w14:paraId="59B408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你公司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《益阳超益机械有限公司矿山设备工件加工项目环境影响报告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》申请批复的报告及相关材料已收悉。经审查、研究，批复如下：</w:t>
      </w:r>
    </w:p>
    <w:p w14:paraId="156DAF5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益阳超益机械有限公司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投资1000万元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益阳高新区东部产业园新塘路西侧、兰岭路北侧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矿山设备工件加工项目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。项目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占地面积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6082.84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，主要建设下料区、机加区、焊接区、打磨区、喷漆房、原材料区、晾干及成品区、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配套公辅设施及环保工程。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项目建成后年生产矿山设备工件300套（其中底盘架45套、底座体45套、动力单元底架45套、刀盘体60套、中心箱体60套、矿石分拣设备45套）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76F1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sectPr>
          <w:pgSz w:w="11906" w:h="16838"/>
          <w:pgMar w:top="1701" w:right="1701" w:bottom="1701" w:left="1701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项目符合国家产业政策，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《湖南省“三线一单”生态环境总体管控要求暨省级以上产业园区生态环境准入清</w:t>
      </w:r>
    </w:p>
    <w:p w14:paraId="287F9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单》中益阳高新技术产业开发区生态环境准入清单要求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根据湖南中鉴生态环境科技有限公司编制的报告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的分析结论，在建设单位认真落实报告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表和本批复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提出的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各项生态环境保护措施，确保各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污染物稳定达标排放的前提下，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同意益阳超益机械有限公司矿山设备工件加工项目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选址及建设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01B8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二、你公司在工程设计、建设和运营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管理中，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必须落实环评提出的各项污染防治和风险防范措施要求，着重做好以下工作：</w:t>
      </w:r>
    </w:p>
    <w:p w14:paraId="77F78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（一）严格履行建设单位的环保主体责任</w:t>
      </w:r>
      <w:r>
        <w:rPr>
          <w:rFonts w:hint="default" w:ascii="Times New Roman" w:hAnsi="Times New Roman" w:eastAsia="楷体" w:cs="Times New Roman"/>
          <w:color w:val="000000"/>
          <w:spacing w:val="4"/>
          <w:szCs w:val="32"/>
        </w:rPr>
        <w:t>，加强环境管理。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建立健全环保规章制度和岗位责任制，配备专职环保管理人员；加强生产台账和环保台账的登记管理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，做到有据可查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；定期对污染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防治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设施进行检修和维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护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，确保环保设施稳定正常运行和污染物稳定达标排放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制定环境风险事故应急预案，落实事故风险防范措施，切实防范各类环境风险事故。</w:t>
      </w:r>
    </w:p>
    <w:p w14:paraId="382975F9">
      <w:pPr>
        <w:spacing w:line="560" w:lineRule="exact"/>
        <w:ind w:firstLine="656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pacing w:val="4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 w:cs="Times New Roman"/>
          <w:color w:val="000000" w:themeColor="text1"/>
          <w:spacing w:val="4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color w:val="000000" w:themeColor="text1"/>
          <w:spacing w:val="4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落实大气污染防治措施。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项目各工序产生的废气应进行有效收集处理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>减少粉尘、挥发性有机物无组织排放。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调漆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喷漆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危废暂存间废气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负压收集+过滤棉+活性炭吸附脱附+催化燃烧装置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处理后通过15米高的排气筒（DA001）排放，外排废气满足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《表面涂装（汽车制造及维修）挥发性有机物、镍排放标准》（DB43/1356-2017）表1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及表3中的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标准限值要求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，颗粒物满足《大气污染物综合排放标准》（GB16297-1996）中二级排放标准限值及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无组织排放监控浓度限值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要求；下料废气、抛丸废气、焊接废气、打磨废气颗粒物满足《大气污染物综合排放标准》（GB16297-1996）中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无组织排放监控浓度限值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；厂区内挥发性有机物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满足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《挥发性有机物无组织排放控制标准》（GB37822-2019）附录A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中的标准限值要求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F5D7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 w:cs="Times New Roman"/>
          <w:color w:val="000000" w:themeColor="text1"/>
          <w:spacing w:val="4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）落实水污染防治措施。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项目无生产废水产生，生活污水经化粪池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处理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达到《污水综合排放标准》（GB8978-1996）表4中三级标准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后经园区污水管网排入益阳东部新区污水处理厂进行深度处理。</w:t>
      </w:r>
    </w:p>
    <w:p w14:paraId="541752A5">
      <w:pPr>
        <w:widowControl/>
        <w:adjustRightInd w:val="0"/>
        <w:snapToGrid w:val="0"/>
        <w:spacing w:line="560" w:lineRule="exact"/>
        <w:ind w:firstLine="656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pacing w:val="4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 w:cs="Times New Roman"/>
          <w:color w:val="000000" w:themeColor="text1"/>
          <w:spacing w:val="4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_GB2312" w:cs="Times New Roman"/>
          <w:color w:val="000000" w:themeColor="text1"/>
          <w:spacing w:val="4"/>
          <w:szCs w:val="32"/>
          <w:lang w:val="en-US" w:eastAsia="zh-CN"/>
          <w14:textFill>
            <w14:solidFill>
              <w14:schemeClr w14:val="tx1"/>
            </w14:solidFill>
          </w14:textFill>
        </w:rPr>
        <w:t>）落实固体废物处置措施。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“减量化、资源化、无害化”的原则，做好固废的分类收集、暂存、安全处置工作。按规范要求设置危废暂存间和一般固废暂存间，其建设、运行和管理应分别满足《危险废物贮存污染控制标准》（GB18597-2023）、《一般工业固体废物贮存和填埋污染控制标准》（GB18599-2020）要求。废包装桶、漆渣、废润滑油、含油废手套及抹布、废活性炭、废过滤棉、废催化剂属于危险废物，分类暂存于危废暂存间，定期交有资质单位妥善处置；含切削液金属屑收集后暂存在危废暂存间，达到豁免条件后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利用过程不按危险废物管理；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废边角料、焊屑、废收尘及废布袋属于一般固废，分类暂存于一般固废暂存间后外售综合利用；生活垃圾在厂内分类收集后，由环卫部门统一清运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EE562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firstLine="656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pacing w:val="4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 w:cs="Times New Roman"/>
          <w:b w:val="0"/>
          <w:bCs w:val="0"/>
          <w:color w:val="000000" w:themeColor="text1"/>
          <w:spacing w:val="4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pacing w:val="4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）落实地下水及土壤污染防治措施。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按照“源头控制、分区防控、应急响应”的原则，加强各环节生产管理，减少“跑、冒、滴、漏”，做好分区防腐、防渗工作，防止地下水和土壤环境污染。</w:t>
      </w:r>
    </w:p>
    <w:p w14:paraId="708C0B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firstLine="656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4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楷体_GB2312" w:cs="Times New Roman"/>
          <w:b w:val="0"/>
          <w:bCs w:val="0"/>
          <w:color w:val="000000"/>
          <w:spacing w:val="4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4"/>
          <w:kern w:val="2"/>
          <w:sz w:val="32"/>
          <w:szCs w:val="32"/>
          <w:lang w:val="en-US" w:eastAsia="zh-CN" w:bidi="ar-SA"/>
        </w:rPr>
        <w:t>）落实噪声污染防治措施。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合理优化总平面布置和设备的选型，对高噪声设备采取减震、隔声、消声等措施，合理安排生产时间，确保厂界四周噪声符合《工业企业厂界环境噪声排放标准》（GB12348-2008）中3类区标准要求。</w:t>
      </w:r>
    </w:p>
    <w:p w14:paraId="680EFE15">
      <w:pPr>
        <w:spacing w:line="560" w:lineRule="exact"/>
        <w:ind w:firstLine="656" w:firstLineChars="200"/>
        <w:rPr>
          <w:rFonts w:hint="default" w:ascii="Times New Roman" w:hAnsi="Times New Roman" w:cs="Times New Roman"/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4"/>
          <w:szCs w:val="32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  <w:lang w:val="en-US" w:eastAsia="zh-CN"/>
        </w:rPr>
        <w:t>）</w:t>
      </w: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</w:rPr>
        <w:t>本项目污染物总量控制指标为</w:t>
      </w: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挥发性有机物（VOCs）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0.49t/a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挥发性有机物从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湖南丰捷定制家居有限公司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削减倍量替代，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总量指标纳入高新区总量控制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F06D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本项目经审批后，建设的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性质、规模、地点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采用的生产工艺或者防治污染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、防止生态破坏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的措施发生重大变动的，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你公司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应重新报批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建设项目的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环评文件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。项目建成投产前，须按照《排污许可管理条例》（国务院令第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736条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）和《固定污染源排污许可分类管理名录》的要求办理排污许可相关手续。项目建设投运后，须按《建设项目环境保护管理条例》的有关规定，及时进行项目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竣工环保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自主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验收。益阳市生态环境保护综合行政执法支队高新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大队负责本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“三同时”监督检查和管理工作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BD5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你公司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在收到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批复后15个工作日内，将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批复及项目环评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报告表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送至益阳市生态环境局高新区分局。</w:t>
      </w:r>
    </w:p>
    <w:p w14:paraId="21B7BBC2"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4F60DBDF">
      <w:pPr>
        <w:spacing w:line="56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益阳市生态环境局</w:t>
      </w:r>
    </w:p>
    <w:p w14:paraId="05C4F6A5">
      <w:pPr>
        <w:rPr>
          <w:rFonts w:hint="eastAsia" w:ascii="Times New Roman" w:hAnsi="Times New Roman" w:cs="Times New Roman"/>
          <w:color w:val="000000" w:themeColor="text1"/>
          <w:spacing w:val="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19F3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E671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E671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501B7"/>
    <w:multiLevelType w:val="singleLevel"/>
    <w:tmpl w:val="9D3501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MTk3NTc1NzI3NTBmNjE3NTg5YTVhYmVmNzdhOWQifQ=="/>
  </w:docVars>
  <w:rsids>
    <w:rsidRoot w:val="7DB33405"/>
    <w:rsid w:val="00382DEE"/>
    <w:rsid w:val="018076E9"/>
    <w:rsid w:val="01D86637"/>
    <w:rsid w:val="02ED6112"/>
    <w:rsid w:val="03B83B4E"/>
    <w:rsid w:val="07D369E5"/>
    <w:rsid w:val="09FE0C04"/>
    <w:rsid w:val="0C8F3D96"/>
    <w:rsid w:val="0E667697"/>
    <w:rsid w:val="102660B1"/>
    <w:rsid w:val="1068327B"/>
    <w:rsid w:val="1206262D"/>
    <w:rsid w:val="12C14EC5"/>
    <w:rsid w:val="13765CAF"/>
    <w:rsid w:val="15495B9A"/>
    <w:rsid w:val="16747E6A"/>
    <w:rsid w:val="171F098A"/>
    <w:rsid w:val="18A961DF"/>
    <w:rsid w:val="193F08F1"/>
    <w:rsid w:val="19F65454"/>
    <w:rsid w:val="1B182296"/>
    <w:rsid w:val="1DA358F3"/>
    <w:rsid w:val="1E4F7095"/>
    <w:rsid w:val="1ECE4BF1"/>
    <w:rsid w:val="1FDC1300"/>
    <w:rsid w:val="20EB18B3"/>
    <w:rsid w:val="22806203"/>
    <w:rsid w:val="22E7342D"/>
    <w:rsid w:val="235558E1"/>
    <w:rsid w:val="23E32F6D"/>
    <w:rsid w:val="24C218A1"/>
    <w:rsid w:val="257A3206"/>
    <w:rsid w:val="25FE652C"/>
    <w:rsid w:val="26CB1A16"/>
    <w:rsid w:val="27FA0128"/>
    <w:rsid w:val="285048C9"/>
    <w:rsid w:val="29B93B49"/>
    <w:rsid w:val="29E0546B"/>
    <w:rsid w:val="29E259F5"/>
    <w:rsid w:val="2B595843"/>
    <w:rsid w:val="2D614E83"/>
    <w:rsid w:val="2E304F81"/>
    <w:rsid w:val="2E3C4096"/>
    <w:rsid w:val="2EDE1BFA"/>
    <w:rsid w:val="2F4F27ED"/>
    <w:rsid w:val="2F8258A2"/>
    <w:rsid w:val="2FD111ED"/>
    <w:rsid w:val="2FE75B13"/>
    <w:rsid w:val="3082583C"/>
    <w:rsid w:val="30B67293"/>
    <w:rsid w:val="31D62637"/>
    <w:rsid w:val="32B24CA3"/>
    <w:rsid w:val="32D970F4"/>
    <w:rsid w:val="33FD5BB8"/>
    <w:rsid w:val="341B5A61"/>
    <w:rsid w:val="34E00D83"/>
    <w:rsid w:val="36C46BAE"/>
    <w:rsid w:val="3DF52EB3"/>
    <w:rsid w:val="3EE80688"/>
    <w:rsid w:val="40544927"/>
    <w:rsid w:val="424470DF"/>
    <w:rsid w:val="42BD2703"/>
    <w:rsid w:val="436311E1"/>
    <w:rsid w:val="44240C8C"/>
    <w:rsid w:val="44E16B7D"/>
    <w:rsid w:val="45294080"/>
    <w:rsid w:val="46154B59"/>
    <w:rsid w:val="46B56B5F"/>
    <w:rsid w:val="476A2E5A"/>
    <w:rsid w:val="47C307BC"/>
    <w:rsid w:val="48846505"/>
    <w:rsid w:val="4AA93C99"/>
    <w:rsid w:val="4F4E3061"/>
    <w:rsid w:val="526861E8"/>
    <w:rsid w:val="53317391"/>
    <w:rsid w:val="53D1600F"/>
    <w:rsid w:val="53DA4EC3"/>
    <w:rsid w:val="54794C90"/>
    <w:rsid w:val="54813591"/>
    <w:rsid w:val="554611D2"/>
    <w:rsid w:val="55FC0C50"/>
    <w:rsid w:val="56FC7846"/>
    <w:rsid w:val="59B07562"/>
    <w:rsid w:val="5CAE513F"/>
    <w:rsid w:val="5D373E65"/>
    <w:rsid w:val="5D804D2D"/>
    <w:rsid w:val="5EEC1B4A"/>
    <w:rsid w:val="5FAC4437"/>
    <w:rsid w:val="5FE41D14"/>
    <w:rsid w:val="60216AC4"/>
    <w:rsid w:val="604407C3"/>
    <w:rsid w:val="613A550F"/>
    <w:rsid w:val="62EF64DC"/>
    <w:rsid w:val="64156940"/>
    <w:rsid w:val="6469740C"/>
    <w:rsid w:val="659E0BB7"/>
    <w:rsid w:val="65EE3E73"/>
    <w:rsid w:val="668F7D8F"/>
    <w:rsid w:val="66FC5B95"/>
    <w:rsid w:val="6735607D"/>
    <w:rsid w:val="67A1673C"/>
    <w:rsid w:val="69394E7E"/>
    <w:rsid w:val="6A040A94"/>
    <w:rsid w:val="6A8219B9"/>
    <w:rsid w:val="6BCE3061"/>
    <w:rsid w:val="6CF03552"/>
    <w:rsid w:val="6D3E42BD"/>
    <w:rsid w:val="70480FAF"/>
    <w:rsid w:val="70D016D0"/>
    <w:rsid w:val="71E76CD1"/>
    <w:rsid w:val="721E46BD"/>
    <w:rsid w:val="72516841"/>
    <w:rsid w:val="729257A8"/>
    <w:rsid w:val="738E13CF"/>
    <w:rsid w:val="73BC418E"/>
    <w:rsid w:val="73DC213A"/>
    <w:rsid w:val="75733ED7"/>
    <w:rsid w:val="758A6A62"/>
    <w:rsid w:val="764346F2"/>
    <w:rsid w:val="790973F0"/>
    <w:rsid w:val="795135CA"/>
    <w:rsid w:val="7B9D7CA1"/>
    <w:rsid w:val="7C712AA1"/>
    <w:rsid w:val="7D0E5A5A"/>
    <w:rsid w:val="7D2F67E0"/>
    <w:rsid w:val="7DB33405"/>
    <w:rsid w:val="7E775881"/>
    <w:rsid w:val="7F6C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widowControl w:val="0"/>
      <w:tabs>
        <w:tab w:val="left" w:pos="5985"/>
      </w:tabs>
      <w:adjustRightInd/>
      <w:snapToGrid/>
      <w:spacing w:after="0"/>
      <w:ind w:firstLine="560" w:firstLineChars="200"/>
    </w:pPr>
    <w:rPr>
      <w:rFonts w:ascii="Times New Roman" w:hAnsi="Times New Roman" w:eastAsia="宋体"/>
      <w:sz w:val="28"/>
      <w:szCs w:val="24"/>
    </w:rPr>
  </w:style>
  <w:style w:type="paragraph" w:styleId="4">
    <w:name w:val="Body Text Indent 2"/>
    <w:basedOn w:val="1"/>
    <w:autoRedefine/>
    <w:qFormat/>
    <w:uiPriority w:val="0"/>
    <w:pPr>
      <w:spacing w:after="120" w:afterLines="0" w:line="480" w:lineRule="auto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customStyle="1" w:styleId="10">
    <w:name w:val="Default"/>
    <w:basedOn w:val="11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11">
    <w:name w:val="文本"/>
    <w:basedOn w:val="1"/>
    <w:next w:val="1"/>
    <w:autoRedefine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1906</Words>
  <Characters>2038</Characters>
  <Lines>0</Lines>
  <Paragraphs>0</Paragraphs>
  <TotalTime>27</TotalTime>
  <ScaleCrop>false</ScaleCrop>
  <LinksUpToDate>false</LinksUpToDate>
  <CharactersWithSpaces>2160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2023-02-24T03:37:00Z</dcterms:created>
  <dc:creator>福</dc:creator>
  <cp:lastModifiedBy>郭静</cp:lastModifiedBy>
  <cp:lastPrinted>2025-07-29T03:17:37Z</cp:lastPrinted>
  <dcterms:modified xsi:type="dcterms:W3CDTF">2025-07-29T03:18:35Z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1702B6CA27D04AFDB4706298757BBD95_13</vt:lpwstr>
  </property>
  <property fmtid="{D5CDD505-2E9C-101B-9397-08002B2CF9AE}" pid="4" name="KSOTemplateDocerSaveRecord">
    <vt:lpwstr>eyJoZGlkIjoiNDkxN2M1MmY1NDU2YzE2OWEwNjZkM2VhNWM2YTJjYTEiLCJ1c2VySWQiOiI0MzA0MDYyMTAifQ==</vt:lpwstr>
  </property>
</Properties>
</file>