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8B91B">
      <w:pPr>
        <w:spacing w:after="200" w:line="520" w:lineRule="exact"/>
        <w:jc w:val="center"/>
        <w:rPr>
          <w:rFonts w:ascii="仿宋" w:hAnsi="仿宋" w:eastAsia="仿宋" w:cs="仿宋"/>
          <w:color w:val="000000"/>
          <w:sz w:val="32"/>
          <w:szCs w:val="32"/>
        </w:rPr>
      </w:pPr>
      <w:r>
        <w:rPr>
          <w:rFonts w:hint="eastAsia" w:ascii="仿宋_GB2312" w:hAnsi="仿宋_GB2312" w:eastAsia="仿宋_GB2312" w:cs="仿宋_GB2312"/>
          <w:sz w:val="13"/>
          <w:szCs w:val="13"/>
          <w:lang w:val="en-US" w:eastAsia="zh-CN"/>
        </w:rPr>
        <w:t>.</w:t>
      </w:r>
    </w:p>
    <w:p w14:paraId="278C3062">
      <w:pPr>
        <w:spacing w:after="200" w:line="520" w:lineRule="exact"/>
        <w:rPr>
          <w:rFonts w:eastAsia="仿宋"/>
          <w:color w:val="000000"/>
          <w:sz w:val="32"/>
          <w:szCs w:val="32"/>
        </w:rPr>
      </w:pPr>
    </w:p>
    <w:p w14:paraId="4DCA4079">
      <w:pPr>
        <w:widowControl w:val="0"/>
        <w:kinsoku/>
        <w:autoSpaceDE/>
        <w:autoSpaceDN/>
        <w:adjustRightInd/>
        <w:snapToGrid/>
        <w:spacing w:line="240" w:lineRule="auto"/>
        <w:jc w:val="right"/>
        <w:textAlignment w:val="auto"/>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益资环评表〔2024〕xx号</w:t>
      </w:r>
    </w:p>
    <w:p w14:paraId="596EB0A1">
      <w:pPr>
        <w:rPr>
          <w:rFonts w:hint="eastAsia"/>
        </w:rPr>
      </w:pPr>
    </w:p>
    <w:p w14:paraId="2DD0B6C8">
      <w:pPr>
        <w:widowControl w:val="0"/>
        <w:tabs>
          <w:tab w:val="left" w:pos="6240"/>
        </w:tabs>
        <w:kinsoku/>
        <w:autoSpaceDE/>
        <w:autoSpaceDN/>
        <w:adjustRightInd/>
        <w:snapToGrid/>
        <w:spacing w:line="560" w:lineRule="exact"/>
        <w:jc w:val="center"/>
        <w:textAlignment w:val="auto"/>
        <w:rPr>
          <w:rFonts w:hint="eastAsia" w:ascii="Times New Roman" w:hAnsi="Times New Roman" w:eastAsia="方正小标宋简体" w:cs="Times New Roman"/>
          <w:snapToGrid/>
          <w:kern w:val="2"/>
          <w:sz w:val="44"/>
          <w:szCs w:val="44"/>
          <w:lang w:eastAsia="zh-CN"/>
        </w:rPr>
      </w:pPr>
    </w:p>
    <w:p w14:paraId="577E9684">
      <w:pPr>
        <w:widowControl w:val="0"/>
        <w:tabs>
          <w:tab w:val="left" w:pos="6240"/>
        </w:tabs>
        <w:kinsoku/>
        <w:autoSpaceDE/>
        <w:autoSpaceDN/>
        <w:adjustRightInd/>
        <w:snapToGrid/>
        <w:spacing w:line="560" w:lineRule="exact"/>
        <w:jc w:val="center"/>
        <w:textAlignment w:val="auto"/>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eastAsia="zh-CN"/>
        </w:rPr>
        <w:t>益阳市生态环境局</w:t>
      </w:r>
      <w:r>
        <w:rPr>
          <w:rFonts w:hint="eastAsia" w:ascii="方正小标宋简体" w:hAnsi="方正小标宋简体" w:eastAsia="方正小标宋简体" w:cs="方正小标宋简体"/>
          <w:snapToGrid/>
          <w:kern w:val="2"/>
          <w:sz w:val="44"/>
          <w:szCs w:val="44"/>
          <w:lang w:val="en-US" w:eastAsia="zh-CN"/>
        </w:rPr>
        <w:t>资阳分局</w:t>
      </w:r>
    </w:p>
    <w:p w14:paraId="1E8123CE">
      <w:pPr>
        <w:widowControl w:val="0"/>
        <w:tabs>
          <w:tab w:val="left" w:pos="6240"/>
        </w:tabs>
        <w:kinsoku/>
        <w:autoSpaceDE/>
        <w:autoSpaceDN/>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napToGrid/>
          <w:kern w:val="2"/>
          <w:sz w:val="44"/>
          <w:szCs w:val="44"/>
          <w:lang w:eastAsia="zh-CN"/>
        </w:rPr>
        <w:t>关于益阳市资阳区迎丰灌区续建配套与节水改造项目环境影响报告表的批复</w:t>
      </w:r>
    </w:p>
    <w:p w14:paraId="2988AD07">
      <w:pPr>
        <w:rPr>
          <w:rFonts w:hint="eastAsia"/>
        </w:rPr>
      </w:pPr>
    </w:p>
    <w:p w14:paraId="6DA474D3">
      <w:pPr>
        <w:rPr>
          <w:rFonts w:hint="eastAsia"/>
        </w:rPr>
      </w:pPr>
    </w:p>
    <w:p w14:paraId="5B8DFF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益阳市资阳区水利工程站：</w:t>
      </w:r>
    </w:p>
    <w:p w14:paraId="2BC211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你公司呈报的《益阳市资阳区迎丰灌区续建配套与节水改造项目环境影响报告表》（以下简称</w:t>
      </w:r>
      <w:r>
        <w:rPr>
          <w:rFonts w:hint="default" w:ascii="Times New Roman" w:hAnsi="Times New Roman" w:eastAsia="仿宋_GB2312" w:cs="Times New Roman"/>
          <w:color w:val="000000"/>
          <w:sz w:val="32"/>
          <w:szCs w:val="32"/>
          <w:lang w:val="en-US" w:eastAsia="zh-CN"/>
        </w:rPr>
        <w:t>“报告表”</w:t>
      </w:r>
      <w:r>
        <w:rPr>
          <w:rFonts w:hint="default" w:ascii="Times New Roman" w:hAnsi="Times New Roman" w:eastAsia="仿宋_GB2312" w:cs="Times New Roman"/>
          <w:snapToGrid/>
          <w:color w:val="000000"/>
          <w:kern w:val="2"/>
          <w:sz w:val="32"/>
          <w:szCs w:val="32"/>
          <w:lang w:val="en-US" w:eastAsia="zh-CN"/>
        </w:rPr>
        <w:t>）</w:t>
      </w:r>
      <w:r>
        <w:rPr>
          <w:rFonts w:hint="default" w:ascii="Times New Roman" w:hAnsi="Times New Roman" w:eastAsia="仿宋_GB2312" w:cs="Times New Roman"/>
          <w:color w:val="000000"/>
          <w:sz w:val="32"/>
          <w:szCs w:val="32"/>
          <w:lang w:val="en-US" w:eastAsia="zh-CN"/>
        </w:rPr>
        <w:t>及相关附件收悉。经审查、研究，批复如下：</w:t>
      </w:r>
    </w:p>
    <w:p w14:paraId="578B7B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一、益阳市资阳区迎丰灌区续建配套与节水改造项目位于益阳市资阳区迎风桥镇、长春镇、新桥河镇。</w:t>
      </w:r>
      <w:r>
        <w:rPr>
          <w:rFonts w:hint="eastAsia" w:ascii="仿宋_GB2312" w:hAnsi="仿宋_GB2312" w:eastAsia="仿宋_GB2312" w:cs="仿宋_GB2312"/>
          <w:color w:val="auto"/>
          <w:sz w:val="32"/>
          <w:szCs w:val="32"/>
          <w:lang w:eastAsia="zh-CN"/>
        </w:rPr>
        <w:t>项目总</w:t>
      </w:r>
      <w:r>
        <w:rPr>
          <w:rFonts w:hint="eastAsia" w:ascii="仿宋_GB2312" w:hAnsi="仿宋_GB2312" w:eastAsia="仿宋_GB2312" w:cs="仿宋_GB2312"/>
          <w:color w:val="auto"/>
          <w:kern w:val="0"/>
          <w:sz w:val="32"/>
          <w:szCs w:val="32"/>
          <w:lang w:eastAsia="zh-CN"/>
        </w:rPr>
        <w:t>投资</w:t>
      </w:r>
      <w:r>
        <w:rPr>
          <w:rFonts w:hint="eastAsia" w:ascii="仿宋_GB2312" w:hAnsi="仿宋_GB2312" w:eastAsia="仿宋_GB2312" w:cs="仿宋_GB2312"/>
          <w:color w:val="auto"/>
          <w:kern w:val="0"/>
          <w:sz w:val="32"/>
          <w:szCs w:val="32"/>
          <w:lang w:val="en-US" w:eastAsia="zh-CN"/>
        </w:rPr>
        <w:t>5005.95万元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主要建设内容包括：（1）渠首（水源）工程：泵站设备更新改造1座，新建渠首节制闸2处；（2）骨干输配水工程：干渠防渗衬砌及整修加固1条13.098km；支渠防渗衬砌6条长11.558km；（3）骨干排水工程：泄洪渠整治1条长0.958km；（4）骨干渠（沟）系建筑物及配套设施：隧洞加固改造2处，节制闸新建或加固改造9处；新建或加固改造小型附属建筑物226处；（5）管理设施：巡渠管护道路硬化1500m，新增里程碑20处，新增各类标识标牌30块；（6）用水量测：新增水位监测站20个，流量监测站20个；（7）信息化：新增视频监测站25处、闸门控制点25处、信息中心1处。</w:t>
      </w:r>
    </w:p>
    <w:p w14:paraId="1CA523CF">
      <w:pPr>
        <w:keepNext w:val="0"/>
        <w:keepLines w:val="0"/>
        <w:pageBreakBefore w:val="0"/>
        <w:widowControl/>
        <w:kinsoku/>
        <w:wordWrap/>
        <w:topLinePunct w:val="0"/>
        <w:bidi w:val="0"/>
        <w:adjustRightInd w:val="0"/>
        <w:snapToGrid w:val="0"/>
        <w:spacing w:line="560" w:lineRule="exact"/>
        <w:ind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项目符合国家产业政策，符合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益阳市“三线一单”生态环境总体管控要求和迎风桥镇、长春镇、新桥河镇生态环境准入清单要求。益阳市</w:t>
      </w:r>
      <w:r>
        <w:rPr>
          <w:rFonts w:hint="eastAsia" w:ascii="仿宋_GB2312" w:hAnsi="仿宋_GB2312" w:eastAsia="仿宋_GB2312" w:cs="仿宋_GB2312"/>
          <w:color w:val="auto"/>
          <w:kern w:val="0"/>
          <w:sz w:val="32"/>
          <w:szCs w:val="32"/>
          <w:lang w:val="en-US" w:eastAsia="zh-CN"/>
        </w:rPr>
        <w:t>水利局于2024年1月下发了《益阳市水利局关于益阳市资阳区迎丰灌区续建配套与节水改造项目实施方案的批复》（益水函[2024]9号），同意项目实施。根据湖南知成环保服务有限公司编制的环评报告表的分析结论，在建设单位认真落实报告表和本批复提出的各项生态环境保护措施和污染防治措施，确保各类污染物稳定达标排放的前提下，从环境保护的角度分析，我局原则同意你单位实施益阳市资阳区迎丰灌区续建配套与节水改造项目。</w:t>
      </w:r>
    </w:p>
    <w:p w14:paraId="6E2338B3">
      <w:pPr>
        <w:keepNext w:val="0"/>
        <w:keepLines w:val="0"/>
        <w:pageBreakBefore w:val="0"/>
        <w:widowControl/>
        <w:kinsoku/>
        <w:wordWrap/>
        <w:topLinePunct w:val="0"/>
        <w:bidi w:val="0"/>
        <w:adjustRightInd w:val="0"/>
        <w:snapToGrid w:val="0"/>
        <w:spacing w:line="560" w:lineRule="exact"/>
        <w:ind w:firstLine="656" w:firstLineChars="200"/>
        <w:jc w:val="both"/>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二、你</w:t>
      </w:r>
      <w:r>
        <w:rPr>
          <w:rFonts w:hint="eastAsia" w:ascii="仿宋_GB2312" w:hAnsi="仿宋_GB2312" w:eastAsia="仿宋_GB2312" w:cs="仿宋_GB2312"/>
          <w:spacing w:val="4"/>
          <w:sz w:val="32"/>
          <w:szCs w:val="32"/>
          <w:lang w:val="en-US" w:eastAsia="zh-CN"/>
        </w:rPr>
        <w:t>单位</w:t>
      </w:r>
      <w:r>
        <w:rPr>
          <w:rFonts w:hint="eastAsia" w:ascii="仿宋_GB2312" w:hAnsi="仿宋_GB2312" w:eastAsia="仿宋_GB2312" w:cs="仿宋_GB2312"/>
          <w:spacing w:val="4"/>
          <w:sz w:val="32"/>
          <w:szCs w:val="32"/>
        </w:rPr>
        <w:t>在工程设计、建设</w:t>
      </w:r>
      <w:r>
        <w:rPr>
          <w:rFonts w:hint="eastAsia" w:ascii="仿宋_GB2312" w:hAnsi="仿宋_GB2312" w:eastAsia="仿宋_GB2312" w:cs="仿宋_GB2312"/>
          <w:spacing w:val="4"/>
          <w:sz w:val="32"/>
          <w:szCs w:val="32"/>
          <w:lang w:val="en-US" w:eastAsia="zh-CN"/>
        </w:rPr>
        <w:t>过程</w:t>
      </w:r>
      <w:r>
        <w:rPr>
          <w:rFonts w:hint="eastAsia" w:ascii="仿宋_GB2312" w:hAnsi="仿宋_GB2312" w:eastAsia="仿宋_GB2312" w:cs="仿宋_GB2312"/>
          <w:spacing w:val="4"/>
          <w:sz w:val="32"/>
          <w:szCs w:val="32"/>
          <w:lang w:eastAsia="zh-CN"/>
        </w:rPr>
        <w:t>中，</w:t>
      </w:r>
      <w:r>
        <w:rPr>
          <w:rFonts w:hint="eastAsia" w:ascii="仿宋_GB2312" w:hAnsi="仿宋_GB2312" w:eastAsia="仿宋_GB2312" w:cs="仿宋_GB2312"/>
          <w:spacing w:val="4"/>
          <w:sz w:val="32"/>
          <w:szCs w:val="32"/>
        </w:rPr>
        <w:t>必须落实环评提出的各项污染防治和风险防范措施要求，着重做好以下工作：</w:t>
      </w:r>
    </w:p>
    <w:p w14:paraId="4E520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56" w:firstLineChars="200"/>
        <w:jc w:val="both"/>
        <w:textAlignment w:val="auto"/>
        <w:rPr>
          <w:rFonts w:hint="default" w:ascii="Times New Roman" w:hAnsi="Times New Roman" w:eastAsia="仿宋_GB2312" w:cs="Times New Roman"/>
          <w:color w:val="auto"/>
          <w:kern w:val="0"/>
          <w:szCs w:val="32"/>
        </w:rPr>
      </w:pPr>
      <w:r>
        <w:rPr>
          <w:rFonts w:hint="default" w:ascii="Times New Roman" w:hAnsi="Times New Roman" w:eastAsia="楷体" w:cs="Times New Roman"/>
          <w:snapToGrid/>
          <w:color w:val="000000" w:themeColor="text1"/>
          <w:spacing w:val="4"/>
          <w:kern w:val="2"/>
          <w:sz w:val="32"/>
          <w:szCs w:val="32"/>
          <w:lang w:val="en-US" w:eastAsia="zh-CN"/>
          <w14:textFill>
            <w14:solidFill>
              <w14:schemeClr w14:val="tx1"/>
            </w14:solidFill>
          </w14:textFill>
        </w:rPr>
        <w:t>（一）严格履行建设单位的环保主体责任，加强环境管理。</w:t>
      </w:r>
      <w:r>
        <w:rPr>
          <w:rFonts w:hint="eastAsia" w:ascii="仿宋_GB2312" w:hAnsi="仿宋_GB2312" w:eastAsia="仿宋_GB2312" w:cs="仿宋_GB2312"/>
          <w:spacing w:val="4"/>
          <w:sz w:val="32"/>
          <w:szCs w:val="32"/>
        </w:rPr>
        <w:t>建立环保规章制度和岗位责任制，配备专职</w:t>
      </w:r>
      <w:r>
        <w:rPr>
          <w:rFonts w:hint="eastAsia" w:ascii="仿宋_GB2312" w:hAnsi="仿宋_GB2312" w:eastAsia="仿宋_GB2312" w:cs="仿宋_GB2312"/>
          <w:spacing w:val="4"/>
          <w:sz w:val="32"/>
          <w:szCs w:val="32"/>
          <w:lang w:val="en-US" w:eastAsia="zh-CN"/>
        </w:rPr>
        <w:t>或兼职</w:t>
      </w:r>
      <w:r>
        <w:rPr>
          <w:rFonts w:hint="eastAsia" w:ascii="仿宋_GB2312" w:hAnsi="仿宋_GB2312" w:eastAsia="仿宋_GB2312" w:cs="仿宋_GB2312"/>
          <w:spacing w:val="4"/>
          <w:sz w:val="32"/>
          <w:szCs w:val="32"/>
        </w:rPr>
        <w:t>环保管理人员</w:t>
      </w:r>
      <w:r>
        <w:rPr>
          <w:rFonts w:hint="eastAsia" w:ascii="仿宋_GB2312" w:hAnsi="仿宋_GB2312" w:eastAsia="仿宋_GB2312" w:cs="仿宋_GB2312"/>
          <w:spacing w:val="4"/>
          <w:sz w:val="32"/>
          <w:szCs w:val="32"/>
          <w:lang w:eastAsia="zh-CN"/>
        </w:rPr>
        <w:t>，落实文明施工规定和各项污染防控措施，确保</w:t>
      </w:r>
      <w:r>
        <w:rPr>
          <w:rFonts w:hint="eastAsia" w:ascii="仿宋_GB2312" w:hAnsi="仿宋_GB2312" w:eastAsia="仿宋_GB2312" w:cs="仿宋_GB2312"/>
          <w:color w:val="auto"/>
          <w:kern w:val="0"/>
          <w:sz w:val="32"/>
          <w:szCs w:val="32"/>
          <w:lang w:val="en-US" w:eastAsia="zh-CN"/>
        </w:rPr>
        <w:t>各类污染物的稳定达标排放；</w:t>
      </w:r>
      <w:r>
        <w:rPr>
          <w:rFonts w:hint="eastAsia" w:ascii="仿宋_GB2312" w:hAnsi="仿宋_GB2312" w:eastAsia="仿宋_GB2312" w:cs="仿宋_GB2312"/>
          <w:spacing w:val="4"/>
          <w:sz w:val="32"/>
          <w:szCs w:val="32"/>
        </w:rPr>
        <w:t>制定环境风险事故应急预案，落实事故风险防范措施，切实防范各类环境风险事故。</w:t>
      </w:r>
    </w:p>
    <w:p w14:paraId="1FCD20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jc w:val="both"/>
        <w:textAlignment w:val="auto"/>
        <w:rPr>
          <w:rFonts w:hint="default" w:ascii="Times New Roman" w:hAnsi="Times New Roman" w:eastAsia="楷体" w:cs="Times New Roman"/>
          <w:color w:val="000000"/>
          <w:spacing w:val="4"/>
          <w:szCs w:val="32"/>
          <w:lang w:val="en-US" w:eastAsia="zh-CN"/>
        </w:rPr>
      </w:pPr>
      <w:r>
        <w:rPr>
          <w:rFonts w:hint="default" w:ascii="Times New Roman" w:hAnsi="Times New Roman" w:eastAsia="楷体" w:cs="Times New Roman"/>
          <w:snapToGrid/>
          <w:color w:val="000000" w:themeColor="text1"/>
          <w:spacing w:val="4"/>
          <w:kern w:val="2"/>
          <w:sz w:val="32"/>
          <w:szCs w:val="32"/>
          <w:lang w:val="en-US" w:eastAsia="zh-CN"/>
          <w14:textFill>
            <w14:solidFill>
              <w14:schemeClr w14:val="tx1"/>
            </w14:solidFill>
          </w14:textFill>
        </w:rPr>
        <w:t>（二）落实生态</w:t>
      </w:r>
      <w:r>
        <w:rPr>
          <w:rFonts w:hint="eastAsia" w:ascii="Times New Roman" w:hAnsi="Times New Roman" w:eastAsia="楷体" w:cs="Times New Roman"/>
          <w:snapToGrid/>
          <w:color w:val="000000" w:themeColor="text1"/>
          <w:spacing w:val="4"/>
          <w:kern w:val="2"/>
          <w:sz w:val="32"/>
          <w:szCs w:val="32"/>
          <w:lang w:val="en-US" w:eastAsia="zh-CN"/>
          <w14:textFill>
            <w14:solidFill>
              <w14:schemeClr w14:val="tx1"/>
            </w14:solidFill>
          </w14:textFill>
        </w:rPr>
        <w:t>环境</w:t>
      </w:r>
      <w:r>
        <w:rPr>
          <w:rFonts w:hint="default" w:ascii="Times New Roman" w:hAnsi="Times New Roman" w:eastAsia="楷体" w:cs="Times New Roman"/>
          <w:snapToGrid/>
          <w:color w:val="000000" w:themeColor="text1"/>
          <w:spacing w:val="4"/>
          <w:kern w:val="2"/>
          <w:sz w:val="32"/>
          <w:szCs w:val="32"/>
          <w:lang w:val="en-US" w:eastAsia="zh-CN"/>
          <w14:textFill>
            <w14:solidFill>
              <w14:schemeClr w14:val="tx1"/>
            </w14:solidFill>
          </w14:textFill>
        </w:rPr>
        <w:t>保护措施。</w:t>
      </w:r>
      <w:r>
        <w:rPr>
          <w:rFonts w:hint="eastAsia" w:ascii="仿宋_GB2312" w:hAnsi="仿宋_GB2312" w:eastAsia="仿宋_GB2312" w:cs="仿宋_GB2312"/>
          <w:spacing w:val="4"/>
          <w:sz w:val="32"/>
          <w:szCs w:val="32"/>
          <w:lang w:val="en-US" w:eastAsia="zh-CN"/>
        </w:rPr>
        <w:t>优化工程设计，严格落实施工方案，合理安排工期；严格控制施工场界，加强施工管理，不得越界施工破坏周边生态环境，严格落实水土保持方案，防止水土流失，严禁非法弃土，施工结束后及时对临时占地区、植被扰动区进行植被恢复或复垦；切实保护</w:t>
      </w:r>
      <w:r>
        <w:rPr>
          <w:rFonts w:hint="eastAsia" w:ascii="仿宋_GB2312" w:hAnsi="仿宋_GB2312" w:eastAsia="仿宋_GB2312" w:cs="仿宋_GB2312"/>
          <w:color w:val="auto"/>
          <w:kern w:val="0"/>
          <w:sz w:val="32"/>
          <w:szCs w:val="32"/>
          <w:lang w:eastAsia="zh-CN"/>
        </w:rPr>
        <w:t>灌</w:t>
      </w:r>
      <w:r>
        <w:rPr>
          <w:rFonts w:hint="eastAsia" w:ascii="仿宋_GB2312" w:hAnsi="仿宋_GB2312" w:eastAsia="仿宋_GB2312" w:cs="仿宋_GB2312"/>
          <w:spacing w:val="4"/>
          <w:sz w:val="32"/>
          <w:szCs w:val="32"/>
          <w:lang w:val="en-US" w:eastAsia="zh-CN"/>
        </w:rPr>
        <w:t>区水生、陆生生物的安全，减少施工对周边生态环境的影响。</w:t>
      </w:r>
    </w:p>
    <w:p w14:paraId="338403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jc w:val="both"/>
        <w:textAlignment w:val="auto"/>
        <w:rPr>
          <w:rFonts w:hint="default" w:ascii="Times New Roman" w:hAnsi="Times New Roman" w:eastAsia="仿宋_GB2312" w:cs="Times New Roman"/>
          <w:spacing w:val="4"/>
          <w:sz w:val="32"/>
          <w:szCs w:val="32"/>
          <w:lang w:val="en-US" w:eastAsia="zh-CN"/>
        </w:rPr>
      </w:pPr>
      <w:r>
        <w:rPr>
          <w:rFonts w:hint="eastAsia" w:ascii="Times New Roman" w:hAnsi="Times New Roman" w:eastAsia="楷体" w:cs="Times New Roman"/>
          <w:snapToGrid/>
          <w:color w:val="000000" w:themeColor="text1"/>
          <w:spacing w:val="4"/>
          <w:kern w:val="2"/>
          <w:sz w:val="32"/>
          <w:szCs w:val="32"/>
          <w:lang w:val="en-US" w:eastAsia="zh-CN"/>
          <w14:textFill>
            <w14:solidFill>
              <w14:schemeClr w14:val="tx1"/>
            </w14:solidFill>
          </w14:textFill>
        </w:rPr>
        <w:t>（三）</w:t>
      </w:r>
      <w:r>
        <w:rPr>
          <w:rFonts w:hint="default" w:ascii="Times New Roman" w:hAnsi="Times New Roman" w:eastAsia="楷体" w:cs="Times New Roman"/>
          <w:snapToGrid/>
          <w:color w:val="000000" w:themeColor="text1"/>
          <w:spacing w:val="4"/>
          <w:kern w:val="2"/>
          <w:sz w:val="32"/>
          <w:szCs w:val="32"/>
          <w:lang w:val="en-US" w:eastAsia="zh-CN"/>
          <w14:textFill>
            <w14:solidFill>
              <w14:schemeClr w14:val="tx1"/>
            </w14:solidFill>
          </w14:textFill>
        </w:rPr>
        <w:t>落实大气污染防治措施。</w:t>
      </w:r>
      <w:r>
        <w:rPr>
          <w:rFonts w:hint="eastAsia" w:ascii="仿宋_GB2312" w:hAnsi="仿宋_GB2312" w:eastAsia="仿宋_GB2312" w:cs="仿宋_GB2312"/>
          <w:color w:val="000000"/>
          <w:sz w:val="32"/>
          <w:szCs w:val="32"/>
        </w:rPr>
        <w:t>严格落实《益阳市扬尘污染防治条例》要求，</w:t>
      </w:r>
      <w:r>
        <w:rPr>
          <w:rFonts w:hint="eastAsia" w:ascii="仿宋_GB2312" w:hAnsi="仿宋_GB2312" w:eastAsia="仿宋_GB2312" w:cs="仿宋_GB2312"/>
          <w:bCs/>
          <w:sz w:val="32"/>
          <w:szCs w:val="32"/>
          <w:lang w:val="en-US" w:eastAsia="zh-CN"/>
        </w:rPr>
        <w:t>施工场地设置围挡，配备洒水车、喷雾机，定期对施工场地和运输道路进行洒水抑尘，</w:t>
      </w:r>
      <w:r>
        <w:rPr>
          <w:rFonts w:hint="eastAsia" w:ascii="仿宋_GB2312" w:hAnsi="仿宋_GB2312" w:eastAsia="仿宋_GB2312" w:cs="仿宋_GB2312"/>
          <w:sz w:val="32"/>
          <w:szCs w:val="32"/>
          <w:lang w:eastAsia="zh-CN"/>
        </w:rPr>
        <w:t>施工场地</w:t>
      </w:r>
      <w:r>
        <w:rPr>
          <w:rFonts w:hint="eastAsia" w:ascii="仿宋_GB2312" w:hAnsi="仿宋_GB2312" w:eastAsia="仿宋_GB2312" w:cs="仿宋_GB2312"/>
          <w:bCs/>
          <w:sz w:val="32"/>
          <w:szCs w:val="32"/>
          <w:lang w:val="en-US" w:eastAsia="zh-CN"/>
        </w:rPr>
        <w:t>设置洗车平台对进出车辆轮胎清洗，</w:t>
      </w:r>
      <w:r>
        <w:rPr>
          <w:rFonts w:hint="eastAsia" w:ascii="仿宋_GB2312" w:hAnsi="仿宋_GB2312" w:eastAsia="仿宋_GB2312" w:cs="仿宋_GB2312"/>
          <w:color w:val="auto"/>
          <w:kern w:val="2"/>
          <w:sz w:val="32"/>
          <w:szCs w:val="32"/>
        </w:rPr>
        <w:t>运输车辆</w:t>
      </w:r>
      <w:r>
        <w:rPr>
          <w:rFonts w:hint="eastAsia" w:ascii="仿宋_GB2312" w:hAnsi="仿宋_GB2312" w:eastAsia="仿宋_GB2312" w:cs="仿宋_GB2312"/>
          <w:color w:val="auto"/>
          <w:kern w:val="2"/>
          <w:sz w:val="32"/>
          <w:szCs w:val="32"/>
          <w:lang w:eastAsia="zh-CN"/>
        </w:rPr>
        <w:t>用篷布遮盖并低速行驶，</w:t>
      </w:r>
      <w:r>
        <w:rPr>
          <w:rFonts w:hint="eastAsia" w:ascii="仿宋_GB2312" w:hAnsi="仿宋_GB2312" w:eastAsia="仿宋_GB2312" w:cs="仿宋_GB2312"/>
          <w:bCs/>
          <w:sz w:val="32"/>
          <w:szCs w:val="32"/>
          <w:lang w:val="en-US" w:eastAsia="zh-CN"/>
        </w:rPr>
        <w:t>弃渣和表土的临时堆场应设置围挡并及时覆盖，</w:t>
      </w:r>
      <w:r>
        <w:rPr>
          <w:rFonts w:hint="eastAsia" w:ascii="仿宋_GB2312" w:hAnsi="仿宋_GB2312" w:eastAsia="仿宋_GB2312" w:cs="仿宋_GB2312"/>
          <w:spacing w:val="4"/>
          <w:sz w:val="32"/>
          <w:szCs w:val="32"/>
          <w:lang w:val="en-US" w:eastAsia="zh-CN"/>
        </w:rPr>
        <w:t>加强清淤施工的环境管理，</w:t>
      </w:r>
      <w:r>
        <w:rPr>
          <w:rFonts w:hint="eastAsia" w:ascii="仿宋_GB2312" w:hAnsi="仿宋_GB2312" w:eastAsia="仿宋_GB2312" w:cs="仿宋_GB2312"/>
          <w:bCs/>
          <w:sz w:val="32"/>
          <w:szCs w:val="32"/>
          <w:lang w:val="en-US" w:eastAsia="zh-CN"/>
        </w:rPr>
        <w:t>减少无组织粉尘和</w:t>
      </w:r>
      <w:r>
        <w:rPr>
          <w:rFonts w:hint="eastAsia" w:ascii="仿宋_GB2312" w:hAnsi="仿宋_GB2312" w:eastAsia="仿宋_GB2312" w:cs="仿宋_GB2312"/>
          <w:spacing w:val="4"/>
          <w:sz w:val="32"/>
          <w:szCs w:val="32"/>
          <w:lang w:val="en-US" w:eastAsia="zh-CN"/>
        </w:rPr>
        <w:t>恶臭对周边环境的影响，确保外排废气满足</w:t>
      </w:r>
      <w:r>
        <w:rPr>
          <w:rFonts w:hint="eastAsia" w:ascii="仿宋_GB2312" w:hAnsi="仿宋_GB2312" w:eastAsia="仿宋_GB2312" w:cs="仿宋_GB2312"/>
          <w:color w:val="000000"/>
          <w:sz w:val="32"/>
          <w:szCs w:val="32"/>
        </w:rPr>
        <w:t>《大气污染物综合排放标准》（GB16297-1996）表2中无组织排放监控浓度限值要求。</w:t>
      </w:r>
    </w:p>
    <w:p w14:paraId="6DAC41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jc w:val="both"/>
        <w:textAlignment w:val="auto"/>
        <w:rPr>
          <w:rFonts w:hint="eastAsia" w:ascii="仿宋_GB2312" w:hAnsi="仿宋_GB2312" w:eastAsia="仿宋_GB2312" w:cs="仿宋_GB2312"/>
          <w:spacing w:val="4"/>
          <w:sz w:val="32"/>
          <w:szCs w:val="32"/>
          <w:lang w:val="en-US" w:eastAsia="zh-CN"/>
        </w:rPr>
      </w:pPr>
      <w:r>
        <w:rPr>
          <w:rFonts w:hint="eastAsia" w:ascii="Times New Roman" w:hAnsi="Times New Roman" w:eastAsia="楷体" w:cs="Times New Roman"/>
          <w:snapToGrid/>
          <w:color w:val="000000" w:themeColor="text1"/>
          <w:spacing w:val="4"/>
          <w:kern w:val="2"/>
          <w:sz w:val="32"/>
          <w:szCs w:val="32"/>
          <w:lang w:val="en-US" w:eastAsia="zh-CN"/>
          <w14:textFill>
            <w14:solidFill>
              <w14:schemeClr w14:val="tx1"/>
            </w14:solidFill>
          </w14:textFill>
        </w:rPr>
        <w:t>（四）</w:t>
      </w:r>
      <w:r>
        <w:rPr>
          <w:rFonts w:hint="default" w:ascii="Times New Roman" w:hAnsi="Times New Roman" w:eastAsia="楷体" w:cs="Times New Roman"/>
          <w:snapToGrid/>
          <w:color w:val="000000" w:themeColor="text1"/>
          <w:spacing w:val="4"/>
          <w:kern w:val="2"/>
          <w:sz w:val="32"/>
          <w:szCs w:val="32"/>
          <w:lang w:val="en-US" w:eastAsia="zh-CN"/>
          <w14:textFill>
            <w14:solidFill>
              <w14:schemeClr w14:val="tx1"/>
            </w14:solidFill>
          </w14:textFill>
        </w:rPr>
        <w:t>落实水污染防治措施。</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车辆冲洗等含油废水经隔油沉淀池处理后用于车辆的冲洗和施工区域的洒水抑尘；基坑废水、淤泥沥干水经沉淀池处理后用于洒水抑尘；施工人员生活</w:t>
      </w:r>
      <w:r>
        <w:rPr>
          <w:rFonts w:hint="eastAsia" w:ascii="仿宋_GB2312" w:hAnsi="仿宋_GB2312" w:eastAsia="仿宋_GB2312" w:cs="仿宋_GB2312"/>
          <w:spacing w:val="4"/>
          <w:sz w:val="32"/>
          <w:szCs w:val="32"/>
          <w:lang w:val="en-US" w:eastAsia="zh-CN"/>
        </w:rPr>
        <w:t>污水依托周边居民的化粪池处理后用于周边农田菜地施肥。</w:t>
      </w:r>
    </w:p>
    <w:p w14:paraId="1D097F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jc w:val="both"/>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楷体" w:cs="Times New Roman"/>
          <w:snapToGrid/>
          <w:color w:val="000000" w:themeColor="text1"/>
          <w:spacing w:val="4"/>
          <w:kern w:val="2"/>
          <w:sz w:val="32"/>
          <w:szCs w:val="32"/>
          <w:lang w:val="en-US" w:eastAsia="zh-CN"/>
          <w14:textFill>
            <w14:solidFill>
              <w14:schemeClr w14:val="tx1"/>
            </w14:solidFill>
          </w14:textFill>
        </w:rPr>
        <w:t>（五）落实噪声污染物防治措施。</w:t>
      </w:r>
      <w:r>
        <w:rPr>
          <w:rFonts w:hint="eastAsia" w:ascii="仿宋_GB2312" w:hAnsi="仿宋_GB2312" w:eastAsia="仿宋_GB2312" w:cs="仿宋_GB2312"/>
          <w:bCs/>
          <w:sz w:val="32"/>
          <w:szCs w:val="32"/>
        </w:rPr>
        <w:t>选用低噪声施工机械和工艺，</w:t>
      </w:r>
      <w:r>
        <w:rPr>
          <w:rFonts w:hint="eastAsia" w:ascii="仿宋_GB2312" w:hAnsi="仿宋_GB2312" w:eastAsia="仿宋_GB2312" w:cs="仿宋_GB2312"/>
          <w:bCs/>
          <w:color w:val="000000"/>
          <w:sz w:val="32"/>
          <w:szCs w:val="32"/>
        </w:rPr>
        <w:t>在</w:t>
      </w:r>
      <w:r>
        <w:rPr>
          <w:rFonts w:hint="eastAsia" w:ascii="仿宋_GB2312" w:hAnsi="仿宋_GB2312" w:eastAsia="仿宋_GB2312" w:cs="仿宋_GB2312"/>
          <w:bCs/>
          <w:color w:val="000000"/>
          <w:sz w:val="32"/>
          <w:szCs w:val="32"/>
          <w:lang w:eastAsia="zh-CN"/>
        </w:rPr>
        <w:t>居民区等</w:t>
      </w:r>
      <w:r>
        <w:rPr>
          <w:rFonts w:hint="eastAsia" w:ascii="仿宋_GB2312" w:hAnsi="仿宋_GB2312" w:eastAsia="仿宋_GB2312" w:cs="仿宋_GB2312"/>
          <w:bCs/>
          <w:color w:val="000000"/>
          <w:sz w:val="32"/>
          <w:szCs w:val="32"/>
        </w:rPr>
        <w:t>敏感点附近应设置临时声屏障，</w:t>
      </w:r>
      <w:r>
        <w:rPr>
          <w:rFonts w:hint="eastAsia" w:ascii="仿宋_GB2312" w:hAnsi="仿宋_GB2312" w:eastAsia="仿宋_GB2312" w:cs="仿宋_GB2312"/>
          <w:color w:val="000000"/>
          <w:sz w:val="32"/>
          <w:szCs w:val="32"/>
        </w:rPr>
        <w:t>午间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停止高噪声设备作业，夜间（22:00-次日6:00）</w:t>
      </w:r>
      <w:r>
        <w:rPr>
          <w:rFonts w:hint="eastAsia" w:ascii="仿宋_GB2312" w:hAnsi="仿宋_GB2312" w:eastAsia="仿宋_GB2312" w:cs="仿宋_GB2312"/>
          <w:color w:val="000000"/>
          <w:sz w:val="32"/>
          <w:szCs w:val="32"/>
          <w:lang w:eastAsia="zh-CN"/>
        </w:rPr>
        <w:t>禁止施工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确保施工期场界噪声满足《建筑施工场界环境噪声排放标准》（GB12523-2011）的要求</w:t>
      </w:r>
      <w:r>
        <w:rPr>
          <w:rFonts w:hint="eastAsia" w:ascii="仿宋_GB2312" w:hAnsi="仿宋_GB2312" w:eastAsia="仿宋_GB2312" w:cs="仿宋_GB2312"/>
          <w:color w:val="000000"/>
          <w:sz w:val="32"/>
          <w:szCs w:val="32"/>
        </w:rPr>
        <w:t>，防止施工噪声扰民。</w:t>
      </w:r>
    </w:p>
    <w:p w14:paraId="7B8E6E4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jc w:val="both"/>
        <w:textAlignment w:val="auto"/>
        <w:rPr>
          <w:rFonts w:hint="eastAsia" w:ascii="仿宋_GB2312" w:hAnsi="仿宋_GB2312" w:eastAsia="仿宋_GB2312" w:cs="仿宋_GB2312"/>
          <w:spacing w:val="4"/>
          <w:sz w:val="32"/>
          <w:szCs w:val="32"/>
          <w:lang w:val="en-US" w:eastAsia="zh-CN"/>
        </w:rPr>
      </w:pPr>
      <w:r>
        <w:rPr>
          <w:rFonts w:hint="default" w:ascii="Times New Roman" w:hAnsi="Times New Roman" w:eastAsia="楷体" w:cs="Times New Roman"/>
          <w:snapToGrid/>
          <w:color w:val="000000" w:themeColor="text1"/>
          <w:spacing w:val="4"/>
          <w:kern w:val="2"/>
          <w:sz w:val="32"/>
          <w:szCs w:val="32"/>
          <w:lang w:val="en-US" w:eastAsia="zh-CN"/>
          <w14:textFill>
            <w14:solidFill>
              <w14:schemeClr w14:val="tx1"/>
            </w14:solidFill>
          </w14:textFill>
        </w:rPr>
        <w:t>（六）落实固体废物处置措施。</w:t>
      </w:r>
      <w:r>
        <w:rPr>
          <w:rFonts w:hint="eastAsia" w:ascii="仿宋_GB2312" w:hAnsi="仿宋_GB2312" w:eastAsia="仿宋_GB2312" w:cs="仿宋_GB2312"/>
          <w:color w:val="000000"/>
          <w:spacing w:val="4"/>
          <w:sz w:val="32"/>
          <w:szCs w:val="32"/>
          <w:lang w:val="en-US" w:eastAsia="zh-CN"/>
        </w:rPr>
        <w:t>严格按照</w:t>
      </w:r>
      <w:r>
        <w:rPr>
          <w:rFonts w:hint="eastAsia" w:ascii="仿宋_GB2312" w:hAnsi="仿宋_GB2312" w:eastAsia="仿宋_GB2312" w:cs="仿宋_GB2312"/>
          <w:color w:val="000000"/>
          <w:sz w:val="32"/>
          <w:szCs w:val="32"/>
          <w:lang w:val="en-US" w:eastAsia="zh-CN"/>
        </w:rPr>
        <w:t>《危险废物贮存污染控制标准》（GB18597-2023）、</w:t>
      </w:r>
      <w:r>
        <w:rPr>
          <w:rFonts w:hint="eastAsia" w:ascii="仿宋_GB2312" w:hAnsi="仿宋_GB2312" w:eastAsia="仿宋_GB2312" w:cs="仿宋_GB2312"/>
          <w:spacing w:val="4"/>
          <w:sz w:val="32"/>
          <w:szCs w:val="32"/>
          <w:lang w:val="en-US" w:eastAsia="zh-CN"/>
        </w:rPr>
        <w:t>《一般工业固体废物贮存和填埋污染控制标准》(GB18599-2020)的要求处置固体废物。生活垃圾交由环卫部门统一清运；弃土弃渣（干化淤泥）、沉淀池沉渣、施工建筑垃圾由专业的渣土运输公司运至弃渣场处置；含油沉渣收集后委托有资质的单位进行安全处理。</w:t>
      </w:r>
    </w:p>
    <w:p w14:paraId="242A50D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56" w:firstLineChars="200"/>
        <w:textAlignment w:val="auto"/>
        <w:rPr>
          <w:rFonts w:hint="eastAsia" w:ascii="仿宋_GB2312" w:hAnsi="仿宋_GB2312" w:eastAsia="仿宋_GB2312" w:cs="仿宋_GB2312"/>
          <w:color w:val="auto"/>
          <w:kern w:val="0"/>
          <w:sz w:val="32"/>
          <w:szCs w:val="32"/>
        </w:rPr>
      </w:pPr>
      <w:r>
        <w:rPr>
          <w:rFonts w:hint="default" w:ascii="Times New Roman" w:hAnsi="Times New Roman" w:eastAsia="楷体" w:cs="Times New Roman"/>
          <w:snapToGrid/>
          <w:color w:val="000000" w:themeColor="text1"/>
          <w:spacing w:val="4"/>
          <w:kern w:val="2"/>
          <w:sz w:val="32"/>
          <w:szCs w:val="32"/>
          <w:lang w:val="en-US" w:eastAsia="zh-CN"/>
          <w14:textFill>
            <w14:solidFill>
              <w14:schemeClr w14:val="tx1"/>
            </w14:solidFill>
          </w14:textFill>
        </w:rPr>
        <w:t>（七）落实水质监控管理。</w:t>
      </w:r>
      <w:r>
        <w:rPr>
          <w:rFonts w:hint="eastAsia" w:ascii="仿宋_GB2312" w:hAnsi="仿宋_GB2312" w:eastAsia="仿宋_GB2312" w:cs="仿宋_GB2312"/>
          <w:spacing w:val="4"/>
          <w:sz w:val="32"/>
          <w:szCs w:val="32"/>
          <w:lang w:val="en-US" w:eastAsia="zh-CN"/>
        </w:rPr>
        <w:t>按要求开展</w:t>
      </w:r>
      <w:r>
        <w:rPr>
          <w:rFonts w:hint="eastAsia" w:ascii="仿宋_GB2312" w:hAnsi="仿宋_GB2312" w:eastAsia="仿宋_GB2312" w:cs="仿宋_GB2312"/>
          <w:color w:val="auto"/>
          <w:kern w:val="0"/>
          <w:sz w:val="32"/>
          <w:szCs w:val="32"/>
          <w:lang w:val="en-US" w:eastAsia="zh-CN"/>
        </w:rPr>
        <w:t>施工期环境监理和水环境监测工作，按要求监控施工期施工区下游水质变化情况，如发现水质恶化，应立即停止施工并及时调整施工方案，为防止废水事故排放导致</w:t>
      </w:r>
      <w:r>
        <w:rPr>
          <w:rFonts w:hint="default" w:ascii="Times New Roman" w:hAnsi="Times New Roman" w:eastAsia="仿宋" w:cs="Times New Roman"/>
          <w:color w:val="auto"/>
          <w:kern w:val="0"/>
          <w:sz w:val="32"/>
          <w:szCs w:val="32"/>
          <w:lang w:val="en-US" w:eastAsia="zh-CN"/>
        </w:rPr>
        <w:t>周边水体</w:t>
      </w:r>
      <w:r>
        <w:rPr>
          <w:rFonts w:hint="eastAsia" w:ascii="仿宋_GB2312" w:hAnsi="仿宋_GB2312" w:eastAsia="仿宋_GB2312" w:cs="仿宋_GB2312"/>
          <w:color w:val="auto"/>
          <w:kern w:val="0"/>
          <w:sz w:val="32"/>
          <w:szCs w:val="32"/>
          <w:lang w:val="en-US" w:eastAsia="zh-CN"/>
        </w:rPr>
        <w:t>水质下降，制定行之有效的应急预案。</w:t>
      </w:r>
    </w:p>
    <w:p w14:paraId="432C3B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pPr>
      <w:r>
        <w:rPr>
          <w:rFonts w:hint="eastAsia" w:ascii="仿宋_GB2312" w:hAnsi="仿宋_GB2312" w:eastAsia="仿宋_GB2312" w:cs="仿宋_GB2312"/>
          <w:bCs/>
          <w:sz w:val="32"/>
          <w:szCs w:val="32"/>
          <w:lang w:val="en-US" w:eastAsia="zh-CN"/>
        </w:rPr>
        <w:t>三、项目性质、规模、地点、采用的生产工艺或者防治污染的措施发生重大变动的，应重新报批环境影响评价文件。</w:t>
      </w:r>
      <w:r>
        <w:rPr>
          <w:rFonts w:hint="eastAsia" w:ascii="仿宋_GB2312" w:hAnsi="仿宋_GB2312" w:eastAsia="仿宋_GB2312" w:cs="仿宋_GB2312"/>
          <w:color w:val="000000"/>
          <w:sz w:val="32"/>
          <w:szCs w:val="32"/>
        </w:rPr>
        <w:t>自环境影响</w:t>
      </w:r>
      <w:r>
        <w:rPr>
          <w:rFonts w:hint="eastAsia" w:ascii="仿宋_GB2312" w:hAnsi="仿宋_GB2312" w:eastAsia="仿宋_GB2312" w:cs="仿宋_GB2312"/>
          <w:color w:val="000000"/>
          <w:sz w:val="32"/>
          <w:szCs w:val="32"/>
          <w:lang w:eastAsia="zh-CN"/>
        </w:rPr>
        <w:t>报告表</w:t>
      </w:r>
      <w:r>
        <w:rPr>
          <w:rFonts w:hint="eastAsia" w:ascii="仿宋_GB2312" w:hAnsi="仿宋_GB2312" w:eastAsia="仿宋_GB2312" w:cs="仿宋_GB2312"/>
          <w:color w:val="000000"/>
          <w:sz w:val="32"/>
          <w:szCs w:val="32"/>
        </w:rPr>
        <w:t>批复文件批准之日起，如工程超过5年未开工建设</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，环境影响</w:t>
      </w:r>
      <w:r>
        <w:rPr>
          <w:rFonts w:hint="eastAsia" w:ascii="仿宋_GB2312" w:hAnsi="仿宋_GB2312" w:eastAsia="仿宋_GB2312" w:cs="仿宋_GB2312"/>
          <w:color w:val="000000"/>
          <w:sz w:val="32"/>
          <w:szCs w:val="32"/>
          <w:lang w:eastAsia="zh-CN"/>
        </w:rPr>
        <w:t>报告表</w:t>
      </w:r>
      <w:r>
        <w:rPr>
          <w:rFonts w:hint="eastAsia" w:ascii="仿宋_GB2312" w:hAnsi="仿宋_GB2312" w:eastAsia="仿宋_GB2312" w:cs="仿宋_GB2312"/>
          <w:color w:val="000000"/>
          <w:sz w:val="32"/>
          <w:szCs w:val="32"/>
        </w:rPr>
        <w:t>应当报我局重新审核</w:t>
      </w:r>
      <w:r>
        <w:rPr>
          <w:rFonts w:hint="eastAsia" w:ascii="仿宋_GB2312" w:hAnsi="仿宋_GB2312" w:eastAsia="仿宋_GB2312" w:cs="仿宋_GB2312"/>
          <w:color w:val="000000"/>
          <w:spacing w:val="4"/>
          <w:sz w:val="32"/>
          <w:szCs w:val="32"/>
        </w:rPr>
        <w:t>。</w:t>
      </w:r>
      <w:r>
        <w:rPr>
          <w:rFonts w:hint="eastAsia" w:ascii="仿宋_GB2312" w:hAnsi="仿宋_GB2312" w:eastAsia="仿宋_GB2312" w:cs="仿宋_GB2312"/>
          <w:color w:val="000000"/>
          <w:spacing w:val="4"/>
          <w:sz w:val="32"/>
          <w:szCs w:val="32"/>
          <w:lang w:eastAsia="zh-CN"/>
        </w:rPr>
        <w:t>项目</w:t>
      </w:r>
      <w:r>
        <w:rPr>
          <w:rFonts w:hint="eastAsia" w:ascii="仿宋_GB2312" w:hAnsi="仿宋_GB2312" w:eastAsia="仿宋_GB2312" w:cs="仿宋_GB2312"/>
          <w:spacing w:val="4"/>
          <w:sz w:val="32"/>
          <w:szCs w:val="32"/>
          <w:lang w:val="en-US" w:eastAsia="zh-CN"/>
        </w:rPr>
        <w:t>实施完成后，</w:t>
      </w:r>
      <w:r>
        <w:rPr>
          <w:rFonts w:hint="eastAsia" w:ascii="仿宋_GB2312" w:hAnsi="仿宋_GB2312" w:eastAsia="仿宋_GB2312" w:cs="仿宋_GB2312"/>
          <w:spacing w:val="4"/>
          <w:sz w:val="32"/>
          <w:szCs w:val="32"/>
          <w:lang w:eastAsia="zh-CN"/>
        </w:rPr>
        <w:t>须按照《建设项目环境保护管理条例》的有关规定，及时进行项目</w:t>
      </w:r>
      <w:r>
        <w:rPr>
          <w:rFonts w:hint="eastAsia" w:ascii="仿宋_GB2312" w:hAnsi="仿宋_GB2312" w:eastAsia="仿宋_GB2312" w:cs="仿宋_GB2312"/>
          <w:spacing w:val="4"/>
          <w:sz w:val="32"/>
          <w:szCs w:val="32"/>
        </w:rPr>
        <w:t>竣工环保</w:t>
      </w:r>
      <w:r>
        <w:rPr>
          <w:rFonts w:hint="eastAsia" w:ascii="仿宋_GB2312" w:hAnsi="仿宋_GB2312" w:eastAsia="仿宋_GB2312" w:cs="仿宋_GB2312"/>
          <w:spacing w:val="4"/>
          <w:sz w:val="32"/>
          <w:szCs w:val="32"/>
          <w:lang w:eastAsia="zh-CN"/>
        </w:rPr>
        <w:t>自主</w:t>
      </w:r>
      <w:r>
        <w:rPr>
          <w:rFonts w:hint="eastAsia" w:ascii="仿宋_GB2312" w:hAnsi="仿宋_GB2312" w:eastAsia="仿宋_GB2312" w:cs="仿宋_GB2312"/>
          <w:spacing w:val="4"/>
          <w:sz w:val="32"/>
          <w:szCs w:val="32"/>
        </w:rPr>
        <w:t>验收</w:t>
      </w:r>
      <w:r>
        <w:rPr>
          <w:rFonts w:hint="eastAsia" w:ascii="仿宋_GB2312" w:hAnsi="仿宋_GB2312" w:eastAsia="仿宋_GB2312" w:cs="仿宋_GB2312"/>
          <w:spacing w:val="4"/>
          <w:sz w:val="32"/>
          <w:szCs w:val="32"/>
          <w:lang w:val="en-US" w:eastAsia="zh-CN"/>
        </w:rPr>
        <w:t>手续</w:t>
      </w:r>
      <w:r>
        <w:rPr>
          <w:rFonts w:hint="eastAsia" w:ascii="仿宋_GB2312" w:hAnsi="仿宋_GB2312" w:eastAsia="仿宋_GB2312" w:cs="仿宋_GB2312"/>
          <w:spacing w:val="4"/>
          <w:sz w:val="32"/>
          <w:szCs w:val="32"/>
        </w:rPr>
        <w:t>。</w:t>
      </w:r>
      <w:r>
        <w:rPr>
          <w:rFonts w:hint="eastAsia" w:ascii="仿宋_GB2312" w:hAnsi="仿宋_GB2312" w:eastAsia="仿宋_GB2312" w:cs="仿宋_GB2312"/>
          <w:color w:val="000000" w:themeColor="text1"/>
          <w:spacing w:val="4"/>
          <w:sz w:val="32"/>
          <w:szCs w:val="32"/>
          <w14:textFill>
            <w14:solidFill>
              <w14:schemeClr w14:val="tx1"/>
            </w14:solidFill>
          </w14:textFill>
        </w:rPr>
        <w:t>益阳市生态环境保护综合行政执法支队</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资阳</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pacing w:val="4"/>
          <w:sz w:val="32"/>
          <w:szCs w:val="32"/>
          <w14:textFill>
            <w14:solidFill>
              <w14:schemeClr w14:val="tx1"/>
            </w14:solidFill>
          </w14:textFill>
        </w:rPr>
        <w:t>大队负责</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项目建设期的“三同时”</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现场监督检查和日常环境管理</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w:t>
      </w:r>
    </w:p>
    <w:p w14:paraId="64B26663">
      <w:pPr>
        <w:keepNext w:val="0"/>
        <w:keepLines w:val="0"/>
        <w:pageBreakBefore w:val="0"/>
        <w:widowControl w:val="0"/>
        <w:kinsoku/>
        <w:wordWrap/>
        <w:overflowPunct/>
        <w:topLinePunct w:val="0"/>
        <w:autoSpaceDE/>
        <w:autoSpaceDN/>
        <w:bidi w:val="0"/>
        <w:adjustRightInd/>
        <w:snapToGrid/>
        <w:spacing w:line="560" w:lineRule="exact"/>
        <w:ind w:firstLine="656"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spacing w:val="4"/>
          <w:sz w:val="32"/>
          <w:szCs w:val="32"/>
        </w:rPr>
        <w:t>四、</w:t>
      </w:r>
      <w:r>
        <w:rPr>
          <w:rFonts w:hint="eastAsia" w:ascii="仿宋_GB2312" w:hAnsi="仿宋_GB2312" w:eastAsia="仿宋_GB2312" w:cs="仿宋_GB2312"/>
          <w:spacing w:val="4"/>
          <w:sz w:val="32"/>
          <w:szCs w:val="32"/>
          <w:lang w:eastAsia="zh-CN"/>
        </w:rPr>
        <w:t>你</w:t>
      </w:r>
      <w:r>
        <w:rPr>
          <w:rFonts w:hint="eastAsia" w:ascii="仿宋_GB2312" w:hAnsi="仿宋_GB2312" w:eastAsia="仿宋_GB2312" w:cs="仿宋_GB2312"/>
          <w:spacing w:val="4"/>
          <w:sz w:val="32"/>
          <w:szCs w:val="32"/>
          <w:lang w:val="en-US" w:eastAsia="zh-CN"/>
        </w:rPr>
        <w:t>单位</w:t>
      </w:r>
      <w:r>
        <w:rPr>
          <w:rFonts w:hint="eastAsia" w:ascii="仿宋_GB2312" w:hAnsi="仿宋_GB2312" w:eastAsia="仿宋_GB2312" w:cs="仿宋_GB2312"/>
          <w:spacing w:val="4"/>
          <w:sz w:val="32"/>
          <w:szCs w:val="32"/>
        </w:rPr>
        <w:t>在收到</w:t>
      </w:r>
      <w:r>
        <w:rPr>
          <w:rFonts w:hint="eastAsia" w:ascii="仿宋_GB2312" w:hAnsi="仿宋_GB2312" w:eastAsia="仿宋_GB2312" w:cs="仿宋_GB2312"/>
          <w:spacing w:val="4"/>
          <w:sz w:val="32"/>
          <w:szCs w:val="32"/>
          <w:lang w:eastAsia="zh-CN"/>
        </w:rPr>
        <w:t>本</w:t>
      </w:r>
      <w:r>
        <w:rPr>
          <w:rFonts w:hint="eastAsia" w:ascii="仿宋_GB2312" w:hAnsi="仿宋_GB2312" w:eastAsia="仿宋_GB2312" w:cs="仿宋_GB2312"/>
          <w:spacing w:val="4"/>
          <w:sz w:val="32"/>
          <w:szCs w:val="32"/>
        </w:rPr>
        <w:t>批复后15个工作日内，将</w:t>
      </w:r>
      <w:r>
        <w:rPr>
          <w:rFonts w:hint="eastAsia" w:ascii="仿宋_GB2312" w:hAnsi="仿宋_GB2312" w:eastAsia="仿宋_GB2312" w:cs="仿宋_GB2312"/>
          <w:spacing w:val="4"/>
          <w:sz w:val="32"/>
          <w:szCs w:val="32"/>
          <w:lang w:eastAsia="zh-CN"/>
        </w:rPr>
        <w:t>本</w:t>
      </w:r>
      <w:r>
        <w:rPr>
          <w:rFonts w:hint="eastAsia" w:ascii="仿宋_GB2312" w:hAnsi="仿宋_GB2312" w:eastAsia="仿宋_GB2312" w:cs="仿宋_GB2312"/>
          <w:spacing w:val="4"/>
          <w:sz w:val="32"/>
          <w:szCs w:val="32"/>
        </w:rPr>
        <w:t>批复及项目环评</w:t>
      </w:r>
      <w:r>
        <w:rPr>
          <w:rFonts w:hint="eastAsia" w:ascii="仿宋_GB2312" w:hAnsi="仿宋_GB2312" w:eastAsia="仿宋_GB2312" w:cs="仿宋_GB2312"/>
          <w:spacing w:val="4"/>
          <w:sz w:val="32"/>
          <w:szCs w:val="32"/>
          <w:lang w:eastAsia="zh-CN"/>
        </w:rPr>
        <w:t>报告表</w:t>
      </w:r>
      <w:r>
        <w:rPr>
          <w:rFonts w:hint="eastAsia" w:ascii="仿宋_GB2312" w:hAnsi="仿宋_GB2312" w:eastAsia="仿宋_GB2312" w:cs="仿宋_GB2312"/>
          <w:spacing w:val="4"/>
          <w:sz w:val="32"/>
          <w:szCs w:val="32"/>
        </w:rPr>
        <w:t>送至益阳市生态环境局</w:t>
      </w:r>
      <w:r>
        <w:rPr>
          <w:rFonts w:hint="eastAsia" w:ascii="仿宋_GB2312" w:hAnsi="仿宋_GB2312" w:eastAsia="仿宋_GB2312" w:cs="仿宋_GB2312"/>
          <w:spacing w:val="4"/>
          <w:sz w:val="32"/>
          <w:szCs w:val="32"/>
          <w:lang w:val="en-US" w:eastAsia="zh-CN"/>
        </w:rPr>
        <w:t>资阳</w:t>
      </w:r>
      <w:r>
        <w:rPr>
          <w:rFonts w:hint="eastAsia" w:ascii="仿宋_GB2312" w:hAnsi="仿宋_GB2312" w:eastAsia="仿宋_GB2312" w:cs="仿宋_GB2312"/>
          <w:spacing w:val="4"/>
          <w:sz w:val="32"/>
          <w:szCs w:val="32"/>
        </w:rPr>
        <w:t>分局。</w:t>
      </w:r>
    </w:p>
    <w:p w14:paraId="687ED1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color w:val="000000"/>
          <w:kern w:val="2"/>
          <w:sz w:val="32"/>
          <w:szCs w:val="32"/>
          <w:lang w:val="en-US" w:eastAsia="zh-CN"/>
        </w:rPr>
      </w:pPr>
    </w:p>
    <w:p w14:paraId="54E2350B">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仿宋_GB2312" w:cs="Times New Roman"/>
          <w:snapToGrid/>
          <w:color w:val="000000"/>
          <w:kern w:val="2"/>
          <w:sz w:val="32"/>
          <w:szCs w:val="32"/>
          <w:highlight w:val="red"/>
          <w:lang w:val="en-US" w:eastAsia="zh-CN"/>
        </w:rPr>
      </w:pPr>
      <w:r>
        <w:rPr>
          <w:rFonts w:hint="default" w:ascii="Times New Roman" w:hAnsi="Times New Roman" w:eastAsia="仿宋_GB2312" w:cs="Times New Roman"/>
          <w:snapToGrid/>
          <w:color w:val="000000"/>
          <w:kern w:val="2"/>
          <w:sz w:val="32"/>
          <w:szCs w:val="32"/>
          <w:highlight w:val="none"/>
          <w:lang w:val="en-US" w:eastAsia="zh-CN"/>
        </w:rPr>
        <w:t>益阳市生态环境局</w:t>
      </w:r>
      <w:r>
        <w:rPr>
          <w:rFonts w:hint="eastAsia" w:ascii="Times New Roman" w:hAnsi="Times New Roman" w:eastAsia="仿宋_GB2312" w:cs="Times New Roman"/>
          <w:snapToGrid/>
          <w:color w:val="000000"/>
          <w:kern w:val="2"/>
          <w:sz w:val="32"/>
          <w:szCs w:val="32"/>
          <w:highlight w:val="none"/>
          <w:lang w:val="en-US" w:eastAsia="zh-CN"/>
        </w:rPr>
        <w:t>资阳分局</w:t>
      </w:r>
    </w:p>
    <w:p w14:paraId="4EA5E9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000000"/>
          <w:kern w:val="2"/>
          <w:sz w:val="32"/>
          <w:szCs w:val="32"/>
          <w:lang w:val="en-US" w:eastAsia="zh-CN"/>
        </w:rPr>
      </w:pPr>
      <w:r>
        <w:rPr>
          <w:rFonts w:hint="default" w:ascii="Times New Roman" w:hAnsi="Times New Roman" w:eastAsia="仿宋_GB2312" w:cs="Times New Roman"/>
          <w:snapToGrid/>
          <w:color w:val="000000"/>
          <w:kern w:val="2"/>
          <w:sz w:val="32"/>
          <w:szCs w:val="32"/>
          <w:lang w:val="en-US" w:eastAsia="zh-CN"/>
        </w:rPr>
        <w:t xml:space="preserve">                         </w:t>
      </w:r>
      <w:r>
        <w:rPr>
          <w:rFonts w:hint="eastAsia" w:ascii="Times New Roman" w:hAnsi="Times New Roman" w:eastAsia="仿宋_GB2312" w:cs="Times New Roman"/>
          <w:snapToGrid/>
          <w:color w:val="000000"/>
          <w:kern w:val="2"/>
          <w:sz w:val="32"/>
          <w:szCs w:val="32"/>
          <w:lang w:val="en-US" w:eastAsia="zh-CN"/>
        </w:rPr>
        <w:t xml:space="preserve">       </w:t>
      </w:r>
      <w:r>
        <w:rPr>
          <w:rFonts w:hint="default" w:ascii="Times New Roman" w:hAnsi="Times New Roman" w:eastAsia="仿宋_GB2312" w:cs="Times New Roman"/>
          <w:snapToGrid/>
          <w:color w:val="000000"/>
          <w:kern w:val="2"/>
          <w:sz w:val="32"/>
          <w:szCs w:val="32"/>
          <w:lang w:val="en-US" w:eastAsia="zh-CN"/>
        </w:rPr>
        <w:t xml:space="preserve"> 2024年</w:t>
      </w:r>
      <w:r>
        <w:rPr>
          <w:rFonts w:hint="eastAsia" w:ascii="Times New Roman" w:hAnsi="Times New Roman" w:eastAsia="仿宋_GB2312" w:cs="Times New Roman"/>
          <w:snapToGrid/>
          <w:color w:val="000000"/>
          <w:kern w:val="2"/>
          <w:sz w:val="32"/>
          <w:szCs w:val="32"/>
          <w:lang w:val="en-US" w:eastAsia="zh-CN"/>
        </w:rPr>
        <w:t>12</w:t>
      </w:r>
      <w:r>
        <w:rPr>
          <w:rFonts w:hint="default" w:ascii="Times New Roman" w:hAnsi="Times New Roman" w:eastAsia="仿宋_GB2312" w:cs="Times New Roman"/>
          <w:snapToGrid/>
          <w:color w:val="000000"/>
          <w:kern w:val="2"/>
          <w:sz w:val="32"/>
          <w:szCs w:val="32"/>
          <w:lang w:val="en-US" w:eastAsia="zh-CN"/>
        </w:rPr>
        <w:t>月</w:t>
      </w:r>
      <w:r>
        <w:rPr>
          <w:rFonts w:hint="eastAsia" w:ascii="Times New Roman" w:hAnsi="Times New Roman" w:eastAsia="仿宋_GB2312" w:cs="Times New Roman"/>
          <w:snapToGrid/>
          <w:color w:val="000000"/>
          <w:kern w:val="2"/>
          <w:sz w:val="32"/>
          <w:szCs w:val="32"/>
          <w:lang w:val="en-US" w:eastAsia="zh-CN"/>
        </w:rPr>
        <w:t>6</w:t>
      </w:r>
      <w:bookmarkStart w:id="0" w:name="_GoBack"/>
      <w:bookmarkEnd w:id="0"/>
      <w:r>
        <w:rPr>
          <w:rFonts w:hint="default" w:ascii="Times New Roman" w:hAnsi="Times New Roman" w:eastAsia="仿宋_GB2312" w:cs="Times New Roman"/>
          <w:snapToGrid/>
          <w:color w:val="000000"/>
          <w:kern w:val="2"/>
          <w:sz w:val="32"/>
          <w:szCs w:val="32"/>
          <w:lang w:val="en-US" w:eastAsia="zh-CN"/>
        </w:rPr>
        <w:t xml:space="preserve">日  </w:t>
      </w:r>
    </w:p>
    <w:sectPr>
      <w:headerReference r:id="rId5" w:type="default"/>
      <w:footerReference r:id="rId6" w:type="default"/>
      <w:pgSz w:w="11907" w:h="16839"/>
      <w:pgMar w:top="2098" w:right="1276" w:bottom="1984" w:left="1587" w:header="0" w:footer="91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51D907-BC08-4C52-BFA7-B9789EB9947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48837681-8B1B-449E-9A91-7CD539E557CD}"/>
  </w:font>
  <w:font w:name="仿宋_GB2312">
    <w:altName w:val="仿宋"/>
    <w:panose1 w:val="02010609030101010101"/>
    <w:charset w:val="86"/>
    <w:family w:val="auto"/>
    <w:pitch w:val="default"/>
    <w:sig w:usb0="00000000" w:usb1="00000000" w:usb2="00000000" w:usb3="00000000" w:csb0="00040000" w:csb1="00000000"/>
    <w:embedRegular r:id="rId3" w:fontKey="{C902010C-D482-46C8-A42F-D9B0953A3450}"/>
  </w:font>
  <w:font w:name="方正小标宋简体">
    <w:panose1 w:val="02000000000000000000"/>
    <w:charset w:val="86"/>
    <w:family w:val="auto"/>
    <w:pitch w:val="default"/>
    <w:sig w:usb0="00000001" w:usb1="08000000" w:usb2="00000000" w:usb3="00000000" w:csb0="00040000" w:csb1="00000000"/>
    <w:embedRegular r:id="rId4" w:fontKey="{A74B4435-E32E-4E93-80EC-D74763B7E9D8}"/>
  </w:font>
  <w:font w:name="楷体">
    <w:panose1 w:val="02010609060101010101"/>
    <w:charset w:val="86"/>
    <w:family w:val="auto"/>
    <w:pitch w:val="default"/>
    <w:sig w:usb0="800002BF" w:usb1="38CF7CFA" w:usb2="00000016" w:usb3="00000000" w:csb0="00040001" w:csb1="00000000"/>
    <w:embedRegular r:id="rId5" w:fontKey="{B36EEECD-BE72-45DA-9792-B9CF247077E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E708D">
    <w:pPr>
      <w:spacing w:line="198" w:lineRule="auto"/>
      <w:ind w:left="4523"/>
      <w:rPr>
        <w:rFonts w:ascii="Arial" w:hAnsi="Arial" w:eastAsia="Arial" w:cs="Arial"/>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7B36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C7B36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36CB1">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ZDRiZGFhNjI2OTAzMTNhNWMxOTE2NzgwN2EzYjQifQ=="/>
  </w:docVars>
  <w:rsids>
    <w:rsidRoot w:val="00172A27"/>
    <w:rsid w:val="016D4D19"/>
    <w:rsid w:val="01BE4D35"/>
    <w:rsid w:val="03E07A24"/>
    <w:rsid w:val="046E7B7D"/>
    <w:rsid w:val="071075D5"/>
    <w:rsid w:val="071B2629"/>
    <w:rsid w:val="076B3498"/>
    <w:rsid w:val="084A1910"/>
    <w:rsid w:val="0AA03A6A"/>
    <w:rsid w:val="0CCC323C"/>
    <w:rsid w:val="0D0C53E6"/>
    <w:rsid w:val="14997EA7"/>
    <w:rsid w:val="1588532D"/>
    <w:rsid w:val="183701D9"/>
    <w:rsid w:val="1BD30177"/>
    <w:rsid w:val="1D9F120E"/>
    <w:rsid w:val="2130749E"/>
    <w:rsid w:val="22A243CB"/>
    <w:rsid w:val="22D447A0"/>
    <w:rsid w:val="279B4DA5"/>
    <w:rsid w:val="2B12771B"/>
    <w:rsid w:val="2B41674B"/>
    <w:rsid w:val="2C1A1476"/>
    <w:rsid w:val="2D6276A4"/>
    <w:rsid w:val="2DF14458"/>
    <w:rsid w:val="30824462"/>
    <w:rsid w:val="30D81900"/>
    <w:rsid w:val="31DD5420"/>
    <w:rsid w:val="33454406"/>
    <w:rsid w:val="34BF0E0C"/>
    <w:rsid w:val="379F4F25"/>
    <w:rsid w:val="3A886145"/>
    <w:rsid w:val="3BEF64BF"/>
    <w:rsid w:val="3E11641A"/>
    <w:rsid w:val="413466DE"/>
    <w:rsid w:val="45C53DAF"/>
    <w:rsid w:val="47D12EAB"/>
    <w:rsid w:val="4B5A1437"/>
    <w:rsid w:val="4BC230D9"/>
    <w:rsid w:val="51305806"/>
    <w:rsid w:val="5131339E"/>
    <w:rsid w:val="51733B77"/>
    <w:rsid w:val="51B66C9C"/>
    <w:rsid w:val="53D578AD"/>
    <w:rsid w:val="54B76ABA"/>
    <w:rsid w:val="55480552"/>
    <w:rsid w:val="63493E13"/>
    <w:rsid w:val="677F6056"/>
    <w:rsid w:val="67FF7197"/>
    <w:rsid w:val="6A8107B4"/>
    <w:rsid w:val="6C5B7F63"/>
    <w:rsid w:val="6EA23EDF"/>
    <w:rsid w:val="709216BB"/>
    <w:rsid w:val="72EA6CBD"/>
    <w:rsid w:val="741B5959"/>
    <w:rsid w:val="782D565A"/>
    <w:rsid w:val="7B7F61CD"/>
    <w:rsid w:val="7D1F7C67"/>
    <w:rsid w:val="7E834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1962</Words>
  <Characters>2083</Characters>
  <Lines>1</Lines>
  <Paragraphs>1</Paragraphs>
  <TotalTime>0</TotalTime>
  <ScaleCrop>false</ScaleCrop>
  <LinksUpToDate>false</LinksUpToDate>
  <CharactersWithSpaces>2118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2024-02-18T07:32:00Z</dcterms:created>
  <dc:creator>郭静</dc:creator>
  <cp:lastModifiedBy>李艳梅</cp:lastModifiedBy>
  <dcterms:modified xsi:type="dcterms:W3CDTF">2024-12-03T01:51:51Z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BB492974374B4438A78352D8847EC9C2_11</vt:lpwstr>
  </property>
</Properties>
</file>