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D019B">
      <w:pPr>
        <w:spacing w:after="200" w:line="520" w:lineRule="exact"/>
        <w:rPr>
          <w:rFonts w:ascii="仿宋" w:hAnsi="仿宋" w:eastAsia="仿宋" w:cs="仿宋"/>
          <w:color w:val="FF0000"/>
          <w:sz w:val="32"/>
          <w:szCs w:val="32"/>
        </w:rPr>
      </w:pPr>
    </w:p>
    <w:p w14:paraId="461E0DA8">
      <w:pPr>
        <w:spacing w:line="560" w:lineRule="exact"/>
        <w:jc w:val="right"/>
        <w:rPr>
          <w:rFonts w:hint="eastAsia" w:ascii="仿宋" w:hAnsi="仿宋" w:eastAsia="仿宋"/>
          <w:color w:val="000000"/>
          <w:sz w:val="32"/>
          <w:szCs w:val="32"/>
        </w:rPr>
      </w:pPr>
    </w:p>
    <w:p w14:paraId="6A3A229F">
      <w:pPr>
        <w:spacing w:line="560" w:lineRule="exact"/>
        <w:jc w:val="right"/>
        <w:rPr>
          <w:rFonts w:hint="eastAsia" w:ascii="仿宋" w:hAnsi="仿宋" w:eastAsia="仿宋"/>
          <w:color w:val="000000"/>
          <w:sz w:val="32"/>
          <w:szCs w:val="32"/>
        </w:rPr>
      </w:pPr>
      <w:r>
        <w:rPr>
          <w:rFonts w:hint="eastAsia" w:ascii="仿宋" w:hAnsi="仿宋" w:eastAsia="仿宋"/>
          <w:color w:val="000000"/>
          <w:sz w:val="32"/>
          <w:szCs w:val="32"/>
        </w:rPr>
        <w:t>益赫环评表〔2024〕</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号</w:t>
      </w:r>
    </w:p>
    <w:p w14:paraId="35359B76">
      <w:pPr>
        <w:spacing w:line="600" w:lineRule="exact"/>
        <w:ind w:left="-105" w:leftChars="-50" w:right="-105" w:rightChars="-50"/>
        <w:jc w:val="center"/>
        <w:rPr>
          <w:rFonts w:ascii="黑体" w:hAnsi="黑体" w:eastAsia="黑体"/>
          <w:color w:val="000000"/>
          <w:sz w:val="44"/>
          <w:szCs w:val="44"/>
        </w:rPr>
      </w:pPr>
      <w:r>
        <w:rPr>
          <w:rFonts w:hint="eastAsia" w:ascii="黑体" w:hAnsi="黑体" w:eastAsia="黑体"/>
          <w:color w:val="000000"/>
          <w:sz w:val="44"/>
          <w:szCs w:val="44"/>
        </w:rPr>
        <w:t>益阳市生态环境局</w:t>
      </w:r>
    </w:p>
    <w:p w14:paraId="696E1ADD">
      <w:pPr>
        <w:spacing w:line="600" w:lineRule="exact"/>
        <w:ind w:left="-105" w:leftChars="-50" w:right="-105" w:rightChars="-50"/>
        <w:jc w:val="center"/>
        <w:rPr>
          <w:rFonts w:ascii="黑体" w:hAnsi="黑体" w:eastAsia="黑体"/>
          <w:color w:val="000000"/>
          <w:sz w:val="44"/>
          <w:szCs w:val="44"/>
        </w:rPr>
      </w:pPr>
      <w:r>
        <w:rPr>
          <w:rFonts w:ascii="黑体" w:hAnsi="黑体" w:eastAsia="黑体"/>
          <w:color w:val="000000"/>
          <w:sz w:val="44"/>
          <w:szCs w:val="44"/>
        </w:rPr>
        <w:t>关于《</w:t>
      </w:r>
      <w:bookmarkStart w:id="0" w:name="_Hlk47350217"/>
      <w:r>
        <w:rPr>
          <w:rFonts w:hint="eastAsia" w:ascii="黑体" w:hAnsi="黑体" w:eastAsia="黑体"/>
          <w:color w:val="000000"/>
          <w:sz w:val="44"/>
          <w:szCs w:val="44"/>
        </w:rPr>
        <w:t>湖南赛江金属压力容器制造有限公司年产120万只液化石油气钢瓶建设项目环境影响报告表</w:t>
      </w:r>
      <w:bookmarkEnd w:id="0"/>
      <w:r>
        <w:rPr>
          <w:rFonts w:ascii="黑体" w:hAnsi="黑体" w:eastAsia="黑体"/>
          <w:color w:val="000000"/>
          <w:sz w:val="44"/>
          <w:szCs w:val="44"/>
        </w:rPr>
        <w:t>》的批复</w:t>
      </w:r>
    </w:p>
    <w:p w14:paraId="0D92A67C">
      <w:pPr>
        <w:spacing w:line="540" w:lineRule="exact"/>
        <w:rPr>
          <w:rFonts w:hint="eastAsia" w:ascii="仿宋" w:hAnsi="仿宋" w:eastAsia="仿宋"/>
          <w:color w:val="000000"/>
          <w:sz w:val="30"/>
          <w:szCs w:val="30"/>
        </w:rPr>
      </w:pPr>
      <w:bookmarkStart w:id="1" w:name="_Hlk47350234"/>
    </w:p>
    <w:bookmarkEnd w:id="1"/>
    <w:p w14:paraId="0FE7C97C">
      <w:pPr>
        <w:spacing w:line="560" w:lineRule="exact"/>
        <w:rPr>
          <w:rFonts w:ascii="仿宋" w:hAnsi="仿宋" w:eastAsia="仿宋"/>
          <w:color w:val="000000"/>
          <w:sz w:val="32"/>
          <w:szCs w:val="32"/>
        </w:rPr>
      </w:pPr>
      <w:r>
        <w:rPr>
          <w:rFonts w:hint="eastAsia" w:ascii="仿宋" w:hAnsi="仿宋" w:eastAsia="仿宋"/>
          <w:color w:val="000000"/>
          <w:sz w:val="32"/>
          <w:szCs w:val="32"/>
        </w:rPr>
        <w:t>湖南赛江金属压力容器制造有限公司：</w:t>
      </w:r>
    </w:p>
    <w:p w14:paraId="71167028">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你公司关于《湖南赛江金属压力容器制造有限公司年产120万只液化石油气钢瓶建设项目环境影报告表》（以下简称《报告表》）申请批复的报告和承诺书及相关材料收悉。经审查、研究，批复如下：</w:t>
      </w:r>
    </w:p>
    <w:p w14:paraId="6E12170C">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一、湖南赛江金属压力容器制造有限公司</w:t>
      </w:r>
      <w:r>
        <w:rPr>
          <w:rFonts w:ascii="仿宋" w:hAnsi="仿宋" w:eastAsia="仿宋"/>
          <w:color w:val="000000"/>
          <w:sz w:val="32"/>
          <w:szCs w:val="32"/>
        </w:rPr>
        <w:t>拟投资</w:t>
      </w:r>
      <w:r>
        <w:rPr>
          <w:rFonts w:hint="eastAsia" w:ascii="仿宋" w:hAnsi="仿宋" w:eastAsia="仿宋"/>
          <w:color w:val="000000"/>
          <w:sz w:val="32"/>
          <w:szCs w:val="32"/>
        </w:rPr>
        <w:t>80</w:t>
      </w:r>
      <w:r>
        <w:rPr>
          <w:rFonts w:ascii="仿宋" w:hAnsi="仿宋" w:eastAsia="仿宋"/>
          <w:color w:val="000000"/>
          <w:sz w:val="32"/>
          <w:szCs w:val="32"/>
        </w:rPr>
        <w:t>00万元，选址于益阳龙岭产业开发区</w:t>
      </w:r>
      <w:r>
        <w:rPr>
          <w:rFonts w:hint="eastAsia" w:ascii="仿宋" w:hAnsi="仿宋" w:eastAsia="仿宋"/>
          <w:color w:val="000000"/>
          <w:sz w:val="32"/>
          <w:szCs w:val="32"/>
        </w:rPr>
        <w:t>衡龙新区</w:t>
      </w:r>
      <w:r>
        <w:rPr>
          <w:rFonts w:hint="eastAsia" w:ascii="仿宋" w:hAnsi="仿宋" w:eastAsia="仿宋"/>
          <w:color w:val="000000"/>
          <w:sz w:val="32"/>
          <w:szCs w:val="32"/>
          <w:lang w:val="en-US" w:eastAsia="zh-CN"/>
        </w:rPr>
        <w:t>购买厂房</w:t>
      </w:r>
      <w:r>
        <w:rPr>
          <w:rFonts w:hint="eastAsia" w:ascii="仿宋" w:hAnsi="仿宋" w:eastAsia="仿宋"/>
          <w:color w:val="000000"/>
          <w:sz w:val="32"/>
          <w:szCs w:val="32"/>
        </w:rPr>
        <w:t>建设年产120万只液化石油气钢瓶建设项目。</w:t>
      </w:r>
      <w:r>
        <w:rPr>
          <w:rFonts w:ascii="仿宋" w:hAnsi="仿宋" w:eastAsia="仿宋"/>
          <w:color w:val="000000"/>
          <w:sz w:val="32"/>
          <w:szCs w:val="32"/>
        </w:rPr>
        <w:t>项目占地面积11661m</w:t>
      </w:r>
      <w:r>
        <w:rPr>
          <w:rFonts w:ascii="仿宋" w:hAnsi="仿宋" w:eastAsia="仿宋"/>
          <w:color w:val="000000"/>
          <w:sz w:val="32"/>
          <w:szCs w:val="32"/>
          <w:vertAlign w:val="superscript"/>
        </w:rPr>
        <w:t>2</w:t>
      </w:r>
      <w:r>
        <w:rPr>
          <w:rFonts w:hint="eastAsia" w:ascii="仿宋" w:hAnsi="仿宋" w:eastAsia="仿宋"/>
          <w:color w:val="000000"/>
          <w:sz w:val="32"/>
          <w:szCs w:val="32"/>
        </w:rPr>
        <w:t>，</w:t>
      </w:r>
      <w:r>
        <w:rPr>
          <w:rFonts w:ascii="仿宋" w:hAnsi="仿宋" w:eastAsia="仿宋"/>
          <w:color w:val="000000"/>
          <w:sz w:val="32"/>
          <w:szCs w:val="32"/>
        </w:rPr>
        <w:t>建设</w:t>
      </w:r>
      <w:r>
        <w:rPr>
          <w:rFonts w:hint="eastAsia" w:ascii="仿宋" w:hAnsi="仿宋" w:eastAsia="仿宋"/>
          <w:color w:val="000000"/>
          <w:sz w:val="32"/>
          <w:szCs w:val="32"/>
        </w:rPr>
        <w:t>1栋“回字型”钢架结构生产厂房，主要布置原料区、生产区、半成品区、成品区、办公区以及其他配套公辅设施及环保工程等。</w:t>
      </w:r>
    </w:p>
    <w:p w14:paraId="289379C0">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项目符合国家产业政策，</w:t>
      </w:r>
      <w:r>
        <w:rPr>
          <w:rFonts w:hint="eastAsia" w:ascii="仿宋" w:hAnsi="仿宋" w:eastAsia="仿宋"/>
          <w:kern w:val="2"/>
          <w:sz w:val="32"/>
          <w:szCs w:val="32"/>
        </w:rPr>
        <w:t>符合《湖南省生态环境分区管控总体管控要求暨省级以上产业园区生态环境准入清单》要求</w:t>
      </w:r>
      <w:r>
        <w:rPr>
          <w:rFonts w:hint="eastAsia" w:ascii="仿宋" w:hAnsi="仿宋" w:eastAsia="仿宋" w:cs="仿宋"/>
          <w:color w:val="000000"/>
          <w:sz w:val="32"/>
          <w:szCs w:val="32"/>
        </w:rPr>
        <w:t>。</w:t>
      </w:r>
      <w:r>
        <w:rPr>
          <w:rFonts w:ascii="仿宋" w:hAnsi="仿宋" w:eastAsia="仿宋" w:cs="仿宋"/>
          <w:sz w:val="32"/>
          <w:szCs w:val="32"/>
        </w:rPr>
        <w:t>根据</w:t>
      </w:r>
      <w:r>
        <w:rPr>
          <w:rFonts w:hint="eastAsia" w:ascii="仿宋" w:hAnsi="仿宋" w:eastAsia="仿宋"/>
          <w:sz w:val="32"/>
          <w:szCs w:val="32"/>
        </w:rPr>
        <w:t>湖南沐程生态环境工程有限公司</w:t>
      </w:r>
      <w:r>
        <w:rPr>
          <w:rFonts w:hint="eastAsia" w:ascii="仿宋" w:hAnsi="仿宋" w:eastAsia="仿宋" w:cs="仿宋"/>
          <w:color w:val="000000"/>
          <w:kern w:val="0"/>
          <w:sz w:val="32"/>
          <w:szCs w:val="32"/>
        </w:rPr>
        <w:t>编制的《报告表》的分析结论和专家组评审意见，在建设单位认真落实《报告表》提出的各项污染防治和风险防范措施，</w:t>
      </w:r>
      <w:r>
        <w:rPr>
          <w:rFonts w:hint="eastAsia" w:ascii="仿宋" w:hAnsi="仿宋" w:eastAsia="仿宋" w:cs="仿宋"/>
          <w:color w:val="000000"/>
          <w:sz w:val="32"/>
          <w:szCs w:val="32"/>
        </w:rPr>
        <w:t>确保外排污染物稳定达标的前提下，从环保的角度分析，</w:t>
      </w:r>
      <w:r>
        <w:rPr>
          <w:rFonts w:hint="eastAsia" w:ascii="仿宋" w:hAnsi="仿宋" w:eastAsia="仿宋" w:cs="仿宋"/>
          <w:bCs/>
          <w:sz w:val="32"/>
          <w:szCs w:val="32"/>
        </w:rPr>
        <w:t>我局原则同意</w:t>
      </w:r>
      <w:r>
        <w:rPr>
          <w:rFonts w:ascii="仿宋" w:hAnsi="仿宋" w:eastAsia="仿宋"/>
          <w:color w:val="000000"/>
          <w:sz w:val="32"/>
          <w:szCs w:val="32"/>
        </w:rPr>
        <w:t>湖南赛江金属压力容器制造有限公司年产120万只液化石油气钢瓶建设项目</w:t>
      </w:r>
      <w:r>
        <w:rPr>
          <w:rFonts w:eastAsia="仿宋"/>
          <w:sz w:val="32"/>
          <w:szCs w:val="32"/>
        </w:rPr>
        <w:t>的选址并建设</w:t>
      </w:r>
      <w:r>
        <w:rPr>
          <w:rFonts w:hint="eastAsia" w:ascii="仿宋" w:hAnsi="仿宋" w:eastAsia="仿宋"/>
          <w:color w:val="000000"/>
          <w:sz w:val="32"/>
          <w:szCs w:val="32"/>
        </w:rPr>
        <w:t>。</w:t>
      </w:r>
    </w:p>
    <w:p w14:paraId="7E7444FB">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二、你公司在工程设计、建设和营运期间，须全面落实《报告表》提出的各项污染防治和生态保护措施，严格执行环保“三同时”制度，按照达标排放、清洁生产的要求，着重做好如下工作：</w:t>
      </w:r>
    </w:p>
    <w:p w14:paraId="1CEEA411">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严格履行建设单位的环保主体责任，加强环境管理。建立健全环保规章制度和岗位责任制，配备专职环保管理人员；加强生产台账和环保台账的登记管理，做到有据可查；定期对污染处理设施进行检查和维修,确保环保设施稳定正常运行和污染物稳定达标排放；按要求规范设置废气排气筒采样口、采样监测平台和排污口</w:t>
      </w:r>
      <w:r>
        <w:rPr>
          <w:rFonts w:hint="eastAsia" w:ascii="仿宋" w:hAnsi="仿宋" w:eastAsia="仿宋"/>
          <w:color w:val="000000"/>
          <w:sz w:val="32"/>
          <w:szCs w:val="32"/>
          <w:lang w:val="en-US" w:eastAsia="zh-CN"/>
        </w:rPr>
        <w:t>标识标牌</w:t>
      </w:r>
      <w:r>
        <w:rPr>
          <w:rFonts w:hint="eastAsia" w:ascii="仿宋" w:hAnsi="仿宋" w:eastAsia="仿宋"/>
          <w:color w:val="000000"/>
          <w:sz w:val="32"/>
          <w:szCs w:val="32"/>
        </w:rPr>
        <w:t>；制定环境风险事故应急预案，落实事故风险防范措施，切实防范各类环境风险事故。</w:t>
      </w:r>
    </w:p>
    <w:p w14:paraId="5DB05C72">
      <w:pPr>
        <w:spacing w:line="560" w:lineRule="exact"/>
        <w:ind w:firstLine="640" w:firstLineChars="200"/>
        <w:rPr>
          <w:rFonts w:hint="eastAsia" w:ascii="仿宋" w:hAnsi="仿宋" w:eastAsia="仿宋" w:cs="仿宋"/>
          <w:sz w:val="32"/>
          <w:szCs w:val="32"/>
        </w:rPr>
      </w:pPr>
      <w:r>
        <w:rPr>
          <w:rFonts w:hint="eastAsia" w:ascii="仿宋" w:hAnsi="仿宋" w:eastAsia="仿宋"/>
          <w:color w:val="000000"/>
          <w:sz w:val="32"/>
          <w:szCs w:val="32"/>
        </w:rPr>
        <w:t>（二）</w:t>
      </w:r>
      <w:r>
        <w:rPr>
          <w:rFonts w:hint="eastAsia" w:ascii="仿宋" w:hAnsi="仿宋" w:eastAsia="仿宋" w:cs="仿宋"/>
          <w:sz w:val="32"/>
          <w:szCs w:val="32"/>
        </w:rPr>
        <w:t>落实大气污染防治措施。</w:t>
      </w:r>
      <w:r>
        <w:rPr>
          <w:rFonts w:hint="eastAsia" w:ascii="仿宋" w:hAnsi="仿宋" w:eastAsia="仿宋"/>
          <w:sz w:val="32"/>
          <w:szCs w:val="32"/>
        </w:rPr>
        <w:t>抛丸</w:t>
      </w:r>
      <w:r>
        <w:rPr>
          <w:rFonts w:hint="eastAsia" w:ascii="仿宋" w:hAnsi="仿宋" w:eastAsia="仿宋"/>
          <w:sz w:val="32"/>
          <w:szCs w:val="32"/>
          <w:lang w:eastAsia="zh-Hans"/>
        </w:rPr>
        <w:t>废气</w:t>
      </w:r>
      <w:r>
        <w:rPr>
          <w:rFonts w:hint="eastAsia" w:ascii="仿宋" w:hAnsi="仿宋" w:eastAsia="仿宋"/>
          <w:sz w:val="32"/>
          <w:szCs w:val="32"/>
        </w:rPr>
        <w:t>经有效收集后</w:t>
      </w:r>
      <w:r>
        <w:rPr>
          <w:rFonts w:hint="eastAsia" w:ascii="仿宋" w:hAnsi="仿宋" w:eastAsia="仿宋"/>
          <w:sz w:val="32"/>
          <w:szCs w:val="32"/>
          <w:lang w:eastAsia="zh-Hans"/>
        </w:rPr>
        <w:t>采取</w:t>
      </w:r>
      <w:r>
        <w:rPr>
          <w:rFonts w:hint="eastAsia" w:ascii="仿宋" w:hAnsi="仿宋" w:eastAsia="仿宋"/>
          <w:sz w:val="32"/>
          <w:szCs w:val="32"/>
        </w:rPr>
        <w:t>布袋除尘器</w:t>
      </w:r>
      <w:r>
        <w:rPr>
          <w:rFonts w:hint="eastAsia" w:ascii="仿宋" w:hAnsi="仿宋" w:eastAsia="仿宋"/>
          <w:sz w:val="32"/>
          <w:szCs w:val="32"/>
          <w:lang w:eastAsia="zh-Hans"/>
        </w:rPr>
        <w:t>处理，满足</w:t>
      </w:r>
      <w:r>
        <w:rPr>
          <w:rFonts w:ascii="仿宋" w:hAnsi="仿宋" w:eastAsia="仿宋" w:cs="仿宋"/>
          <w:sz w:val="32"/>
          <w:szCs w:val="32"/>
        </w:rPr>
        <w:t>《大气污染物综合排放标准》（GB16297-1996）表2中二级标准后，通过15m高排气筒排放</w:t>
      </w:r>
      <w:r>
        <w:rPr>
          <w:rFonts w:hint="eastAsia" w:ascii="仿宋" w:hAnsi="仿宋" w:eastAsia="仿宋" w:cs="仿宋"/>
          <w:sz w:val="32"/>
          <w:szCs w:val="32"/>
        </w:rPr>
        <w:t>（DA001）；</w:t>
      </w:r>
      <w:r>
        <w:rPr>
          <w:rFonts w:ascii="仿宋" w:hAnsi="仿宋" w:eastAsia="仿宋" w:cs="仿宋"/>
          <w:sz w:val="32"/>
          <w:szCs w:val="32"/>
        </w:rPr>
        <w:t>喷粉工序要求</w:t>
      </w:r>
      <w:r>
        <w:rPr>
          <w:rFonts w:hint="eastAsia" w:ascii="仿宋" w:hAnsi="仿宋" w:eastAsia="仿宋" w:cs="仿宋"/>
          <w:sz w:val="32"/>
          <w:szCs w:val="32"/>
        </w:rPr>
        <w:t>相对密闭，喷粉废气和</w:t>
      </w:r>
      <w:r>
        <w:rPr>
          <w:rFonts w:ascii="仿宋" w:hAnsi="仿宋" w:eastAsia="仿宋" w:cs="仿宋"/>
          <w:sz w:val="32"/>
          <w:szCs w:val="32"/>
        </w:rPr>
        <w:t>固化废气</w:t>
      </w:r>
      <w:r>
        <w:rPr>
          <w:rFonts w:hint="eastAsia" w:ascii="仿宋" w:hAnsi="仿宋" w:eastAsia="仿宋"/>
          <w:sz w:val="32"/>
          <w:szCs w:val="32"/>
        </w:rPr>
        <w:t>经有效收集后</w:t>
      </w:r>
      <w:r>
        <w:rPr>
          <w:rFonts w:ascii="仿宋" w:hAnsi="仿宋" w:eastAsia="仿宋" w:cs="仿宋"/>
          <w:sz w:val="32"/>
          <w:szCs w:val="32"/>
        </w:rPr>
        <w:t>分别采取设备自带滤芯除尘和</w:t>
      </w:r>
      <w:r>
        <w:rPr>
          <w:rFonts w:hint="eastAsia" w:ascii="仿宋" w:hAnsi="仿宋" w:eastAsia="仿宋" w:cs="仿宋"/>
          <w:sz w:val="32"/>
          <w:szCs w:val="32"/>
        </w:rPr>
        <w:t>二级</w:t>
      </w:r>
      <w:r>
        <w:rPr>
          <w:rFonts w:ascii="仿宋" w:hAnsi="仿宋" w:eastAsia="仿宋" w:cs="仿宋"/>
          <w:sz w:val="32"/>
          <w:szCs w:val="32"/>
        </w:rPr>
        <w:t>活性炭吸附装置处理，</w:t>
      </w:r>
      <w:r>
        <w:rPr>
          <w:rFonts w:hint="eastAsia" w:ascii="仿宋" w:hAnsi="仿宋" w:eastAsia="仿宋" w:cs="仿宋"/>
          <w:sz w:val="32"/>
          <w:szCs w:val="32"/>
        </w:rPr>
        <w:t>满足</w:t>
      </w:r>
      <w:r>
        <w:rPr>
          <w:rFonts w:ascii="仿宋" w:hAnsi="仿宋" w:eastAsia="仿宋" w:cs="仿宋"/>
          <w:sz w:val="32"/>
          <w:szCs w:val="32"/>
        </w:rPr>
        <w:t>《大气污染物综合排放标准》（GB16297-1996）表2中二级标准后，通过15m高排气筒排放</w:t>
      </w:r>
      <w:r>
        <w:rPr>
          <w:rFonts w:hint="eastAsia" w:ascii="仿宋" w:hAnsi="仿宋" w:eastAsia="仿宋" w:cs="仿宋"/>
          <w:sz w:val="32"/>
          <w:szCs w:val="32"/>
        </w:rPr>
        <w:t>（DA002）；</w:t>
      </w:r>
      <w:r>
        <w:rPr>
          <w:rFonts w:hint="eastAsia" w:ascii="仿宋" w:hAnsi="仿宋" w:eastAsia="仿宋"/>
          <w:sz w:val="32"/>
          <w:szCs w:val="32"/>
        </w:rPr>
        <w:t>焊接废气经有效收集后采取除尘滤芯处理，满足</w:t>
      </w:r>
      <w:r>
        <w:rPr>
          <w:rFonts w:ascii="仿宋" w:hAnsi="仿宋" w:eastAsia="仿宋" w:cs="仿宋"/>
          <w:sz w:val="32"/>
          <w:szCs w:val="32"/>
        </w:rPr>
        <w:t>《大气污染物综合排放标准》（GB16297-1996）表2中二级标准后与</w:t>
      </w:r>
      <w:r>
        <w:rPr>
          <w:rFonts w:hint="eastAsia" w:ascii="仿宋" w:hAnsi="仿宋" w:eastAsia="仿宋"/>
          <w:sz w:val="32"/>
          <w:szCs w:val="32"/>
        </w:rPr>
        <w:t>热处理废气通过</w:t>
      </w:r>
      <w:r>
        <w:rPr>
          <w:rFonts w:ascii="仿宋" w:hAnsi="仿宋" w:eastAsia="仿宋" w:cs="仿宋"/>
          <w:sz w:val="32"/>
          <w:szCs w:val="32"/>
        </w:rPr>
        <w:t>15m高排气筒排放</w:t>
      </w:r>
      <w:r>
        <w:rPr>
          <w:rFonts w:hint="eastAsia" w:ascii="仿宋" w:hAnsi="仿宋" w:eastAsia="仿宋" w:cs="仿宋"/>
          <w:sz w:val="32"/>
          <w:szCs w:val="32"/>
        </w:rPr>
        <w:t>（DA003）；</w:t>
      </w:r>
      <w:r>
        <w:rPr>
          <w:rFonts w:hint="eastAsia" w:ascii="仿宋" w:hAnsi="仿宋" w:eastAsia="仿宋"/>
          <w:sz w:val="32"/>
          <w:szCs w:val="32"/>
        </w:rPr>
        <w:t>切割、下料、焊口清理废气通过自然沉降后</w:t>
      </w:r>
      <w:r>
        <w:rPr>
          <w:rFonts w:hint="eastAsia" w:ascii="仿宋" w:hAnsi="仿宋" w:eastAsia="仿宋" w:cs="仿宋"/>
          <w:sz w:val="32"/>
          <w:szCs w:val="32"/>
        </w:rPr>
        <w:t>呈</w:t>
      </w:r>
      <w:r>
        <w:rPr>
          <w:rFonts w:ascii="仿宋" w:hAnsi="仿宋" w:eastAsia="仿宋" w:cs="仿宋"/>
          <w:sz w:val="32"/>
          <w:szCs w:val="32"/>
        </w:rPr>
        <w:t>无组织排放</w:t>
      </w:r>
      <w:r>
        <w:rPr>
          <w:rFonts w:hint="eastAsia" w:ascii="仿宋" w:hAnsi="仿宋" w:eastAsia="仿宋" w:cs="仿宋"/>
          <w:sz w:val="32"/>
          <w:szCs w:val="32"/>
        </w:rPr>
        <w:t>，</w:t>
      </w:r>
      <w:r>
        <w:rPr>
          <w:rFonts w:hint="eastAsia" w:ascii="仿宋" w:hAnsi="仿宋" w:eastAsia="仿宋"/>
          <w:sz w:val="32"/>
          <w:szCs w:val="32"/>
        </w:rPr>
        <w:t>印字工序产生的挥发性有机物（以非甲烷总烃计）通过加强车间内通风后</w:t>
      </w:r>
      <w:r>
        <w:rPr>
          <w:rFonts w:hint="eastAsia" w:ascii="仿宋" w:hAnsi="仿宋" w:eastAsia="仿宋" w:cs="仿宋"/>
          <w:sz w:val="32"/>
          <w:szCs w:val="32"/>
        </w:rPr>
        <w:t>呈</w:t>
      </w:r>
      <w:r>
        <w:rPr>
          <w:rFonts w:ascii="仿宋" w:hAnsi="仿宋" w:eastAsia="仿宋" w:cs="仿宋"/>
          <w:sz w:val="32"/>
          <w:szCs w:val="32"/>
        </w:rPr>
        <w:t>无组织排放。</w:t>
      </w:r>
      <w:r>
        <w:rPr>
          <w:rFonts w:hint="eastAsia" w:ascii="仿宋" w:hAnsi="仿宋" w:eastAsia="仿宋" w:cs="仿宋"/>
          <w:sz w:val="32"/>
          <w:szCs w:val="32"/>
        </w:rPr>
        <w:t>营运期间生产车间须做到全密闭，并设置新风系统，加强对各废气产污环节的管理，提高废气收集效率，减少无组织废气排放，厂界颗粒物和非甲烷总烃排放浓度须分别满足《大气污染物综合排放标准》（GB16297-1996）表 2厂界无组织排放监控浓度限值要求和</w:t>
      </w:r>
      <w:r>
        <w:rPr>
          <w:rFonts w:ascii="仿宋" w:hAnsi="仿宋" w:eastAsia="仿宋"/>
          <w:sz w:val="32"/>
          <w:szCs w:val="32"/>
        </w:rPr>
        <w:t>《印刷业挥发性有机物排放标准》（DB43/1357-2017）表</w:t>
      </w:r>
      <w:r>
        <w:rPr>
          <w:rFonts w:hint="eastAsia" w:ascii="仿宋" w:hAnsi="仿宋" w:eastAsia="仿宋"/>
          <w:sz w:val="32"/>
          <w:szCs w:val="32"/>
        </w:rPr>
        <w:t>2</w:t>
      </w:r>
      <w:r>
        <w:rPr>
          <w:rFonts w:ascii="仿宋" w:hAnsi="仿宋" w:eastAsia="仿宋"/>
          <w:sz w:val="32"/>
          <w:szCs w:val="32"/>
        </w:rPr>
        <w:t>中</w:t>
      </w:r>
      <w:r>
        <w:rPr>
          <w:rFonts w:hint="eastAsia" w:ascii="仿宋" w:hAnsi="仿宋" w:eastAsia="仿宋"/>
          <w:sz w:val="32"/>
          <w:szCs w:val="32"/>
        </w:rPr>
        <w:t>无组织</w:t>
      </w:r>
      <w:r>
        <w:rPr>
          <w:rFonts w:ascii="仿宋" w:hAnsi="仿宋" w:eastAsia="仿宋"/>
          <w:sz w:val="32"/>
          <w:szCs w:val="32"/>
        </w:rPr>
        <w:t>排放标准要求</w:t>
      </w:r>
      <w:r>
        <w:rPr>
          <w:rFonts w:hint="eastAsia" w:ascii="仿宋" w:hAnsi="仿宋" w:eastAsia="仿宋" w:cs="仿宋"/>
          <w:sz w:val="32"/>
          <w:szCs w:val="32"/>
        </w:rPr>
        <w:t>，厂内非甲烷总烃无组织排放监控点浓度</w:t>
      </w:r>
      <w:r>
        <w:rPr>
          <w:rFonts w:ascii="仿宋" w:hAnsi="仿宋" w:eastAsia="仿宋" w:cs="仿宋"/>
          <w:sz w:val="32"/>
          <w:szCs w:val="32"/>
        </w:rPr>
        <w:t>须满足《挥发性有机物无组织排放控制标准》</w:t>
      </w:r>
      <w:r>
        <w:rPr>
          <w:rFonts w:hint="eastAsia" w:ascii="仿宋" w:hAnsi="仿宋" w:eastAsia="仿宋" w:cs="仿宋"/>
          <w:sz w:val="32"/>
          <w:szCs w:val="32"/>
        </w:rPr>
        <w:t>（</w:t>
      </w:r>
      <w:r>
        <w:rPr>
          <w:rFonts w:ascii="仿宋" w:hAnsi="仿宋" w:eastAsia="仿宋" w:cs="仿宋"/>
          <w:sz w:val="32"/>
          <w:szCs w:val="32"/>
        </w:rPr>
        <w:t>GB37822-2019</w:t>
      </w:r>
      <w:r>
        <w:rPr>
          <w:rFonts w:hint="eastAsia" w:ascii="仿宋" w:hAnsi="仿宋" w:eastAsia="仿宋" w:cs="仿宋"/>
          <w:sz w:val="32"/>
          <w:szCs w:val="32"/>
        </w:rPr>
        <w:t>）</w:t>
      </w:r>
      <w:r>
        <w:rPr>
          <w:rFonts w:ascii="仿宋" w:hAnsi="仿宋" w:eastAsia="仿宋" w:cs="仿宋"/>
          <w:sz w:val="32"/>
          <w:szCs w:val="32"/>
        </w:rPr>
        <w:t>表A.1规定的</w:t>
      </w:r>
      <w:r>
        <w:rPr>
          <w:rFonts w:hint="eastAsia" w:ascii="仿宋" w:hAnsi="仿宋" w:eastAsia="仿宋" w:cs="仿宋"/>
          <w:sz w:val="32"/>
          <w:szCs w:val="32"/>
        </w:rPr>
        <w:t>无组织排放限值要求。</w:t>
      </w:r>
    </w:p>
    <w:p w14:paraId="54A938DE">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（三）落实水污染防治措施。</w:t>
      </w:r>
      <w:r>
        <w:rPr>
          <w:rFonts w:hint="eastAsia" w:ascii="仿宋" w:hAnsi="仿宋" w:eastAsia="仿宋" w:cs="仿宋"/>
          <w:sz w:val="32"/>
          <w:szCs w:val="32"/>
        </w:rPr>
        <w:t>项目排水须严格执行“雨污分流”原则，</w:t>
      </w:r>
      <w:r>
        <w:rPr>
          <w:rFonts w:hint="eastAsia" w:ascii="仿宋" w:hAnsi="仿宋" w:eastAsia="仿宋"/>
          <w:sz w:val="32"/>
          <w:szCs w:val="32"/>
        </w:rPr>
        <w:t>水压试验和气密性检验废水</w:t>
      </w:r>
      <w:r>
        <w:rPr>
          <w:rFonts w:ascii="仿宋" w:hAnsi="仿宋" w:eastAsia="仿宋" w:cs="仿宋"/>
          <w:sz w:val="32"/>
          <w:szCs w:val="32"/>
        </w:rPr>
        <w:t>须做到循环使用，不外排；</w:t>
      </w:r>
      <w:r>
        <w:rPr>
          <w:rFonts w:hint="eastAsia" w:ascii="仿宋" w:hAnsi="仿宋" w:eastAsia="仿宋" w:cs="仿宋"/>
          <w:sz w:val="32"/>
          <w:szCs w:val="32"/>
        </w:rPr>
        <w:t>生活污水经化粪池处理达到《污水综合排放标准》（GB8978-1996）表4中的三级标准后，通过园区污水管网排入</w:t>
      </w:r>
      <w:r>
        <w:rPr>
          <w:rFonts w:hint="eastAsia" w:ascii="仿宋" w:hAnsi="仿宋" w:eastAsia="仿宋"/>
          <w:sz w:val="32"/>
          <w:szCs w:val="32"/>
        </w:rPr>
        <w:t>益阳市衡龙新区污水处理厂</w:t>
      </w:r>
      <w:r>
        <w:rPr>
          <w:rFonts w:hint="eastAsia" w:ascii="仿宋" w:hAnsi="仿宋" w:eastAsia="仿宋" w:cs="仿宋"/>
          <w:sz w:val="32"/>
          <w:szCs w:val="32"/>
        </w:rPr>
        <w:t>深度处理后达标排放。</w:t>
      </w:r>
    </w:p>
    <w:p w14:paraId="5BD212CB">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落实噪声污染防治措施。优化平面布局，选用低噪声设备，对高噪声设备采取减震、消声、隔声等措施降低噪声，加强设备的维护与保养，确保厂界噪声满足《工业企业厂界环境噪声排放标准》（GB12348-2008）中的3类标准要求。</w:t>
      </w:r>
    </w:p>
    <w:p w14:paraId="332CBC5A">
      <w:pPr>
        <w:spacing w:line="560" w:lineRule="exact"/>
        <w:ind w:firstLine="640" w:firstLineChars="200"/>
        <w:rPr>
          <w:rFonts w:hint="eastAsia" w:eastAsia="仿宋"/>
          <w:sz w:val="32"/>
          <w:szCs w:val="32"/>
        </w:rPr>
      </w:pPr>
      <w:r>
        <w:rPr>
          <w:rFonts w:hint="eastAsia" w:ascii="仿宋" w:hAnsi="仿宋" w:eastAsia="仿宋"/>
          <w:color w:val="000000"/>
          <w:sz w:val="32"/>
          <w:szCs w:val="32"/>
        </w:rPr>
        <w:t>（五）</w:t>
      </w:r>
      <w:r>
        <w:rPr>
          <w:rFonts w:hint="eastAsia" w:ascii="仿宋" w:hAnsi="仿宋" w:eastAsia="仿宋" w:cs="仿宋"/>
          <w:sz w:val="32"/>
          <w:szCs w:val="32"/>
        </w:rPr>
        <w:t>落实固体废弃物贮存、处置措施。严格按照“无害化、减量化、资源化”的原则做好固体废物的综合利用和安全处置工作，严格按规范要求设置一般固废暂存间和危险废物暂存间，其建设、运行和管理应分别满足《一般工业固体废物贮存和填埋污染控制标准》（GB18599-2020）、《危险废物贮存污染控制标准》（GB18597-2023）和《危险废物识别标志设置技术规范》（HJ1276-2022）要求，</w:t>
      </w:r>
      <w:r>
        <w:rPr>
          <w:rFonts w:hint="eastAsia" w:eastAsia="仿宋"/>
          <w:sz w:val="32"/>
          <w:szCs w:val="32"/>
        </w:rPr>
        <w:t>防止二次污染。生活垃圾分类收集后委托环卫部门清运处理，</w:t>
      </w:r>
      <w:r>
        <w:rPr>
          <w:rFonts w:hint="eastAsia" w:ascii="仿宋" w:hAnsi="仿宋" w:eastAsia="仿宋"/>
          <w:sz w:val="32"/>
          <w:szCs w:val="32"/>
        </w:rPr>
        <w:t>金属边角料及金属屑、废焊渣、抛丸工序布袋除尘器收集的粉尘等分类收集后</w:t>
      </w:r>
      <w:r>
        <w:rPr>
          <w:rFonts w:hint="eastAsia" w:ascii="仿宋" w:hAnsi="仿宋" w:eastAsia="仿宋"/>
          <w:sz w:val="32"/>
          <w:szCs w:val="32"/>
          <w:lang w:eastAsia="zh-Hans"/>
        </w:rPr>
        <w:t>外售资源化利用</w:t>
      </w:r>
      <w:r>
        <w:rPr>
          <w:rFonts w:hint="eastAsia" w:ascii="仿宋" w:hAnsi="仿宋" w:eastAsia="仿宋"/>
          <w:sz w:val="32"/>
          <w:szCs w:val="32"/>
        </w:rPr>
        <w:t>，</w:t>
      </w:r>
      <w:bookmarkStart w:id="2" w:name="_GoBack"/>
      <w:bookmarkEnd w:id="2"/>
      <w:r>
        <w:rPr>
          <w:rFonts w:hint="eastAsia" w:ascii="仿宋" w:hAnsi="仿宋" w:eastAsia="仿宋"/>
          <w:sz w:val="32"/>
          <w:szCs w:val="32"/>
        </w:rPr>
        <w:t>喷塑工序布袋除尘器收集的粉尘回用至生产，废滤芯由厂家回收处理，</w:t>
      </w:r>
      <w:r>
        <w:rPr>
          <w:rFonts w:hint="eastAsia" w:ascii="仿宋" w:hAnsi="仿宋" w:eastAsia="仿宋"/>
          <w:sz w:val="32"/>
          <w:szCs w:val="32"/>
          <w:lang w:eastAsia="zh-Hans"/>
        </w:rPr>
        <w:t>废含油抹布及手套</w:t>
      </w:r>
      <w:r>
        <w:rPr>
          <w:rFonts w:ascii="仿宋" w:hAnsi="仿宋" w:eastAsia="仿宋"/>
          <w:sz w:val="32"/>
          <w:szCs w:val="32"/>
          <w:lang w:eastAsia="zh-Hans"/>
        </w:rPr>
        <w:t>、</w:t>
      </w:r>
      <w:r>
        <w:rPr>
          <w:rFonts w:hint="eastAsia" w:ascii="仿宋" w:hAnsi="仿宋" w:eastAsia="仿宋"/>
          <w:sz w:val="32"/>
          <w:szCs w:val="32"/>
        </w:rPr>
        <w:t>废油桶、废活性炭、废油墨桶</w:t>
      </w:r>
      <w:r>
        <w:rPr>
          <w:rFonts w:hint="eastAsia" w:eastAsia="仿宋"/>
          <w:sz w:val="32"/>
          <w:szCs w:val="32"/>
        </w:rPr>
        <w:t>等危险废物分类收集后暂存于危废暂存间，定期委托有资质的单位安全处置。</w:t>
      </w:r>
    </w:p>
    <w:p w14:paraId="41481ED7">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三、本项目污染物总量控制指标为：VOC</w:t>
      </w:r>
      <w:r>
        <w:rPr>
          <w:rFonts w:hint="eastAsia" w:ascii="仿宋" w:hAnsi="仿宋" w:eastAsia="仿宋"/>
          <w:color w:val="000000"/>
          <w:sz w:val="32"/>
          <w:szCs w:val="32"/>
          <w:vertAlign w:val="subscript"/>
        </w:rPr>
        <w:t>S</w:t>
      </w:r>
      <w:r>
        <w:rPr>
          <w:rFonts w:hint="eastAsia" w:ascii="仿宋" w:hAnsi="仿宋" w:eastAsia="仿宋"/>
          <w:color w:val="000000"/>
          <w:sz w:val="32"/>
          <w:szCs w:val="32"/>
        </w:rPr>
        <w:t>≤0.09</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t/a、</w:t>
      </w:r>
      <w:r>
        <w:rPr>
          <w:rFonts w:ascii="仿宋" w:hAnsi="仿宋" w:eastAsia="仿宋"/>
          <w:color w:val="000000"/>
          <w:sz w:val="32"/>
          <w:szCs w:val="32"/>
        </w:rPr>
        <w:t>SO</w:t>
      </w:r>
      <w:r>
        <w:rPr>
          <w:rFonts w:ascii="仿宋" w:hAnsi="仿宋" w:eastAsia="仿宋"/>
          <w:color w:val="000000"/>
          <w:sz w:val="32"/>
          <w:szCs w:val="32"/>
          <w:vertAlign w:val="subscript"/>
        </w:rPr>
        <w:t>2</w:t>
      </w:r>
      <w:r>
        <w:rPr>
          <w:rFonts w:hint="eastAsia" w:ascii="仿宋" w:hAnsi="仿宋" w:eastAsia="仿宋"/>
          <w:color w:val="000000"/>
          <w:sz w:val="32"/>
          <w:szCs w:val="32"/>
        </w:rPr>
        <w:t>≤</w:t>
      </w:r>
      <w:r>
        <w:rPr>
          <w:rFonts w:ascii="仿宋" w:hAnsi="仿宋" w:eastAsia="仿宋"/>
          <w:color w:val="000000"/>
          <w:sz w:val="32"/>
          <w:szCs w:val="32"/>
        </w:rPr>
        <w:t>0.</w:t>
      </w:r>
      <w:r>
        <w:rPr>
          <w:rFonts w:hint="eastAsia" w:ascii="仿宋" w:hAnsi="仿宋" w:eastAsia="仿宋"/>
          <w:color w:val="000000"/>
          <w:sz w:val="32"/>
          <w:szCs w:val="32"/>
        </w:rPr>
        <w:t>1</w:t>
      </w:r>
      <w:r>
        <w:rPr>
          <w:rFonts w:ascii="仿宋" w:hAnsi="仿宋" w:eastAsia="仿宋"/>
          <w:color w:val="000000"/>
          <w:sz w:val="32"/>
          <w:szCs w:val="32"/>
        </w:rPr>
        <w:t>1</w:t>
      </w:r>
      <w:r>
        <w:rPr>
          <w:rFonts w:hint="eastAsia" w:ascii="仿宋" w:hAnsi="仿宋" w:eastAsia="仿宋"/>
          <w:color w:val="000000"/>
          <w:sz w:val="32"/>
          <w:szCs w:val="32"/>
        </w:rPr>
        <w:t>t/a、</w:t>
      </w:r>
      <w:r>
        <w:rPr>
          <w:rFonts w:ascii="仿宋" w:hAnsi="仿宋" w:eastAsia="仿宋"/>
          <w:color w:val="000000"/>
          <w:sz w:val="32"/>
          <w:szCs w:val="32"/>
        </w:rPr>
        <w:t>NO</w:t>
      </w:r>
      <w:r>
        <w:rPr>
          <w:rFonts w:ascii="仿宋" w:hAnsi="仿宋" w:eastAsia="仿宋"/>
          <w:color w:val="000000"/>
          <w:sz w:val="32"/>
          <w:szCs w:val="32"/>
          <w:vertAlign w:val="subscript"/>
        </w:rPr>
        <w:t>X</w:t>
      </w:r>
      <w:r>
        <w:rPr>
          <w:rFonts w:hint="eastAsia" w:ascii="仿宋" w:hAnsi="仿宋" w:eastAsia="仿宋"/>
          <w:color w:val="000000"/>
          <w:sz w:val="32"/>
          <w:szCs w:val="32"/>
        </w:rPr>
        <w:t>≤</w:t>
      </w:r>
      <w:r>
        <w:rPr>
          <w:rFonts w:ascii="仿宋" w:hAnsi="仿宋" w:eastAsia="仿宋"/>
          <w:color w:val="000000"/>
          <w:sz w:val="32"/>
          <w:szCs w:val="32"/>
        </w:rPr>
        <w:t>0.</w:t>
      </w:r>
      <w:r>
        <w:rPr>
          <w:rFonts w:hint="eastAsia" w:ascii="仿宋" w:hAnsi="仿宋" w:eastAsia="仿宋"/>
          <w:color w:val="000000"/>
          <w:sz w:val="32"/>
          <w:szCs w:val="32"/>
        </w:rPr>
        <w:t>53t/a，总量指标纳入益阳市生态环境局赫山分局的总量控制管理。</w:t>
      </w:r>
    </w:p>
    <w:p w14:paraId="19DD52CE">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四、本项目经批准同意建设后，建设的性质、规模、地点、采用的生产工艺或者防治污染、防止生态破坏的措施发生重大变动的，你公司应当重新报批建设项目的环境影响评价文件。自环评批复文件批准之日起，如项目超过5年未开工建设，环境影响评价文件应当报我局重新审核。</w:t>
      </w:r>
    </w:p>
    <w:p w14:paraId="47BEFF07">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五、本项目建成投入生产前，须按照《排污许可管理条例》（国务院令第736号）和《固定污染源排污许可分类管理名录》的要求及时办理排污许可相关手续。项目建成投运后，须按《建设项目环境保护管理条例》的有关规定，及时办理项目竣工环保自主验收手续。</w:t>
      </w:r>
    </w:p>
    <w:p w14:paraId="443788DD">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六、你公司应严格执行环境保护制度规定，项目日常环境管理工作由益阳市生态环境局赫山分局负责，环保“三同时”执行情况的监督检查由益阳市生态环境保护综合行政执法支队赫山大队具体负责。</w:t>
      </w:r>
    </w:p>
    <w:p w14:paraId="079658E8">
      <w:pPr>
        <w:tabs>
          <w:tab w:val="left" w:pos="8280"/>
        </w:tabs>
        <w:spacing w:before="312" w:beforeLines="100" w:line="56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 xml:space="preserve">                     </w:t>
      </w:r>
      <w:r>
        <w:rPr>
          <w:rFonts w:ascii="仿宋" w:hAnsi="仿宋" w:eastAsia="仿宋"/>
          <w:color w:val="FF0000"/>
          <w:sz w:val="32"/>
          <w:szCs w:val="32"/>
        </w:rPr>
        <w:t xml:space="preserve">    </w:t>
      </w:r>
      <w:r>
        <w:rPr>
          <w:rFonts w:hint="eastAsia" w:ascii="仿宋" w:hAnsi="仿宋" w:eastAsia="仿宋"/>
          <w:color w:val="FF0000"/>
          <w:sz w:val="32"/>
          <w:szCs w:val="32"/>
        </w:rPr>
        <w:t xml:space="preserve">   </w:t>
      </w:r>
    </w:p>
    <w:p w14:paraId="1C0B7AB5">
      <w:pPr>
        <w:tabs>
          <w:tab w:val="left" w:pos="8280"/>
        </w:tabs>
        <w:spacing w:before="312" w:beforeLines="100" w:line="560" w:lineRule="exact"/>
        <w:jc w:val="center"/>
        <w:rPr>
          <w:rFonts w:ascii="仿宋" w:hAnsi="仿宋" w:eastAsia="仿宋"/>
          <w:color w:val="000000"/>
          <w:sz w:val="32"/>
          <w:szCs w:val="32"/>
        </w:rPr>
      </w:pPr>
      <w:r>
        <w:rPr>
          <w:rFonts w:hint="eastAsia" w:ascii="仿宋" w:hAnsi="仿宋" w:eastAsia="仿宋"/>
          <w:color w:val="FF0000"/>
          <w:sz w:val="32"/>
          <w:szCs w:val="32"/>
        </w:rPr>
        <w:t xml:space="preserve">                            </w:t>
      </w:r>
      <w:r>
        <w:rPr>
          <w:rFonts w:hint="eastAsia" w:ascii="仿宋" w:hAnsi="仿宋" w:eastAsia="仿宋"/>
          <w:color w:val="000000"/>
          <w:sz w:val="32"/>
          <w:szCs w:val="32"/>
        </w:rPr>
        <w:t>益阳市生态环境局</w:t>
      </w:r>
    </w:p>
    <w:p w14:paraId="42991B71">
      <w:pPr>
        <w:tabs>
          <w:tab w:val="left" w:pos="8280"/>
        </w:tabs>
        <w:spacing w:line="560" w:lineRule="exact"/>
        <w:ind w:firstLine="640" w:firstLineChars="200"/>
        <w:rPr>
          <w:color w:val="FF0000"/>
        </w:rPr>
      </w:pPr>
      <w:r>
        <w:rPr>
          <w:rFonts w:hint="eastAsia" w:ascii="仿宋" w:hAnsi="仿宋" w:eastAsia="仿宋"/>
          <w:color w:val="000000"/>
          <w:sz w:val="32"/>
          <w:szCs w:val="32"/>
        </w:rPr>
        <w:t xml:space="preserve">                            2024年</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日</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39B6">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MjRhZjNlYjFhODg2N2U4YWEyNWEwZTBlYWE5NTkifQ=="/>
  </w:docVars>
  <w:rsids>
    <w:rsidRoot w:val="22D24BCA"/>
    <w:rsid w:val="00000064"/>
    <w:rsid w:val="00000EE5"/>
    <w:rsid w:val="000051F4"/>
    <w:rsid w:val="00010067"/>
    <w:rsid w:val="00030C8C"/>
    <w:rsid w:val="00044B94"/>
    <w:rsid w:val="00045805"/>
    <w:rsid w:val="00045AEE"/>
    <w:rsid w:val="000547BF"/>
    <w:rsid w:val="000576FA"/>
    <w:rsid w:val="00057E46"/>
    <w:rsid w:val="000640F6"/>
    <w:rsid w:val="0006592A"/>
    <w:rsid w:val="00072B57"/>
    <w:rsid w:val="000834FD"/>
    <w:rsid w:val="000914AE"/>
    <w:rsid w:val="000A3EDA"/>
    <w:rsid w:val="000A707F"/>
    <w:rsid w:val="000B3863"/>
    <w:rsid w:val="000C46DA"/>
    <w:rsid w:val="0010243F"/>
    <w:rsid w:val="00103C71"/>
    <w:rsid w:val="0013124F"/>
    <w:rsid w:val="00162518"/>
    <w:rsid w:val="00170511"/>
    <w:rsid w:val="001A00F8"/>
    <w:rsid w:val="001A343B"/>
    <w:rsid w:val="001A74DE"/>
    <w:rsid w:val="001D0198"/>
    <w:rsid w:val="001D6B3D"/>
    <w:rsid w:val="001E0A46"/>
    <w:rsid w:val="001F473D"/>
    <w:rsid w:val="002043DC"/>
    <w:rsid w:val="00213554"/>
    <w:rsid w:val="00232F04"/>
    <w:rsid w:val="00245AF8"/>
    <w:rsid w:val="00247BCD"/>
    <w:rsid w:val="00252D97"/>
    <w:rsid w:val="00265E32"/>
    <w:rsid w:val="00275FB6"/>
    <w:rsid w:val="0027653A"/>
    <w:rsid w:val="00281190"/>
    <w:rsid w:val="002876A3"/>
    <w:rsid w:val="00293F77"/>
    <w:rsid w:val="00294C4B"/>
    <w:rsid w:val="002A60C5"/>
    <w:rsid w:val="002B6229"/>
    <w:rsid w:val="002C03E7"/>
    <w:rsid w:val="002D5D3C"/>
    <w:rsid w:val="0031286B"/>
    <w:rsid w:val="0032248C"/>
    <w:rsid w:val="00335B91"/>
    <w:rsid w:val="00344276"/>
    <w:rsid w:val="00350EC4"/>
    <w:rsid w:val="00363C0D"/>
    <w:rsid w:val="0036692C"/>
    <w:rsid w:val="0038116B"/>
    <w:rsid w:val="00396EC8"/>
    <w:rsid w:val="003A007C"/>
    <w:rsid w:val="003C00F1"/>
    <w:rsid w:val="003C0516"/>
    <w:rsid w:val="003D0CB8"/>
    <w:rsid w:val="003E5419"/>
    <w:rsid w:val="003E5FD7"/>
    <w:rsid w:val="003E6007"/>
    <w:rsid w:val="003F4B24"/>
    <w:rsid w:val="003F7BC2"/>
    <w:rsid w:val="004032B3"/>
    <w:rsid w:val="00412F30"/>
    <w:rsid w:val="0044039B"/>
    <w:rsid w:val="00443208"/>
    <w:rsid w:val="00451874"/>
    <w:rsid w:val="00454C3C"/>
    <w:rsid w:val="00473C2F"/>
    <w:rsid w:val="00483C40"/>
    <w:rsid w:val="00487705"/>
    <w:rsid w:val="00494874"/>
    <w:rsid w:val="00495525"/>
    <w:rsid w:val="004D647D"/>
    <w:rsid w:val="00511A1D"/>
    <w:rsid w:val="00514622"/>
    <w:rsid w:val="005460FE"/>
    <w:rsid w:val="00550721"/>
    <w:rsid w:val="00554E39"/>
    <w:rsid w:val="00566E63"/>
    <w:rsid w:val="00582C38"/>
    <w:rsid w:val="00586705"/>
    <w:rsid w:val="00593F60"/>
    <w:rsid w:val="00596436"/>
    <w:rsid w:val="005A0150"/>
    <w:rsid w:val="005B4902"/>
    <w:rsid w:val="005C7055"/>
    <w:rsid w:val="005E00BA"/>
    <w:rsid w:val="005E4347"/>
    <w:rsid w:val="005E6846"/>
    <w:rsid w:val="00604571"/>
    <w:rsid w:val="00610035"/>
    <w:rsid w:val="0061191D"/>
    <w:rsid w:val="0061770D"/>
    <w:rsid w:val="00624359"/>
    <w:rsid w:val="0062691C"/>
    <w:rsid w:val="00631645"/>
    <w:rsid w:val="00632F5E"/>
    <w:rsid w:val="00635113"/>
    <w:rsid w:val="0063576B"/>
    <w:rsid w:val="006477CA"/>
    <w:rsid w:val="00653474"/>
    <w:rsid w:val="006564DA"/>
    <w:rsid w:val="00680C0A"/>
    <w:rsid w:val="0069776D"/>
    <w:rsid w:val="006B7F88"/>
    <w:rsid w:val="006C055A"/>
    <w:rsid w:val="006D42D9"/>
    <w:rsid w:val="006E3DA2"/>
    <w:rsid w:val="006E77A6"/>
    <w:rsid w:val="006F4CB4"/>
    <w:rsid w:val="00704F63"/>
    <w:rsid w:val="007334E9"/>
    <w:rsid w:val="007463BB"/>
    <w:rsid w:val="00753A0C"/>
    <w:rsid w:val="00763507"/>
    <w:rsid w:val="00774365"/>
    <w:rsid w:val="00774BFA"/>
    <w:rsid w:val="00784506"/>
    <w:rsid w:val="007865FD"/>
    <w:rsid w:val="0079057A"/>
    <w:rsid w:val="00795ECD"/>
    <w:rsid w:val="007A2D8B"/>
    <w:rsid w:val="007A59AE"/>
    <w:rsid w:val="007C0CEF"/>
    <w:rsid w:val="007C4030"/>
    <w:rsid w:val="007D584E"/>
    <w:rsid w:val="007D5E2F"/>
    <w:rsid w:val="007F6097"/>
    <w:rsid w:val="00801E87"/>
    <w:rsid w:val="00807622"/>
    <w:rsid w:val="00815E85"/>
    <w:rsid w:val="00825804"/>
    <w:rsid w:val="00825B95"/>
    <w:rsid w:val="00826412"/>
    <w:rsid w:val="0082751C"/>
    <w:rsid w:val="00840E6A"/>
    <w:rsid w:val="00845AE8"/>
    <w:rsid w:val="00852240"/>
    <w:rsid w:val="00865413"/>
    <w:rsid w:val="00874BFE"/>
    <w:rsid w:val="00897736"/>
    <w:rsid w:val="008E09C5"/>
    <w:rsid w:val="008E1962"/>
    <w:rsid w:val="008F1E91"/>
    <w:rsid w:val="0090105C"/>
    <w:rsid w:val="0091301E"/>
    <w:rsid w:val="00915CC7"/>
    <w:rsid w:val="00915E3B"/>
    <w:rsid w:val="00936B45"/>
    <w:rsid w:val="00950CAC"/>
    <w:rsid w:val="00954028"/>
    <w:rsid w:val="0096073B"/>
    <w:rsid w:val="00966778"/>
    <w:rsid w:val="0098115D"/>
    <w:rsid w:val="009847A6"/>
    <w:rsid w:val="009A42E3"/>
    <w:rsid w:val="009B290C"/>
    <w:rsid w:val="009C7456"/>
    <w:rsid w:val="009D3E10"/>
    <w:rsid w:val="009E0D9D"/>
    <w:rsid w:val="009F2359"/>
    <w:rsid w:val="00A153BA"/>
    <w:rsid w:val="00A226EF"/>
    <w:rsid w:val="00A27E30"/>
    <w:rsid w:val="00A27FE9"/>
    <w:rsid w:val="00A42C36"/>
    <w:rsid w:val="00A44C4A"/>
    <w:rsid w:val="00A46990"/>
    <w:rsid w:val="00A50DED"/>
    <w:rsid w:val="00A63438"/>
    <w:rsid w:val="00A7044D"/>
    <w:rsid w:val="00A91706"/>
    <w:rsid w:val="00AB2041"/>
    <w:rsid w:val="00AB46AF"/>
    <w:rsid w:val="00AC069B"/>
    <w:rsid w:val="00AD338E"/>
    <w:rsid w:val="00AF12F1"/>
    <w:rsid w:val="00B05A61"/>
    <w:rsid w:val="00B05FE4"/>
    <w:rsid w:val="00B069A8"/>
    <w:rsid w:val="00B21618"/>
    <w:rsid w:val="00B25013"/>
    <w:rsid w:val="00B253C0"/>
    <w:rsid w:val="00B31253"/>
    <w:rsid w:val="00B405B0"/>
    <w:rsid w:val="00B5083F"/>
    <w:rsid w:val="00B50C13"/>
    <w:rsid w:val="00B50CA2"/>
    <w:rsid w:val="00B51C50"/>
    <w:rsid w:val="00B5569D"/>
    <w:rsid w:val="00B614E2"/>
    <w:rsid w:val="00B71E3B"/>
    <w:rsid w:val="00B77D3B"/>
    <w:rsid w:val="00B81E0A"/>
    <w:rsid w:val="00B86E0B"/>
    <w:rsid w:val="00B90499"/>
    <w:rsid w:val="00BA2991"/>
    <w:rsid w:val="00BB2F69"/>
    <w:rsid w:val="00BC3A71"/>
    <w:rsid w:val="00BC4ADE"/>
    <w:rsid w:val="00BC522B"/>
    <w:rsid w:val="00BE31D8"/>
    <w:rsid w:val="00BE78F6"/>
    <w:rsid w:val="00BF1D7B"/>
    <w:rsid w:val="00C00F6C"/>
    <w:rsid w:val="00C02D24"/>
    <w:rsid w:val="00C12B16"/>
    <w:rsid w:val="00C15478"/>
    <w:rsid w:val="00C23172"/>
    <w:rsid w:val="00C23FA9"/>
    <w:rsid w:val="00C263CE"/>
    <w:rsid w:val="00C320BC"/>
    <w:rsid w:val="00C37C97"/>
    <w:rsid w:val="00C4749D"/>
    <w:rsid w:val="00C52D4B"/>
    <w:rsid w:val="00C56A17"/>
    <w:rsid w:val="00C672BC"/>
    <w:rsid w:val="00C81730"/>
    <w:rsid w:val="00C94764"/>
    <w:rsid w:val="00C94F57"/>
    <w:rsid w:val="00C97789"/>
    <w:rsid w:val="00CB188E"/>
    <w:rsid w:val="00CB31FC"/>
    <w:rsid w:val="00CC01C6"/>
    <w:rsid w:val="00CC2E59"/>
    <w:rsid w:val="00CC5A0E"/>
    <w:rsid w:val="00CD3D33"/>
    <w:rsid w:val="00CE55F7"/>
    <w:rsid w:val="00CE633A"/>
    <w:rsid w:val="00CF0596"/>
    <w:rsid w:val="00CF181F"/>
    <w:rsid w:val="00D11D69"/>
    <w:rsid w:val="00D12D2C"/>
    <w:rsid w:val="00D4592C"/>
    <w:rsid w:val="00D54816"/>
    <w:rsid w:val="00D56BE1"/>
    <w:rsid w:val="00D60B96"/>
    <w:rsid w:val="00D63D96"/>
    <w:rsid w:val="00D65F99"/>
    <w:rsid w:val="00D67542"/>
    <w:rsid w:val="00D72ED9"/>
    <w:rsid w:val="00D842F5"/>
    <w:rsid w:val="00DA7DB0"/>
    <w:rsid w:val="00DB3A16"/>
    <w:rsid w:val="00DC16FF"/>
    <w:rsid w:val="00DE0AAA"/>
    <w:rsid w:val="00DF6FF4"/>
    <w:rsid w:val="00E14EEE"/>
    <w:rsid w:val="00E15141"/>
    <w:rsid w:val="00E23E24"/>
    <w:rsid w:val="00E25832"/>
    <w:rsid w:val="00E3423D"/>
    <w:rsid w:val="00E34541"/>
    <w:rsid w:val="00E35153"/>
    <w:rsid w:val="00E42C81"/>
    <w:rsid w:val="00E446B3"/>
    <w:rsid w:val="00E634AE"/>
    <w:rsid w:val="00E67A07"/>
    <w:rsid w:val="00E754EE"/>
    <w:rsid w:val="00E97A5F"/>
    <w:rsid w:val="00EB3792"/>
    <w:rsid w:val="00EC129A"/>
    <w:rsid w:val="00EC37FA"/>
    <w:rsid w:val="00ED35FA"/>
    <w:rsid w:val="00ED56CE"/>
    <w:rsid w:val="00EE4635"/>
    <w:rsid w:val="00EE494F"/>
    <w:rsid w:val="00EE62DB"/>
    <w:rsid w:val="00EF00EB"/>
    <w:rsid w:val="00EF7C82"/>
    <w:rsid w:val="00F01DAA"/>
    <w:rsid w:val="00F262A4"/>
    <w:rsid w:val="00F426FB"/>
    <w:rsid w:val="00F434B8"/>
    <w:rsid w:val="00F64A78"/>
    <w:rsid w:val="00F7008A"/>
    <w:rsid w:val="00F76116"/>
    <w:rsid w:val="00F76492"/>
    <w:rsid w:val="00F77C5E"/>
    <w:rsid w:val="00F93EAB"/>
    <w:rsid w:val="00FA2ADA"/>
    <w:rsid w:val="00FA52D2"/>
    <w:rsid w:val="00FA5850"/>
    <w:rsid w:val="00FC7194"/>
    <w:rsid w:val="00FC7AD9"/>
    <w:rsid w:val="00FD309D"/>
    <w:rsid w:val="00FD4551"/>
    <w:rsid w:val="00FE19DE"/>
    <w:rsid w:val="00FF069A"/>
    <w:rsid w:val="06ED3519"/>
    <w:rsid w:val="08874133"/>
    <w:rsid w:val="089B6610"/>
    <w:rsid w:val="0EBF3178"/>
    <w:rsid w:val="22D24BCA"/>
    <w:rsid w:val="2C226F60"/>
    <w:rsid w:val="2FD97F7A"/>
    <w:rsid w:val="3C6F09CD"/>
    <w:rsid w:val="3E6447D3"/>
    <w:rsid w:val="4DCA6E3B"/>
    <w:rsid w:val="4E835F51"/>
    <w:rsid w:val="541A4A4D"/>
    <w:rsid w:val="5ABF6EB9"/>
    <w:rsid w:val="737100B6"/>
    <w:rsid w:val="7EBF1C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11"/>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iPriority w:val="0"/>
    <w:rPr>
      <w:b/>
      <w:bCs/>
    </w:rPr>
  </w:style>
  <w:style w:type="character" w:styleId="9">
    <w:name w:val="annotation reference"/>
    <w:uiPriority w:val="0"/>
    <w:rPr>
      <w:sz w:val="21"/>
      <w:szCs w:val="21"/>
    </w:rPr>
  </w:style>
  <w:style w:type="character" w:customStyle="1" w:styleId="10">
    <w:name w:val=" Char Char4"/>
    <w:link w:val="2"/>
    <w:uiPriority w:val="0"/>
    <w:rPr>
      <w:kern w:val="2"/>
      <w:sz w:val="21"/>
      <w:szCs w:val="24"/>
    </w:rPr>
  </w:style>
  <w:style w:type="character" w:customStyle="1" w:styleId="11">
    <w:name w:val=" Char Char3"/>
    <w:link w:val="3"/>
    <w:uiPriority w:val="0"/>
    <w:rPr>
      <w:kern w:val="2"/>
      <w:sz w:val="18"/>
      <w:szCs w:val="18"/>
    </w:rPr>
  </w:style>
  <w:style w:type="character" w:customStyle="1" w:styleId="12">
    <w:name w:val=" Char Char2"/>
    <w:link w:val="4"/>
    <w:uiPriority w:val="99"/>
    <w:rPr>
      <w:kern w:val="2"/>
      <w:sz w:val="18"/>
      <w:szCs w:val="18"/>
    </w:rPr>
  </w:style>
  <w:style w:type="character" w:customStyle="1" w:styleId="13">
    <w:name w:val=" Char Char1"/>
    <w:link w:val="5"/>
    <w:uiPriority w:val="0"/>
    <w:rPr>
      <w:kern w:val="2"/>
      <w:sz w:val="18"/>
      <w:szCs w:val="18"/>
    </w:rPr>
  </w:style>
  <w:style w:type="character" w:customStyle="1" w:styleId="14">
    <w:name w:val=" Char Char"/>
    <w:link w:val="6"/>
    <w:uiPriority w:val="0"/>
    <w:rPr>
      <w:b/>
      <w:bCs/>
      <w:kern w:val="2"/>
      <w:sz w:val="21"/>
      <w:szCs w:val="24"/>
    </w:rPr>
  </w:style>
  <w:style w:type="character" w:customStyle="1" w:styleId="15">
    <w:name w:val="fontstyle01"/>
    <w:uiPriority w:val="0"/>
    <w:rPr>
      <w:rFonts w:hint="eastAsia" w:ascii="黑体" w:hAnsi="黑体" w:eastAsia="黑体"/>
      <w:color w:val="000000"/>
      <w:sz w:val="22"/>
      <w:szCs w:val="22"/>
    </w:rPr>
  </w:style>
  <w:style w:type="character" w:customStyle="1" w:styleId="16">
    <w:name w:val="fontstyle21"/>
    <w:uiPriority w:val="0"/>
    <w:rPr>
      <w:rFonts w:hint="eastAsia" w:ascii="黑体" w:hAnsi="黑体" w:eastAsia="黑体"/>
      <w:color w:val="000000"/>
      <w:sz w:val="22"/>
      <w:szCs w:val="22"/>
    </w:rPr>
  </w:style>
  <w:style w:type="paragraph" w:customStyle="1" w:styleId="17">
    <w:name w:val="修订"/>
    <w:unhideWhenUsed/>
    <w:uiPriority w:val="99"/>
    <w:rPr>
      <w:kern w:val="2"/>
      <w:sz w:val="21"/>
      <w:szCs w:val="24"/>
      <w:lang w:val="en-US" w:eastAsia="zh-CN" w:bidi="ar-SA"/>
    </w:rPr>
  </w:style>
  <w:style w:type="character" w:customStyle="1" w:styleId="18">
    <w:name w:val="NormalCharacter"/>
    <w:qFormat/>
    <w:uiPriority w:val="0"/>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2179</Words>
  <Characters>2371</Characters>
  <Lines>17</Lines>
  <Paragraphs>4</Paragraphs>
  <TotalTime>4</TotalTime>
  <ScaleCrop>false</ScaleCrop>
  <LinksUpToDate>false</LinksUpToDate>
  <CharactersWithSpaces>2456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2024-06-17T01:20:00Z</dcterms:created>
  <dc:creator>Elean</dc:creator>
  <cp:lastModifiedBy>爱你所爱</cp:lastModifiedBy>
  <cp:lastPrinted>2024-06-12T01:27:00Z</cp:lastPrinted>
  <dcterms:modified xsi:type="dcterms:W3CDTF">2024-09-12T02:27:57Z</dcterms:modified>
  <dc:title>益赫环评表〔2024〕18号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2EE27D20D5E44C6E840B9C8D2D083165_13</vt:lpwstr>
  </property>
</Properties>
</file>