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keepNext w:val="0"/>
        <w:keepLines w:val="0"/>
        <w:pageBreakBefore w:val="0"/>
        <w:widowControl w:val="0"/>
        <w:tabs>
          <w:tab w:val="left" w:pos="6240"/>
        </w:tabs>
        <w:kinsoku/>
        <w:wordWrap/>
        <w:overflowPunct/>
        <w:topLinePunct w:val="0"/>
        <w:autoSpaceDE/>
        <w:autoSpaceDN/>
        <w:bidi w:val="0"/>
        <w:adjustRightInd/>
        <w:snapToGrid/>
        <w:spacing w:line="540" w:lineRule="exact"/>
        <w:jc w:val="right"/>
        <w:textAlignment w:val="auto"/>
        <w:rPr>
          <w:rFonts w:hint="eastAsia" w:ascii="仿宋_GB2312" w:eastAsia="仿宋_GB2312"/>
          <w:color w:val="auto"/>
          <w:sz w:val="32"/>
          <w:szCs w:val="32"/>
        </w:rPr>
      </w:pP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spacing w:val="4"/>
          <w:szCs w:val="32"/>
          <w:lang w:eastAsia="zh-CN"/>
        </w:rPr>
        <w:t>益高环评表〔202</w:t>
      </w:r>
      <w:r>
        <w:rPr>
          <w:rFonts w:hint="eastAsia" w:ascii="仿宋_GB2312" w:hAnsi="仿宋_GB2312" w:eastAsia="仿宋_GB2312" w:cs="仿宋_GB2312"/>
          <w:color w:val="000000"/>
          <w:spacing w:val="4"/>
          <w:szCs w:val="32"/>
          <w:lang w:val="en-US" w:eastAsia="zh-CN"/>
        </w:rPr>
        <w:t>4</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pacing w:val="4"/>
          <w:szCs w:val="32"/>
          <w:lang w:val="en-US" w:eastAsia="zh-CN"/>
        </w:rPr>
        <w:t>7</w:t>
      </w:r>
      <w:r>
        <w:rPr>
          <w:rFonts w:hint="eastAsia" w:ascii="仿宋_GB2312" w:hAnsi="仿宋_GB2312" w:eastAsia="仿宋_GB2312" w:cs="仿宋_GB2312"/>
          <w:color w:val="000000"/>
          <w:spacing w:val="4"/>
          <w:szCs w:val="32"/>
          <w:lang w:eastAsia="zh-CN"/>
        </w:rPr>
        <w:t>号</w:t>
      </w:r>
    </w:p>
    <w:p>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pPr>
        <w:tabs>
          <w:tab w:val="left" w:pos="6240"/>
        </w:tabs>
        <w:spacing w:line="560" w:lineRule="exact"/>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益阳市生态环境局</w:t>
      </w:r>
    </w:p>
    <w:p>
      <w:pPr>
        <w:tabs>
          <w:tab w:val="left" w:pos="6240"/>
        </w:tabs>
        <w:spacing w:line="560" w:lineRule="exact"/>
        <w:jc w:val="center"/>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关于湖南金博碳素股份有限公司废弃泡沫模具综合利用项目环境影响报告</w:t>
      </w:r>
      <w:r>
        <w:rPr>
          <w:rFonts w:hint="eastAsia" w:ascii="Times New Roman" w:hAnsi="Times New Roman" w:eastAsia="方正小标宋简体" w:cs="Times New Roman"/>
          <w:color w:val="000000"/>
          <w:sz w:val="44"/>
          <w:szCs w:val="44"/>
          <w:lang w:eastAsia="zh-CN"/>
        </w:rPr>
        <w:t>表</w:t>
      </w:r>
      <w:r>
        <w:rPr>
          <w:rFonts w:hint="eastAsia" w:ascii="Times New Roman" w:hAnsi="Times New Roman" w:eastAsia="方正小标宋简体" w:cs="Times New Roman"/>
          <w:color w:val="000000"/>
          <w:sz w:val="44"/>
          <w:szCs w:val="44"/>
        </w:rPr>
        <w:t>的批复</w:t>
      </w:r>
    </w:p>
    <w:p>
      <w:pPr>
        <w:spacing w:line="560" w:lineRule="exact"/>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color w:val="000000"/>
          <w:spacing w:val="4"/>
          <w:szCs w:val="32"/>
          <w:lang w:eastAsia="zh-CN"/>
        </w:rPr>
      </w:pPr>
      <w:r>
        <w:rPr>
          <w:rFonts w:hint="eastAsia" w:ascii="仿宋_GB2312" w:hAnsi="仿宋_GB2312" w:eastAsia="仿宋_GB2312" w:cs="仿宋_GB2312"/>
          <w:color w:val="000000"/>
          <w:spacing w:val="4"/>
          <w:szCs w:val="32"/>
          <w:lang w:eastAsia="zh-CN"/>
        </w:rPr>
        <w:t>湖南金博碳素股份有限公司：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szCs w:val="32"/>
          <w:lang w:eastAsia="zh-CN"/>
        </w:rPr>
      </w:pPr>
      <w:r>
        <w:rPr>
          <w:rFonts w:hint="eastAsia" w:ascii="仿宋_GB2312" w:hAnsi="仿宋_GB2312" w:eastAsia="仿宋_GB2312" w:cs="仿宋_GB2312"/>
          <w:color w:val="000000"/>
          <w:spacing w:val="4"/>
          <w:szCs w:val="32"/>
          <w:lang w:eastAsia="zh-CN"/>
        </w:rPr>
        <w:t>你公司关于《湖南金博碳素股份有限公司废弃泡沫模具综合利用项目环境影响报告表》申请批复的报告、承诺书</w:t>
      </w:r>
      <w:r>
        <w:rPr>
          <w:rFonts w:hint="eastAsia" w:ascii="仿宋_GB2312" w:hAnsi="仿宋_GB2312" w:eastAsia="仿宋_GB2312" w:cs="仿宋_GB2312"/>
          <w:color w:val="000000"/>
          <w:spacing w:val="4"/>
          <w:szCs w:val="32"/>
          <w:lang w:val="en-US" w:eastAsia="zh-CN"/>
        </w:rPr>
        <w:t>及相关附件收悉</w:t>
      </w:r>
      <w:r>
        <w:rPr>
          <w:rFonts w:hint="eastAsia" w:ascii="仿宋_GB2312" w:hAnsi="仿宋_GB2312" w:eastAsia="仿宋_GB2312" w:cs="仿宋_GB2312"/>
          <w:color w:val="000000"/>
          <w:spacing w:val="4"/>
          <w:szCs w:val="32"/>
          <w:lang w:eastAsia="zh-CN"/>
        </w:rPr>
        <w:t>。</w:t>
      </w:r>
      <w:r>
        <w:rPr>
          <w:rFonts w:hint="eastAsia" w:ascii="仿宋_GB2312" w:hAnsi="仿宋_GB2312" w:eastAsia="仿宋_GB2312" w:cs="仿宋_GB2312"/>
          <w:color w:val="000000"/>
          <w:sz w:val="32"/>
          <w:szCs w:val="32"/>
          <w:lang w:val="en-US" w:eastAsia="zh-CN"/>
        </w:rPr>
        <w:t>经审查、研究，批复如下：</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4"/>
          <w:szCs w:val="32"/>
          <w:lang w:val="en-US" w:eastAsia="zh-CN"/>
        </w:rPr>
      </w:pPr>
      <w:r>
        <w:rPr>
          <w:rFonts w:hint="eastAsia" w:ascii="仿宋_GB2312" w:hAnsi="仿宋_GB2312" w:eastAsia="仿宋_GB2312" w:cs="仿宋_GB2312"/>
          <w:color w:val="000000"/>
          <w:spacing w:val="4"/>
          <w:szCs w:val="32"/>
          <w:lang w:val="en-US" w:eastAsia="zh-CN"/>
        </w:rPr>
        <w:t>湖南金博碳素股份有限公司位于益</w:t>
      </w:r>
      <w:r>
        <w:rPr>
          <w:rFonts w:hint="eastAsia" w:ascii="仿宋_GB2312" w:hAnsi="仿宋_GB2312" w:eastAsia="仿宋_GB2312" w:cs="仿宋_GB2312"/>
          <w:color w:val="000000"/>
          <w:spacing w:val="4"/>
          <w:szCs w:val="32"/>
          <w:lang w:eastAsia="zh-CN"/>
        </w:rPr>
        <w:t>阳高新区东部产业园银城大道以东、鑫兴嘉德科技有限公司项目以南、如舟路以西、</w:t>
      </w:r>
      <w:r>
        <w:rPr>
          <w:rFonts w:hint="eastAsia" w:ascii="仿宋_GB2312" w:hAnsi="仿宋_GB2312" w:eastAsia="仿宋_GB2312" w:cs="仿宋_GB2312"/>
          <w:color w:val="000000"/>
          <w:spacing w:val="4"/>
          <w:szCs w:val="32"/>
          <w:lang w:val="en-US" w:eastAsia="zh-CN"/>
        </w:rPr>
        <w:t>鱼形山路以北，拟投资</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300万元在厂区西北角建设废弃泡沫模具综合利用项目。项目占地面积500平方米，主要建设一栋加工厂房，厂房内布置1条再生塑</w:t>
      </w:r>
      <w:r>
        <w:rPr>
          <w:rFonts w:hint="eastAsia" w:ascii="仿宋_GB2312" w:hAnsi="仿宋_GB2312" w:eastAsia="仿宋_GB2312" w:cs="仿宋_GB2312"/>
          <w:color w:val="000000"/>
          <w:spacing w:val="4"/>
          <w:szCs w:val="32"/>
          <w:lang w:val="en-US" w:eastAsia="zh-CN"/>
        </w:rPr>
        <w:t>料颗粒生产</w:t>
      </w:r>
      <w:bookmarkStart w:id="0" w:name="_GoBack"/>
      <w:bookmarkEnd w:id="0"/>
      <w:r>
        <w:rPr>
          <w:rFonts w:hint="eastAsia" w:ascii="仿宋_GB2312" w:hAnsi="仿宋_GB2312" w:eastAsia="仿宋_GB2312" w:cs="仿宋_GB2312"/>
          <w:color w:val="000000"/>
          <w:spacing w:val="4"/>
          <w:szCs w:val="32"/>
          <w:lang w:val="en-US" w:eastAsia="zh-CN"/>
        </w:rPr>
        <w:t>线、料仓、原料及成品存放区</w:t>
      </w:r>
      <w:r>
        <w:rPr>
          <w:rFonts w:hint="eastAsia" w:ascii="仿宋_GB2312" w:hAnsi="仿宋_GB2312" w:eastAsia="仿宋_GB2312" w:cs="仿宋_GB2312"/>
          <w:color w:val="000000"/>
          <w:sz w:val="32"/>
          <w:szCs w:val="32"/>
          <w:lang w:val="en-US" w:eastAsia="zh-CN"/>
        </w:rPr>
        <w:t>及环保等</w:t>
      </w:r>
      <w:r>
        <w:rPr>
          <w:rFonts w:hint="eastAsia" w:ascii="仿宋_GB2312" w:hAnsi="仿宋_GB2312" w:eastAsia="仿宋_GB2312" w:cs="仿宋_GB2312"/>
          <w:sz w:val="32"/>
          <w:szCs w:val="32"/>
          <w:u w:val="none"/>
          <w:lang w:val="en-US" w:eastAsia="zh-CN"/>
        </w:rPr>
        <w:t>相关公用辅助工程</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pacing w:val="4"/>
          <w:szCs w:val="32"/>
          <w:lang w:val="en-US" w:eastAsia="zh-CN"/>
        </w:rPr>
        <w:t>仅利用本企业碳谷一期、二期产生的废泡沫模具、废泡沫板，项目建成后年产再生塑料颗粒60吨。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spacing w:val="4"/>
          <w:szCs w:val="32"/>
          <w:lang w:val="en-US" w:eastAsia="zh-CN"/>
        </w:rPr>
        <w:sectPr>
          <w:headerReference r:id="rId5" w:type="default"/>
          <w:footerReference r:id="rId6" w:type="default"/>
          <w:pgSz w:w="11906" w:h="16838"/>
          <w:pgMar w:top="1701" w:right="1701" w:bottom="1701" w:left="1701" w:header="851" w:footer="992" w:gutter="0"/>
          <w:pgNumType w:fmt="numberInDash" w:start="2"/>
          <w:cols w:space="425" w:num="1"/>
          <w:docGrid w:type="lines" w:linePitch="312" w:charSpace="0"/>
        </w:sectPr>
      </w:pPr>
      <w:r>
        <w:rPr>
          <w:rFonts w:hint="eastAsia" w:ascii="仿宋_GB2312" w:hAnsi="仿宋_GB2312" w:eastAsia="仿宋_GB2312" w:cs="仿宋_GB2312"/>
          <w:color w:val="000000"/>
          <w:spacing w:val="4"/>
          <w:szCs w:val="32"/>
          <w:lang w:val="en-US" w:eastAsia="zh-CN"/>
        </w:rPr>
        <w:t>项目符合国家产业政策，符合</w:t>
      </w:r>
      <w:r>
        <w:rPr>
          <w:rFonts w:hint="eastAsia" w:ascii="仿宋_GB2312" w:hAnsi="仿宋_GB2312" w:eastAsia="仿宋_GB2312" w:cs="仿宋_GB2312"/>
          <w:color w:val="000000"/>
          <w:sz w:val="32"/>
          <w:szCs w:val="32"/>
          <w:lang w:val="en-US" w:eastAsia="zh-CN"/>
        </w:rPr>
        <w:t>湖南省</w:t>
      </w:r>
      <w:r>
        <w:rPr>
          <w:rFonts w:hint="eastAsia" w:ascii="仿宋_GB2312" w:hAnsi="仿宋_GB2312" w:eastAsia="仿宋_GB2312" w:cs="仿宋_GB2312"/>
          <w:color w:val="000000"/>
          <w:spacing w:val="4"/>
          <w:szCs w:val="32"/>
          <w:lang w:val="en-US" w:eastAsia="zh-CN"/>
        </w:rPr>
        <w:t>“三线一单”生态环境总体管控要求和益阳高新技术产业开发区生态环境准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pacing w:val="4"/>
          <w:szCs w:val="32"/>
          <w:lang w:val="en-US" w:eastAsia="zh-CN"/>
          <w14:textFill>
            <w14:solidFill>
              <w14:schemeClr w14:val="tx1"/>
            </w14:solidFill>
          </w14:textFill>
        </w:rPr>
      </w:pPr>
      <w:r>
        <w:rPr>
          <w:rFonts w:hint="eastAsia" w:ascii="仿宋_GB2312" w:hAnsi="仿宋_GB2312" w:eastAsia="仿宋_GB2312" w:cs="仿宋_GB2312"/>
          <w:color w:val="000000"/>
          <w:spacing w:val="4"/>
          <w:szCs w:val="32"/>
          <w:lang w:val="en-US" w:eastAsia="zh-CN"/>
        </w:rPr>
        <w:t>入清单要求。根据湖南葆华环保科技有限公司编制的环评报告表的分析结论，在建设单位认真落实报告表和本批复提出的各项生态环境保护措施，确保各项污染物稳定达标排放的前提下，</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我局同意</w:t>
      </w:r>
      <w:r>
        <w:rPr>
          <w:rFonts w:hint="eastAsia" w:ascii="仿宋_GB2312" w:hAnsi="仿宋_GB2312" w:eastAsia="仿宋_GB2312" w:cs="仿宋_GB2312"/>
          <w:color w:val="000000" w:themeColor="text1"/>
          <w:spacing w:val="4"/>
          <w:szCs w:val="32"/>
          <w:lang w:eastAsia="zh-CN"/>
          <w14:textFill>
            <w14:solidFill>
              <w14:schemeClr w14:val="tx1"/>
            </w14:solidFill>
          </w14:textFill>
        </w:rPr>
        <w:t>湖南金博碳素股份有限公司废弃泡沫模具综合利用项目</w:t>
      </w:r>
      <w:r>
        <w:rPr>
          <w:rFonts w:hint="eastAsia" w:ascii="仿宋_GB2312" w:hAnsi="仿宋_GB2312" w:eastAsia="仿宋_GB2312" w:cs="仿宋_GB2312"/>
          <w:color w:val="000000" w:themeColor="text1"/>
          <w:szCs w:val="32"/>
          <w14:textFill>
            <w14:solidFill>
              <w14:schemeClr w14:val="tx1"/>
            </w14:solidFill>
          </w14:textFill>
        </w:rPr>
        <w:t>补办环评审批手续</w:t>
      </w:r>
      <w:r>
        <w:rPr>
          <w:rFonts w:hint="eastAsia" w:ascii="仿宋_GB2312" w:hAnsi="仿宋_GB2312" w:eastAsia="仿宋_GB2312" w:cs="仿宋_GB2312"/>
          <w:color w:val="000000" w:themeColor="text1"/>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你公司在工程设计、建设和运营管理中，必须落实报告表提出的各项污染防治和风险防范措施要求，着重做好以下工作：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default" w:ascii="Times New Roman" w:hAnsi="Times New Roman" w:eastAsia="仿宋_GB2312" w:cs="Times New Roman"/>
          <w:color w:val="000000"/>
          <w:sz w:val="32"/>
          <w:szCs w:val="32"/>
          <w:lang w:val="en-US" w:eastAsia="zh-CN"/>
        </w:rPr>
      </w:pPr>
      <w:r>
        <w:rPr>
          <w:rFonts w:hint="eastAsia" w:ascii="楷体" w:hAnsi="楷体" w:eastAsia="楷体" w:cs="楷体"/>
          <w:color w:val="000000"/>
          <w:spacing w:val="4"/>
          <w:szCs w:val="32"/>
        </w:rPr>
        <w:t>（一）严格履行建设单位的环保主体责任，加强环境管理</w:t>
      </w:r>
      <w:r>
        <w:rPr>
          <w:rFonts w:hint="eastAsia" w:ascii="Times New Roman" w:hAnsi="Times New Roman" w:eastAsia="楷体_GB2312" w:cs="Times New Roman"/>
          <w:color w:val="000000"/>
          <w:spacing w:val="4"/>
          <w:szCs w:val="32"/>
          <w:lang w:eastAsia="zh-CN"/>
        </w:rPr>
        <w:t>。</w:t>
      </w:r>
      <w:r>
        <w:rPr>
          <w:rFonts w:hint="eastAsia" w:ascii="仿宋_GB2312" w:hAnsi="仿宋_GB2312" w:eastAsia="仿宋_GB2312" w:cs="仿宋_GB2312"/>
          <w:color w:val="000000"/>
          <w:sz w:val="32"/>
          <w:szCs w:val="32"/>
          <w:lang w:val="en-US" w:eastAsia="zh-CN"/>
        </w:rPr>
        <w:t>建立健全环保规章制度和岗位责任制，配备环保管理人员；加强生产台账和环保台账的登记管理，做到有据可查；定期对污染防治设施进行检查和维修，确保环保设施稳定正常运行和污染物稳定达标排放；完善环境风险事故应急预案，落实事故风险防范措施，切实防范各类环境风险事故。</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60" w:lineRule="exact"/>
        <w:ind w:leftChars="0" w:firstLine="656" w:firstLineChars="200"/>
        <w:jc w:val="left"/>
        <w:textAlignment w:val="auto"/>
        <w:rPr>
          <w:rFonts w:hint="eastAsia" w:ascii="仿宋_GB2312" w:hAnsi="仿宋_GB2312" w:eastAsia="仿宋_GB2312" w:cs="仿宋_GB2312"/>
          <w:i w:val="0"/>
          <w:iCs w:val="0"/>
          <w:color w:val="000000" w:themeColor="text1"/>
          <w:spacing w:val="0"/>
          <w:szCs w:val="32"/>
          <w:lang w:val="en-US"/>
          <w14:textFill>
            <w14:solidFill>
              <w14:schemeClr w14:val="tx1"/>
            </w14:solidFill>
          </w14:textFill>
        </w:rPr>
      </w:pPr>
      <w:r>
        <w:rPr>
          <w:rFonts w:hint="eastAsia" w:ascii="楷体" w:hAnsi="楷体" w:eastAsia="楷体" w:cs="楷体"/>
          <w:color w:val="000000"/>
          <w:spacing w:val="4"/>
          <w:szCs w:val="32"/>
        </w:rPr>
        <w:t>（</w:t>
      </w:r>
      <w:r>
        <w:rPr>
          <w:rFonts w:hint="eastAsia" w:ascii="楷体" w:hAnsi="楷体" w:eastAsia="楷体" w:cs="楷体"/>
          <w:color w:val="000000"/>
          <w:spacing w:val="4"/>
          <w:szCs w:val="32"/>
          <w:lang w:eastAsia="zh-CN"/>
        </w:rPr>
        <w:t>二</w:t>
      </w:r>
      <w:r>
        <w:rPr>
          <w:rFonts w:hint="eastAsia" w:ascii="楷体" w:hAnsi="楷体" w:eastAsia="楷体" w:cs="楷体"/>
          <w:color w:val="000000"/>
          <w:spacing w:val="4"/>
          <w:szCs w:val="32"/>
        </w:rPr>
        <w:t>）落实大气污染防治措施。</w:t>
      </w:r>
      <w:r>
        <w:rPr>
          <w:rFonts w:hint="eastAsia" w:ascii="仿宋_GB2312" w:hAnsi="仿宋_GB2312" w:eastAsia="仿宋_GB2312" w:cs="仿宋_GB2312"/>
          <w:color w:val="auto"/>
          <w:spacing w:val="4"/>
          <w:szCs w:val="32"/>
          <w:lang w:val="en-US" w:eastAsia="zh-CN"/>
        </w:rPr>
        <w:t>料仓废气经脉冲袋式除尘器处理后通过15米高的排气筒</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（DA013）</w:t>
      </w:r>
      <w:r>
        <w:rPr>
          <w:rFonts w:hint="eastAsia" w:ascii="仿宋_GB2312" w:hAnsi="仿宋_GB2312" w:eastAsia="仿宋_GB2312" w:cs="仿宋_GB2312"/>
          <w:color w:val="auto"/>
          <w:spacing w:val="4"/>
          <w:szCs w:val="32"/>
          <w:lang w:val="en-US" w:eastAsia="zh-CN"/>
        </w:rPr>
        <w:t>排放；热熔成型废气经收集引入厂区干燥间旁现有的“电捕焦油器+干式过滤器+U</w:t>
      </w:r>
      <w:r>
        <w:rPr>
          <w:rFonts w:hint="eastAsia" w:ascii="仿宋_GB2312" w:hAnsi="仿宋_GB2312" w:eastAsia="仿宋_GB2312" w:cs="仿宋_GB2312"/>
          <w:color w:val="000000"/>
          <w:spacing w:val="4"/>
          <w:szCs w:val="32"/>
          <w:lang w:val="en-US" w:eastAsia="zh-CN"/>
        </w:rPr>
        <w:t>V光解+活性炭吸附</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pacing w:val="4"/>
          <w:szCs w:val="32"/>
          <w:lang w:val="en-US" w:eastAsia="zh-CN"/>
        </w:rPr>
        <w:t>装置处理后与干燥间处理后废气一起通过15米高的排气筒（DA002）排放，确保上述外排污染物满足《合成树脂工业污染物排放标准》(GB31572-2015）表4中大气污染物排放限值和《恶臭污染物排放标准》（GB14554-1993）表2中排放标准要求；</w:t>
      </w:r>
      <w:r>
        <w:rPr>
          <w:rFonts w:hint="eastAsia" w:ascii="仿宋_GB2312" w:hAnsi="仿宋_GB2312" w:eastAsia="仿宋_GB2312" w:cs="仿宋_GB2312"/>
          <w:color w:val="000000" w:themeColor="text1"/>
          <w:spacing w:val="4"/>
          <w:szCs w:val="32"/>
          <w:lang w:eastAsia="zh-CN"/>
          <w14:textFill>
            <w14:solidFill>
              <w14:schemeClr w14:val="tx1"/>
            </w14:solidFill>
          </w14:textFill>
        </w:rPr>
        <w:t>加强对各废气产污环节的管理，</w:t>
      </w:r>
      <w:r>
        <w:rPr>
          <w:rFonts w:hint="eastAsia" w:ascii="仿宋_GB2312" w:hAnsi="仿宋_GB2312" w:eastAsia="仿宋_GB2312" w:cs="仿宋_GB2312"/>
          <w:color w:val="000000" w:themeColor="text1"/>
          <w:spacing w:val="4"/>
          <w:szCs w:val="32"/>
          <w:highlight w:val="none"/>
          <w:lang w:val="en-US" w:eastAsia="zh-CN"/>
          <w14:textFill>
            <w14:solidFill>
              <w14:schemeClr w14:val="tx1"/>
            </w14:solidFill>
          </w14:textFill>
        </w:rPr>
        <w:t>厂界</w:t>
      </w:r>
      <w:r>
        <w:rPr>
          <w:rFonts w:hint="eastAsia" w:ascii="仿宋_GB2312" w:hAnsi="仿宋_GB2312" w:eastAsia="仿宋_GB2312" w:cs="仿宋_GB2312"/>
          <w:color w:val="000000" w:themeColor="text1"/>
          <w:spacing w:val="4"/>
          <w:szCs w:val="32"/>
          <w:highlight w:val="none"/>
          <w:lang w:eastAsia="zh-CN"/>
          <w14:textFill>
            <w14:solidFill>
              <w14:schemeClr w14:val="tx1"/>
            </w14:solidFill>
          </w14:textFill>
        </w:rPr>
        <w:t>无组织排</w:t>
      </w:r>
      <w:r>
        <w:rPr>
          <w:rFonts w:hint="eastAsia" w:ascii="仿宋_GB2312" w:hAnsi="仿宋_GB2312" w:eastAsia="仿宋_GB2312" w:cs="仿宋_GB2312"/>
          <w:color w:val="000000" w:themeColor="text1"/>
          <w:spacing w:val="4"/>
          <w:szCs w:val="32"/>
          <w:highlight w:val="none"/>
          <w:lang w:val="en-US" w:eastAsia="zh-CN"/>
          <w14:textFill>
            <w14:solidFill>
              <w14:schemeClr w14:val="tx1"/>
            </w14:solidFill>
          </w14:textFill>
        </w:rPr>
        <w:t>放</w:t>
      </w:r>
      <w:r>
        <w:rPr>
          <w:rFonts w:hint="eastAsia" w:ascii="仿宋_GB2312" w:hAnsi="仿宋_GB2312" w:eastAsia="仿宋_GB2312" w:cs="仿宋_GB2312"/>
          <w:color w:val="000000" w:themeColor="text1"/>
          <w:spacing w:val="4"/>
          <w:szCs w:val="32"/>
          <w:highlight w:val="none"/>
          <w:lang w:eastAsia="zh-CN"/>
          <w14:textFill>
            <w14:solidFill>
              <w14:schemeClr w14:val="tx1"/>
            </w14:solidFill>
          </w14:textFill>
        </w:rPr>
        <w:t>废气</w:t>
      </w:r>
      <w:r>
        <w:rPr>
          <w:rFonts w:hint="eastAsia" w:ascii="仿宋_GB2312" w:hAnsi="仿宋_GB2312" w:eastAsia="仿宋_GB2312" w:cs="仿宋_GB2312"/>
          <w:color w:val="000000" w:themeColor="text1"/>
          <w:spacing w:val="4"/>
          <w:szCs w:val="32"/>
          <w:lang w:eastAsia="zh-CN"/>
          <w14:textFill>
            <w14:solidFill>
              <w14:schemeClr w14:val="tx1"/>
            </w14:solidFill>
          </w14:textFill>
        </w:rPr>
        <w:t>须满足</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《合成树脂工业污染物排放标准》(GB31572-2015）</w:t>
      </w:r>
      <w:r>
        <w:rPr>
          <w:rFonts w:hint="eastAsia" w:ascii="仿宋_GB2312" w:hAnsi="仿宋_GB2312" w:eastAsia="仿宋_GB2312" w:cs="仿宋_GB2312"/>
          <w:color w:val="000000" w:themeColor="text1"/>
          <w:szCs w:val="32"/>
          <w14:textFill>
            <w14:solidFill>
              <w14:schemeClr w14:val="tx1"/>
            </w14:solidFill>
          </w14:textFill>
        </w:rPr>
        <w:t>表9企业边界大气污染物限值</w:t>
      </w:r>
      <w:r>
        <w:rPr>
          <w:rFonts w:hint="eastAsia" w:ascii="仿宋_GB2312" w:hAnsi="仿宋_GB2312" w:eastAsia="仿宋_GB2312" w:cs="仿宋_GB2312"/>
          <w:color w:val="000000" w:themeColor="text1"/>
          <w:szCs w:val="32"/>
          <w:lang w:eastAsia="zh-CN"/>
          <w14:textFill>
            <w14:solidFill>
              <w14:schemeClr w14:val="tx1"/>
            </w14:solidFill>
          </w14:textFill>
        </w:rPr>
        <w:t>和</w:t>
      </w:r>
      <w:r>
        <w:rPr>
          <w:rFonts w:hint="eastAsia" w:ascii="仿宋_GB2312" w:hAnsi="仿宋_GB2312" w:eastAsia="仿宋_GB2312" w:cs="仿宋_GB2312"/>
          <w:color w:val="000000" w:themeColor="text1"/>
          <w:szCs w:val="32"/>
          <w14:textFill>
            <w14:solidFill>
              <w14:schemeClr w14:val="tx1"/>
            </w14:solidFill>
          </w14:textFill>
        </w:rPr>
        <w:t>《恶臭污染物排放标准》(GB14554-93)表1新</w:t>
      </w:r>
      <w:r>
        <w:rPr>
          <w:rFonts w:hint="eastAsia" w:ascii="仿宋_GB2312" w:hAnsi="仿宋_GB2312" w:eastAsia="仿宋_GB2312" w:cs="仿宋_GB2312"/>
          <w:color w:val="000000" w:themeColor="text1"/>
          <w:szCs w:val="32"/>
          <w:lang w:eastAsia="zh-CN"/>
          <w14:textFill>
            <w14:solidFill>
              <w14:schemeClr w14:val="tx1"/>
            </w14:solidFill>
          </w14:textFill>
        </w:rPr>
        <w:t>扩</w:t>
      </w:r>
      <w:r>
        <w:rPr>
          <w:rFonts w:hint="eastAsia" w:ascii="仿宋_GB2312" w:hAnsi="仿宋_GB2312" w:eastAsia="仿宋_GB2312" w:cs="仿宋_GB2312"/>
          <w:color w:val="000000" w:themeColor="text1"/>
          <w:szCs w:val="32"/>
          <w14:textFill>
            <w14:solidFill>
              <w14:schemeClr w14:val="tx1"/>
            </w14:solidFill>
          </w14:textFill>
        </w:rPr>
        <w:t>改建二级标准要求</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Cs w:val="32"/>
          <w14:textFill>
            <w14:solidFill>
              <w14:schemeClr w14:val="tx1"/>
            </w14:solidFill>
          </w14:textFill>
        </w:rPr>
        <w:t>厂区内非甲烷总烃满足《挥发性有机物无组织排放控制标准》（GB37822-2019）附录A中限值要求</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auto"/>
          <w:spacing w:val="4"/>
          <w:szCs w:val="32"/>
          <w:lang w:val="en-US" w:eastAsia="zh-CN"/>
        </w:rPr>
      </w:pPr>
      <w:r>
        <w:rPr>
          <w:rFonts w:hint="eastAsia" w:ascii="楷体" w:hAnsi="楷体" w:eastAsia="楷体" w:cs="楷体"/>
          <w:color w:val="000000"/>
          <w:spacing w:val="4"/>
          <w:szCs w:val="32"/>
        </w:rPr>
        <w:t>（</w:t>
      </w:r>
      <w:r>
        <w:rPr>
          <w:rFonts w:hint="eastAsia" w:ascii="楷体" w:hAnsi="楷体" w:eastAsia="楷体" w:cs="楷体"/>
          <w:color w:val="000000"/>
          <w:spacing w:val="4"/>
          <w:szCs w:val="32"/>
          <w:lang w:eastAsia="zh-CN"/>
        </w:rPr>
        <w:t>三</w:t>
      </w:r>
      <w:r>
        <w:rPr>
          <w:rFonts w:hint="eastAsia" w:ascii="楷体" w:hAnsi="楷体" w:eastAsia="楷体" w:cs="楷体"/>
          <w:color w:val="000000"/>
          <w:spacing w:val="4"/>
          <w:szCs w:val="32"/>
        </w:rPr>
        <w:t>）落实水污染防治措施。</w:t>
      </w:r>
      <w:r>
        <w:rPr>
          <w:rFonts w:hint="eastAsia" w:ascii="仿宋_GB2312" w:hAnsi="仿宋_GB2312" w:eastAsia="仿宋_GB2312" w:cs="仿宋_GB2312"/>
          <w:color w:val="auto"/>
          <w:spacing w:val="4"/>
          <w:szCs w:val="32"/>
          <w:lang w:val="en-US" w:eastAsia="zh-CN"/>
        </w:rPr>
        <w:t>厂区排水必须实行雨污分流。</w:t>
      </w:r>
      <w:r>
        <w:rPr>
          <w:rFonts w:hint="eastAsia" w:ascii="仿宋_GB2312" w:hAnsi="仿宋_GB2312" w:eastAsia="仿宋_GB2312" w:cs="仿宋_GB2312"/>
          <w:color w:val="auto"/>
          <w:spacing w:val="4"/>
          <w:szCs w:val="32"/>
          <w:highlight w:val="none"/>
          <w:lang w:val="en-US" w:eastAsia="zh-CN"/>
        </w:rPr>
        <w:t>冷却水循环使用，不能再循环的冷却浑浊水做危废处理，不外排；本项目不新增员工，无新增生活污水。</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000000" w:themeColor="text1"/>
          <w:spacing w:val="4"/>
          <w:szCs w:val="32"/>
          <w:lang w:val="en-US" w:eastAsia="zh-CN"/>
          <w14:textFill>
            <w14:solidFill>
              <w14:schemeClr w14:val="tx1"/>
            </w14:solidFill>
          </w14:textFill>
        </w:rPr>
      </w:pPr>
      <w:r>
        <w:rPr>
          <w:rFonts w:hint="eastAsia" w:ascii="楷体" w:hAnsi="楷体" w:eastAsia="楷体" w:cs="楷体"/>
          <w:color w:val="000000"/>
          <w:spacing w:val="4"/>
          <w:szCs w:val="32"/>
        </w:rPr>
        <w:t>（</w:t>
      </w:r>
      <w:r>
        <w:rPr>
          <w:rFonts w:hint="eastAsia" w:ascii="楷体" w:hAnsi="楷体" w:eastAsia="楷体" w:cs="楷体"/>
          <w:color w:val="000000"/>
          <w:spacing w:val="4"/>
          <w:szCs w:val="32"/>
          <w:lang w:eastAsia="zh-CN"/>
        </w:rPr>
        <w:t>四</w:t>
      </w:r>
      <w:r>
        <w:rPr>
          <w:rFonts w:hint="eastAsia" w:ascii="楷体" w:hAnsi="楷体" w:eastAsia="楷体" w:cs="楷体"/>
          <w:color w:val="000000"/>
          <w:spacing w:val="4"/>
          <w:szCs w:val="32"/>
        </w:rPr>
        <w:t>）落实噪声污染防治措施。</w:t>
      </w:r>
      <w:r>
        <w:rPr>
          <w:rFonts w:hint="eastAsia" w:ascii="仿宋_GB2312" w:hAnsi="仿宋_GB2312" w:eastAsia="仿宋_GB2312" w:cs="仿宋_GB2312"/>
          <w:color w:val="000000"/>
          <w:spacing w:val="4"/>
          <w:szCs w:val="32"/>
          <w:lang w:val="en-US" w:eastAsia="zh-CN"/>
        </w:rPr>
        <w:t>合理优化平面布局，对高噪声设备采取减震、消声、隔声等降噪措施，合理安排生产时间，确保厂界噪声符合《工业企业厂界环境噪声排放标准》（GB12348-2008）中</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3、4类区标准要求。</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leftChars="0" w:firstLine="656" w:firstLineChars="200"/>
        <w:jc w:val="both"/>
        <w:textAlignment w:val="auto"/>
        <w:rPr>
          <w:rFonts w:hint="eastAsia" w:ascii="仿宋_GB2312" w:hAnsi="仿宋_GB2312" w:eastAsia="仿宋_GB2312" w:cs="仿宋_GB2312"/>
          <w:color w:val="000000"/>
          <w:spacing w:val="4"/>
          <w:kern w:val="2"/>
          <w:sz w:val="32"/>
          <w:szCs w:val="32"/>
          <w:lang w:val="en-US" w:eastAsia="zh-CN" w:bidi="ar-SA"/>
        </w:rPr>
      </w:pPr>
      <w:r>
        <w:rPr>
          <w:rFonts w:hint="default" w:ascii="楷体" w:hAnsi="楷体" w:eastAsia="楷体" w:cs="楷体"/>
          <w:color w:val="000000"/>
          <w:spacing w:val="4"/>
          <w:kern w:val="2"/>
          <w:sz w:val="32"/>
          <w:szCs w:val="32"/>
          <w:lang w:val="en-US" w:eastAsia="zh-CN" w:bidi="ar-SA"/>
        </w:rPr>
        <w:t>（</w:t>
      </w:r>
      <w:r>
        <w:rPr>
          <w:rFonts w:hint="eastAsia" w:ascii="楷体" w:hAnsi="楷体" w:eastAsia="楷体" w:cs="楷体"/>
          <w:color w:val="000000"/>
          <w:spacing w:val="4"/>
          <w:kern w:val="2"/>
          <w:sz w:val="32"/>
          <w:szCs w:val="32"/>
          <w:lang w:val="en-US" w:eastAsia="zh-CN" w:bidi="ar-SA"/>
        </w:rPr>
        <w:t>五</w:t>
      </w:r>
      <w:r>
        <w:rPr>
          <w:rFonts w:hint="default" w:ascii="楷体" w:hAnsi="楷体" w:eastAsia="楷体" w:cs="楷体"/>
          <w:color w:val="000000"/>
          <w:spacing w:val="4"/>
          <w:kern w:val="2"/>
          <w:sz w:val="32"/>
          <w:szCs w:val="32"/>
          <w:lang w:val="en-US" w:eastAsia="zh-CN" w:bidi="ar-SA"/>
        </w:rPr>
        <w:t>）</w:t>
      </w:r>
      <w:r>
        <w:rPr>
          <w:rFonts w:hint="eastAsia" w:ascii="楷体" w:hAnsi="楷体" w:eastAsia="楷体" w:cs="楷体"/>
          <w:color w:val="000000"/>
          <w:spacing w:val="4"/>
          <w:kern w:val="2"/>
          <w:sz w:val="32"/>
          <w:szCs w:val="32"/>
          <w:lang w:val="en-US" w:eastAsia="zh-CN" w:bidi="ar-SA"/>
        </w:rPr>
        <w:t>落实</w:t>
      </w:r>
      <w:r>
        <w:rPr>
          <w:rFonts w:hint="default" w:ascii="楷体" w:hAnsi="楷体" w:eastAsia="楷体" w:cs="楷体"/>
          <w:color w:val="000000"/>
          <w:spacing w:val="4"/>
          <w:kern w:val="2"/>
          <w:sz w:val="32"/>
          <w:szCs w:val="32"/>
          <w:lang w:val="en-US" w:eastAsia="zh-CN" w:bidi="ar-SA"/>
        </w:rPr>
        <w:t>固体废物</w:t>
      </w:r>
      <w:r>
        <w:rPr>
          <w:rFonts w:hint="eastAsia" w:ascii="楷体" w:hAnsi="楷体" w:eastAsia="楷体" w:cs="楷体"/>
          <w:color w:val="000000"/>
          <w:spacing w:val="4"/>
          <w:kern w:val="2"/>
          <w:sz w:val="32"/>
          <w:szCs w:val="32"/>
          <w:lang w:val="en-US" w:eastAsia="zh-CN" w:bidi="ar-SA"/>
        </w:rPr>
        <w:t>处置措施</w:t>
      </w:r>
      <w:r>
        <w:rPr>
          <w:rFonts w:hint="default" w:ascii="楷体" w:hAnsi="楷体" w:eastAsia="楷体" w:cs="楷体"/>
          <w:color w:val="000000"/>
          <w:spacing w:val="4"/>
          <w:kern w:val="2"/>
          <w:sz w:val="32"/>
          <w:szCs w:val="32"/>
          <w:lang w:val="en-US" w:eastAsia="zh-CN" w:bidi="ar-SA"/>
        </w:rPr>
        <w:t>。</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按照“无害化、资源化、减量化”的原则，做好固废的分类收集、暂存、安全处置工作。废活性炭、废机油、废含油抹布手套、废循</w:t>
      </w:r>
      <w:r>
        <w:rPr>
          <w:rFonts w:hint="eastAsia" w:ascii="仿宋_GB2312" w:hAnsi="仿宋_GB2312" w:eastAsia="仿宋_GB2312" w:cs="仿宋_GB2312"/>
          <w:color w:val="000000"/>
          <w:spacing w:val="4"/>
          <w:kern w:val="2"/>
          <w:sz w:val="32"/>
          <w:szCs w:val="32"/>
          <w:lang w:val="en-US" w:eastAsia="zh-CN" w:bidi="ar-SA"/>
        </w:rPr>
        <w:t>环冷却浑浊水、焦油等危险废物委托有资质的单位安全处置；废包装材料、废过滤网、熔融残渣外售、除尘器收尘灰分类收集后外售或综合利用。</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auto"/>
          <w:spacing w:val="4"/>
          <w:kern w:val="2"/>
          <w:sz w:val="32"/>
          <w:szCs w:val="32"/>
          <w:lang w:val="en-US" w:eastAsia="zh-CN" w:bidi="ar-SA"/>
        </w:rPr>
      </w:pPr>
      <w:r>
        <w:rPr>
          <w:rFonts w:hint="default" w:ascii="楷体" w:hAnsi="楷体" w:eastAsia="楷体" w:cs="楷体"/>
          <w:color w:val="000000"/>
          <w:spacing w:val="4"/>
          <w:kern w:val="2"/>
          <w:sz w:val="32"/>
          <w:szCs w:val="32"/>
          <w:lang w:val="en-US" w:eastAsia="zh-CN" w:bidi="ar-SA"/>
        </w:rPr>
        <w:t>（</w:t>
      </w:r>
      <w:r>
        <w:rPr>
          <w:rFonts w:hint="eastAsia" w:ascii="楷体" w:hAnsi="楷体" w:eastAsia="楷体" w:cs="楷体"/>
          <w:color w:val="000000"/>
          <w:spacing w:val="4"/>
          <w:kern w:val="2"/>
          <w:sz w:val="32"/>
          <w:szCs w:val="32"/>
          <w:lang w:val="en-US" w:eastAsia="zh-CN" w:bidi="ar-SA"/>
        </w:rPr>
        <w:t>六</w:t>
      </w:r>
      <w:r>
        <w:rPr>
          <w:rFonts w:hint="default" w:ascii="楷体" w:hAnsi="楷体" w:eastAsia="楷体" w:cs="楷体"/>
          <w:color w:val="000000"/>
          <w:spacing w:val="4"/>
          <w:kern w:val="2"/>
          <w:sz w:val="32"/>
          <w:szCs w:val="32"/>
          <w:lang w:val="en-US" w:eastAsia="zh-CN" w:bidi="ar-SA"/>
        </w:rPr>
        <w:t>）本项目污染物总量控制指标为</w:t>
      </w:r>
      <w:r>
        <w:rPr>
          <w:rFonts w:hint="eastAsia" w:ascii="楷体" w:hAnsi="楷体" w:eastAsia="楷体" w:cs="楷体"/>
          <w:color w:val="000000"/>
          <w:spacing w:val="4"/>
          <w:kern w:val="2"/>
          <w:sz w:val="32"/>
          <w:szCs w:val="32"/>
          <w:lang w:val="en-US" w:eastAsia="zh-CN" w:bidi="ar-SA"/>
        </w:rPr>
        <w:t>：</w:t>
      </w:r>
      <w:r>
        <w:rPr>
          <w:rFonts w:hint="eastAsia" w:ascii="仿宋_GB2312" w:hAnsi="仿宋_GB2312" w:eastAsia="仿宋_GB2312" w:cs="仿宋_GB2312"/>
          <w:color w:val="auto"/>
          <w:spacing w:val="4"/>
          <w:kern w:val="2"/>
          <w:sz w:val="32"/>
          <w:szCs w:val="32"/>
          <w:lang w:val="en-US" w:eastAsia="zh-CN" w:bidi="ar-SA"/>
        </w:rPr>
        <w:t>挥发性有机物（VOCs）≤0.13t/a，总量指标纳入高新区总量控制管理。</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spacing w:val="4"/>
          <w:kern w:val="2"/>
          <w:sz w:val="32"/>
          <w:szCs w:val="32"/>
          <w:lang w:val="en-US" w:eastAsia="zh-CN" w:bidi="ar-SA"/>
        </w:rPr>
        <w:t>（七）</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本项目不得外购或收集其他企业的</w:t>
      </w:r>
      <w:r>
        <w:rPr>
          <w:rFonts w:hint="eastAsia" w:ascii="仿宋_GB2312" w:hAnsi="仿宋_GB2312" w:eastAsia="仿宋_GB2312" w:cs="仿宋_GB2312"/>
          <w:color w:val="000000" w:themeColor="text1"/>
          <w:spacing w:val="4"/>
          <w:szCs w:val="32"/>
          <w:lang w:val="en-US" w:eastAsia="zh-CN"/>
          <w14:textFill>
            <w14:solidFill>
              <w14:schemeClr w14:val="tx1"/>
            </w14:solidFill>
          </w14:textFill>
        </w:rPr>
        <w:t>废泡沫模具、废泡沫板等废旧泡沫作为原料进行加工。</w:t>
      </w:r>
    </w:p>
    <w:p>
      <w:pPr>
        <w:keepNext w:val="0"/>
        <w:keepLines w:val="0"/>
        <w:pageBreakBefore w:val="0"/>
        <w:widowControl/>
        <w:kinsoku/>
        <w:wordWrap w:val="0"/>
        <w:overflowPunct/>
        <w:topLinePunct/>
        <w:autoSpaceDE/>
        <w:autoSpaceDN/>
        <w:bidi w:val="0"/>
        <w:adjustRightInd/>
        <w:snapToGrid/>
        <w:spacing w:line="560" w:lineRule="exact"/>
        <w:ind w:firstLine="627" w:firstLineChars="196"/>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三、本项目经审批后，建设的性质、规模、地点、采用的生产工艺或者防治污染、防止生态破坏的措施发生重大变动的，你公司应重新报批建设项目的环评文件。项目建成投产前，须按照《排污许可管理条例》（国务院令第736条）和《固定污染源排污许可分类管理名录》的要求办理排污许可相关手续。项目建设投运后，须按《建设项目环境保护管理条例》的有关规定，及时进行项目竣工环保自主验收。益阳市生态环境保护综合行政执法支队高新区大队负责本项目“三同时”监督检查和管理工作。</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00"/>
          <w:spacing w:val="4"/>
          <w:kern w:val="2"/>
          <w:sz w:val="32"/>
          <w:szCs w:val="32"/>
          <w:lang w:val="en-US" w:eastAsia="zh-CN" w:bidi="ar-SA"/>
        </w:rPr>
      </w:pPr>
      <w:r>
        <w:rPr>
          <w:rFonts w:hint="eastAsia" w:ascii="仿宋_GB2312" w:hAnsi="仿宋_GB2312" w:eastAsia="仿宋_GB2312" w:cs="仿宋_GB2312"/>
          <w:szCs w:val="32"/>
          <w:lang w:val="en-US" w:eastAsia="zh-CN"/>
        </w:rPr>
        <w:t>四、你公司在收到本批复后15个工作日内，将本批复及项目环评报告表送至益阳市生态环境局高新区分局。</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eastAsia" w:ascii="Times New Roman" w:hAnsi="Times New Roman" w:eastAsia="仿宋_GB2312" w:cs="Times New Roman"/>
          <w:color w:val="000000"/>
          <w:spacing w:val="4"/>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leftChars="0" w:firstLine="5576" w:firstLineChars="1700"/>
        <w:textAlignment w:val="auto"/>
        <w:rPr>
          <w:rFonts w:hint="eastAsia" w:ascii="仿宋_GB2312" w:hAnsi="仿宋_GB2312" w:eastAsia="仿宋_GB2312" w:cs="仿宋_GB2312"/>
          <w:color w:val="000000"/>
          <w:spacing w:val="4"/>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592" w:firstLineChars="1400"/>
        <w:textAlignment w:val="auto"/>
        <w:rPr>
          <w:rFonts w:hint="eastAsia" w:ascii="仿宋_GB2312" w:hAnsi="仿宋_GB2312" w:eastAsia="仿宋_GB2312" w:cs="仿宋_GB2312"/>
          <w:color w:val="000000"/>
          <w:spacing w:val="4"/>
          <w:kern w:val="2"/>
          <w:sz w:val="32"/>
          <w:szCs w:val="32"/>
          <w:lang w:val="en-US" w:eastAsia="zh-CN" w:bidi="ar-SA"/>
        </w:rPr>
      </w:pPr>
      <w:r>
        <w:rPr>
          <w:rFonts w:hint="eastAsia" w:ascii="仿宋_GB2312" w:hAnsi="仿宋_GB2312" w:eastAsia="仿宋_GB2312" w:cs="仿宋_GB2312"/>
          <w:color w:val="000000"/>
          <w:spacing w:val="4"/>
          <w:kern w:val="2"/>
          <w:sz w:val="32"/>
          <w:szCs w:val="32"/>
          <w:lang w:val="en-US" w:eastAsia="zh-CN" w:bidi="ar-SA"/>
        </w:rPr>
        <w:t>益阳市生态环境局</w:t>
      </w:r>
    </w:p>
    <w:p>
      <w:pPr>
        <w:keepNext w:val="0"/>
        <w:keepLines w:val="0"/>
        <w:pageBreakBefore w:val="0"/>
        <w:kinsoku/>
        <w:wordWrap/>
        <w:overflowPunct/>
        <w:topLinePunct w:val="0"/>
        <w:autoSpaceDE/>
        <w:autoSpaceDN/>
        <w:bidi w:val="0"/>
        <w:adjustRightInd/>
        <w:snapToGrid/>
        <w:spacing w:line="560" w:lineRule="exact"/>
        <w:ind w:leftChars="0" w:firstLine="656" w:firstLineChars="200"/>
        <w:textAlignment w:val="auto"/>
        <w:rPr>
          <w:rFonts w:hint="eastAsia" w:ascii="仿宋_GB2312" w:hAnsi="仿宋_GB2312" w:eastAsia="仿宋_GB2312" w:cs="仿宋_GB2312"/>
          <w:color w:val="auto"/>
          <w:spacing w:val="4"/>
          <w:kern w:val="2"/>
          <w:sz w:val="32"/>
          <w:szCs w:val="32"/>
          <w:lang w:val="en-US" w:eastAsia="zh-CN" w:bidi="ar-SA"/>
        </w:rPr>
      </w:pPr>
      <w:r>
        <w:rPr>
          <w:rFonts w:hint="eastAsia" w:ascii="仿宋_GB2312" w:hAnsi="仿宋_GB2312" w:eastAsia="仿宋_GB2312" w:cs="仿宋_GB2312"/>
          <w:color w:val="000000"/>
          <w:spacing w:val="4"/>
          <w:kern w:val="2"/>
          <w:sz w:val="32"/>
          <w:szCs w:val="32"/>
          <w:lang w:val="en-US" w:eastAsia="zh-CN" w:bidi="ar-SA"/>
        </w:rPr>
        <w:t xml:space="preserve">                        </w:t>
      </w:r>
      <w:r>
        <w:rPr>
          <w:rFonts w:hint="eastAsia" w:ascii="仿宋_GB2312" w:hAnsi="仿宋_GB2312" w:eastAsia="仿宋_GB2312" w:cs="仿宋_GB2312"/>
          <w:color w:val="auto"/>
          <w:spacing w:val="4"/>
          <w:kern w:val="2"/>
          <w:sz w:val="32"/>
          <w:szCs w:val="32"/>
          <w:lang w:val="en-US" w:eastAsia="zh-CN" w:bidi="ar-SA"/>
        </w:rPr>
        <w:t>2024年4月25日</w:t>
      </w:r>
    </w:p>
    <w:sectPr>
      <w:footerReference r:id="rId7" w:type="default"/>
      <w:pgSz w:w="11906" w:h="16838"/>
      <w:pgMar w:top="1701" w:right="1701" w:bottom="1701" w:left="1701"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1ABAC"/>
    <w:multiLevelType w:val="singleLevel"/>
    <w:tmpl w:val="9DA1ABAC"/>
    <w:lvl w:ilvl="0" w:tentative="0">
      <w:start w:val="2"/>
      <w:numFmt w:val="chineseCounting"/>
      <w:suff w:val="nothing"/>
      <w:lvlText w:val="%1、"/>
      <w:lvlJc w:val="left"/>
      <w:rPr>
        <w:rFonts w:hint="eastAsia"/>
      </w:rPr>
    </w:lvl>
  </w:abstractNum>
  <w:abstractNum w:abstractNumId="1">
    <w:nsid w:val="D3C240F3"/>
    <w:multiLevelType w:val="singleLevel"/>
    <w:tmpl w:val="D3C240F3"/>
    <w:lvl w:ilvl="0" w:tentative="0">
      <w:start w:val="1"/>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pStyle w:val="3"/>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2M1MmY1NDU2YzE2OWEwNjZkM2VhNWM2YTJjYTE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AE3AE6"/>
    <w:rsid w:val="01AE7488"/>
    <w:rsid w:val="01BF31D1"/>
    <w:rsid w:val="01D03FEC"/>
    <w:rsid w:val="01D159D9"/>
    <w:rsid w:val="01ED243B"/>
    <w:rsid w:val="01ED35F8"/>
    <w:rsid w:val="02224966"/>
    <w:rsid w:val="029E3B84"/>
    <w:rsid w:val="02FF7BF3"/>
    <w:rsid w:val="032E30B4"/>
    <w:rsid w:val="033476DA"/>
    <w:rsid w:val="03A60F18"/>
    <w:rsid w:val="03D345CC"/>
    <w:rsid w:val="03DA560A"/>
    <w:rsid w:val="042C501E"/>
    <w:rsid w:val="04571AFC"/>
    <w:rsid w:val="05247A2C"/>
    <w:rsid w:val="05956313"/>
    <w:rsid w:val="05990BE6"/>
    <w:rsid w:val="05D8789C"/>
    <w:rsid w:val="061D6D0E"/>
    <w:rsid w:val="0638548F"/>
    <w:rsid w:val="065879BD"/>
    <w:rsid w:val="06C74ECC"/>
    <w:rsid w:val="070865B3"/>
    <w:rsid w:val="072C6D6B"/>
    <w:rsid w:val="07354ECC"/>
    <w:rsid w:val="07511000"/>
    <w:rsid w:val="07702649"/>
    <w:rsid w:val="07DA01BE"/>
    <w:rsid w:val="080709A5"/>
    <w:rsid w:val="08260CF9"/>
    <w:rsid w:val="086B7063"/>
    <w:rsid w:val="088B2B53"/>
    <w:rsid w:val="089413C5"/>
    <w:rsid w:val="091D1DA1"/>
    <w:rsid w:val="09415B9F"/>
    <w:rsid w:val="095C419A"/>
    <w:rsid w:val="097C2114"/>
    <w:rsid w:val="09BE25B6"/>
    <w:rsid w:val="09FA59E7"/>
    <w:rsid w:val="0A851326"/>
    <w:rsid w:val="0A9F631F"/>
    <w:rsid w:val="0ACF403A"/>
    <w:rsid w:val="0ADB0443"/>
    <w:rsid w:val="0BDF6813"/>
    <w:rsid w:val="0BF719CD"/>
    <w:rsid w:val="0BFD72E7"/>
    <w:rsid w:val="0C1122F2"/>
    <w:rsid w:val="0C3B064F"/>
    <w:rsid w:val="0C562ECC"/>
    <w:rsid w:val="0C9940FF"/>
    <w:rsid w:val="0C995126"/>
    <w:rsid w:val="0D021275"/>
    <w:rsid w:val="0D3358B6"/>
    <w:rsid w:val="0D8E35FC"/>
    <w:rsid w:val="0D9A7649"/>
    <w:rsid w:val="0DF73A29"/>
    <w:rsid w:val="0E75128A"/>
    <w:rsid w:val="0E9D4E90"/>
    <w:rsid w:val="0EB464CA"/>
    <w:rsid w:val="0EBF5211"/>
    <w:rsid w:val="0F4815CC"/>
    <w:rsid w:val="0F4E340A"/>
    <w:rsid w:val="0F512394"/>
    <w:rsid w:val="0F7F00F1"/>
    <w:rsid w:val="0F9B0CA3"/>
    <w:rsid w:val="101616EC"/>
    <w:rsid w:val="10461AD6"/>
    <w:rsid w:val="10613C9B"/>
    <w:rsid w:val="108968AB"/>
    <w:rsid w:val="10D206F5"/>
    <w:rsid w:val="110C5B62"/>
    <w:rsid w:val="11324747"/>
    <w:rsid w:val="11423004"/>
    <w:rsid w:val="119360D6"/>
    <w:rsid w:val="11C96983"/>
    <w:rsid w:val="12284E79"/>
    <w:rsid w:val="12941229"/>
    <w:rsid w:val="129F6024"/>
    <w:rsid w:val="12A3059B"/>
    <w:rsid w:val="12C1072B"/>
    <w:rsid w:val="12D81B8D"/>
    <w:rsid w:val="12ED1816"/>
    <w:rsid w:val="13092833"/>
    <w:rsid w:val="13B70FE9"/>
    <w:rsid w:val="140D6837"/>
    <w:rsid w:val="14360E9D"/>
    <w:rsid w:val="148C4635"/>
    <w:rsid w:val="15415E49"/>
    <w:rsid w:val="15653932"/>
    <w:rsid w:val="156A02A5"/>
    <w:rsid w:val="158942BB"/>
    <w:rsid w:val="16105693"/>
    <w:rsid w:val="16123C8E"/>
    <w:rsid w:val="163C269B"/>
    <w:rsid w:val="16414F1E"/>
    <w:rsid w:val="167429F4"/>
    <w:rsid w:val="16AD71FC"/>
    <w:rsid w:val="16CC5B36"/>
    <w:rsid w:val="16DF07A0"/>
    <w:rsid w:val="16E42230"/>
    <w:rsid w:val="16E4540B"/>
    <w:rsid w:val="16E81710"/>
    <w:rsid w:val="176A2F62"/>
    <w:rsid w:val="17972808"/>
    <w:rsid w:val="18486CB8"/>
    <w:rsid w:val="18757D21"/>
    <w:rsid w:val="188E4B07"/>
    <w:rsid w:val="18A10DE5"/>
    <w:rsid w:val="18A36E79"/>
    <w:rsid w:val="18BD66CD"/>
    <w:rsid w:val="1A1F4F6D"/>
    <w:rsid w:val="1A44428C"/>
    <w:rsid w:val="1A5058B6"/>
    <w:rsid w:val="1A5F6D6C"/>
    <w:rsid w:val="1AA17DB9"/>
    <w:rsid w:val="1AE96D60"/>
    <w:rsid w:val="1AF910A0"/>
    <w:rsid w:val="1B0F4CFD"/>
    <w:rsid w:val="1B5F06EB"/>
    <w:rsid w:val="1B6E71DD"/>
    <w:rsid w:val="1B9E6554"/>
    <w:rsid w:val="1BCA4F59"/>
    <w:rsid w:val="1C083018"/>
    <w:rsid w:val="1C3F0F1B"/>
    <w:rsid w:val="1C4C681C"/>
    <w:rsid w:val="1C4D563F"/>
    <w:rsid w:val="1C534D67"/>
    <w:rsid w:val="1CB37522"/>
    <w:rsid w:val="1CC052B0"/>
    <w:rsid w:val="1CCE45CD"/>
    <w:rsid w:val="1D4321A3"/>
    <w:rsid w:val="1D596D36"/>
    <w:rsid w:val="1DCA3884"/>
    <w:rsid w:val="1DDE1448"/>
    <w:rsid w:val="1E3A67FD"/>
    <w:rsid w:val="1E5B2A7B"/>
    <w:rsid w:val="1E9A3AF9"/>
    <w:rsid w:val="1ED0749E"/>
    <w:rsid w:val="1EFA69E1"/>
    <w:rsid w:val="1F2958D3"/>
    <w:rsid w:val="1F612791"/>
    <w:rsid w:val="1F666BD8"/>
    <w:rsid w:val="1F8004F5"/>
    <w:rsid w:val="1F9B7931"/>
    <w:rsid w:val="1FAC6719"/>
    <w:rsid w:val="1FC12C5E"/>
    <w:rsid w:val="1FE92C51"/>
    <w:rsid w:val="20095B14"/>
    <w:rsid w:val="202B0267"/>
    <w:rsid w:val="203B0065"/>
    <w:rsid w:val="204E2218"/>
    <w:rsid w:val="205224FE"/>
    <w:rsid w:val="205C1174"/>
    <w:rsid w:val="20BB217F"/>
    <w:rsid w:val="21D23C17"/>
    <w:rsid w:val="21D91D9E"/>
    <w:rsid w:val="22250FCC"/>
    <w:rsid w:val="22835CF3"/>
    <w:rsid w:val="229D1CE8"/>
    <w:rsid w:val="22C837C6"/>
    <w:rsid w:val="22D03DD0"/>
    <w:rsid w:val="231B68C4"/>
    <w:rsid w:val="232C6C32"/>
    <w:rsid w:val="23A639DA"/>
    <w:rsid w:val="23CE2D7B"/>
    <w:rsid w:val="240B5FA0"/>
    <w:rsid w:val="243C0C96"/>
    <w:rsid w:val="244B378A"/>
    <w:rsid w:val="24526BE5"/>
    <w:rsid w:val="24E91CFB"/>
    <w:rsid w:val="25183443"/>
    <w:rsid w:val="251A4BEF"/>
    <w:rsid w:val="254C263C"/>
    <w:rsid w:val="25604F33"/>
    <w:rsid w:val="25B51410"/>
    <w:rsid w:val="25EB3281"/>
    <w:rsid w:val="260C3AD1"/>
    <w:rsid w:val="26423EFF"/>
    <w:rsid w:val="267169E9"/>
    <w:rsid w:val="26C24876"/>
    <w:rsid w:val="26C7259C"/>
    <w:rsid w:val="27893F8C"/>
    <w:rsid w:val="27906E6E"/>
    <w:rsid w:val="27BA1B7C"/>
    <w:rsid w:val="27C03033"/>
    <w:rsid w:val="27C933D0"/>
    <w:rsid w:val="27C96B13"/>
    <w:rsid w:val="27F337F5"/>
    <w:rsid w:val="28A5308F"/>
    <w:rsid w:val="28DE13B6"/>
    <w:rsid w:val="290E772E"/>
    <w:rsid w:val="297F6DFB"/>
    <w:rsid w:val="29800011"/>
    <w:rsid w:val="29B0749A"/>
    <w:rsid w:val="29E25A79"/>
    <w:rsid w:val="2A215DB4"/>
    <w:rsid w:val="2A7677D7"/>
    <w:rsid w:val="2B042976"/>
    <w:rsid w:val="2B2C41B0"/>
    <w:rsid w:val="2B431A3F"/>
    <w:rsid w:val="2B45236F"/>
    <w:rsid w:val="2B5805CA"/>
    <w:rsid w:val="2B99301B"/>
    <w:rsid w:val="2BD82C0B"/>
    <w:rsid w:val="2BD91DBD"/>
    <w:rsid w:val="2BF70E1B"/>
    <w:rsid w:val="2C3575FD"/>
    <w:rsid w:val="2C36248E"/>
    <w:rsid w:val="2C491D5B"/>
    <w:rsid w:val="2C6D6814"/>
    <w:rsid w:val="2C9A7D53"/>
    <w:rsid w:val="2CAB47C4"/>
    <w:rsid w:val="2CE81886"/>
    <w:rsid w:val="2CED2FDA"/>
    <w:rsid w:val="2D0848C5"/>
    <w:rsid w:val="2D621927"/>
    <w:rsid w:val="2E00207F"/>
    <w:rsid w:val="2E0E786C"/>
    <w:rsid w:val="2E1C176D"/>
    <w:rsid w:val="2E5170EA"/>
    <w:rsid w:val="2ED91A45"/>
    <w:rsid w:val="2EFF65BF"/>
    <w:rsid w:val="2F3B7AFD"/>
    <w:rsid w:val="2F476BB2"/>
    <w:rsid w:val="2FBE547D"/>
    <w:rsid w:val="2FFD1D02"/>
    <w:rsid w:val="302837E4"/>
    <w:rsid w:val="30622197"/>
    <w:rsid w:val="306D20D8"/>
    <w:rsid w:val="3073000C"/>
    <w:rsid w:val="3076612A"/>
    <w:rsid w:val="30A551EC"/>
    <w:rsid w:val="30AC0449"/>
    <w:rsid w:val="31391598"/>
    <w:rsid w:val="31A95D5C"/>
    <w:rsid w:val="31BE7812"/>
    <w:rsid w:val="324A05DB"/>
    <w:rsid w:val="328F037F"/>
    <w:rsid w:val="33000108"/>
    <w:rsid w:val="336A22C1"/>
    <w:rsid w:val="33741DC8"/>
    <w:rsid w:val="33B11EC4"/>
    <w:rsid w:val="34711A93"/>
    <w:rsid w:val="34DD0564"/>
    <w:rsid w:val="35B4328A"/>
    <w:rsid w:val="35F16608"/>
    <w:rsid w:val="35FA51FE"/>
    <w:rsid w:val="36570620"/>
    <w:rsid w:val="36E44291"/>
    <w:rsid w:val="375456AC"/>
    <w:rsid w:val="37546213"/>
    <w:rsid w:val="379445B6"/>
    <w:rsid w:val="38806B05"/>
    <w:rsid w:val="38F812E8"/>
    <w:rsid w:val="39272E42"/>
    <w:rsid w:val="39357CA9"/>
    <w:rsid w:val="3A157E48"/>
    <w:rsid w:val="3A8E5140"/>
    <w:rsid w:val="3AF13CEA"/>
    <w:rsid w:val="3B0A280C"/>
    <w:rsid w:val="3B0F711B"/>
    <w:rsid w:val="3B125EF8"/>
    <w:rsid w:val="3B2E591B"/>
    <w:rsid w:val="3B4B1994"/>
    <w:rsid w:val="3B6A75F8"/>
    <w:rsid w:val="3B9A2191"/>
    <w:rsid w:val="3BA76AE1"/>
    <w:rsid w:val="3BB94552"/>
    <w:rsid w:val="3BF178B1"/>
    <w:rsid w:val="3C7007EC"/>
    <w:rsid w:val="3D780AE8"/>
    <w:rsid w:val="3DA11C79"/>
    <w:rsid w:val="3DAC00F4"/>
    <w:rsid w:val="3DD36518"/>
    <w:rsid w:val="3DE24C14"/>
    <w:rsid w:val="3DE272B1"/>
    <w:rsid w:val="3DEE185B"/>
    <w:rsid w:val="3E0B5655"/>
    <w:rsid w:val="3E184547"/>
    <w:rsid w:val="3E237685"/>
    <w:rsid w:val="3EA845CC"/>
    <w:rsid w:val="3EFA3BEC"/>
    <w:rsid w:val="3F460C8D"/>
    <w:rsid w:val="3F4E171F"/>
    <w:rsid w:val="40254AFB"/>
    <w:rsid w:val="408E24B2"/>
    <w:rsid w:val="40AF71A3"/>
    <w:rsid w:val="40BD7416"/>
    <w:rsid w:val="40C73D23"/>
    <w:rsid w:val="4177481D"/>
    <w:rsid w:val="42472E54"/>
    <w:rsid w:val="429C278D"/>
    <w:rsid w:val="42D27F5D"/>
    <w:rsid w:val="432D42D0"/>
    <w:rsid w:val="436F0A40"/>
    <w:rsid w:val="43B93AF5"/>
    <w:rsid w:val="43BA3FC5"/>
    <w:rsid w:val="43F959BD"/>
    <w:rsid w:val="44645BA5"/>
    <w:rsid w:val="447D04C8"/>
    <w:rsid w:val="44DE6824"/>
    <w:rsid w:val="452B604A"/>
    <w:rsid w:val="453E1CD7"/>
    <w:rsid w:val="45544C08"/>
    <w:rsid w:val="45CF0E9E"/>
    <w:rsid w:val="45E80663"/>
    <w:rsid w:val="45EC7588"/>
    <w:rsid w:val="461448F7"/>
    <w:rsid w:val="463C423F"/>
    <w:rsid w:val="465A498A"/>
    <w:rsid w:val="465A7315"/>
    <w:rsid w:val="4680740B"/>
    <w:rsid w:val="46926864"/>
    <w:rsid w:val="46B467A7"/>
    <w:rsid w:val="471714AF"/>
    <w:rsid w:val="4729371C"/>
    <w:rsid w:val="48101CDD"/>
    <w:rsid w:val="481D7ECC"/>
    <w:rsid w:val="484F7B35"/>
    <w:rsid w:val="485A6652"/>
    <w:rsid w:val="48A069BA"/>
    <w:rsid w:val="48AE3800"/>
    <w:rsid w:val="49287347"/>
    <w:rsid w:val="49354A08"/>
    <w:rsid w:val="4993613B"/>
    <w:rsid w:val="49B07B17"/>
    <w:rsid w:val="4A655B5A"/>
    <w:rsid w:val="4A703499"/>
    <w:rsid w:val="4A8649CF"/>
    <w:rsid w:val="4A9B4753"/>
    <w:rsid w:val="4AA37943"/>
    <w:rsid w:val="4AB744D3"/>
    <w:rsid w:val="4ADA0518"/>
    <w:rsid w:val="4B0B25FB"/>
    <w:rsid w:val="4B106736"/>
    <w:rsid w:val="4B41052E"/>
    <w:rsid w:val="4B9602DD"/>
    <w:rsid w:val="4BE354F9"/>
    <w:rsid w:val="4BE51D09"/>
    <w:rsid w:val="4BE5557E"/>
    <w:rsid w:val="4C395498"/>
    <w:rsid w:val="4CD34FFD"/>
    <w:rsid w:val="4CE30FB8"/>
    <w:rsid w:val="4D246998"/>
    <w:rsid w:val="4D45677E"/>
    <w:rsid w:val="4DCB3F26"/>
    <w:rsid w:val="4DD816AB"/>
    <w:rsid w:val="4DD92AE7"/>
    <w:rsid w:val="4DE21FE3"/>
    <w:rsid w:val="4DEE12CE"/>
    <w:rsid w:val="4DF95995"/>
    <w:rsid w:val="4E036FC1"/>
    <w:rsid w:val="4E075118"/>
    <w:rsid w:val="4E56633F"/>
    <w:rsid w:val="4E6A7DDF"/>
    <w:rsid w:val="4F1B62EC"/>
    <w:rsid w:val="4F1E6B4A"/>
    <w:rsid w:val="4F803124"/>
    <w:rsid w:val="4FEA6F2C"/>
    <w:rsid w:val="4FFF4689"/>
    <w:rsid w:val="5051105B"/>
    <w:rsid w:val="50B14EA5"/>
    <w:rsid w:val="517B596D"/>
    <w:rsid w:val="51900572"/>
    <w:rsid w:val="51DB6FAB"/>
    <w:rsid w:val="52132C6C"/>
    <w:rsid w:val="53852E05"/>
    <w:rsid w:val="53B711BD"/>
    <w:rsid w:val="53D57E72"/>
    <w:rsid w:val="53F34F30"/>
    <w:rsid w:val="53F40D52"/>
    <w:rsid w:val="541859B5"/>
    <w:rsid w:val="542461B4"/>
    <w:rsid w:val="545D5E0B"/>
    <w:rsid w:val="54952865"/>
    <w:rsid w:val="54B84CAA"/>
    <w:rsid w:val="55366F69"/>
    <w:rsid w:val="55982951"/>
    <w:rsid w:val="559D43FA"/>
    <w:rsid w:val="569637C0"/>
    <w:rsid w:val="56B74BDC"/>
    <w:rsid w:val="577566ED"/>
    <w:rsid w:val="577F6BA4"/>
    <w:rsid w:val="58026A51"/>
    <w:rsid w:val="587474AF"/>
    <w:rsid w:val="58B03321"/>
    <w:rsid w:val="58B71C90"/>
    <w:rsid w:val="58CD32E8"/>
    <w:rsid w:val="58D2260D"/>
    <w:rsid w:val="5915652D"/>
    <w:rsid w:val="591B69A8"/>
    <w:rsid w:val="59414293"/>
    <w:rsid w:val="59AA3FF9"/>
    <w:rsid w:val="59DB12B3"/>
    <w:rsid w:val="59E07892"/>
    <w:rsid w:val="59F451B9"/>
    <w:rsid w:val="5A107B8D"/>
    <w:rsid w:val="5A3263A9"/>
    <w:rsid w:val="5A42464D"/>
    <w:rsid w:val="5A532664"/>
    <w:rsid w:val="5A615DDF"/>
    <w:rsid w:val="5AFE2E05"/>
    <w:rsid w:val="5B2C0540"/>
    <w:rsid w:val="5B30342C"/>
    <w:rsid w:val="5B6B4FEA"/>
    <w:rsid w:val="5B996C72"/>
    <w:rsid w:val="5BF53B92"/>
    <w:rsid w:val="5C2530AE"/>
    <w:rsid w:val="5CAC01CB"/>
    <w:rsid w:val="5D0F6CD8"/>
    <w:rsid w:val="5DC10EA2"/>
    <w:rsid w:val="5F010883"/>
    <w:rsid w:val="5FBA4E4C"/>
    <w:rsid w:val="5FD26846"/>
    <w:rsid w:val="5FEB2BCB"/>
    <w:rsid w:val="600F468F"/>
    <w:rsid w:val="60470972"/>
    <w:rsid w:val="60AF3F75"/>
    <w:rsid w:val="60CE78E1"/>
    <w:rsid w:val="60E0450D"/>
    <w:rsid w:val="60E77AD1"/>
    <w:rsid w:val="61040EA5"/>
    <w:rsid w:val="61360325"/>
    <w:rsid w:val="616854FA"/>
    <w:rsid w:val="6171498D"/>
    <w:rsid w:val="620C1DA3"/>
    <w:rsid w:val="621D021C"/>
    <w:rsid w:val="635C7308"/>
    <w:rsid w:val="63E66D2D"/>
    <w:rsid w:val="63ED6B74"/>
    <w:rsid w:val="643E43F2"/>
    <w:rsid w:val="64516D1A"/>
    <w:rsid w:val="64917754"/>
    <w:rsid w:val="6539718A"/>
    <w:rsid w:val="657924DC"/>
    <w:rsid w:val="657A6729"/>
    <w:rsid w:val="657F402D"/>
    <w:rsid w:val="65B217D5"/>
    <w:rsid w:val="65C62AAF"/>
    <w:rsid w:val="66961E3C"/>
    <w:rsid w:val="66A2129D"/>
    <w:rsid w:val="66CD08B8"/>
    <w:rsid w:val="676E0745"/>
    <w:rsid w:val="67990F2E"/>
    <w:rsid w:val="679E4A51"/>
    <w:rsid w:val="67CB767B"/>
    <w:rsid w:val="68185BEC"/>
    <w:rsid w:val="68251446"/>
    <w:rsid w:val="6852454F"/>
    <w:rsid w:val="68A97E8F"/>
    <w:rsid w:val="68EA26DC"/>
    <w:rsid w:val="68EA6939"/>
    <w:rsid w:val="68F17803"/>
    <w:rsid w:val="691202EB"/>
    <w:rsid w:val="69757189"/>
    <w:rsid w:val="6A372C18"/>
    <w:rsid w:val="6A476406"/>
    <w:rsid w:val="6A54657B"/>
    <w:rsid w:val="6A737633"/>
    <w:rsid w:val="6AAB7162"/>
    <w:rsid w:val="6B141A4C"/>
    <w:rsid w:val="6B266A30"/>
    <w:rsid w:val="6BA708F2"/>
    <w:rsid w:val="6BB53802"/>
    <w:rsid w:val="6BD4248C"/>
    <w:rsid w:val="6BE77FC6"/>
    <w:rsid w:val="6C04239A"/>
    <w:rsid w:val="6C3F0FA7"/>
    <w:rsid w:val="6C486736"/>
    <w:rsid w:val="6C5E7310"/>
    <w:rsid w:val="6C6B2F98"/>
    <w:rsid w:val="6CB16327"/>
    <w:rsid w:val="6CF12E67"/>
    <w:rsid w:val="6D2B3600"/>
    <w:rsid w:val="6DEF39DF"/>
    <w:rsid w:val="6DF731D4"/>
    <w:rsid w:val="6E2E75B8"/>
    <w:rsid w:val="6E302565"/>
    <w:rsid w:val="6E6F6B54"/>
    <w:rsid w:val="6EB96AE0"/>
    <w:rsid w:val="6EE934B5"/>
    <w:rsid w:val="6FAB56DD"/>
    <w:rsid w:val="6FF944CB"/>
    <w:rsid w:val="7040045B"/>
    <w:rsid w:val="707779B5"/>
    <w:rsid w:val="70DB022F"/>
    <w:rsid w:val="70F25AEA"/>
    <w:rsid w:val="711235A4"/>
    <w:rsid w:val="711869E3"/>
    <w:rsid w:val="71332ADA"/>
    <w:rsid w:val="71766569"/>
    <w:rsid w:val="718944C6"/>
    <w:rsid w:val="71C138DA"/>
    <w:rsid w:val="723143F0"/>
    <w:rsid w:val="7235034F"/>
    <w:rsid w:val="723914F7"/>
    <w:rsid w:val="72D17DDC"/>
    <w:rsid w:val="72E74E49"/>
    <w:rsid w:val="72F113E2"/>
    <w:rsid w:val="736B043C"/>
    <w:rsid w:val="73E57B4E"/>
    <w:rsid w:val="74A13F0C"/>
    <w:rsid w:val="74EF24DB"/>
    <w:rsid w:val="754F0C44"/>
    <w:rsid w:val="75906821"/>
    <w:rsid w:val="75E56467"/>
    <w:rsid w:val="76184CB6"/>
    <w:rsid w:val="76440617"/>
    <w:rsid w:val="76AA4771"/>
    <w:rsid w:val="773650D4"/>
    <w:rsid w:val="77461AAD"/>
    <w:rsid w:val="775234C7"/>
    <w:rsid w:val="77822FF8"/>
    <w:rsid w:val="778E72C8"/>
    <w:rsid w:val="77DB6D35"/>
    <w:rsid w:val="77E761FD"/>
    <w:rsid w:val="781516FF"/>
    <w:rsid w:val="7833398A"/>
    <w:rsid w:val="78485F58"/>
    <w:rsid w:val="78552BBA"/>
    <w:rsid w:val="78DB3308"/>
    <w:rsid w:val="78E15062"/>
    <w:rsid w:val="78EB30E1"/>
    <w:rsid w:val="791D5318"/>
    <w:rsid w:val="793C4517"/>
    <w:rsid w:val="798D56F0"/>
    <w:rsid w:val="79CC24A5"/>
    <w:rsid w:val="79F95B51"/>
    <w:rsid w:val="79FA0753"/>
    <w:rsid w:val="7AA95265"/>
    <w:rsid w:val="7AAE1062"/>
    <w:rsid w:val="7AC322A6"/>
    <w:rsid w:val="7B15371E"/>
    <w:rsid w:val="7B231500"/>
    <w:rsid w:val="7B376C61"/>
    <w:rsid w:val="7B41207C"/>
    <w:rsid w:val="7B9E33E0"/>
    <w:rsid w:val="7BAD7063"/>
    <w:rsid w:val="7BC04826"/>
    <w:rsid w:val="7BD0513A"/>
    <w:rsid w:val="7BF12353"/>
    <w:rsid w:val="7C3308B7"/>
    <w:rsid w:val="7CA26617"/>
    <w:rsid w:val="7CE02C47"/>
    <w:rsid w:val="7D193810"/>
    <w:rsid w:val="7D267D83"/>
    <w:rsid w:val="7D7A2C5C"/>
    <w:rsid w:val="7DD13548"/>
    <w:rsid w:val="7ED61A00"/>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3">
    <w:name w:val="heading 1"/>
    <w:basedOn w:val="1"/>
    <w:next w:val="1"/>
    <w:autoRedefine/>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仿宋_GB2312" w:eastAsia="仿宋_GB2312" w:cs="Times New Roman"/>
      <w:color w:val="000000"/>
      <w:kern w:val="0"/>
      <w:sz w:val="24"/>
      <w:szCs w:val="22"/>
      <w:lang w:val="en-US" w:eastAsia="zh-CN" w:bidi="ar-SA"/>
    </w:rPr>
  </w:style>
  <w:style w:type="paragraph" w:styleId="4">
    <w:name w:val="Document Map"/>
    <w:basedOn w:val="1"/>
    <w:link w:val="18"/>
    <w:autoRedefine/>
    <w:semiHidden/>
    <w:unhideWhenUsed/>
    <w:qFormat/>
    <w:uiPriority w:val="99"/>
    <w:rPr>
      <w:rFonts w:ascii="宋体" w:eastAsia="宋体"/>
      <w:sz w:val="18"/>
      <w:szCs w:val="18"/>
    </w:rPr>
  </w:style>
  <w:style w:type="paragraph" w:styleId="5">
    <w:name w:val="annotation text"/>
    <w:basedOn w:val="1"/>
    <w:link w:val="20"/>
    <w:autoRedefine/>
    <w:unhideWhenUsed/>
    <w:qFormat/>
    <w:uiPriority w:val="0"/>
    <w:pPr>
      <w:jc w:val="left"/>
    </w:pPr>
  </w:style>
  <w:style w:type="paragraph" w:styleId="6">
    <w:name w:val="Body Text"/>
    <w:basedOn w:val="1"/>
    <w:autoRedefine/>
    <w:unhideWhenUsed/>
    <w:qFormat/>
    <w:uiPriority w:val="1"/>
    <w:pPr>
      <w:spacing w:before="135"/>
      <w:ind w:left="140"/>
    </w:pPr>
    <w:rPr>
      <w:rFonts w:hint="eastAsia" w:ascii="宋体" w:hAnsi="宋体" w:eastAsia="宋体"/>
      <w:sz w:val="24"/>
    </w:rPr>
  </w:style>
  <w:style w:type="paragraph" w:styleId="7">
    <w:name w:val="Body Text Indent"/>
    <w:basedOn w:val="1"/>
    <w:autoRedefine/>
    <w:qFormat/>
    <w:uiPriority w:val="0"/>
    <w:pPr>
      <w:snapToGrid/>
      <w:spacing w:line="360" w:lineRule="atLeast"/>
      <w:ind w:left="480" w:firstLine="480"/>
      <w:textAlignment w:val="baseline"/>
    </w:pPr>
    <w:rPr>
      <w:kern w:val="0"/>
      <w:szCs w:val="20"/>
    </w:rPr>
  </w:style>
  <w:style w:type="paragraph" w:styleId="8">
    <w:name w:val="Balloon Text"/>
    <w:basedOn w:val="1"/>
    <w:link w:val="19"/>
    <w:autoRedefine/>
    <w:semiHidden/>
    <w:unhideWhenUsed/>
    <w:qFormat/>
    <w:uiPriority w:val="99"/>
    <w:rPr>
      <w:sz w:val="18"/>
      <w:szCs w:val="18"/>
    </w:rPr>
  </w:style>
  <w:style w:type="paragraph" w:styleId="9">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1"/>
    <w:autoRedefine/>
    <w:semiHidden/>
    <w:unhideWhenUsed/>
    <w:qFormat/>
    <w:uiPriority w:val="99"/>
    <w:rPr>
      <w:b/>
      <w:bCs/>
    </w:rPr>
  </w:style>
  <w:style w:type="paragraph" w:styleId="12">
    <w:name w:val="Body Text First Indent 2"/>
    <w:basedOn w:val="7"/>
    <w:autoRedefine/>
    <w:qFormat/>
    <w:uiPriority w:val="0"/>
    <w:pPr>
      <w:adjustRightInd/>
      <w:spacing w:after="120" w:line="240" w:lineRule="auto"/>
      <w:ind w:left="420" w:leftChars="200" w:firstLine="420" w:firstLineChars="200"/>
      <w:jc w:val="both"/>
      <w:textAlignment w:val="auto"/>
    </w:pPr>
    <w:rPr>
      <w:kern w:val="2"/>
      <w:sz w:val="21"/>
      <w:szCs w:val="24"/>
    </w:rPr>
  </w:style>
  <w:style w:type="character" w:styleId="15">
    <w:name w:val="annotation reference"/>
    <w:basedOn w:val="14"/>
    <w:autoRedefine/>
    <w:semiHidden/>
    <w:unhideWhenUsed/>
    <w:qFormat/>
    <w:uiPriority w:val="99"/>
    <w:rPr>
      <w:sz w:val="21"/>
      <w:szCs w:val="21"/>
    </w:rPr>
  </w:style>
  <w:style w:type="character" w:customStyle="1" w:styleId="16">
    <w:name w:val="页眉 Char"/>
    <w:basedOn w:val="14"/>
    <w:link w:val="10"/>
    <w:autoRedefine/>
    <w:semiHidden/>
    <w:qFormat/>
    <w:uiPriority w:val="99"/>
    <w:rPr>
      <w:rFonts w:ascii="Times New Roman" w:hAnsi="Times New Roman" w:eastAsia="华文仿宋" w:cs="Times New Roman"/>
      <w:sz w:val="18"/>
      <w:szCs w:val="18"/>
    </w:rPr>
  </w:style>
  <w:style w:type="character" w:customStyle="1" w:styleId="17">
    <w:name w:val="页脚 Char"/>
    <w:basedOn w:val="14"/>
    <w:link w:val="9"/>
    <w:autoRedefine/>
    <w:semiHidden/>
    <w:qFormat/>
    <w:uiPriority w:val="99"/>
    <w:rPr>
      <w:rFonts w:ascii="Times New Roman" w:hAnsi="Times New Roman" w:eastAsia="华文仿宋" w:cs="Times New Roman"/>
      <w:sz w:val="18"/>
      <w:szCs w:val="18"/>
    </w:rPr>
  </w:style>
  <w:style w:type="character" w:customStyle="1" w:styleId="18">
    <w:name w:val="文档结构图 Char"/>
    <w:basedOn w:val="14"/>
    <w:link w:val="4"/>
    <w:autoRedefine/>
    <w:semiHidden/>
    <w:qFormat/>
    <w:uiPriority w:val="99"/>
    <w:rPr>
      <w:rFonts w:ascii="宋体" w:hAnsi="Times New Roman" w:eastAsia="宋体" w:cs="Times New Roman"/>
      <w:sz w:val="18"/>
      <w:szCs w:val="18"/>
    </w:rPr>
  </w:style>
  <w:style w:type="character" w:customStyle="1" w:styleId="19">
    <w:name w:val="批注框文本 Char"/>
    <w:basedOn w:val="14"/>
    <w:link w:val="8"/>
    <w:autoRedefine/>
    <w:semiHidden/>
    <w:qFormat/>
    <w:uiPriority w:val="99"/>
    <w:rPr>
      <w:rFonts w:ascii="Times New Roman" w:hAnsi="Times New Roman" w:eastAsia="华文仿宋" w:cs="Times New Roman"/>
      <w:sz w:val="18"/>
      <w:szCs w:val="18"/>
    </w:rPr>
  </w:style>
  <w:style w:type="character" w:customStyle="1" w:styleId="20">
    <w:name w:val="批注文字 Char"/>
    <w:basedOn w:val="14"/>
    <w:link w:val="5"/>
    <w:autoRedefine/>
    <w:qFormat/>
    <w:uiPriority w:val="0"/>
    <w:rPr>
      <w:rFonts w:ascii="Times New Roman" w:hAnsi="Times New Roman" w:eastAsia="华文仿宋" w:cs="Times New Roman"/>
      <w:sz w:val="32"/>
      <w:szCs w:val="24"/>
    </w:rPr>
  </w:style>
  <w:style w:type="character" w:customStyle="1" w:styleId="21">
    <w:name w:val="批注主题 Char"/>
    <w:basedOn w:val="20"/>
    <w:link w:val="11"/>
    <w:autoRedefine/>
    <w:semiHidden/>
    <w:qFormat/>
    <w:uiPriority w:val="99"/>
    <w:rPr>
      <w:rFonts w:ascii="Times New Roman" w:hAnsi="Times New Roman" w:eastAsia="华文仿宋" w:cs="Times New Roman"/>
      <w:b/>
      <w:bCs/>
      <w:sz w:val="32"/>
      <w:szCs w:val="24"/>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2102</Words>
  <Characters>2267</Characters>
  <Lines>10</Lines>
  <Paragraphs>3</Paragraphs>
  <TotalTime>36</TotalTime>
  <ScaleCrop>false</ScaleCrop>
  <LinksUpToDate>false</LinksUpToDate>
  <CharactersWithSpaces>2365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郭静</cp:lastModifiedBy>
  <cp:lastPrinted>2024-04-24T06:29:54Z</cp:lastPrinted>
  <dcterms:modified xsi:type="dcterms:W3CDTF">2024-04-25T01:49:34Z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A425E9F533F24DFD9B7D27CEBD5C8C9B_13</vt:lpwstr>
  </property>
</Properties>
</file>