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bookmarkStart w:id="0" w:name="_GoBack"/>
      <w:bookmarkEnd w:id="0"/>
    </w:p>
    <w:p>
      <w:pPr>
        <w:snapToGrid w:val="0"/>
        <w:jc w:val="center"/>
        <w:rPr>
          <w:b/>
          <w:sz w:val="24"/>
        </w:rPr>
      </w:pP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32"/>
          <w:szCs w:val="32"/>
        </w:rPr>
      </w:pPr>
      <w:r>
        <w:rPr>
          <w:rFonts w:hint="eastAsia" w:ascii="仿宋_GB2312" w:hAnsi="仿宋_GB2312" w:eastAsia="仿宋_GB2312" w:cs="仿宋_GB2312"/>
          <w:bCs/>
          <w:color w:val="auto"/>
          <w:spacing w:val="0"/>
          <w:szCs w:val="32"/>
        </w:rPr>
        <w:t>益高环评表〔202</w:t>
      </w:r>
      <w:r>
        <w:rPr>
          <w:rFonts w:hint="eastAsia" w:ascii="仿宋_GB2312" w:hAnsi="仿宋_GB2312" w:eastAsia="仿宋_GB2312" w:cs="仿宋_GB2312"/>
          <w:bCs/>
          <w:color w:val="auto"/>
          <w:spacing w:val="0"/>
          <w:szCs w:val="32"/>
          <w:lang w:val="en-US" w:eastAsia="zh-CN"/>
        </w:rPr>
        <w:t>4</w:t>
      </w:r>
      <w:r>
        <w:rPr>
          <w:rFonts w:hint="eastAsia" w:ascii="仿宋_GB2312" w:hAnsi="仿宋_GB2312" w:eastAsia="仿宋_GB2312" w:cs="仿宋_GB2312"/>
          <w:bCs/>
          <w:color w:val="auto"/>
          <w:spacing w:val="0"/>
          <w:szCs w:val="32"/>
        </w:rPr>
        <w:t>〕</w:t>
      </w:r>
      <w:r>
        <w:rPr>
          <w:rFonts w:hint="eastAsia" w:ascii="仿宋_GB2312" w:hAnsi="仿宋_GB2312" w:eastAsia="仿宋_GB2312" w:cs="仿宋_GB2312"/>
          <w:bCs/>
          <w:color w:val="auto"/>
          <w:spacing w:val="0"/>
          <w:szCs w:val="32"/>
          <w:lang w:val="en-US" w:eastAsia="zh-CN"/>
        </w:rPr>
        <w:t>6</w:t>
      </w:r>
      <w:r>
        <w:rPr>
          <w:rFonts w:hint="eastAsia" w:ascii="仿宋_GB2312" w:hAnsi="仿宋_GB2312" w:eastAsia="仿宋_GB2312" w:cs="仿宋_GB2312"/>
          <w:bCs/>
          <w:color w:val="auto"/>
          <w:spacing w:val="0"/>
          <w:szCs w:val="32"/>
        </w:rPr>
        <w:t>号</w:t>
      </w: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32"/>
          <w:szCs w:val="32"/>
          <w:lang w:val="en-US" w:eastAsia="zh-CN"/>
        </w:rPr>
      </w:pPr>
    </w:p>
    <w:p>
      <w:pPr>
        <w:tabs>
          <w:tab w:val="left" w:pos="6240"/>
        </w:tabs>
        <w:spacing w:line="560" w:lineRule="exact"/>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益阳市生态环境局</w:t>
      </w:r>
    </w:p>
    <w:p>
      <w:pPr>
        <w:tabs>
          <w:tab w:val="left" w:pos="6240"/>
        </w:tabs>
        <w:spacing w:line="560" w:lineRule="exact"/>
        <w:jc w:val="center"/>
        <w:rPr>
          <w:rFonts w:hint="eastAsia"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关于湖南泰禾新能源有限公司锂离子电池生产改扩建项目环境影响报告</w:t>
      </w:r>
      <w:r>
        <w:rPr>
          <w:rFonts w:hint="eastAsia" w:ascii="Times New Roman" w:hAnsi="Times New Roman" w:eastAsia="方正小标宋简体" w:cs="Times New Roman"/>
          <w:color w:val="000000"/>
          <w:sz w:val="44"/>
          <w:szCs w:val="44"/>
          <w:lang w:eastAsia="zh-CN"/>
        </w:rPr>
        <w:t>表</w:t>
      </w:r>
      <w:r>
        <w:rPr>
          <w:rFonts w:hint="eastAsia" w:ascii="Times New Roman" w:hAnsi="Times New Roman" w:eastAsia="方正小标宋简体" w:cs="Times New Roman"/>
          <w:color w:val="000000"/>
          <w:sz w:val="44"/>
          <w:szCs w:val="44"/>
        </w:rPr>
        <w:t>的批复</w:t>
      </w:r>
    </w:p>
    <w:p>
      <w:pPr>
        <w:spacing w:line="560" w:lineRule="exact"/>
        <w:rPr>
          <w:rFonts w:ascii="仿宋_GB2312" w:hAnsi="黑体" w:eastAsia="仿宋_GB2312"/>
          <w:color w:val="000000"/>
          <w:sz w:val="36"/>
          <w:szCs w:val="36"/>
        </w:rPr>
      </w:pPr>
    </w:p>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color w:val="000000"/>
          <w:spacing w:val="4"/>
          <w:szCs w:val="32"/>
          <w:lang w:eastAsia="zh-CN"/>
        </w:rPr>
      </w:pPr>
      <w:r>
        <w:rPr>
          <w:rFonts w:hint="eastAsia" w:ascii="仿宋_GB2312" w:hAnsi="仿宋_GB2312" w:eastAsia="仿宋_GB2312" w:cs="仿宋_GB2312"/>
          <w:color w:val="000000"/>
          <w:spacing w:val="4"/>
          <w:szCs w:val="32"/>
          <w:lang w:eastAsia="zh-CN"/>
        </w:rPr>
        <w:t>湖南泰禾新能源有限公司：</w:t>
      </w:r>
    </w:p>
    <w:p>
      <w:pPr>
        <w:keepNext w:val="0"/>
        <w:keepLines w:val="0"/>
        <w:pageBreakBefore w:val="0"/>
        <w:numPr>
          <w:ilvl w:val="0"/>
          <w:numId w:val="0"/>
        </w:numPr>
        <w:kinsoku/>
        <w:wordWrap w:val="0"/>
        <w:overflowPunct/>
        <w:topLinePunct w:val="0"/>
        <w:autoSpaceDE/>
        <w:autoSpaceDN/>
        <w:bidi w:val="0"/>
        <w:adjustRightInd/>
        <w:snapToGrid/>
        <w:spacing w:line="560" w:lineRule="exact"/>
        <w:ind w:leftChars="0" w:firstLine="656" w:firstLineChars="200"/>
        <w:textAlignment w:val="auto"/>
        <w:rPr>
          <w:rFonts w:hint="eastAsia" w:ascii="仿宋_GB2312" w:hAnsi="仿宋_GB2312" w:eastAsia="仿宋_GB2312" w:cs="仿宋_GB2312"/>
          <w:color w:val="000000"/>
          <w:spacing w:val="4"/>
          <w:szCs w:val="32"/>
          <w:lang w:eastAsia="zh-CN"/>
        </w:rPr>
      </w:pPr>
      <w:r>
        <w:rPr>
          <w:rFonts w:hint="eastAsia" w:ascii="仿宋_GB2312" w:hAnsi="仿宋_GB2312" w:eastAsia="仿宋_GB2312" w:cs="仿宋_GB2312"/>
          <w:color w:val="000000"/>
          <w:spacing w:val="4"/>
          <w:szCs w:val="32"/>
          <w:lang w:eastAsia="zh-CN"/>
        </w:rPr>
        <w:t>你公司关于《湖南泰禾新能源有限公司锂离子电池生产改扩建项目环境影响报告表》</w:t>
      </w:r>
      <w:r>
        <w:rPr>
          <w:rFonts w:hint="eastAsia" w:ascii="仿宋_GB2312" w:hAnsi="仿宋_GB2312" w:eastAsia="仿宋_GB2312" w:cs="仿宋_GB2312"/>
          <w:color w:val="000000"/>
          <w:kern w:val="2"/>
          <w:sz w:val="32"/>
          <w:szCs w:val="32"/>
          <w:lang w:val="en-US" w:eastAsia="zh-CN" w:bidi="ar-SA"/>
        </w:rPr>
        <w:t>申请批复的报告</w:t>
      </w:r>
      <w:r>
        <w:rPr>
          <w:rFonts w:hint="eastAsia" w:ascii="仿宋_GB2312" w:hAnsi="仿宋_GB2312" w:eastAsia="仿宋_GB2312" w:cs="仿宋_GB2312"/>
          <w:color w:val="000000"/>
          <w:spacing w:val="4"/>
          <w:szCs w:val="32"/>
          <w:lang w:val="en-US" w:eastAsia="zh-CN"/>
        </w:rPr>
        <w:t>及相关材料收悉</w:t>
      </w:r>
      <w:r>
        <w:rPr>
          <w:rFonts w:hint="eastAsia" w:ascii="仿宋_GB2312" w:hAnsi="仿宋_GB2312" w:eastAsia="仿宋_GB2312" w:cs="仿宋_GB2312"/>
          <w:color w:val="000000"/>
          <w:spacing w:val="4"/>
          <w:szCs w:val="32"/>
          <w:lang w:eastAsia="zh-CN"/>
        </w:rPr>
        <w:t>。</w:t>
      </w:r>
      <w:r>
        <w:rPr>
          <w:rFonts w:hint="eastAsia" w:ascii="仿宋_GB2312" w:hAnsi="仿宋_GB2312" w:eastAsia="仿宋_GB2312" w:cs="仿宋_GB2312"/>
          <w:color w:val="000000"/>
          <w:sz w:val="32"/>
          <w:szCs w:val="32"/>
          <w:lang w:val="en-US" w:eastAsia="zh-CN"/>
        </w:rPr>
        <w:t>经审查、研究，批复如下：</w:t>
      </w:r>
    </w:p>
    <w:p>
      <w:pPr>
        <w:keepNext w:val="0"/>
        <w:keepLines w:val="0"/>
        <w:pageBreakBefore w:val="0"/>
        <w:widowControl w:val="0"/>
        <w:numPr>
          <w:ilvl w:val="0"/>
          <w:numId w:val="2"/>
        </w:numPr>
        <w:kinsoku/>
        <w:wordWrap w:val="0"/>
        <w:overflowPunct/>
        <w:topLinePunct/>
        <w:autoSpaceDE/>
        <w:autoSpaceDN/>
        <w:bidi w:val="0"/>
        <w:adjustRightInd/>
        <w:snapToGrid/>
        <w:spacing w:line="560" w:lineRule="exact"/>
        <w:ind w:leftChars="0" w:firstLine="656" w:firstLineChars="200"/>
        <w:textAlignment w:val="auto"/>
        <w:rPr>
          <w:rFonts w:hint="eastAsia" w:ascii="仿宋_GB2312" w:hAnsi="仿宋_GB2312" w:eastAsia="仿宋_GB2312" w:cs="仿宋_GB2312"/>
          <w:color w:val="000000"/>
          <w:spacing w:val="4"/>
          <w:szCs w:val="32"/>
          <w:lang w:val="en-US" w:eastAsia="zh-CN"/>
        </w:rPr>
      </w:pPr>
      <w:r>
        <w:rPr>
          <w:rFonts w:hint="eastAsia" w:ascii="仿宋_GB2312" w:hAnsi="仿宋_GB2312" w:eastAsia="仿宋_GB2312" w:cs="仿宋_GB2312"/>
          <w:color w:val="000000"/>
          <w:spacing w:val="4"/>
          <w:szCs w:val="32"/>
          <w:lang w:val="en-US" w:eastAsia="zh-CN"/>
        </w:rPr>
        <w:t>湖南泰禾新能源有限公司原位于</w:t>
      </w:r>
      <w:r>
        <w:rPr>
          <w:rFonts w:hint="eastAsia" w:ascii="仿宋_GB2312" w:hAnsi="仿宋_GB2312" w:eastAsia="仿宋_GB2312" w:cs="仿宋_GB2312"/>
          <w:color w:val="auto"/>
          <w:spacing w:val="4"/>
          <w:szCs w:val="32"/>
          <w:lang w:val="en-US" w:eastAsia="zh-CN"/>
        </w:rPr>
        <w:t>益阳高新区东部产业园湖南云马华盛汽车科技有限公司1号</w:t>
      </w:r>
      <w:r>
        <w:rPr>
          <w:rFonts w:hint="eastAsia" w:ascii="仿宋_GB2312" w:hAnsi="仿宋_GB2312" w:eastAsia="仿宋_GB2312" w:cs="仿宋_GB2312"/>
          <w:color w:val="000000"/>
          <w:spacing w:val="4"/>
          <w:szCs w:val="32"/>
          <w:lang w:val="en-US" w:eastAsia="zh-CN"/>
        </w:rPr>
        <w:t>厂房，锂离子电池生产项目于2021年9月</w:t>
      </w:r>
      <w:r>
        <w:rPr>
          <w:rFonts w:hint="eastAsia" w:ascii="仿宋_GB2312" w:hAnsi="仿宋_GB2312" w:eastAsia="仿宋_GB2312" w:cs="仿宋_GB2312"/>
          <w:color w:val="000000"/>
          <w:kern w:val="2"/>
          <w:sz w:val="32"/>
          <w:szCs w:val="32"/>
          <w:lang w:val="en-US" w:eastAsia="zh-CN" w:bidi="ar-SA"/>
        </w:rPr>
        <w:t>经我局审批同意（益高环评表〔2021〕20号），该项目已建成一期工程</w:t>
      </w:r>
      <w:r>
        <w:rPr>
          <w:rFonts w:hint="eastAsia" w:ascii="仿宋_GB2312" w:hAnsi="仿宋_GB2312" w:eastAsia="仿宋_GB2312" w:cs="仿宋_GB2312"/>
          <w:color w:val="auto"/>
          <w:spacing w:val="4"/>
          <w:szCs w:val="32"/>
          <w:lang w:val="en-US" w:eastAsia="zh-CN"/>
        </w:rPr>
        <w:t>2条锂离子电池生产线。由于项目原厂房无法满足二期工程建设，公司</w:t>
      </w:r>
      <w:r>
        <w:rPr>
          <w:rFonts w:hint="eastAsia" w:ascii="仿宋_GB2312" w:hAnsi="仿宋_GB2312" w:eastAsia="仿宋_GB2312" w:cs="仿宋_GB2312"/>
          <w:color w:val="000000"/>
          <w:spacing w:val="4"/>
          <w:szCs w:val="32"/>
          <w:lang w:val="en-US" w:eastAsia="zh-CN"/>
        </w:rPr>
        <w:t>拟投资6000万元将现有</w:t>
      </w:r>
      <w:r>
        <w:rPr>
          <w:rFonts w:hint="eastAsia" w:ascii="仿宋_GB2312" w:hAnsi="仿宋_GB2312" w:eastAsia="仿宋_GB2312" w:cs="仿宋_GB2312"/>
          <w:color w:val="auto"/>
          <w:spacing w:val="4"/>
          <w:szCs w:val="32"/>
          <w:lang w:val="en-US" w:eastAsia="zh-CN"/>
        </w:rPr>
        <w:t>2条锂离子电池生产线整体</w:t>
      </w:r>
      <w:r>
        <w:rPr>
          <w:rFonts w:hint="eastAsia" w:ascii="仿宋_GB2312" w:hAnsi="仿宋_GB2312" w:eastAsia="仿宋_GB2312" w:cs="仿宋_GB2312"/>
          <w:color w:val="000000"/>
          <w:spacing w:val="4"/>
          <w:szCs w:val="32"/>
          <w:lang w:val="en-US" w:eastAsia="zh-CN"/>
        </w:rPr>
        <w:t>搬迁至</w:t>
      </w:r>
      <w:r>
        <w:rPr>
          <w:rFonts w:hint="eastAsia" w:ascii="仿宋_GB2312" w:hAnsi="仿宋_GB2312" w:eastAsia="仿宋_GB2312" w:cs="仿宋_GB2312"/>
          <w:color w:val="auto"/>
          <w:spacing w:val="4"/>
          <w:szCs w:val="32"/>
          <w:lang w:val="en-US" w:eastAsia="zh-CN"/>
        </w:rPr>
        <w:t>益阳高新区东部产业园标准化厂房A11栋(总建筑面积约1.27万平方米），再新建1条锂离子电池生产线，食堂、宿舍仍在原厂区宿舍楼。项目搬迁扩建后，可</w:t>
      </w:r>
      <w:r>
        <w:rPr>
          <w:rFonts w:hint="eastAsia" w:ascii="仿宋_GB2312" w:hAnsi="仿宋_GB2312" w:eastAsia="仿宋_GB2312" w:cs="仿宋_GB2312"/>
          <w:color w:val="000000"/>
          <w:spacing w:val="4"/>
          <w:szCs w:val="32"/>
          <w:lang w:val="en-US" w:eastAsia="zh-CN"/>
        </w:rPr>
        <w:t>年产锂离子电池3300万只。</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000000"/>
          <w:spacing w:val="4"/>
          <w:szCs w:val="32"/>
          <w:lang w:val="en-US" w:eastAsia="zh-CN"/>
        </w:rPr>
        <w:sectPr>
          <w:headerReference r:id="rId5" w:type="default"/>
          <w:pgSz w:w="11906" w:h="16838"/>
          <w:pgMar w:top="1701" w:right="1701" w:bottom="1701" w:left="1701" w:header="851" w:footer="992" w:gutter="0"/>
          <w:pgNumType w:fmt="decimal"/>
          <w:cols w:space="425" w:num="1"/>
          <w:docGrid w:type="lines" w:linePitch="312" w:charSpace="0"/>
        </w:sectPr>
      </w:pPr>
      <w:r>
        <w:rPr>
          <w:rFonts w:hint="eastAsia" w:ascii="仿宋_GB2312" w:hAnsi="仿宋_GB2312" w:eastAsia="仿宋_GB2312" w:cs="仿宋_GB2312"/>
          <w:color w:val="000000"/>
          <w:spacing w:val="4"/>
          <w:szCs w:val="32"/>
          <w:lang w:val="en-US" w:eastAsia="zh-CN"/>
        </w:rPr>
        <w:t>项目符合国家产业政策，符合湖南省“三线一单”生态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color w:val="000000"/>
          <w:spacing w:val="4"/>
          <w:szCs w:val="32"/>
          <w:lang w:val="en-US" w:eastAsia="zh-CN"/>
        </w:rPr>
        <w:t>环境</w:t>
      </w:r>
      <w:r>
        <w:rPr>
          <w:rFonts w:hint="eastAsia" w:ascii="仿宋_GB2312" w:hAnsi="仿宋_GB2312" w:eastAsia="仿宋_GB2312" w:cs="仿宋_GB2312"/>
          <w:color w:val="000000"/>
          <w:sz w:val="32"/>
          <w:szCs w:val="32"/>
          <w:lang w:val="en-US" w:eastAsia="zh-CN"/>
        </w:rPr>
        <w:t>总体</w:t>
      </w:r>
      <w:r>
        <w:rPr>
          <w:rFonts w:hint="eastAsia" w:ascii="仿宋_GB2312" w:hAnsi="仿宋_GB2312" w:eastAsia="仿宋_GB2312" w:cs="仿宋_GB2312"/>
          <w:color w:val="000000"/>
          <w:spacing w:val="4"/>
          <w:szCs w:val="32"/>
          <w:lang w:val="en-US" w:eastAsia="zh-CN"/>
        </w:rPr>
        <w:t>管控要求和</w:t>
      </w:r>
      <w:r>
        <w:rPr>
          <w:rFonts w:hint="eastAsia" w:ascii="仿宋_GB2312" w:hAnsi="仿宋_GB2312" w:eastAsia="仿宋_GB2312" w:cs="仿宋_GB2312"/>
          <w:color w:val="000000"/>
          <w:sz w:val="32"/>
          <w:szCs w:val="32"/>
          <w:lang w:val="en-US" w:eastAsia="zh-CN"/>
        </w:rPr>
        <w:t>益阳高新技术产业开发区生态环境准入清单要求。</w:t>
      </w:r>
      <w:r>
        <w:rPr>
          <w:rFonts w:hint="eastAsia" w:ascii="仿宋_GB2312" w:hAnsi="仿宋_GB2312" w:eastAsia="仿宋_GB2312" w:cs="仿宋_GB2312"/>
          <w:color w:val="000000"/>
          <w:spacing w:val="4"/>
          <w:szCs w:val="32"/>
          <w:lang w:val="en-US" w:eastAsia="zh-CN"/>
        </w:rPr>
        <w:t>根据湖南葆华环保科技有限公司编制的环评报告表的分析结论，在建设单位认真落实报告表和本批复提出的各项生态环境保护措施，确保各项污染物稳定达标排放的前提下，我局原则同意</w:t>
      </w:r>
      <w:r>
        <w:rPr>
          <w:rFonts w:hint="eastAsia" w:ascii="仿宋_GB2312" w:hAnsi="仿宋_GB2312" w:eastAsia="仿宋_GB2312" w:cs="仿宋_GB2312"/>
          <w:szCs w:val="32"/>
          <w:lang w:eastAsia="zh-CN"/>
        </w:rPr>
        <w:t>项目</w:t>
      </w:r>
      <w:r>
        <w:rPr>
          <w:rFonts w:hint="eastAsia" w:ascii="仿宋_GB2312" w:hAnsi="仿宋_GB2312" w:eastAsia="仿宋_GB2312" w:cs="仿宋_GB2312"/>
          <w:szCs w:val="32"/>
        </w:rPr>
        <w:t>的选址及建设。</w:t>
      </w:r>
    </w:p>
    <w:p>
      <w:pPr>
        <w:keepNext w:val="0"/>
        <w:keepLines w:val="0"/>
        <w:pageBreakBefore w:val="0"/>
        <w:numPr>
          <w:ilvl w:val="0"/>
          <w:numId w:val="0"/>
        </w:numPr>
        <w:kinsoku/>
        <w:wordWrap w:val="0"/>
        <w:overflowPunct/>
        <w:topLinePunct w:val="0"/>
        <w:autoSpaceDE/>
        <w:autoSpaceDN/>
        <w:bidi w:val="0"/>
        <w:adjustRightInd/>
        <w:snapToGrid/>
        <w:spacing w:line="560" w:lineRule="exact"/>
        <w:ind w:leftChars="0" w:firstLine="656" w:firstLineChars="200"/>
        <w:textAlignment w:val="auto"/>
        <w:rPr>
          <w:rFonts w:hint="eastAsia" w:ascii="仿宋_GB2312" w:hAnsi="仿宋_GB2312" w:eastAsia="仿宋_GB2312" w:cs="仿宋_GB2312"/>
          <w:color w:val="000000"/>
          <w:spacing w:val="4"/>
          <w:szCs w:val="32"/>
          <w:lang w:val="en-US" w:eastAsia="zh-CN"/>
        </w:rPr>
      </w:pPr>
      <w:r>
        <w:rPr>
          <w:rFonts w:hint="eastAsia" w:ascii="仿宋_GB2312" w:hAnsi="仿宋_GB2312" w:eastAsia="仿宋_GB2312" w:cs="仿宋_GB2312"/>
          <w:color w:val="000000"/>
          <w:spacing w:val="4"/>
          <w:szCs w:val="32"/>
          <w:lang w:val="en-US" w:eastAsia="zh-CN"/>
        </w:rPr>
        <w:t>二、你公司在工程设计、建设和生产营运管理中，</w:t>
      </w:r>
      <w:r>
        <w:rPr>
          <w:rFonts w:hint="eastAsia" w:ascii="仿宋_GB2312" w:hAnsi="仿宋_GB2312" w:eastAsia="仿宋_GB2312" w:cs="仿宋_GB2312"/>
          <w:color w:val="000000"/>
          <w:sz w:val="32"/>
          <w:szCs w:val="32"/>
          <w:lang w:val="en-US" w:eastAsia="zh-CN"/>
        </w:rPr>
        <w:t>必须落实环评提出的各项污染防治和风险防范措施要求，着重做好以下工作：</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cs="Times New Roman"/>
          <w:szCs w:val="32"/>
          <w:lang w:val="en-US" w:eastAsia="zh-CN"/>
        </w:rPr>
      </w:pPr>
      <w:r>
        <w:rPr>
          <w:rFonts w:hint="default" w:ascii="Times New Roman" w:hAnsi="Times New Roman" w:eastAsia="楷体_GB2312" w:cs="Times New Roman"/>
          <w:color w:val="000000"/>
          <w:spacing w:val="4"/>
          <w:szCs w:val="32"/>
        </w:rPr>
        <w:t>（一）严格履行建设单位的环保主体责任，加强环境管理。</w:t>
      </w:r>
      <w:r>
        <w:rPr>
          <w:rFonts w:hint="eastAsia" w:ascii="仿宋_GB2312" w:hAnsi="仿宋_GB2312" w:eastAsia="仿宋_GB2312" w:cs="仿宋_GB2312"/>
          <w:color w:val="000000"/>
          <w:spacing w:val="4"/>
          <w:szCs w:val="32"/>
          <w:lang w:val="en-US" w:eastAsia="zh-CN"/>
        </w:rPr>
        <w:t>建立环保规章制度和岗位责任制，配备专职环保管理人员；加强生产台账和环保台账的登记管理，做到有据可查；定期对污染防治设施进行检查和维修，确保环保设施稳定正常运行和污染物稳定达标排放；</w:t>
      </w:r>
      <w:r>
        <w:rPr>
          <w:rFonts w:hint="eastAsia" w:ascii="仿宋_GB2312" w:hAnsi="仿宋_GB2312" w:eastAsia="仿宋_GB2312" w:cs="仿宋_GB2312"/>
          <w:szCs w:val="32"/>
          <w:lang w:val="en-US" w:eastAsia="zh-CN"/>
        </w:rPr>
        <w:t>清洁生产指标宜达到《电池行业清洁生产评价指标体系》中国内清洁生产先进水平。制定环境风险事故应急预案，落实事故风险防范措施，切实防范各类环境风险事故。</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60" w:lineRule="exact"/>
        <w:ind w:leftChars="0" w:firstLine="656" w:firstLineChars="200"/>
        <w:jc w:val="left"/>
        <w:textAlignment w:val="auto"/>
        <w:rPr>
          <w:rFonts w:hint="eastAsia" w:ascii="仿宋_GB2312" w:hAnsi="仿宋_GB2312" w:eastAsia="仿宋_GB2312" w:cs="仿宋_GB2312"/>
          <w:i w:val="0"/>
          <w:iCs w:val="0"/>
          <w:color w:val="auto"/>
          <w:spacing w:val="0"/>
          <w:szCs w:val="32"/>
          <w:lang w:val="en-US"/>
        </w:rPr>
      </w:pPr>
      <w:r>
        <w:rPr>
          <w:rFonts w:hint="default" w:ascii="Times New Roman" w:hAnsi="Times New Roman" w:eastAsia="楷体_GB2312" w:cs="Times New Roman"/>
          <w:color w:val="000000"/>
          <w:spacing w:val="4"/>
          <w:szCs w:val="32"/>
        </w:rPr>
        <w:t>（</w:t>
      </w:r>
      <w:r>
        <w:rPr>
          <w:rFonts w:hint="default" w:ascii="Times New Roman" w:hAnsi="Times New Roman" w:eastAsia="楷体_GB2312" w:cs="Times New Roman"/>
          <w:color w:val="000000"/>
          <w:spacing w:val="4"/>
          <w:szCs w:val="32"/>
          <w:lang w:eastAsia="zh-CN"/>
        </w:rPr>
        <w:t>二</w:t>
      </w:r>
      <w:r>
        <w:rPr>
          <w:rFonts w:hint="default" w:ascii="Times New Roman" w:hAnsi="Times New Roman" w:eastAsia="楷体_GB2312" w:cs="Times New Roman"/>
          <w:color w:val="000000"/>
          <w:spacing w:val="4"/>
          <w:szCs w:val="32"/>
        </w:rPr>
        <w:t>）落实大气污染防治措施。</w:t>
      </w:r>
      <w:r>
        <w:rPr>
          <w:rFonts w:hint="eastAsia" w:ascii="仿宋_GB2312" w:hAnsi="仿宋_GB2312" w:eastAsia="仿宋_GB2312" w:cs="仿宋_GB2312"/>
          <w:color w:val="auto"/>
          <w:spacing w:val="4"/>
          <w:szCs w:val="32"/>
          <w:lang w:val="en-US" w:eastAsia="zh-CN"/>
        </w:rPr>
        <w:t>注液工序</w:t>
      </w:r>
      <w:r>
        <w:rPr>
          <w:rFonts w:hint="eastAsia" w:ascii="仿宋_GB2312" w:hAnsi="仿宋_GB2312" w:eastAsia="仿宋_GB2312" w:cs="仿宋_GB2312"/>
          <w:kern w:val="2"/>
          <w:sz w:val="32"/>
          <w:szCs w:val="32"/>
          <w:lang w:val="en-US" w:eastAsia="zh-CN" w:bidi="ar-SA"/>
        </w:rPr>
        <w:t>产生的有机废气由</w:t>
      </w:r>
      <w:r>
        <w:rPr>
          <w:rFonts w:hint="eastAsia" w:ascii="仿宋_GB2312" w:hAnsi="仿宋_GB2312" w:eastAsia="仿宋_GB2312" w:cs="仿宋_GB2312"/>
          <w:color w:val="auto"/>
          <w:kern w:val="2"/>
          <w:sz w:val="32"/>
          <w:szCs w:val="32"/>
          <w:lang w:val="en-US" w:eastAsia="zh-CN" w:bidi="ar-SA"/>
        </w:rPr>
        <w:t>集气管道</w:t>
      </w:r>
      <w:r>
        <w:rPr>
          <w:rFonts w:hint="eastAsia" w:ascii="仿宋_GB2312" w:hAnsi="仿宋_GB2312" w:eastAsia="仿宋_GB2312" w:cs="仿宋_GB2312"/>
          <w:kern w:val="2"/>
          <w:sz w:val="32"/>
          <w:szCs w:val="32"/>
          <w:lang w:val="en-US" w:eastAsia="zh-CN" w:bidi="ar-SA"/>
        </w:rPr>
        <w:t>收集引入</w:t>
      </w:r>
      <w:r>
        <w:rPr>
          <w:rFonts w:hint="eastAsia" w:ascii="仿宋_GB2312" w:hAnsi="仿宋_GB2312" w:eastAsia="仿宋_GB2312" w:cs="仿宋_GB2312"/>
          <w:color w:val="auto"/>
          <w:spacing w:val="4"/>
          <w:szCs w:val="32"/>
          <w:lang w:val="en-US" w:eastAsia="zh-CN"/>
        </w:rPr>
        <w:t>活性炭吸附装置处理后通过24米高的排气筒（DA001）排放，正极涂布、烘干</w:t>
      </w:r>
      <w:r>
        <w:rPr>
          <w:rFonts w:hint="eastAsia" w:ascii="仿宋_GB2312" w:hAnsi="仿宋_GB2312" w:eastAsia="仿宋_GB2312" w:cs="仿宋_GB2312"/>
          <w:kern w:val="2"/>
          <w:sz w:val="32"/>
          <w:szCs w:val="32"/>
          <w:lang w:val="en-US" w:eastAsia="zh-CN" w:bidi="ar-SA"/>
        </w:rPr>
        <w:t>产生的NMP废气由集气装置收集引入</w:t>
      </w:r>
      <w:r>
        <w:rPr>
          <w:rFonts w:hint="eastAsia" w:ascii="仿宋_GB2312" w:hAnsi="仿宋_GB2312" w:eastAsia="仿宋_GB2312" w:cs="仿宋_GB2312"/>
          <w:color w:val="auto"/>
          <w:spacing w:val="4"/>
          <w:szCs w:val="32"/>
          <w:lang w:val="en-US" w:eastAsia="zh-CN"/>
        </w:rPr>
        <w:t>冷凝回收+喷淋吸附</w:t>
      </w:r>
      <w:r>
        <w:rPr>
          <w:rFonts w:hint="eastAsia" w:ascii="仿宋_GB2312" w:hAnsi="仿宋_GB2312" w:eastAsia="仿宋_GB2312" w:cs="仿宋_GB2312"/>
          <w:kern w:val="2"/>
          <w:sz w:val="32"/>
          <w:szCs w:val="32"/>
          <w:lang w:val="en-US" w:eastAsia="zh-CN" w:bidi="ar-SA"/>
        </w:rPr>
        <w:t>装置</w:t>
      </w:r>
      <w:r>
        <w:rPr>
          <w:rFonts w:hint="eastAsia" w:ascii="仿宋_GB2312" w:hAnsi="仿宋_GB2312" w:eastAsia="仿宋_GB2312" w:cs="仿宋_GB2312"/>
          <w:color w:val="auto"/>
          <w:spacing w:val="4"/>
          <w:szCs w:val="32"/>
          <w:lang w:val="en-US" w:eastAsia="zh-CN"/>
        </w:rPr>
        <w:t>处理后通过24米高的排气筒（DA002～DA004）排放，配料粉尘采用工业吸尘器处理后</w:t>
      </w:r>
      <w:r>
        <w:rPr>
          <w:rFonts w:hint="eastAsia" w:ascii="仿宋_GB2312" w:hAnsi="仿宋_GB2312" w:eastAsia="仿宋_GB2312" w:cs="仿宋_GB2312"/>
          <w:kern w:val="2"/>
          <w:sz w:val="32"/>
          <w:szCs w:val="32"/>
          <w:lang w:val="en-US" w:eastAsia="zh-CN" w:bidi="ar-SA"/>
        </w:rPr>
        <w:t>在密闭车间内</w:t>
      </w:r>
      <w:r>
        <w:rPr>
          <w:rFonts w:hint="eastAsia" w:ascii="仿宋_GB2312" w:hAnsi="仿宋_GB2312" w:eastAsia="仿宋_GB2312" w:cs="仿宋_GB2312"/>
          <w:color w:val="auto"/>
          <w:spacing w:val="4"/>
          <w:szCs w:val="32"/>
          <w:lang w:val="en-US" w:eastAsia="zh-CN"/>
        </w:rPr>
        <w:t>无组织排放，确保外排污染物满足《电池工业污染物排放标准》（GB30484-2013）表5中新建企</w:t>
      </w:r>
      <w:r>
        <w:rPr>
          <w:rFonts w:hint="eastAsia" w:ascii="仿宋_GB2312" w:hAnsi="仿宋_GB2312" w:eastAsia="仿宋_GB2312" w:cs="仿宋_GB2312"/>
          <w:color w:val="000000"/>
          <w:spacing w:val="4"/>
          <w:szCs w:val="32"/>
          <w:lang w:val="en-US" w:eastAsia="zh-CN"/>
        </w:rPr>
        <w:t>业大气污染物排放限值和表6企业边界大气污染物浓度限值要求；</w:t>
      </w:r>
      <w:r>
        <w:rPr>
          <w:rFonts w:hint="eastAsia" w:ascii="仿宋_GB2312" w:hAnsi="仿宋_GB2312" w:eastAsia="仿宋_GB2312" w:cs="仿宋_GB2312"/>
          <w:color w:val="auto"/>
          <w:spacing w:val="4"/>
          <w:szCs w:val="32"/>
          <w:lang w:val="en-US" w:eastAsia="zh-CN"/>
        </w:rPr>
        <w:t>负极涂布、烘干产生的水蒸气通过20.5米高的排气筒（DA005～DA007）排放；</w:t>
      </w:r>
      <w:r>
        <w:rPr>
          <w:rFonts w:hint="eastAsia" w:ascii="仿宋_GB2312" w:hAnsi="仿宋_GB2312" w:eastAsia="仿宋_GB2312" w:cs="仿宋_GB2312"/>
          <w:color w:val="000000"/>
          <w:spacing w:val="4"/>
          <w:szCs w:val="32"/>
          <w:lang w:val="en-US" w:eastAsia="zh-CN"/>
        </w:rPr>
        <w:t>食堂油烟经油烟净化装置处理达到《饮食业油烟排放标准(试行)》(GB18483-2001)要求后高于屋顶排放。</w:t>
      </w:r>
    </w:p>
    <w:p>
      <w:pPr>
        <w:keepNext w:val="0"/>
        <w:keepLines w:val="0"/>
        <w:pageBreakBefore w:val="0"/>
        <w:kinsoku/>
        <w:wordWrap w:val="0"/>
        <w:overflowPunct/>
        <w:topLinePunct w:val="0"/>
        <w:autoSpaceDE/>
        <w:autoSpaceDN/>
        <w:bidi w:val="0"/>
        <w:adjustRightInd/>
        <w:snapToGrid/>
        <w:spacing w:line="560" w:lineRule="exact"/>
        <w:ind w:leftChars="0" w:firstLine="656" w:firstLineChars="200"/>
        <w:textAlignment w:val="auto"/>
        <w:rPr>
          <w:rFonts w:hint="eastAsia" w:ascii="仿宋_GB2312" w:hAnsi="仿宋_GB2312" w:eastAsia="仿宋_GB2312" w:cs="仿宋_GB2312"/>
          <w:color w:val="auto"/>
          <w:spacing w:val="4"/>
          <w:szCs w:val="32"/>
          <w:lang w:val="en-US" w:eastAsia="zh-CN"/>
        </w:rPr>
      </w:pPr>
      <w:r>
        <w:rPr>
          <w:rFonts w:hint="default" w:ascii="Times New Roman" w:hAnsi="Times New Roman" w:eastAsia="楷体_GB2312" w:cs="Times New Roman"/>
          <w:color w:val="000000"/>
          <w:spacing w:val="4"/>
          <w:szCs w:val="32"/>
        </w:rPr>
        <w:t>（</w:t>
      </w:r>
      <w:r>
        <w:rPr>
          <w:rFonts w:hint="default" w:ascii="Times New Roman" w:hAnsi="Times New Roman" w:eastAsia="楷体_GB2312" w:cs="Times New Roman"/>
          <w:color w:val="000000"/>
          <w:spacing w:val="4"/>
          <w:szCs w:val="32"/>
          <w:lang w:eastAsia="zh-CN"/>
        </w:rPr>
        <w:t>三</w:t>
      </w:r>
      <w:r>
        <w:rPr>
          <w:rFonts w:hint="default" w:ascii="Times New Roman" w:hAnsi="Times New Roman" w:eastAsia="楷体_GB2312" w:cs="Times New Roman"/>
          <w:color w:val="000000"/>
          <w:spacing w:val="4"/>
          <w:szCs w:val="32"/>
        </w:rPr>
        <w:t>）落实水污染防治措施</w:t>
      </w:r>
      <w:r>
        <w:rPr>
          <w:rFonts w:hint="default" w:ascii="Times New Roman" w:hAnsi="Times New Roman" w:eastAsia="仿宋_GB2312" w:cs="Times New Roman"/>
          <w:color w:val="000000"/>
          <w:spacing w:val="4"/>
          <w:szCs w:val="32"/>
        </w:rPr>
        <w:t>。</w:t>
      </w:r>
      <w:r>
        <w:rPr>
          <w:rFonts w:hint="eastAsia" w:ascii="仿宋_GB2312" w:hAnsi="仿宋_GB2312" w:eastAsia="仿宋_GB2312" w:cs="仿宋_GB2312"/>
          <w:color w:val="000000"/>
          <w:spacing w:val="4"/>
          <w:szCs w:val="32"/>
          <w:lang w:val="en-US" w:eastAsia="zh-CN"/>
        </w:rPr>
        <w:t>厂区排水必须实行雨污分流</w:t>
      </w:r>
      <w:r>
        <w:rPr>
          <w:rFonts w:hint="eastAsia" w:ascii="仿宋_GB2312" w:hAnsi="仿宋_GB2312" w:eastAsia="仿宋_GB2312" w:cs="仿宋_GB2312"/>
          <w:bCs/>
          <w:sz w:val="32"/>
          <w:szCs w:val="32"/>
        </w:rPr>
        <w:t>并规范设置排口</w:t>
      </w:r>
      <w:r>
        <w:rPr>
          <w:rFonts w:hint="eastAsia" w:ascii="仿宋_GB2312" w:hAnsi="仿宋_GB2312" w:eastAsia="仿宋_GB2312" w:cs="仿宋_GB2312"/>
          <w:color w:val="000000"/>
          <w:spacing w:val="4"/>
          <w:szCs w:val="32"/>
          <w:lang w:val="en-US" w:eastAsia="zh-CN"/>
        </w:rPr>
        <w:t>。</w:t>
      </w:r>
      <w:r>
        <w:rPr>
          <w:rFonts w:hint="eastAsia" w:ascii="仿宋_GB2312" w:hAnsi="仿宋_GB2312" w:eastAsia="仿宋_GB2312" w:cs="仿宋_GB2312"/>
          <w:color w:val="000000"/>
          <w:spacing w:val="4"/>
          <w:szCs w:val="32"/>
          <w:highlight w:val="none"/>
          <w:lang w:val="en-US" w:eastAsia="zh-CN"/>
        </w:rPr>
        <w:t>设备冷却水</w:t>
      </w:r>
      <w:r>
        <w:rPr>
          <w:rFonts w:hint="eastAsia" w:ascii="仿宋_GB2312" w:hAnsi="仿宋_GB2312" w:eastAsia="仿宋_GB2312" w:cs="仿宋_GB2312"/>
          <w:color w:val="auto"/>
          <w:spacing w:val="4"/>
          <w:szCs w:val="32"/>
          <w:highlight w:val="none"/>
          <w:lang w:val="en-US" w:eastAsia="zh-CN"/>
        </w:rPr>
        <w:t>（冷凝水）循环使用，不外排；NMP废气喷淋水循环使用，不外</w:t>
      </w:r>
      <w:r>
        <w:rPr>
          <w:rFonts w:hint="eastAsia" w:ascii="仿宋_GB2312" w:hAnsi="仿宋_GB2312" w:eastAsia="仿宋_GB2312" w:cs="仿宋_GB2312"/>
          <w:color w:val="000000"/>
          <w:spacing w:val="4"/>
          <w:szCs w:val="32"/>
          <w:highlight w:val="none"/>
          <w:lang w:val="en-US" w:eastAsia="zh-CN"/>
        </w:rPr>
        <w:t>排，定期外委具备相应资质的原料供应商回收处理；</w:t>
      </w:r>
      <w:r>
        <w:rPr>
          <w:rFonts w:hint="eastAsia" w:ascii="仿宋_GB2312" w:hAnsi="仿宋_GB2312" w:eastAsia="仿宋_GB2312" w:cs="仿宋_GB2312"/>
          <w:color w:val="000000"/>
          <w:spacing w:val="4"/>
          <w:szCs w:val="32"/>
          <w:lang w:val="en-US" w:eastAsia="zh-CN"/>
        </w:rPr>
        <w:t>生产设备冲洗废水、衣物清洗废水进入厂内污水处理站经“</w:t>
      </w:r>
      <w:r>
        <w:rPr>
          <w:rFonts w:hint="eastAsia" w:ascii="仿宋_GB2312" w:hAnsi="仿宋_GB2312" w:eastAsia="仿宋_GB2312" w:cs="仿宋_GB2312"/>
          <w:color w:val="auto"/>
          <w:spacing w:val="4"/>
          <w:szCs w:val="32"/>
          <w:lang w:val="en-US" w:eastAsia="zh-CN"/>
        </w:rPr>
        <w:t>格栅+调节池+混凝沉淀+生物接触氧化”</w:t>
      </w:r>
      <w:r>
        <w:rPr>
          <w:rFonts w:hint="eastAsia" w:ascii="仿宋_GB2312" w:hAnsi="仿宋_GB2312" w:eastAsia="仿宋_GB2312" w:cs="仿宋_GB2312"/>
          <w:color w:val="000000"/>
          <w:spacing w:val="4"/>
          <w:szCs w:val="32"/>
          <w:lang w:val="en-US" w:eastAsia="zh-CN"/>
        </w:rPr>
        <w:t>工艺处理达到《电池工业污染物排放标准》（GB30484-2013）表2中</w:t>
      </w:r>
      <w:r>
        <w:rPr>
          <w:rFonts w:hint="eastAsia" w:ascii="仿宋_GB2312" w:hAnsi="仿宋_GB2312" w:eastAsia="仿宋_GB2312" w:cs="仿宋_GB2312"/>
          <w:kern w:val="2"/>
          <w:sz w:val="32"/>
          <w:szCs w:val="32"/>
          <w:lang w:val="en-US" w:eastAsia="zh-CN" w:bidi="ar-SA"/>
        </w:rPr>
        <w:t>间接</w:t>
      </w:r>
      <w:r>
        <w:rPr>
          <w:rFonts w:hint="eastAsia" w:ascii="仿宋_GB2312" w:hAnsi="仿宋_GB2312" w:eastAsia="仿宋_GB2312" w:cs="仿宋_GB2312"/>
          <w:color w:val="000000"/>
          <w:spacing w:val="4"/>
          <w:szCs w:val="32"/>
          <w:lang w:val="en-US" w:eastAsia="zh-CN"/>
        </w:rPr>
        <w:t>排放限值要求；生活污水经隔油池和化粪池处理达到</w:t>
      </w:r>
      <w:r>
        <w:rPr>
          <w:rFonts w:hint="eastAsia" w:ascii="仿宋_GB2312" w:hAnsi="仿宋_GB2312" w:eastAsia="仿宋_GB2312" w:cs="仿宋_GB2312"/>
          <w:color w:val="auto"/>
          <w:spacing w:val="4"/>
          <w:szCs w:val="32"/>
          <w:lang w:val="en-US" w:eastAsia="zh-CN"/>
        </w:rPr>
        <w:t>《污水综合排放标准》（GB8978-1996）三级标准，纯水制备</w:t>
      </w:r>
      <w:r>
        <w:rPr>
          <w:rFonts w:hint="eastAsia" w:ascii="仿宋_GB2312" w:hAnsi="仿宋_GB2312" w:eastAsia="仿宋_GB2312" w:cs="仿宋_GB2312"/>
          <w:kern w:val="2"/>
          <w:sz w:val="32"/>
          <w:szCs w:val="32"/>
          <w:lang w:val="en-US" w:eastAsia="zh-CN" w:bidi="ar-SA"/>
        </w:rPr>
        <w:t>浓水和</w:t>
      </w:r>
      <w:r>
        <w:rPr>
          <w:rFonts w:hint="eastAsia" w:ascii="仿宋_GB2312" w:hAnsi="仿宋_GB2312" w:eastAsia="仿宋_GB2312" w:cs="仿宋_GB2312"/>
          <w:color w:val="auto"/>
          <w:spacing w:val="4"/>
          <w:szCs w:val="32"/>
          <w:lang w:val="en-US" w:eastAsia="zh-CN"/>
        </w:rPr>
        <w:t>以上经处理后的生产废水、生活污水分别进入园区市政污水管网排入</w:t>
      </w:r>
      <w:r>
        <w:rPr>
          <w:rFonts w:hint="eastAsia" w:ascii="仿宋_GB2312" w:hAnsi="仿宋_GB2312" w:eastAsia="仿宋_GB2312" w:cs="仿宋_GB2312"/>
          <w:szCs w:val="32"/>
        </w:rPr>
        <w:t>益阳市东部新区污水处理厂</w:t>
      </w:r>
      <w:r>
        <w:rPr>
          <w:rFonts w:hint="eastAsia" w:ascii="仿宋_GB2312" w:hAnsi="仿宋_GB2312" w:eastAsia="仿宋_GB2312" w:cs="仿宋_GB2312"/>
          <w:color w:val="auto"/>
          <w:spacing w:val="4"/>
          <w:szCs w:val="32"/>
          <w:lang w:val="en-US" w:eastAsia="zh-CN"/>
        </w:rPr>
        <w:t>进行深度处理。</w:t>
      </w:r>
    </w:p>
    <w:p>
      <w:pPr>
        <w:keepNext w:val="0"/>
        <w:keepLines w:val="0"/>
        <w:pageBreakBefore w:val="0"/>
        <w:kinsoku/>
        <w:wordWrap w:val="0"/>
        <w:overflowPunct/>
        <w:topLinePunct w:val="0"/>
        <w:autoSpaceDE/>
        <w:autoSpaceDN/>
        <w:bidi w:val="0"/>
        <w:adjustRightInd/>
        <w:snapToGrid/>
        <w:spacing w:line="560" w:lineRule="exact"/>
        <w:ind w:leftChars="0" w:firstLine="656" w:firstLineChars="200"/>
        <w:textAlignment w:val="auto"/>
        <w:rPr>
          <w:rFonts w:hint="default" w:ascii="Times New Roman" w:hAnsi="Times New Roman" w:eastAsia="仿宋_GB2312" w:cs="Times New Roman"/>
          <w:color w:val="000000"/>
          <w:spacing w:val="4"/>
          <w:szCs w:val="32"/>
          <w:lang w:val="en-US" w:eastAsia="zh-CN"/>
        </w:rPr>
      </w:pPr>
      <w:r>
        <w:rPr>
          <w:rFonts w:hint="default" w:ascii="Times New Roman" w:hAnsi="Times New Roman" w:eastAsia="楷体_GB2312" w:cs="Times New Roman"/>
          <w:color w:val="000000"/>
          <w:spacing w:val="4"/>
          <w:szCs w:val="32"/>
        </w:rPr>
        <w:t>（</w:t>
      </w:r>
      <w:r>
        <w:rPr>
          <w:rFonts w:hint="default" w:ascii="Times New Roman" w:hAnsi="Times New Roman" w:eastAsia="楷体_GB2312" w:cs="Times New Roman"/>
          <w:color w:val="000000"/>
          <w:spacing w:val="4"/>
          <w:szCs w:val="32"/>
          <w:lang w:eastAsia="zh-CN"/>
        </w:rPr>
        <w:t>四</w:t>
      </w:r>
      <w:r>
        <w:rPr>
          <w:rFonts w:hint="default" w:ascii="Times New Roman" w:hAnsi="Times New Roman" w:eastAsia="楷体_GB2312" w:cs="Times New Roman"/>
          <w:color w:val="000000"/>
          <w:spacing w:val="4"/>
          <w:szCs w:val="32"/>
        </w:rPr>
        <w:t>）落实噪声污染防治措施。</w:t>
      </w:r>
      <w:r>
        <w:rPr>
          <w:rFonts w:hint="eastAsia" w:ascii="仿宋_GB2312" w:hAnsi="仿宋_GB2312" w:eastAsia="仿宋_GB2312" w:cs="仿宋_GB2312"/>
          <w:color w:val="000000"/>
          <w:spacing w:val="4"/>
          <w:szCs w:val="32"/>
          <w:lang w:val="en-US" w:eastAsia="zh-CN"/>
        </w:rPr>
        <w:t>合理优化总平面布置和设备的选型，对高噪声设备采取减震、消声、隔声等措施，合理安排生产时间，确保厂界噪声符合《工业企业厂界环境噪声排放标准》（GB12348-2008）中3、4类区标准要求。</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firstLine="656" w:firstLineChars="200"/>
        <w:jc w:val="both"/>
        <w:textAlignment w:val="auto"/>
        <w:rPr>
          <w:rFonts w:hint="eastAsia" w:ascii="仿宋_GB2312" w:hAnsi="仿宋_GB2312" w:eastAsia="仿宋_GB2312" w:cs="仿宋_GB2312"/>
          <w:color w:val="000000"/>
          <w:spacing w:val="4"/>
          <w:kern w:val="2"/>
          <w:sz w:val="32"/>
          <w:szCs w:val="32"/>
          <w:lang w:val="en-US" w:eastAsia="zh-CN" w:bidi="ar-SA"/>
        </w:rPr>
      </w:pPr>
      <w:r>
        <w:rPr>
          <w:rFonts w:hint="default" w:ascii="Times New Roman" w:hAnsi="Times New Roman" w:eastAsia="楷体_GB2312" w:cs="Times New Roman"/>
          <w:color w:val="000000"/>
          <w:spacing w:val="4"/>
          <w:szCs w:val="32"/>
          <w:lang w:eastAsia="zh-CN"/>
        </w:rPr>
        <w:t>（五）</w:t>
      </w:r>
      <w:r>
        <w:rPr>
          <w:rFonts w:hint="default" w:ascii="Times New Roman" w:hAnsi="Times New Roman" w:eastAsia="楷体_GB2312" w:cs="Times New Roman"/>
          <w:color w:val="000000"/>
          <w:spacing w:val="4"/>
          <w:szCs w:val="32"/>
        </w:rPr>
        <w:t>落实固体废物处置措施。</w:t>
      </w:r>
      <w:r>
        <w:rPr>
          <w:rFonts w:hint="eastAsia" w:ascii="仿宋_GB2312" w:hAnsi="仿宋_GB2312" w:eastAsia="仿宋_GB2312" w:cs="仿宋_GB2312"/>
          <w:color w:val="000000"/>
          <w:spacing w:val="4"/>
          <w:kern w:val="2"/>
          <w:sz w:val="32"/>
          <w:szCs w:val="32"/>
          <w:lang w:val="en-US" w:eastAsia="zh-CN" w:bidi="ar-SA"/>
        </w:rPr>
        <w:t>按照“无害化、资源化、减量化”的原则，做好固废的分类收集、暂存、安全处置工作。按规范要求设置危废暂存间和一般固废暂存间，其建设、运行和管理应分别满足</w:t>
      </w:r>
      <w:r>
        <w:rPr>
          <w:rFonts w:hint="eastAsia" w:ascii="仿宋_GB2312" w:hAnsi="仿宋_GB2312" w:eastAsia="仿宋_GB2312" w:cs="仿宋_GB2312"/>
          <w:color w:val="000000"/>
          <w:sz w:val="32"/>
          <w:szCs w:val="32"/>
          <w:lang w:val="en-US" w:eastAsia="zh-CN"/>
        </w:rPr>
        <w:t>《危险废物贮存污染控制标准》（GB18597-2023）、《一般工业固体废物贮存和填埋污染控制标准》（GB18599-2020）要求。</w:t>
      </w:r>
      <w:r>
        <w:rPr>
          <w:rFonts w:hint="eastAsia" w:ascii="仿宋_GB2312" w:hAnsi="仿宋_GB2312" w:eastAsia="仿宋_GB2312" w:cs="仿宋_GB2312"/>
          <w:color w:val="000000"/>
          <w:spacing w:val="4"/>
          <w:kern w:val="2"/>
          <w:sz w:val="32"/>
          <w:szCs w:val="32"/>
          <w:lang w:val="en-US" w:eastAsia="zh-CN" w:bidi="ar-SA"/>
        </w:rPr>
        <w:t>生活垃圾交环卫部门定期清运；正负极废边角料、废铝箔、废铜箔、</w:t>
      </w:r>
      <w:r>
        <w:rPr>
          <w:rFonts w:hint="eastAsia" w:ascii="仿宋_GB2312" w:hAnsi="仿宋_GB2312" w:eastAsia="仿宋_GB2312" w:cs="仿宋_GB2312"/>
          <w:color w:val="auto"/>
          <w:spacing w:val="4"/>
          <w:kern w:val="2"/>
          <w:sz w:val="32"/>
          <w:szCs w:val="32"/>
          <w:lang w:val="en-US" w:eastAsia="zh-CN" w:bidi="ar-SA"/>
        </w:rPr>
        <w:t>废极耳、</w:t>
      </w:r>
      <w:r>
        <w:rPr>
          <w:rFonts w:hint="eastAsia" w:ascii="仿宋_GB2312" w:hAnsi="仿宋_GB2312" w:eastAsia="仿宋_GB2312" w:cs="仿宋_GB2312"/>
          <w:color w:val="000000"/>
          <w:spacing w:val="4"/>
          <w:kern w:val="2"/>
          <w:sz w:val="32"/>
          <w:szCs w:val="32"/>
          <w:lang w:val="en-US" w:eastAsia="zh-CN" w:bidi="ar-SA"/>
        </w:rPr>
        <w:t>废渗透膜、废铁杂质、废电芯、废包装材料及废隔膜纸、污水处理站污泥、除尘灰经分类收集贮存后外售或综合利用；</w:t>
      </w:r>
      <w:r>
        <w:rPr>
          <w:rFonts w:hint="eastAsia" w:ascii="仿宋_GB2312" w:hAnsi="仿宋_GB2312" w:eastAsia="仿宋_GB2312" w:cs="仿宋_GB2312"/>
          <w:color w:val="auto"/>
          <w:spacing w:val="4"/>
          <w:kern w:val="2"/>
          <w:sz w:val="32"/>
          <w:szCs w:val="32"/>
          <w:highlight w:val="none"/>
          <w:lang w:val="en-US" w:eastAsia="zh-CN" w:bidi="ar-SA"/>
        </w:rPr>
        <w:t>NMP冷凝回收废液及废喷淋液、NMP原料空桶交由具备相应资质的原料供应</w:t>
      </w:r>
      <w:r>
        <w:rPr>
          <w:rFonts w:hint="eastAsia" w:ascii="仿宋_GB2312" w:hAnsi="仿宋_GB2312" w:eastAsia="仿宋_GB2312" w:cs="仿宋_GB2312"/>
          <w:color w:val="000000"/>
          <w:spacing w:val="4"/>
          <w:kern w:val="2"/>
          <w:sz w:val="32"/>
          <w:szCs w:val="32"/>
          <w:highlight w:val="none"/>
          <w:lang w:val="en-US" w:eastAsia="zh-CN" w:bidi="ar-SA"/>
        </w:rPr>
        <w:t>商回收处理；</w:t>
      </w:r>
      <w:r>
        <w:rPr>
          <w:rFonts w:hint="eastAsia" w:ascii="仿宋_GB2312" w:hAnsi="仿宋_GB2312" w:eastAsia="仿宋_GB2312" w:cs="仿宋_GB2312"/>
          <w:color w:val="000000"/>
          <w:spacing w:val="4"/>
          <w:kern w:val="2"/>
          <w:sz w:val="32"/>
          <w:szCs w:val="32"/>
          <w:lang w:val="en-US" w:eastAsia="zh-CN" w:bidi="ar-SA"/>
        </w:rPr>
        <w:t>废润滑油、含油抹布及手套、废活性炭、废电解液、电解液空桶等危险废物定期外委有危废处置资质单位处理。</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firstLine="656" w:firstLineChars="200"/>
        <w:jc w:val="both"/>
        <w:textAlignment w:val="auto"/>
        <w:rPr>
          <w:rFonts w:hint="eastAsia" w:ascii="仿宋_GB2312" w:hAnsi="仿宋_GB2312" w:eastAsia="仿宋_GB2312" w:cs="仿宋_GB2312"/>
          <w:color w:val="000000"/>
          <w:spacing w:val="4"/>
          <w:kern w:val="2"/>
          <w:sz w:val="32"/>
          <w:szCs w:val="32"/>
          <w:lang w:val="en-US" w:eastAsia="zh-CN" w:bidi="ar-SA"/>
        </w:rPr>
      </w:pPr>
      <w:r>
        <w:rPr>
          <w:rFonts w:hint="default" w:ascii="Times New Roman" w:hAnsi="Times New Roman" w:eastAsia="楷体_GB2312" w:cs="Times New Roman"/>
          <w:color w:val="000000"/>
          <w:spacing w:val="4"/>
          <w:kern w:val="2"/>
          <w:sz w:val="32"/>
          <w:szCs w:val="32"/>
          <w:lang w:val="en-US" w:eastAsia="zh-CN" w:bidi="ar-SA"/>
        </w:rPr>
        <w:t>（</w:t>
      </w:r>
      <w:r>
        <w:rPr>
          <w:rFonts w:hint="default" w:ascii="Times New Roman" w:hAnsi="Times New Roman" w:eastAsia="楷体_GB2312" w:cs="Times New Roman"/>
          <w:color w:val="auto"/>
          <w:spacing w:val="4"/>
          <w:szCs w:val="32"/>
          <w:lang w:eastAsia="zh-CN"/>
        </w:rPr>
        <w:t>六</w:t>
      </w:r>
      <w:r>
        <w:rPr>
          <w:rFonts w:hint="default" w:ascii="Times New Roman" w:hAnsi="Times New Roman" w:eastAsia="楷体_GB2312" w:cs="Times New Roman"/>
          <w:color w:val="000000"/>
          <w:spacing w:val="4"/>
          <w:kern w:val="2"/>
          <w:sz w:val="32"/>
          <w:szCs w:val="32"/>
          <w:lang w:val="en-US" w:eastAsia="zh-CN" w:bidi="ar-SA"/>
        </w:rPr>
        <w:t>）落实地下水和土壤污染防治措施。</w:t>
      </w:r>
      <w:r>
        <w:rPr>
          <w:rFonts w:hint="eastAsia" w:ascii="仿宋_GB2312" w:hAnsi="仿宋_GB2312" w:eastAsia="仿宋_GB2312" w:cs="仿宋_GB2312"/>
          <w:spacing w:val="4"/>
          <w:kern w:val="2"/>
          <w:sz w:val="32"/>
          <w:szCs w:val="32"/>
          <w:lang w:val="en-US" w:eastAsia="zh-CN" w:bidi="ar-SA"/>
        </w:rPr>
        <w:t>按照“源头控制、分区防控、跟踪监测、应急响应”的原则，加强各环节生产管理，减少“跑、冒、滴、漏”，做好分区防腐、防渗工作，防止地下水和土壤环境污染。</w:t>
      </w:r>
    </w:p>
    <w:p>
      <w:pPr>
        <w:keepNext w:val="0"/>
        <w:keepLines w:val="0"/>
        <w:pageBreakBefore w:val="0"/>
        <w:kinsoku/>
        <w:wordWrap w:val="0"/>
        <w:overflowPunct/>
        <w:topLinePunct w:val="0"/>
        <w:autoSpaceDE/>
        <w:autoSpaceDN/>
        <w:bidi w:val="0"/>
        <w:adjustRightInd/>
        <w:snapToGrid/>
        <w:spacing w:line="560" w:lineRule="exact"/>
        <w:ind w:leftChars="0" w:firstLine="656" w:firstLineChars="200"/>
        <w:textAlignment w:val="auto"/>
        <w:rPr>
          <w:rFonts w:hint="eastAsia" w:ascii="仿宋_GB2312" w:hAnsi="仿宋_GB2312" w:eastAsia="仿宋_GB2312" w:cs="仿宋_GB2312"/>
          <w:color w:val="000000"/>
          <w:spacing w:val="4"/>
          <w:kern w:val="2"/>
          <w:sz w:val="32"/>
          <w:szCs w:val="32"/>
          <w:lang w:val="en-US" w:eastAsia="zh-CN" w:bidi="ar-SA"/>
        </w:rPr>
      </w:pPr>
      <w:r>
        <w:rPr>
          <w:rFonts w:hint="default" w:ascii="Times New Roman" w:hAnsi="Times New Roman" w:eastAsia="楷体_GB2312" w:cs="Times New Roman"/>
          <w:color w:val="auto"/>
          <w:spacing w:val="4"/>
          <w:szCs w:val="32"/>
        </w:rPr>
        <w:t>（</w:t>
      </w:r>
      <w:r>
        <w:rPr>
          <w:rFonts w:hint="default" w:ascii="Times New Roman" w:hAnsi="Times New Roman" w:eastAsia="楷体_GB2312" w:cs="Times New Roman"/>
          <w:color w:val="000000"/>
          <w:spacing w:val="4"/>
          <w:kern w:val="2"/>
          <w:sz w:val="32"/>
          <w:szCs w:val="32"/>
          <w:lang w:val="en-US" w:eastAsia="zh-CN" w:bidi="ar-SA"/>
        </w:rPr>
        <w:t>七</w:t>
      </w:r>
      <w:r>
        <w:rPr>
          <w:rFonts w:hint="default" w:ascii="Times New Roman" w:hAnsi="Times New Roman" w:eastAsia="楷体_GB2312" w:cs="Times New Roman"/>
          <w:color w:val="auto"/>
          <w:spacing w:val="4"/>
          <w:szCs w:val="32"/>
        </w:rPr>
        <w:t>）</w:t>
      </w:r>
      <w:r>
        <w:rPr>
          <w:rFonts w:hint="default" w:ascii="Times New Roman" w:hAnsi="Times New Roman" w:eastAsia="楷体_GB2312" w:cs="Times New Roman"/>
          <w:color w:val="000000"/>
          <w:spacing w:val="4"/>
          <w:kern w:val="2"/>
          <w:sz w:val="32"/>
          <w:szCs w:val="32"/>
          <w:lang w:val="en-US" w:eastAsia="zh-CN" w:bidi="ar-SA"/>
        </w:rPr>
        <w:t>本项目污染物总量控制指标为：</w:t>
      </w:r>
      <w:r>
        <w:rPr>
          <w:rFonts w:hint="eastAsia" w:ascii="仿宋_GB2312" w:hAnsi="仿宋_GB2312" w:eastAsia="仿宋_GB2312" w:cs="仿宋_GB2312"/>
          <w:spacing w:val="4"/>
          <w:kern w:val="2"/>
          <w:sz w:val="32"/>
          <w:szCs w:val="32"/>
          <w:lang w:val="en-US" w:eastAsia="zh-CN" w:bidi="ar-SA"/>
        </w:rPr>
        <w:t>COD</w:t>
      </w:r>
      <w:r>
        <w:rPr>
          <w:rFonts w:hint="eastAsia" w:ascii="仿宋_GB2312" w:hAnsi="仿宋_GB2312" w:eastAsia="仿宋_GB2312" w:cs="仿宋_GB2312"/>
          <w:color w:val="000000"/>
          <w:spacing w:val="4"/>
          <w:kern w:val="2"/>
          <w:sz w:val="32"/>
          <w:szCs w:val="32"/>
          <w:lang w:val="en-US" w:eastAsia="zh-CN" w:bidi="ar-SA"/>
        </w:rPr>
        <w:t>≤0.02t/a、</w:t>
      </w:r>
      <w:r>
        <w:rPr>
          <w:rFonts w:hint="eastAsia" w:ascii="仿宋_GB2312" w:hAnsi="仿宋_GB2312" w:eastAsia="仿宋_GB2312" w:cs="仿宋_GB2312"/>
          <w:spacing w:val="4"/>
          <w:kern w:val="2"/>
          <w:sz w:val="32"/>
          <w:szCs w:val="32"/>
          <w:lang w:val="en-US" w:eastAsia="zh-CN" w:bidi="ar-SA"/>
        </w:rPr>
        <w:t>NH</w:t>
      </w:r>
      <w:r>
        <w:rPr>
          <w:rFonts w:hint="eastAsia" w:ascii="仿宋_GB2312" w:hAnsi="仿宋_GB2312" w:eastAsia="仿宋_GB2312" w:cs="仿宋_GB2312"/>
          <w:spacing w:val="4"/>
          <w:kern w:val="2"/>
          <w:sz w:val="32"/>
          <w:szCs w:val="32"/>
          <w:vertAlign w:val="subscript"/>
          <w:lang w:val="en-US" w:eastAsia="zh-CN" w:bidi="ar-SA"/>
        </w:rPr>
        <w:t>3</w:t>
      </w:r>
      <w:r>
        <w:rPr>
          <w:rFonts w:hint="eastAsia" w:ascii="仿宋_GB2312" w:hAnsi="仿宋_GB2312" w:eastAsia="仿宋_GB2312" w:cs="仿宋_GB2312"/>
          <w:spacing w:val="4"/>
          <w:kern w:val="2"/>
          <w:sz w:val="32"/>
          <w:szCs w:val="32"/>
          <w:lang w:val="en-US" w:eastAsia="zh-CN" w:bidi="ar-SA"/>
        </w:rPr>
        <w:t>-N</w:t>
      </w:r>
      <w:r>
        <w:rPr>
          <w:rFonts w:hint="eastAsia" w:ascii="仿宋_GB2312" w:hAnsi="仿宋_GB2312" w:eastAsia="仿宋_GB2312" w:cs="仿宋_GB2312"/>
          <w:color w:val="000000"/>
          <w:spacing w:val="4"/>
          <w:kern w:val="2"/>
          <w:sz w:val="32"/>
          <w:szCs w:val="32"/>
          <w:lang w:val="en-US" w:eastAsia="zh-CN" w:bidi="ar-SA"/>
        </w:rPr>
        <w:t>≤0.01t/a、</w:t>
      </w:r>
      <w:r>
        <w:rPr>
          <w:rFonts w:hint="eastAsia" w:ascii="仿宋_GB2312" w:hAnsi="仿宋_GB2312" w:eastAsia="仿宋_GB2312" w:cs="仿宋_GB2312"/>
          <w:spacing w:val="4"/>
          <w:kern w:val="2"/>
          <w:sz w:val="32"/>
          <w:szCs w:val="32"/>
          <w:lang w:val="en-US" w:eastAsia="zh-CN" w:bidi="ar-SA"/>
        </w:rPr>
        <w:t>VOCs</w:t>
      </w:r>
      <w:r>
        <w:rPr>
          <w:rFonts w:hint="eastAsia" w:ascii="仿宋_GB2312" w:hAnsi="仿宋_GB2312" w:eastAsia="仿宋_GB2312" w:cs="仿宋_GB2312"/>
          <w:color w:val="000000"/>
          <w:spacing w:val="4"/>
          <w:kern w:val="2"/>
          <w:sz w:val="32"/>
          <w:szCs w:val="32"/>
          <w:lang w:val="en-US" w:eastAsia="zh-CN" w:bidi="ar-SA"/>
        </w:rPr>
        <w:t>≤0.66t/a，总量指标纳入高新区总量控制管理。</w:t>
      </w:r>
    </w:p>
    <w:p>
      <w:pPr>
        <w:spacing w:line="560" w:lineRule="exact"/>
        <w:ind w:firstLine="656" w:firstLineChars="200"/>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三、本项目经审批后，建设的性质、规模、地点、采用的生产工艺或者防治污染、防止生态破坏的措施发生重大变动的，你公司应重新报批建设项目的环评文件。项目建成投产前，须按照《排污许可管理条例》（国务院令第736条）和《固定污染源排污许可分类管理名录》的要求办理排污许可相关手续。项目建设投运后，须按《建设项目环境保护管理条例》的有关规定，及时进行项目竣工环保自主验收。益阳市生态环境保护综合行政执法支队高新区大队负责本项目“三同时”监督检查和管理工作。</w:t>
      </w:r>
    </w:p>
    <w:p>
      <w:pPr>
        <w:spacing w:line="560" w:lineRule="exact"/>
        <w:ind w:firstLine="656" w:firstLineChars="200"/>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四、你公司在收到本批复后15个工作日内，将本批复及项目环评报告</w:t>
      </w:r>
      <w:r>
        <w:rPr>
          <w:rFonts w:hint="eastAsia" w:ascii="仿宋_GB2312" w:hAnsi="仿宋_GB2312" w:eastAsia="仿宋_GB2312" w:cs="仿宋_GB2312"/>
          <w:spacing w:val="4"/>
          <w:szCs w:val="32"/>
          <w:lang w:eastAsia="zh-CN"/>
        </w:rPr>
        <w:t>表</w:t>
      </w:r>
      <w:r>
        <w:rPr>
          <w:rFonts w:hint="eastAsia" w:ascii="仿宋_GB2312" w:hAnsi="仿宋_GB2312" w:eastAsia="仿宋_GB2312" w:cs="仿宋_GB2312"/>
          <w:spacing w:val="4"/>
          <w:szCs w:val="32"/>
        </w:rPr>
        <w:t>送至益阳市生态环境局高新区分局。</w:t>
      </w:r>
    </w:p>
    <w:p>
      <w:pPr>
        <w:adjustRightInd w:val="0"/>
        <w:snapToGrid w:val="0"/>
        <w:spacing w:line="520" w:lineRule="exact"/>
        <w:ind w:firstLine="640" w:firstLineChars="200"/>
        <w:rPr>
          <w:rFonts w:hint="eastAsia" w:ascii="仿宋_GB2312" w:hAnsi="仿宋_GB2312" w:eastAsia="仿宋_GB2312" w:cs="仿宋_GB2312"/>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 xml:space="preserve">                   </w:t>
      </w:r>
    </w:p>
    <w:p>
      <w:pPr>
        <w:keepNext w:val="0"/>
        <w:keepLines w:val="0"/>
        <w:pageBreakBefore w:val="0"/>
        <w:kinsoku/>
        <w:wordWrap/>
        <w:overflowPunct/>
        <w:topLinePunct w:val="0"/>
        <w:autoSpaceDE/>
        <w:autoSpaceDN/>
        <w:bidi w:val="0"/>
        <w:adjustRightInd/>
        <w:snapToGrid/>
        <w:spacing w:line="560" w:lineRule="exact"/>
        <w:ind w:firstLine="4592" w:firstLineChars="1400"/>
        <w:textAlignment w:val="auto"/>
        <w:rPr>
          <w:rFonts w:hint="eastAsia" w:ascii="仿宋_GB2312" w:hAnsi="仿宋_GB2312" w:eastAsia="仿宋_GB2312" w:cs="仿宋_GB2312"/>
          <w:color w:val="000000"/>
          <w:spacing w:val="4"/>
          <w:kern w:val="2"/>
          <w:sz w:val="32"/>
          <w:szCs w:val="32"/>
          <w:lang w:val="en-US" w:eastAsia="zh-CN" w:bidi="ar-SA"/>
        </w:rPr>
      </w:pPr>
      <w:r>
        <w:rPr>
          <w:rFonts w:hint="eastAsia" w:ascii="仿宋_GB2312" w:hAnsi="仿宋_GB2312" w:eastAsia="仿宋_GB2312" w:cs="仿宋_GB2312"/>
          <w:color w:val="000000"/>
          <w:spacing w:val="4"/>
          <w:kern w:val="2"/>
          <w:sz w:val="32"/>
          <w:szCs w:val="32"/>
          <w:lang w:val="en-US" w:eastAsia="zh-CN" w:bidi="ar-SA"/>
        </w:rPr>
        <w:t>益阳市生态环境局</w:t>
      </w:r>
    </w:p>
    <w:p>
      <w:pPr>
        <w:keepNext w:val="0"/>
        <w:keepLines w:val="0"/>
        <w:pageBreakBefore w:val="0"/>
        <w:kinsoku/>
        <w:wordWrap/>
        <w:overflowPunct/>
        <w:topLinePunct w:val="0"/>
        <w:autoSpaceDE/>
        <w:autoSpaceDN/>
        <w:bidi w:val="0"/>
        <w:adjustRightInd/>
        <w:snapToGrid/>
        <w:spacing w:line="560" w:lineRule="exact"/>
        <w:ind w:leftChars="0" w:firstLine="656" w:firstLineChars="200"/>
        <w:textAlignment w:val="auto"/>
        <w:rPr>
          <w:rFonts w:hint="default" w:ascii="Times New Roman" w:hAnsi="Times New Roman" w:eastAsia="仿宋_GB2312" w:cs="Times New Roman"/>
          <w:color w:val="000000"/>
          <w:spacing w:val="4"/>
          <w:kern w:val="2"/>
          <w:sz w:val="32"/>
          <w:szCs w:val="32"/>
          <w:lang w:val="en-US" w:eastAsia="zh-CN" w:bidi="ar-SA"/>
        </w:rPr>
      </w:pPr>
      <w:r>
        <w:rPr>
          <w:rFonts w:hint="eastAsia" w:ascii="仿宋_GB2312" w:hAnsi="仿宋_GB2312" w:eastAsia="仿宋_GB2312" w:cs="仿宋_GB2312"/>
          <w:color w:val="000000"/>
          <w:spacing w:val="4"/>
          <w:kern w:val="2"/>
          <w:sz w:val="32"/>
          <w:szCs w:val="32"/>
          <w:lang w:val="en-US" w:eastAsia="zh-CN" w:bidi="ar-SA"/>
        </w:rPr>
        <w:t xml:space="preserve">                        2024年4月18日</w:t>
      </w:r>
    </w:p>
    <w:sectPr>
      <w:footerReference r:id="rId6" w:type="default"/>
      <w:pgSz w:w="11906" w:h="16838"/>
      <w:pgMar w:top="1701" w:right="1701" w:bottom="1701" w:left="1701" w:header="851" w:footer="992" w:gutter="0"/>
      <w:pgNumType w:fmt="decimal" w:start="2"/>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2687320</wp:posOffset>
              </wp:positionH>
              <wp:positionV relativeFrom="paragraph">
                <wp:posOffset>-8255</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left:211.6pt;margin-top:-0.65pt;height:144pt;width:144pt;mso-position-horizontal-relative:margin;mso-wrap-style:none;z-index:251659264;mso-width-relative:page;mso-height-relative:page;" filled="f" stroked="f" coordsize="21600,21600" o:gfxdata="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9s7bDWAAAACgEAAA8AAAAAAAAAAQAgAAAAIgAAAGRycy9k&#10;b3ducmV2LnhtbFBLAQIUABQAAAAIAIdO4kBUwq3oywEAAJwDAAAOAAAAAAAAAAEAIAAAACUBAABk&#10;cnMvZTJvRG9jLnhtbFBLBQYAAAAABgAGAFkBAABiBQAAAAA=&#10;">
              <v:fill on="f" focussize="0,0"/>
              <v:stroke on="f"/>
              <v:imagedata o:title=""/>
              <o:lock v:ext="edit" aspectratio="f"/>
              <v:textbox inset="0mm,0mm,0mm,0mm" style="mso-fit-shape-to-text:t;">
                <w:txbxContent>
                  <w:p>
                    <w:pPr>
                      <w:pStyle w:val="8"/>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46F81"/>
    <w:multiLevelType w:val="singleLevel"/>
    <w:tmpl w:val="A6C46F81"/>
    <w:lvl w:ilvl="0" w:tentative="0">
      <w:start w:val="1"/>
      <w:numFmt w:val="chineseCounting"/>
      <w:suff w:val="nothing"/>
      <w:lvlText w:val="%1、"/>
      <w:lvlJc w:val="left"/>
      <w:rPr>
        <w:rFonts w:hint="eastAsia"/>
      </w:rPr>
    </w:lvl>
  </w:abstractNum>
  <w:abstractNum w:abstractNumId="1">
    <w:nsid w:val="0000000E"/>
    <w:multiLevelType w:val="multilevel"/>
    <w:tmpl w:val="0000000E"/>
    <w:lvl w:ilvl="0" w:tentative="0">
      <w:start w:val="1"/>
      <w:numFmt w:val="decimal"/>
      <w:pStyle w:val="2"/>
      <w:lvlText w:val="%1"/>
      <w:lvlJc w:val="left"/>
      <w:pPr>
        <w:tabs>
          <w:tab w:val="left" w:pos="792"/>
        </w:tabs>
        <w:ind w:left="792" w:hanging="432"/>
      </w:pPr>
      <w:rPr>
        <w:rFonts w:hint="eastAsia" w:ascii="黑体" w:hAnsi="Times New Roman" w:eastAsia="黑体" w:cs="Times New Roman"/>
        <w:b/>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567"/>
        </w:tabs>
        <w:ind w:left="567" w:hanging="567"/>
      </w:pPr>
      <w:rPr>
        <w:rFonts w:hint="default" w:ascii="Times New Roman" w:hAnsi="Times New Roman" w:eastAsia="宋体" w:cs="Times New Roman"/>
        <w:b/>
        <w:i w:val="0"/>
        <w:color w:val="auto"/>
        <w:sz w:val="24"/>
        <w:szCs w:val="24"/>
      </w:rPr>
    </w:lvl>
    <w:lvl w:ilvl="3" w:tentative="0">
      <w:start w:val="1"/>
      <w:numFmt w:val="decimal"/>
      <w:lvlText w:val="%1.%2.%3.%4"/>
      <w:lvlJc w:val="left"/>
      <w:pPr>
        <w:tabs>
          <w:tab w:val="left" w:pos="284"/>
        </w:tabs>
        <w:ind w:left="255" w:hanging="198"/>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N2M1MmY1NDU2YzE2OWEwNjZkM2VhNWM2YTJjYTEifQ=="/>
  </w:docVars>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3309"/>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6920"/>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066BA"/>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266B"/>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4632E9"/>
    <w:rsid w:val="01857C73"/>
    <w:rsid w:val="01AE3AE6"/>
    <w:rsid w:val="01AE7488"/>
    <w:rsid w:val="01BF31D1"/>
    <w:rsid w:val="01D03FEC"/>
    <w:rsid w:val="01D159D9"/>
    <w:rsid w:val="01ED243B"/>
    <w:rsid w:val="01ED35F8"/>
    <w:rsid w:val="02224966"/>
    <w:rsid w:val="029E3B84"/>
    <w:rsid w:val="033476DA"/>
    <w:rsid w:val="034F0AFF"/>
    <w:rsid w:val="036A171D"/>
    <w:rsid w:val="03A60F18"/>
    <w:rsid w:val="03D345CC"/>
    <w:rsid w:val="03DA560A"/>
    <w:rsid w:val="040B5FBB"/>
    <w:rsid w:val="042C501E"/>
    <w:rsid w:val="04571AFC"/>
    <w:rsid w:val="04846602"/>
    <w:rsid w:val="05956313"/>
    <w:rsid w:val="05990BE6"/>
    <w:rsid w:val="05BB6589"/>
    <w:rsid w:val="05D8789C"/>
    <w:rsid w:val="0638548F"/>
    <w:rsid w:val="065879BD"/>
    <w:rsid w:val="06A35673"/>
    <w:rsid w:val="06C74ECC"/>
    <w:rsid w:val="070865B3"/>
    <w:rsid w:val="072C6D6B"/>
    <w:rsid w:val="07354ECC"/>
    <w:rsid w:val="07511000"/>
    <w:rsid w:val="07702649"/>
    <w:rsid w:val="07DA01BE"/>
    <w:rsid w:val="080709A5"/>
    <w:rsid w:val="08260CF9"/>
    <w:rsid w:val="08444A26"/>
    <w:rsid w:val="086B7063"/>
    <w:rsid w:val="088B2B53"/>
    <w:rsid w:val="089413C5"/>
    <w:rsid w:val="091D1DA1"/>
    <w:rsid w:val="09415B9F"/>
    <w:rsid w:val="095C419A"/>
    <w:rsid w:val="097C2114"/>
    <w:rsid w:val="09AA7B69"/>
    <w:rsid w:val="09BE25B6"/>
    <w:rsid w:val="09FA59E7"/>
    <w:rsid w:val="0A3E5710"/>
    <w:rsid w:val="0A851326"/>
    <w:rsid w:val="0A9F631F"/>
    <w:rsid w:val="0ADB0443"/>
    <w:rsid w:val="0AF53DB5"/>
    <w:rsid w:val="0BA17A99"/>
    <w:rsid w:val="0BDF6813"/>
    <w:rsid w:val="0BF719CD"/>
    <w:rsid w:val="0BFD72E7"/>
    <w:rsid w:val="0C1122F2"/>
    <w:rsid w:val="0C3B064F"/>
    <w:rsid w:val="0C562ECC"/>
    <w:rsid w:val="0C9940FF"/>
    <w:rsid w:val="0C995126"/>
    <w:rsid w:val="0D021275"/>
    <w:rsid w:val="0D045227"/>
    <w:rsid w:val="0D3358B6"/>
    <w:rsid w:val="0D8E35FC"/>
    <w:rsid w:val="0D9A7649"/>
    <w:rsid w:val="0DBF06AB"/>
    <w:rsid w:val="0E75128A"/>
    <w:rsid w:val="0EB464CA"/>
    <w:rsid w:val="0EBF5211"/>
    <w:rsid w:val="0F4815CC"/>
    <w:rsid w:val="0F4E340A"/>
    <w:rsid w:val="0F512394"/>
    <w:rsid w:val="0F7F00F1"/>
    <w:rsid w:val="101616EC"/>
    <w:rsid w:val="10461AD6"/>
    <w:rsid w:val="105C0630"/>
    <w:rsid w:val="108968AB"/>
    <w:rsid w:val="10991687"/>
    <w:rsid w:val="110C5B62"/>
    <w:rsid w:val="11324747"/>
    <w:rsid w:val="11423004"/>
    <w:rsid w:val="11C96983"/>
    <w:rsid w:val="12284E79"/>
    <w:rsid w:val="12941229"/>
    <w:rsid w:val="129F6024"/>
    <w:rsid w:val="12C1072B"/>
    <w:rsid w:val="12D81B8D"/>
    <w:rsid w:val="13092833"/>
    <w:rsid w:val="138C6A43"/>
    <w:rsid w:val="13B70FE9"/>
    <w:rsid w:val="140D6837"/>
    <w:rsid w:val="14360E9D"/>
    <w:rsid w:val="146D0E60"/>
    <w:rsid w:val="148C4635"/>
    <w:rsid w:val="14B95E54"/>
    <w:rsid w:val="15653932"/>
    <w:rsid w:val="156A02A5"/>
    <w:rsid w:val="158942BB"/>
    <w:rsid w:val="16105693"/>
    <w:rsid w:val="16123C8E"/>
    <w:rsid w:val="163C269B"/>
    <w:rsid w:val="16414F1E"/>
    <w:rsid w:val="164C25BD"/>
    <w:rsid w:val="167429F4"/>
    <w:rsid w:val="1696779D"/>
    <w:rsid w:val="16CC5B36"/>
    <w:rsid w:val="16DF07A0"/>
    <w:rsid w:val="16E4540B"/>
    <w:rsid w:val="16E81710"/>
    <w:rsid w:val="16F92E7F"/>
    <w:rsid w:val="171154DB"/>
    <w:rsid w:val="176A2F62"/>
    <w:rsid w:val="17DF606D"/>
    <w:rsid w:val="18486CB8"/>
    <w:rsid w:val="18757D21"/>
    <w:rsid w:val="188E4B07"/>
    <w:rsid w:val="18A10DE5"/>
    <w:rsid w:val="18A36E79"/>
    <w:rsid w:val="18BD66CD"/>
    <w:rsid w:val="19FB209C"/>
    <w:rsid w:val="1A1F4F6D"/>
    <w:rsid w:val="1A44428C"/>
    <w:rsid w:val="1A5058B6"/>
    <w:rsid w:val="1A5F6D6C"/>
    <w:rsid w:val="1AA17DB9"/>
    <w:rsid w:val="1AE96D60"/>
    <w:rsid w:val="1AF910A0"/>
    <w:rsid w:val="1B0F4CFD"/>
    <w:rsid w:val="1B2A6C45"/>
    <w:rsid w:val="1B5F06EB"/>
    <w:rsid w:val="1B6E71DD"/>
    <w:rsid w:val="1B9E6554"/>
    <w:rsid w:val="1BCA4F59"/>
    <w:rsid w:val="1C083018"/>
    <w:rsid w:val="1C3F0F1B"/>
    <w:rsid w:val="1C4C681C"/>
    <w:rsid w:val="1C534D67"/>
    <w:rsid w:val="1CB37522"/>
    <w:rsid w:val="1CCE45CD"/>
    <w:rsid w:val="1D4321A3"/>
    <w:rsid w:val="1D596D36"/>
    <w:rsid w:val="1DB37BCA"/>
    <w:rsid w:val="1DCA3884"/>
    <w:rsid w:val="1DDE1448"/>
    <w:rsid w:val="1E3A67FD"/>
    <w:rsid w:val="1E5B2A7B"/>
    <w:rsid w:val="1E9A3AF9"/>
    <w:rsid w:val="1ED0749E"/>
    <w:rsid w:val="1EFA69E1"/>
    <w:rsid w:val="1F2958D3"/>
    <w:rsid w:val="1F612791"/>
    <w:rsid w:val="1F8004F5"/>
    <w:rsid w:val="1F9B7931"/>
    <w:rsid w:val="1FAC6719"/>
    <w:rsid w:val="1FC12C5E"/>
    <w:rsid w:val="1FE92C51"/>
    <w:rsid w:val="20095B14"/>
    <w:rsid w:val="202B0267"/>
    <w:rsid w:val="203E5DA7"/>
    <w:rsid w:val="204E2218"/>
    <w:rsid w:val="204F4D54"/>
    <w:rsid w:val="205224FE"/>
    <w:rsid w:val="205C1174"/>
    <w:rsid w:val="20B816B5"/>
    <w:rsid w:val="20BB217F"/>
    <w:rsid w:val="21D23C17"/>
    <w:rsid w:val="21D91D9E"/>
    <w:rsid w:val="222007E2"/>
    <w:rsid w:val="229D1CE8"/>
    <w:rsid w:val="22C837C6"/>
    <w:rsid w:val="22D03DD0"/>
    <w:rsid w:val="231B68C4"/>
    <w:rsid w:val="232C6C32"/>
    <w:rsid w:val="23976E41"/>
    <w:rsid w:val="23A639DA"/>
    <w:rsid w:val="23CE2D7B"/>
    <w:rsid w:val="24020C24"/>
    <w:rsid w:val="243C0C96"/>
    <w:rsid w:val="244B378A"/>
    <w:rsid w:val="24526BE5"/>
    <w:rsid w:val="24E91CFB"/>
    <w:rsid w:val="25183443"/>
    <w:rsid w:val="251A4BEF"/>
    <w:rsid w:val="254C263C"/>
    <w:rsid w:val="255747FC"/>
    <w:rsid w:val="25B51410"/>
    <w:rsid w:val="25EB3281"/>
    <w:rsid w:val="260C3AD1"/>
    <w:rsid w:val="26423EFF"/>
    <w:rsid w:val="267169E9"/>
    <w:rsid w:val="26C24876"/>
    <w:rsid w:val="26C7259C"/>
    <w:rsid w:val="27893F8C"/>
    <w:rsid w:val="27906E6E"/>
    <w:rsid w:val="27BA1B7C"/>
    <w:rsid w:val="27C03033"/>
    <w:rsid w:val="27C96B13"/>
    <w:rsid w:val="27F337F5"/>
    <w:rsid w:val="28DE13B6"/>
    <w:rsid w:val="29525CE4"/>
    <w:rsid w:val="297F6DFB"/>
    <w:rsid w:val="29800011"/>
    <w:rsid w:val="29B0749A"/>
    <w:rsid w:val="29C015DB"/>
    <w:rsid w:val="29E25A79"/>
    <w:rsid w:val="2A215DB4"/>
    <w:rsid w:val="2A7677D7"/>
    <w:rsid w:val="2AFA3FEA"/>
    <w:rsid w:val="2B042976"/>
    <w:rsid w:val="2B431A3F"/>
    <w:rsid w:val="2B45236F"/>
    <w:rsid w:val="2B99301B"/>
    <w:rsid w:val="2BD91DBD"/>
    <w:rsid w:val="2BF70E1B"/>
    <w:rsid w:val="2C0F6263"/>
    <w:rsid w:val="2C3575FD"/>
    <w:rsid w:val="2C36248E"/>
    <w:rsid w:val="2C491D5B"/>
    <w:rsid w:val="2C6D6814"/>
    <w:rsid w:val="2C9A7D53"/>
    <w:rsid w:val="2CAB47C4"/>
    <w:rsid w:val="2CE81886"/>
    <w:rsid w:val="2CED2FDA"/>
    <w:rsid w:val="2D0848C5"/>
    <w:rsid w:val="2D621927"/>
    <w:rsid w:val="2E00207F"/>
    <w:rsid w:val="2E0E786C"/>
    <w:rsid w:val="2E1C176D"/>
    <w:rsid w:val="2E5170EA"/>
    <w:rsid w:val="2E54605B"/>
    <w:rsid w:val="2ED91A45"/>
    <w:rsid w:val="2EFF65BF"/>
    <w:rsid w:val="2F3B7AFD"/>
    <w:rsid w:val="2F476BB2"/>
    <w:rsid w:val="2FBE547D"/>
    <w:rsid w:val="2FC17E5A"/>
    <w:rsid w:val="2FFD1D02"/>
    <w:rsid w:val="302837E4"/>
    <w:rsid w:val="30622197"/>
    <w:rsid w:val="306D20D8"/>
    <w:rsid w:val="3073000C"/>
    <w:rsid w:val="3076612A"/>
    <w:rsid w:val="30A551EC"/>
    <w:rsid w:val="30AC0449"/>
    <w:rsid w:val="31391598"/>
    <w:rsid w:val="3195334D"/>
    <w:rsid w:val="31A95D5C"/>
    <w:rsid w:val="31BE7812"/>
    <w:rsid w:val="32560D2E"/>
    <w:rsid w:val="328F037F"/>
    <w:rsid w:val="33000108"/>
    <w:rsid w:val="336A22C1"/>
    <w:rsid w:val="33741DC8"/>
    <w:rsid w:val="33B11EC4"/>
    <w:rsid w:val="34711A93"/>
    <w:rsid w:val="34CC177B"/>
    <w:rsid w:val="34DD0564"/>
    <w:rsid w:val="35026810"/>
    <w:rsid w:val="35B4328A"/>
    <w:rsid w:val="35F16608"/>
    <w:rsid w:val="35FA51FE"/>
    <w:rsid w:val="36570620"/>
    <w:rsid w:val="36631095"/>
    <w:rsid w:val="36E44291"/>
    <w:rsid w:val="375456AC"/>
    <w:rsid w:val="37546213"/>
    <w:rsid w:val="379445B6"/>
    <w:rsid w:val="38D97FC3"/>
    <w:rsid w:val="38F812E8"/>
    <w:rsid w:val="39272E42"/>
    <w:rsid w:val="39357CA9"/>
    <w:rsid w:val="3A157E48"/>
    <w:rsid w:val="3A6130AE"/>
    <w:rsid w:val="3A8E5140"/>
    <w:rsid w:val="3AB704E3"/>
    <w:rsid w:val="3B0A280C"/>
    <w:rsid w:val="3B0F711B"/>
    <w:rsid w:val="3B125EF8"/>
    <w:rsid w:val="3B2E591B"/>
    <w:rsid w:val="3B4B1994"/>
    <w:rsid w:val="3B9A2191"/>
    <w:rsid w:val="3BA76AE1"/>
    <w:rsid w:val="3BB94552"/>
    <w:rsid w:val="3BF178B1"/>
    <w:rsid w:val="3C7007EC"/>
    <w:rsid w:val="3D780AE8"/>
    <w:rsid w:val="3DA11C79"/>
    <w:rsid w:val="3DAC00F4"/>
    <w:rsid w:val="3DD36518"/>
    <w:rsid w:val="3DE272B1"/>
    <w:rsid w:val="3DEE185B"/>
    <w:rsid w:val="3E0B5655"/>
    <w:rsid w:val="3E184547"/>
    <w:rsid w:val="3E237685"/>
    <w:rsid w:val="3E630A5B"/>
    <w:rsid w:val="3EA845CC"/>
    <w:rsid w:val="3EE2320F"/>
    <w:rsid w:val="3EFA3BEC"/>
    <w:rsid w:val="3F460C8D"/>
    <w:rsid w:val="3F4E171F"/>
    <w:rsid w:val="40254AFB"/>
    <w:rsid w:val="408E24B2"/>
    <w:rsid w:val="40AF71A3"/>
    <w:rsid w:val="40BD7416"/>
    <w:rsid w:val="40C73D23"/>
    <w:rsid w:val="42472E54"/>
    <w:rsid w:val="429C278D"/>
    <w:rsid w:val="432D42D0"/>
    <w:rsid w:val="436F0A40"/>
    <w:rsid w:val="43942E6F"/>
    <w:rsid w:val="43B93AF5"/>
    <w:rsid w:val="43BA3FC5"/>
    <w:rsid w:val="43F959BD"/>
    <w:rsid w:val="44645BA5"/>
    <w:rsid w:val="447D04C8"/>
    <w:rsid w:val="44DE6824"/>
    <w:rsid w:val="453E1CD7"/>
    <w:rsid w:val="45544C08"/>
    <w:rsid w:val="45BA6F71"/>
    <w:rsid w:val="45CF0E9E"/>
    <w:rsid w:val="45E80663"/>
    <w:rsid w:val="45EC7588"/>
    <w:rsid w:val="461448F7"/>
    <w:rsid w:val="463C423F"/>
    <w:rsid w:val="465A498A"/>
    <w:rsid w:val="465A7315"/>
    <w:rsid w:val="4680740B"/>
    <w:rsid w:val="46926864"/>
    <w:rsid w:val="46B467A7"/>
    <w:rsid w:val="471714AF"/>
    <w:rsid w:val="4729371C"/>
    <w:rsid w:val="473C453F"/>
    <w:rsid w:val="48101CDD"/>
    <w:rsid w:val="481D7ECC"/>
    <w:rsid w:val="484F7B35"/>
    <w:rsid w:val="485A6652"/>
    <w:rsid w:val="48A069BA"/>
    <w:rsid w:val="48AE3800"/>
    <w:rsid w:val="49287347"/>
    <w:rsid w:val="49354A08"/>
    <w:rsid w:val="4993613B"/>
    <w:rsid w:val="49B07B17"/>
    <w:rsid w:val="4A703499"/>
    <w:rsid w:val="4A8649CF"/>
    <w:rsid w:val="4A9B4753"/>
    <w:rsid w:val="4AA37943"/>
    <w:rsid w:val="4AB744D3"/>
    <w:rsid w:val="4ADA0518"/>
    <w:rsid w:val="4B0B25FB"/>
    <w:rsid w:val="4B106736"/>
    <w:rsid w:val="4B41052E"/>
    <w:rsid w:val="4B9602DD"/>
    <w:rsid w:val="4BE354F9"/>
    <w:rsid w:val="4BE51D09"/>
    <w:rsid w:val="4BE5557E"/>
    <w:rsid w:val="4C395498"/>
    <w:rsid w:val="4D246998"/>
    <w:rsid w:val="4D45677E"/>
    <w:rsid w:val="4DCB3F26"/>
    <w:rsid w:val="4DD816AB"/>
    <w:rsid w:val="4DD92AE7"/>
    <w:rsid w:val="4DE21FE3"/>
    <w:rsid w:val="4DEE12CE"/>
    <w:rsid w:val="4DF95995"/>
    <w:rsid w:val="4E036FC1"/>
    <w:rsid w:val="4E075118"/>
    <w:rsid w:val="4E56633F"/>
    <w:rsid w:val="4E6A7DDF"/>
    <w:rsid w:val="4F1B62EC"/>
    <w:rsid w:val="4F1E6B4A"/>
    <w:rsid w:val="4F803124"/>
    <w:rsid w:val="4FA32546"/>
    <w:rsid w:val="4FEA6F2C"/>
    <w:rsid w:val="4FFF4689"/>
    <w:rsid w:val="5051105B"/>
    <w:rsid w:val="50B14EA5"/>
    <w:rsid w:val="517B596D"/>
    <w:rsid w:val="51900572"/>
    <w:rsid w:val="51DB6FAB"/>
    <w:rsid w:val="52132C6C"/>
    <w:rsid w:val="52421D16"/>
    <w:rsid w:val="534F6C6D"/>
    <w:rsid w:val="53852E05"/>
    <w:rsid w:val="53B711BD"/>
    <w:rsid w:val="53D57E72"/>
    <w:rsid w:val="53F34F30"/>
    <w:rsid w:val="53F40D52"/>
    <w:rsid w:val="541859B5"/>
    <w:rsid w:val="542461B4"/>
    <w:rsid w:val="545D5E0B"/>
    <w:rsid w:val="54952865"/>
    <w:rsid w:val="54AF373B"/>
    <w:rsid w:val="54B84CAA"/>
    <w:rsid w:val="55366F69"/>
    <w:rsid w:val="55982951"/>
    <w:rsid w:val="55DA73FC"/>
    <w:rsid w:val="569637C0"/>
    <w:rsid w:val="56B74BDC"/>
    <w:rsid w:val="577566ED"/>
    <w:rsid w:val="577F6BA4"/>
    <w:rsid w:val="58026A51"/>
    <w:rsid w:val="580273CF"/>
    <w:rsid w:val="587474AF"/>
    <w:rsid w:val="58B03321"/>
    <w:rsid w:val="58B24661"/>
    <w:rsid w:val="58B71C90"/>
    <w:rsid w:val="58CD32E8"/>
    <w:rsid w:val="591B69A8"/>
    <w:rsid w:val="59414293"/>
    <w:rsid w:val="59AA3FF9"/>
    <w:rsid w:val="59DB12B3"/>
    <w:rsid w:val="59E07892"/>
    <w:rsid w:val="5A107B8D"/>
    <w:rsid w:val="5A3263A9"/>
    <w:rsid w:val="5A42464D"/>
    <w:rsid w:val="5A532664"/>
    <w:rsid w:val="5A615DDF"/>
    <w:rsid w:val="5AFE2E05"/>
    <w:rsid w:val="5B2C0540"/>
    <w:rsid w:val="5B30342C"/>
    <w:rsid w:val="5B3056CE"/>
    <w:rsid w:val="5B6B4FEA"/>
    <w:rsid w:val="5B81031A"/>
    <w:rsid w:val="5B996C72"/>
    <w:rsid w:val="5BF53B92"/>
    <w:rsid w:val="5C2530AE"/>
    <w:rsid w:val="5CAC01CB"/>
    <w:rsid w:val="5D0F6CD8"/>
    <w:rsid w:val="5F010883"/>
    <w:rsid w:val="5FBA4E4C"/>
    <w:rsid w:val="5FD26846"/>
    <w:rsid w:val="5FEB2BCB"/>
    <w:rsid w:val="5FF40A7C"/>
    <w:rsid w:val="600F468F"/>
    <w:rsid w:val="60470972"/>
    <w:rsid w:val="60AF3F75"/>
    <w:rsid w:val="60CE78E1"/>
    <w:rsid w:val="60E0450D"/>
    <w:rsid w:val="60E77AD1"/>
    <w:rsid w:val="61040EA5"/>
    <w:rsid w:val="61360325"/>
    <w:rsid w:val="616854FA"/>
    <w:rsid w:val="61C774FB"/>
    <w:rsid w:val="620C1DA3"/>
    <w:rsid w:val="621D021C"/>
    <w:rsid w:val="635C7308"/>
    <w:rsid w:val="63E66D2D"/>
    <w:rsid w:val="63ED6B74"/>
    <w:rsid w:val="643E43F2"/>
    <w:rsid w:val="64516D1A"/>
    <w:rsid w:val="64917754"/>
    <w:rsid w:val="64AF6309"/>
    <w:rsid w:val="65061155"/>
    <w:rsid w:val="6539718A"/>
    <w:rsid w:val="657924DC"/>
    <w:rsid w:val="657A6729"/>
    <w:rsid w:val="657F402D"/>
    <w:rsid w:val="65B217D5"/>
    <w:rsid w:val="65C62AAF"/>
    <w:rsid w:val="66961E3C"/>
    <w:rsid w:val="66A2129D"/>
    <w:rsid w:val="66B1424C"/>
    <w:rsid w:val="676E0745"/>
    <w:rsid w:val="67990F2E"/>
    <w:rsid w:val="679E4A51"/>
    <w:rsid w:val="67A71109"/>
    <w:rsid w:val="67CB767B"/>
    <w:rsid w:val="68185BEC"/>
    <w:rsid w:val="68251446"/>
    <w:rsid w:val="68975621"/>
    <w:rsid w:val="68A97E8F"/>
    <w:rsid w:val="68DE0B5A"/>
    <w:rsid w:val="68EA26DC"/>
    <w:rsid w:val="68F17803"/>
    <w:rsid w:val="691202EB"/>
    <w:rsid w:val="69757189"/>
    <w:rsid w:val="698C2CAC"/>
    <w:rsid w:val="6A372C18"/>
    <w:rsid w:val="6A476406"/>
    <w:rsid w:val="6A54657B"/>
    <w:rsid w:val="6A690F15"/>
    <w:rsid w:val="6A737633"/>
    <w:rsid w:val="6AAB7162"/>
    <w:rsid w:val="6B141A4C"/>
    <w:rsid w:val="6B266A30"/>
    <w:rsid w:val="6B536E9C"/>
    <w:rsid w:val="6B686E01"/>
    <w:rsid w:val="6BA708F2"/>
    <w:rsid w:val="6BB53802"/>
    <w:rsid w:val="6BD4248C"/>
    <w:rsid w:val="6BE77FC6"/>
    <w:rsid w:val="6C04239A"/>
    <w:rsid w:val="6C3F0FA7"/>
    <w:rsid w:val="6C486736"/>
    <w:rsid w:val="6C5E7310"/>
    <w:rsid w:val="6C6B2F98"/>
    <w:rsid w:val="6CB16327"/>
    <w:rsid w:val="6CF12E67"/>
    <w:rsid w:val="6D1611CB"/>
    <w:rsid w:val="6D2B3600"/>
    <w:rsid w:val="6D667370"/>
    <w:rsid w:val="6DEF39DF"/>
    <w:rsid w:val="6DF731D4"/>
    <w:rsid w:val="6E2E75B8"/>
    <w:rsid w:val="6E302565"/>
    <w:rsid w:val="6E6F6B54"/>
    <w:rsid w:val="6EB96AE0"/>
    <w:rsid w:val="6EE934B5"/>
    <w:rsid w:val="6EFC1B9E"/>
    <w:rsid w:val="6F906926"/>
    <w:rsid w:val="6FAB56DD"/>
    <w:rsid w:val="6FF944CB"/>
    <w:rsid w:val="7040045B"/>
    <w:rsid w:val="707779B5"/>
    <w:rsid w:val="708D25FA"/>
    <w:rsid w:val="70DB022F"/>
    <w:rsid w:val="70F25AEA"/>
    <w:rsid w:val="711235A4"/>
    <w:rsid w:val="711869E3"/>
    <w:rsid w:val="71332ADA"/>
    <w:rsid w:val="71766569"/>
    <w:rsid w:val="718944C6"/>
    <w:rsid w:val="71C138DA"/>
    <w:rsid w:val="7235034F"/>
    <w:rsid w:val="723914F7"/>
    <w:rsid w:val="728A2DF9"/>
    <w:rsid w:val="72D17DDC"/>
    <w:rsid w:val="72E74E49"/>
    <w:rsid w:val="736B043C"/>
    <w:rsid w:val="73E57B4E"/>
    <w:rsid w:val="744446A0"/>
    <w:rsid w:val="7452064E"/>
    <w:rsid w:val="74A13F0C"/>
    <w:rsid w:val="74EF24DB"/>
    <w:rsid w:val="754F0C44"/>
    <w:rsid w:val="75906821"/>
    <w:rsid w:val="75E56467"/>
    <w:rsid w:val="76184CB6"/>
    <w:rsid w:val="76440617"/>
    <w:rsid w:val="76606C42"/>
    <w:rsid w:val="773650D4"/>
    <w:rsid w:val="77461AAD"/>
    <w:rsid w:val="775234C7"/>
    <w:rsid w:val="778E72C8"/>
    <w:rsid w:val="77DB6D35"/>
    <w:rsid w:val="77E761FD"/>
    <w:rsid w:val="781516FF"/>
    <w:rsid w:val="7833398A"/>
    <w:rsid w:val="78485F58"/>
    <w:rsid w:val="78552BBA"/>
    <w:rsid w:val="789E43B6"/>
    <w:rsid w:val="78DB3308"/>
    <w:rsid w:val="78E15062"/>
    <w:rsid w:val="78EB30E1"/>
    <w:rsid w:val="791D5318"/>
    <w:rsid w:val="793C4517"/>
    <w:rsid w:val="798D56F0"/>
    <w:rsid w:val="79CC24A5"/>
    <w:rsid w:val="79F95B51"/>
    <w:rsid w:val="79FA0753"/>
    <w:rsid w:val="7AA95265"/>
    <w:rsid w:val="7AAE1062"/>
    <w:rsid w:val="7B15371E"/>
    <w:rsid w:val="7B231500"/>
    <w:rsid w:val="7B376C61"/>
    <w:rsid w:val="7B41207C"/>
    <w:rsid w:val="7B9E33E0"/>
    <w:rsid w:val="7BAD7063"/>
    <w:rsid w:val="7BC04826"/>
    <w:rsid w:val="7BC77661"/>
    <w:rsid w:val="7BD0513A"/>
    <w:rsid w:val="7BE47630"/>
    <w:rsid w:val="7BF12353"/>
    <w:rsid w:val="7C3308B7"/>
    <w:rsid w:val="7CA26617"/>
    <w:rsid w:val="7CE02C47"/>
    <w:rsid w:val="7D193810"/>
    <w:rsid w:val="7D267D83"/>
    <w:rsid w:val="7D40373A"/>
    <w:rsid w:val="7D772F67"/>
    <w:rsid w:val="7D7A2C5C"/>
    <w:rsid w:val="7DD13548"/>
    <w:rsid w:val="7DF84014"/>
    <w:rsid w:val="7ED61A00"/>
    <w:rsid w:val="7F203A30"/>
    <w:rsid w:val="7F225CF8"/>
    <w:rsid w:val="7F582C6A"/>
    <w:rsid w:val="7FD718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40" w:lineRule="auto"/>
      <w:jc w:val="both"/>
    </w:pPr>
    <w:rPr>
      <w:rFonts w:ascii="Times New Roman" w:hAnsi="Times New Roman" w:eastAsia="华文仿宋" w:cs="Times New Roman"/>
      <w:kern w:val="2"/>
      <w:sz w:val="32"/>
      <w:szCs w:val="24"/>
      <w:lang w:val="en-US" w:eastAsia="zh-CN" w:bidi="ar-SA"/>
    </w:rPr>
  </w:style>
  <w:style w:type="paragraph" w:styleId="2">
    <w:name w:val="heading 1"/>
    <w:basedOn w:val="1"/>
    <w:next w:val="1"/>
    <w:autoRedefine/>
    <w:qFormat/>
    <w:uiPriority w:val="0"/>
    <w:pPr>
      <w:numPr>
        <w:ilvl w:val="0"/>
        <w:numId w:val="1"/>
      </w:numPr>
      <w:overflowPunct w:val="0"/>
      <w:autoSpaceDE w:val="0"/>
      <w:autoSpaceDN w:val="0"/>
      <w:adjustRightInd w:val="0"/>
      <w:spacing w:before="60" w:after="60" w:line="360" w:lineRule="auto"/>
      <w:textAlignment w:val="baseline"/>
      <w:outlineLvl w:val="0"/>
    </w:pPr>
    <w:rPr>
      <w:rFonts w:ascii="Arial" w:hAnsi="Arial" w:eastAsia="黑体"/>
      <w:spacing w:val="-10"/>
      <w:kern w:val="20"/>
      <w:sz w:val="32"/>
      <w:szCs w:val="20"/>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Document Map"/>
    <w:basedOn w:val="1"/>
    <w:link w:val="17"/>
    <w:autoRedefine/>
    <w:semiHidden/>
    <w:unhideWhenUsed/>
    <w:qFormat/>
    <w:uiPriority w:val="99"/>
    <w:rPr>
      <w:rFonts w:ascii="宋体" w:eastAsia="宋体"/>
      <w:sz w:val="18"/>
      <w:szCs w:val="18"/>
    </w:rPr>
  </w:style>
  <w:style w:type="paragraph" w:styleId="4">
    <w:name w:val="annotation text"/>
    <w:basedOn w:val="1"/>
    <w:link w:val="19"/>
    <w:autoRedefine/>
    <w:unhideWhenUsed/>
    <w:qFormat/>
    <w:uiPriority w:val="0"/>
    <w:pPr>
      <w:jc w:val="left"/>
    </w:pPr>
  </w:style>
  <w:style w:type="paragraph" w:styleId="5">
    <w:name w:val="Body Text"/>
    <w:basedOn w:val="1"/>
    <w:autoRedefine/>
    <w:unhideWhenUsed/>
    <w:qFormat/>
    <w:uiPriority w:val="1"/>
    <w:pPr>
      <w:spacing w:before="135"/>
      <w:ind w:left="140"/>
    </w:pPr>
    <w:rPr>
      <w:rFonts w:hint="eastAsia" w:ascii="宋体" w:hAnsi="宋体" w:eastAsia="宋体"/>
      <w:sz w:val="24"/>
    </w:rPr>
  </w:style>
  <w:style w:type="paragraph" w:styleId="6">
    <w:name w:val="Body Text Indent"/>
    <w:basedOn w:val="1"/>
    <w:autoRedefine/>
    <w:qFormat/>
    <w:uiPriority w:val="0"/>
    <w:pPr>
      <w:snapToGrid/>
      <w:spacing w:line="360" w:lineRule="atLeast"/>
      <w:ind w:left="480" w:firstLine="480"/>
      <w:textAlignment w:val="baseline"/>
    </w:pPr>
    <w:rPr>
      <w:kern w:val="0"/>
      <w:szCs w:val="20"/>
    </w:rPr>
  </w:style>
  <w:style w:type="paragraph" w:styleId="7">
    <w:name w:val="Balloon Text"/>
    <w:basedOn w:val="1"/>
    <w:link w:val="18"/>
    <w:autoRedefine/>
    <w:semiHidden/>
    <w:unhideWhenUsed/>
    <w:qFormat/>
    <w:uiPriority w:val="99"/>
    <w:rPr>
      <w:sz w:val="18"/>
      <w:szCs w:val="18"/>
    </w:rPr>
  </w:style>
  <w:style w:type="paragraph" w:styleId="8">
    <w:name w:val="footer"/>
    <w:basedOn w:val="1"/>
    <w:link w:val="16"/>
    <w:autoRedefine/>
    <w:semiHidden/>
    <w:unhideWhenUsed/>
    <w:qFormat/>
    <w:uiPriority w:val="99"/>
    <w:pPr>
      <w:tabs>
        <w:tab w:val="center" w:pos="4153"/>
        <w:tab w:val="right" w:pos="8306"/>
      </w:tabs>
      <w:snapToGrid w:val="0"/>
      <w:jc w:val="left"/>
    </w:pPr>
    <w:rPr>
      <w:sz w:val="18"/>
      <w:szCs w:val="18"/>
    </w:rPr>
  </w:style>
  <w:style w:type="paragraph" w:styleId="9">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0"/>
    <w:autoRedefine/>
    <w:semiHidden/>
    <w:unhideWhenUsed/>
    <w:qFormat/>
    <w:uiPriority w:val="99"/>
    <w:rPr>
      <w:b/>
      <w:bCs/>
    </w:rPr>
  </w:style>
  <w:style w:type="paragraph" w:styleId="11">
    <w:name w:val="Body Text First Indent 2"/>
    <w:basedOn w:val="6"/>
    <w:autoRedefine/>
    <w:qFormat/>
    <w:uiPriority w:val="0"/>
    <w:pPr>
      <w:adjustRightInd/>
      <w:spacing w:after="120" w:line="240" w:lineRule="auto"/>
      <w:ind w:left="420" w:leftChars="200" w:firstLine="420" w:firstLineChars="200"/>
      <w:jc w:val="both"/>
      <w:textAlignment w:val="auto"/>
    </w:pPr>
    <w:rPr>
      <w:kern w:val="2"/>
      <w:sz w:val="21"/>
      <w:szCs w:val="24"/>
    </w:rPr>
  </w:style>
  <w:style w:type="character" w:styleId="14">
    <w:name w:val="annotation reference"/>
    <w:basedOn w:val="13"/>
    <w:autoRedefine/>
    <w:semiHidden/>
    <w:unhideWhenUsed/>
    <w:qFormat/>
    <w:uiPriority w:val="99"/>
    <w:rPr>
      <w:sz w:val="21"/>
      <w:szCs w:val="21"/>
    </w:rPr>
  </w:style>
  <w:style w:type="character" w:customStyle="1" w:styleId="15">
    <w:name w:val="页眉 Char"/>
    <w:basedOn w:val="13"/>
    <w:link w:val="9"/>
    <w:autoRedefine/>
    <w:semiHidden/>
    <w:qFormat/>
    <w:uiPriority w:val="99"/>
    <w:rPr>
      <w:rFonts w:ascii="Times New Roman" w:hAnsi="Times New Roman" w:eastAsia="华文仿宋" w:cs="Times New Roman"/>
      <w:sz w:val="18"/>
      <w:szCs w:val="18"/>
    </w:rPr>
  </w:style>
  <w:style w:type="character" w:customStyle="1" w:styleId="16">
    <w:name w:val="页脚 Char"/>
    <w:basedOn w:val="13"/>
    <w:link w:val="8"/>
    <w:autoRedefine/>
    <w:semiHidden/>
    <w:qFormat/>
    <w:uiPriority w:val="99"/>
    <w:rPr>
      <w:rFonts w:ascii="Times New Roman" w:hAnsi="Times New Roman" w:eastAsia="华文仿宋" w:cs="Times New Roman"/>
      <w:sz w:val="18"/>
      <w:szCs w:val="18"/>
    </w:rPr>
  </w:style>
  <w:style w:type="character" w:customStyle="1" w:styleId="17">
    <w:name w:val="文档结构图 Char"/>
    <w:basedOn w:val="13"/>
    <w:link w:val="3"/>
    <w:autoRedefine/>
    <w:semiHidden/>
    <w:qFormat/>
    <w:uiPriority w:val="99"/>
    <w:rPr>
      <w:rFonts w:ascii="宋体" w:hAnsi="Times New Roman" w:eastAsia="宋体" w:cs="Times New Roman"/>
      <w:sz w:val="18"/>
      <w:szCs w:val="18"/>
    </w:rPr>
  </w:style>
  <w:style w:type="character" w:customStyle="1" w:styleId="18">
    <w:name w:val="批注框文本 Char"/>
    <w:basedOn w:val="13"/>
    <w:link w:val="7"/>
    <w:autoRedefine/>
    <w:semiHidden/>
    <w:qFormat/>
    <w:uiPriority w:val="99"/>
    <w:rPr>
      <w:rFonts w:ascii="Times New Roman" w:hAnsi="Times New Roman" w:eastAsia="华文仿宋" w:cs="Times New Roman"/>
      <w:sz w:val="18"/>
      <w:szCs w:val="18"/>
    </w:rPr>
  </w:style>
  <w:style w:type="character" w:customStyle="1" w:styleId="19">
    <w:name w:val="批注文字 Char"/>
    <w:basedOn w:val="13"/>
    <w:link w:val="4"/>
    <w:autoRedefine/>
    <w:qFormat/>
    <w:uiPriority w:val="0"/>
    <w:rPr>
      <w:rFonts w:ascii="Times New Roman" w:hAnsi="Times New Roman" w:eastAsia="华文仿宋" w:cs="Times New Roman"/>
      <w:sz w:val="32"/>
      <w:szCs w:val="24"/>
    </w:rPr>
  </w:style>
  <w:style w:type="character" w:customStyle="1" w:styleId="20">
    <w:name w:val="批注主题 Char"/>
    <w:basedOn w:val="19"/>
    <w:link w:val="10"/>
    <w:autoRedefine/>
    <w:semiHidden/>
    <w:qFormat/>
    <w:uiPriority w:val="99"/>
    <w:rPr>
      <w:rFonts w:ascii="Times New Roman" w:hAnsi="Times New Roman" w:eastAsia="华文仿宋" w:cs="Times New Roman"/>
      <w:b/>
      <w:bCs/>
      <w:sz w:val="32"/>
      <w:szCs w:val="24"/>
    </w:rPr>
  </w:style>
  <w:style w:type="paragraph"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2102</Words>
  <Characters>2267</Characters>
  <Lines>10</Lines>
  <Paragraphs>3</Paragraphs>
  <TotalTime>2</TotalTime>
  <ScaleCrop>false</ScaleCrop>
  <LinksUpToDate>false</LinksUpToDate>
  <CharactersWithSpaces>2365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郭静</cp:lastModifiedBy>
  <cp:lastPrinted>2020-12-05T02:16:00Z</cp:lastPrinted>
  <dcterms:modified xsi:type="dcterms:W3CDTF">2024-04-18T09:02:17Z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AA1CB34092C44145AFD30D4412A3B6F5_13</vt:lpwstr>
  </property>
</Properties>
</file>