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0" w:firstLineChars="0"/>
        <w:jc w:val="center"/>
        <w:rPr>
          <w:rFonts w:eastAsia="黑体"/>
          <w:b/>
          <w:sz w:val="52"/>
          <w:szCs w:val="52"/>
          <w:u w:val="none"/>
        </w:rPr>
      </w:pPr>
      <w:r>
        <w:rPr>
          <w:u w:val="none"/>
        </w:rPr>
        <w:drawing>
          <wp:anchor distT="0" distB="0" distL="114300" distR="114300" simplePos="0" relativeHeight="251663360" behindDoc="0" locked="0" layoutInCell="1" allowOverlap="1">
            <wp:simplePos x="0" y="0"/>
            <wp:positionH relativeFrom="column">
              <wp:posOffset>35560</wp:posOffset>
            </wp:positionH>
            <wp:positionV relativeFrom="paragraph">
              <wp:posOffset>-133985</wp:posOffset>
            </wp:positionV>
            <wp:extent cx="1276350" cy="1247140"/>
            <wp:effectExtent l="19050" t="0" r="0" b="0"/>
            <wp:wrapNone/>
            <wp:docPr id="36" name="图片 44" descr="C:\Users\Administrator\AppData\Roaming\Tencent\Users\812800135\QQ\WinTemp\RichOle\Q`]]2@13`U9NI43TY299}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4" descr="C:\Users\Administrator\AppData\Roaming\Tencent\Users\812800135\QQ\WinTemp\RichOle\Q`]]2@13`U9NI43TY299}RS.png"/>
                    <pic:cNvPicPr>
                      <a:picLocks noChangeAspect="1"/>
                    </pic:cNvPicPr>
                  </pic:nvPicPr>
                  <pic:blipFill>
                    <a:blip r:embed="rId13" cstate="email"/>
                    <a:stretch>
                      <a:fillRect/>
                    </a:stretch>
                  </pic:blipFill>
                  <pic:spPr>
                    <a:xfrm>
                      <a:off x="0" y="0"/>
                      <a:ext cx="1276350" cy="1247140"/>
                    </a:xfrm>
                    <a:prstGeom prst="rect">
                      <a:avLst/>
                    </a:prstGeom>
                    <a:noFill/>
                    <a:ln>
                      <a:noFill/>
                    </a:ln>
                  </pic:spPr>
                </pic:pic>
              </a:graphicData>
            </a:graphic>
          </wp:anchor>
        </w:drawing>
      </w:r>
    </w:p>
    <w:p>
      <w:pPr>
        <w:spacing w:line="240" w:lineRule="auto"/>
        <w:ind w:firstLine="0" w:firstLineChars="0"/>
        <w:jc w:val="center"/>
        <w:rPr>
          <w:rFonts w:eastAsia="黑体"/>
          <w:b/>
          <w:sz w:val="52"/>
          <w:szCs w:val="52"/>
          <w:u w:val="none"/>
        </w:rPr>
      </w:pPr>
    </w:p>
    <w:p>
      <w:pPr>
        <w:spacing w:line="240" w:lineRule="auto"/>
        <w:ind w:firstLine="0" w:firstLineChars="0"/>
        <w:jc w:val="both"/>
        <w:rPr>
          <w:rFonts w:eastAsia="黑体"/>
          <w:b/>
          <w:sz w:val="52"/>
          <w:szCs w:val="52"/>
          <w:u w:val="none"/>
        </w:rPr>
      </w:pPr>
    </w:p>
    <w:p>
      <w:pPr>
        <w:spacing w:line="240" w:lineRule="auto"/>
        <w:ind w:firstLine="0" w:firstLineChars="0"/>
        <w:jc w:val="both"/>
        <w:rPr>
          <w:rFonts w:eastAsia="黑体"/>
          <w:b/>
          <w:sz w:val="52"/>
          <w:szCs w:val="52"/>
          <w:u w:val="none"/>
        </w:rPr>
      </w:pPr>
    </w:p>
    <w:p>
      <w:pPr>
        <w:spacing w:line="240" w:lineRule="auto"/>
        <w:ind w:firstLine="0" w:firstLineChars="0"/>
        <w:jc w:val="center"/>
        <w:rPr>
          <w:rFonts w:eastAsia="黑体"/>
          <w:b/>
          <w:sz w:val="52"/>
          <w:szCs w:val="52"/>
          <w:u w:val="none"/>
        </w:rPr>
      </w:pPr>
      <w:r>
        <w:rPr>
          <w:rFonts w:ascii="华文中宋" w:hAnsi="华文中宋" w:eastAsia="华文中宋" w:cs="华文中宋"/>
          <w:b/>
          <w:bCs/>
          <w:color w:val="000000"/>
          <w:sz w:val="48"/>
          <w:szCs w:val="48"/>
          <w:u w:val="none"/>
        </w:rPr>
        <w:t>桃江县湘域矿业有限公司首溪金矿</w:t>
      </w:r>
    </w:p>
    <w:p>
      <w:pPr>
        <w:spacing w:line="240" w:lineRule="auto"/>
        <w:ind w:firstLine="0" w:firstLineChars="0"/>
        <w:jc w:val="center"/>
        <w:rPr>
          <w:rFonts w:eastAsia="黑体"/>
          <w:b/>
          <w:sz w:val="52"/>
          <w:szCs w:val="52"/>
          <w:u w:val="none"/>
        </w:rPr>
      </w:pPr>
      <w:r>
        <w:rPr>
          <w:rFonts w:hint="eastAsia" w:eastAsia="黑体"/>
          <w:b/>
          <w:sz w:val="52"/>
          <w:szCs w:val="52"/>
          <w:u w:val="none"/>
        </w:rPr>
        <w:t>入河排污口设置论证报告</w:t>
      </w:r>
    </w:p>
    <w:p>
      <w:pPr>
        <w:spacing w:line="240" w:lineRule="auto"/>
        <w:ind w:firstLine="0" w:firstLineChars="0"/>
        <w:rPr>
          <w:sz w:val="30"/>
          <w:u w:val="none"/>
        </w:rPr>
      </w:pPr>
    </w:p>
    <w:p>
      <w:pPr>
        <w:spacing w:line="240" w:lineRule="auto"/>
        <w:ind w:firstLine="600"/>
        <w:rPr>
          <w:sz w:val="30"/>
          <w:u w:val="none"/>
        </w:rPr>
      </w:pPr>
    </w:p>
    <w:p>
      <w:pPr>
        <w:spacing w:line="240" w:lineRule="auto"/>
        <w:ind w:firstLine="600"/>
        <w:rPr>
          <w:sz w:val="30"/>
          <w:u w:val="none"/>
        </w:rPr>
      </w:pPr>
    </w:p>
    <w:p>
      <w:pPr>
        <w:pStyle w:val="17"/>
        <w:spacing w:line="240" w:lineRule="auto"/>
        <w:ind w:firstLine="480"/>
        <w:rPr>
          <w:u w:val="none"/>
        </w:rPr>
      </w:pPr>
    </w:p>
    <w:p>
      <w:pPr>
        <w:pStyle w:val="17"/>
        <w:spacing w:line="240" w:lineRule="auto"/>
        <w:ind w:firstLine="480"/>
        <w:rPr>
          <w:u w:val="none"/>
        </w:rPr>
      </w:pPr>
    </w:p>
    <w:p>
      <w:pPr>
        <w:spacing w:line="240" w:lineRule="auto"/>
        <w:ind w:firstLine="480"/>
        <w:rPr>
          <w:u w:val="none"/>
        </w:rPr>
      </w:pPr>
    </w:p>
    <w:p>
      <w:pPr>
        <w:pStyle w:val="17"/>
        <w:spacing w:line="240" w:lineRule="auto"/>
        <w:ind w:firstLine="480"/>
        <w:rPr>
          <w:u w:val="none"/>
        </w:rPr>
      </w:pPr>
    </w:p>
    <w:p>
      <w:pPr>
        <w:spacing w:line="240" w:lineRule="auto"/>
        <w:ind w:firstLine="480"/>
        <w:rPr>
          <w:u w:val="none"/>
        </w:rPr>
      </w:pPr>
    </w:p>
    <w:p>
      <w:pPr>
        <w:spacing w:line="240" w:lineRule="auto"/>
        <w:ind w:firstLine="643"/>
        <w:rPr>
          <w:b/>
          <w:sz w:val="32"/>
          <w:u w:val="none"/>
        </w:rPr>
      </w:pPr>
    </w:p>
    <w:p>
      <w:pPr>
        <w:spacing w:line="240" w:lineRule="auto"/>
        <w:ind w:firstLine="643"/>
        <w:rPr>
          <w:b/>
          <w:sz w:val="32"/>
          <w:u w:val="none"/>
        </w:rPr>
      </w:pPr>
    </w:p>
    <w:p>
      <w:pPr>
        <w:spacing w:line="240" w:lineRule="auto"/>
        <w:ind w:firstLine="723"/>
        <w:jc w:val="center"/>
        <w:rPr>
          <w:rFonts w:eastAsia="黑体"/>
          <w:b/>
          <w:sz w:val="36"/>
          <w:u w:val="none"/>
        </w:rPr>
      </w:pPr>
    </w:p>
    <w:p>
      <w:pPr>
        <w:spacing w:line="240" w:lineRule="auto"/>
        <w:ind w:firstLine="0" w:firstLineChars="0"/>
        <w:jc w:val="center"/>
        <w:rPr>
          <w:rFonts w:eastAsia="黑体"/>
          <w:b/>
          <w:sz w:val="32"/>
          <w:szCs w:val="32"/>
          <w:u w:val="none"/>
        </w:rPr>
      </w:pPr>
      <w:r>
        <w:rPr>
          <w:rFonts w:hint="eastAsia" w:eastAsia="黑体"/>
          <w:b/>
          <w:sz w:val="32"/>
          <w:szCs w:val="32"/>
          <w:u w:val="none"/>
        </w:rPr>
        <w:t>建设单位：桃江县湘域矿业有限公司</w:t>
      </w:r>
    </w:p>
    <w:p>
      <w:pPr>
        <w:spacing w:line="240" w:lineRule="auto"/>
        <w:ind w:firstLine="0" w:firstLineChars="0"/>
        <w:jc w:val="center"/>
        <w:rPr>
          <w:rFonts w:eastAsia="黑体"/>
          <w:b/>
          <w:sz w:val="32"/>
          <w:szCs w:val="32"/>
          <w:u w:val="none"/>
        </w:rPr>
      </w:pPr>
      <w:r>
        <w:rPr>
          <w:rFonts w:hint="eastAsia" w:eastAsia="黑体"/>
          <w:b/>
          <w:sz w:val="32"/>
          <w:szCs w:val="32"/>
          <w:u w:val="none"/>
        </w:rPr>
        <w:t>编制单位：湖南湘健环保科技有限公司</w:t>
      </w:r>
    </w:p>
    <w:p>
      <w:pPr>
        <w:spacing w:line="240" w:lineRule="auto"/>
        <w:ind w:firstLine="0" w:firstLineChars="0"/>
        <w:jc w:val="center"/>
        <w:rPr>
          <w:rFonts w:eastAsia="黑体"/>
          <w:b/>
          <w:sz w:val="32"/>
          <w:szCs w:val="32"/>
          <w:u w:val="none"/>
        </w:rPr>
      </w:pPr>
      <w:r>
        <w:rPr>
          <w:rFonts w:eastAsia="黑体"/>
          <w:b/>
          <w:sz w:val="32"/>
          <w:szCs w:val="32"/>
          <w:u w:val="none"/>
        </w:rPr>
        <w:t>编制日期：20</w:t>
      </w:r>
      <w:r>
        <w:rPr>
          <w:rFonts w:hint="eastAsia" w:eastAsia="黑体"/>
          <w:b/>
          <w:sz w:val="32"/>
          <w:szCs w:val="32"/>
          <w:u w:val="none"/>
        </w:rPr>
        <w:t>2</w:t>
      </w:r>
      <w:r>
        <w:rPr>
          <w:rFonts w:hint="eastAsia" w:eastAsia="黑体"/>
          <w:b/>
          <w:sz w:val="32"/>
          <w:szCs w:val="32"/>
          <w:u w:val="none"/>
          <w:lang w:val="en-US" w:eastAsia="zh-CN"/>
        </w:rPr>
        <w:t>4</w:t>
      </w:r>
      <w:r>
        <w:rPr>
          <w:rFonts w:eastAsia="黑体"/>
          <w:b/>
          <w:sz w:val="32"/>
          <w:szCs w:val="32"/>
          <w:u w:val="none"/>
        </w:rPr>
        <w:t>年</w:t>
      </w:r>
      <w:r>
        <w:rPr>
          <w:rFonts w:hint="eastAsia" w:eastAsia="黑体"/>
          <w:b/>
          <w:sz w:val="32"/>
          <w:szCs w:val="32"/>
          <w:u w:val="none"/>
          <w:lang w:val="en-US" w:eastAsia="zh-CN"/>
        </w:rPr>
        <w:t>01</w:t>
      </w:r>
      <w:r>
        <w:rPr>
          <w:rFonts w:eastAsia="黑体"/>
          <w:b/>
          <w:sz w:val="32"/>
          <w:szCs w:val="32"/>
          <w:u w:val="none"/>
        </w:rPr>
        <w:t>月</w:t>
      </w:r>
    </w:p>
    <w:p>
      <w:pPr>
        <w:pStyle w:val="11"/>
        <w:spacing w:line="240" w:lineRule="auto"/>
        <w:ind w:left="0" w:firstLine="0" w:firstLineChars="0"/>
        <w:rPr>
          <w:u w:val="none"/>
        </w:rPr>
      </w:pPr>
    </w:p>
    <w:p>
      <w:pPr>
        <w:spacing w:line="240" w:lineRule="auto"/>
        <w:ind w:firstLine="643"/>
        <w:rPr>
          <w:rFonts w:ascii="宋体" w:hAnsi="宋体"/>
          <w:b/>
          <w:bCs/>
          <w:sz w:val="32"/>
          <w:szCs w:val="32"/>
          <w:u w:val="none"/>
        </w:rPr>
      </w:pPr>
      <w:r>
        <w:rPr>
          <w:rFonts w:ascii="宋体" w:hAnsi="宋体"/>
          <w:b/>
          <w:bCs/>
          <w:sz w:val="32"/>
          <w:szCs w:val="32"/>
          <w:u w:val="none"/>
        </w:rPr>
        <w:br w:type="page"/>
      </w:r>
    </w:p>
    <w:p>
      <w:pPr>
        <w:spacing w:line="240" w:lineRule="auto"/>
        <w:ind w:firstLine="0" w:firstLineChars="0"/>
        <w:jc w:val="center"/>
        <w:rPr>
          <w:b/>
          <w:bCs/>
          <w:sz w:val="32"/>
          <w:szCs w:val="32"/>
          <w:u w:val="none"/>
        </w:rPr>
      </w:pPr>
      <w:r>
        <w:rPr>
          <w:rFonts w:ascii="宋体" w:hAnsi="宋体"/>
          <w:b/>
          <w:bCs/>
          <w:sz w:val="32"/>
          <w:szCs w:val="32"/>
          <w:u w:val="none"/>
        </w:rPr>
        <w:t>目录</w:t>
      </w:r>
    </w:p>
    <w:p>
      <w:pPr>
        <w:pStyle w:val="22"/>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rPr>
          <w:u w:val="none"/>
        </w:rPr>
        <w:instrText xml:space="preserve">TOC \o "1-2" \h \u </w:instrText>
      </w:r>
      <w:r>
        <w:rPr>
          <w:u w:val="none"/>
        </w:rPr>
        <w:fldChar w:fldCharType="separate"/>
      </w:r>
      <w:r>
        <w:rPr>
          <w:u w:val="none"/>
        </w:rPr>
        <w:fldChar w:fldCharType="begin"/>
      </w:r>
      <w:r>
        <w:instrText xml:space="preserve"> HYPERLINK \l _Toc5873 </w:instrText>
      </w:r>
      <w:r>
        <w:fldChar w:fldCharType="separate"/>
      </w:r>
      <w:r>
        <w:t>1</w:t>
      </w:r>
      <w:r>
        <w:rPr>
          <w:rFonts w:hint="eastAsia"/>
        </w:rPr>
        <w:t>、</w:t>
      </w:r>
      <w:r>
        <w:t>总则</w:t>
      </w:r>
      <w:r>
        <w:tab/>
      </w:r>
      <w:r>
        <w:fldChar w:fldCharType="begin"/>
      </w:r>
      <w:r>
        <w:instrText xml:space="preserve"> PAGEREF _Toc5873 \h </w:instrText>
      </w:r>
      <w:r>
        <w:fldChar w:fldCharType="separate"/>
      </w:r>
      <w:r>
        <w:t>1</w:t>
      </w:r>
      <w:r>
        <w:fldChar w:fldCharType="end"/>
      </w:r>
      <w:r>
        <w:rPr>
          <w:u w:val="none"/>
        </w:rPr>
        <w:fldChar w:fldCharType="end"/>
      </w:r>
    </w:p>
    <w:p>
      <w:pPr>
        <w:pStyle w:val="26"/>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instrText xml:space="preserve"> HYPERLINK \l _Toc24508 </w:instrText>
      </w:r>
      <w:r>
        <w:fldChar w:fldCharType="separate"/>
      </w:r>
      <w:r>
        <w:rPr>
          <w:szCs w:val="30"/>
        </w:rPr>
        <w:t>1.</w:t>
      </w:r>
      <w:r>
        <w:rPr>
          <w:rFonts w:hint="eastAsia"/>
          <w:szCs w:val="30"/>
        </w:rPr>
        <w:t>1论证来源</w:t>
      </w:r>
      <w:r>
        <w:tab/>
      </w:r>
      <w:r>
        <w:fldChar w:fldCharType="begin"/>
      </w:r>
      <w:r>
        <w:instrText xml:space="preserve"> PAGEREF _Toc24508 \h </w:instrText>
      </w:r>
      <w:r>
        <w:fldChar w:fldCharType="separate"/>
      </w:r>
      <w:r>
        <w:t>1</w:t>
      </w:r>
      <w:r>
        <w:fldChar w:fldCharType="end"/>
      </w:r>
      <w:r>
        <w:rPr>
          <w:u w:val="none"/>
        </w:rPr>
        <w:fldChar w:fldCharType="end"/>
      </w:r>
    </w:p>
    <w:p>
      <w:pPr>
        <w:pStyle w:val="26"/>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instrText xml:space="preserve"> HYPERLINK \l _Toc22920 </w:instrText>
      </w:r>
      <w:r>
        <w:fldChar w:fldCharType="separate"/>
      </w:r>
      <w:r>
        <w:rPr>
          <w:szCs w:val="30"/>
        </w:rPr>
        <w:t>1.</w:t>
      </w:r>
      <w:r>
        <w:rPr>
          <w:rFonts w:hint="eastAsia"/>
          <w:szCs w:val="30"/>
        </w:rPr>
        <w:t>2</w:t>
      </w:r>
      <w:r>
        <w:rPr>
          <w:szCs w:val="30"/>
        </w:rPr>
        <w:t>论证</w:t>
      </w:r>
      <w:r>
        <w:rPr>
          <w:rFonts w:hint="eastAsia"/>
          <w:szCs w:val="30"/>
        </w:rPr>
        <w:t>目的</w:t>
      </w:r>
      <w:r>
        <w:rPr>
          <w:szCs w:val="30"/>
        </w:rPr>
        <w:t>及依据</w:t>
      </w:r>
      <w:r>
        <w:tab/>
      </w:r>
      <w:r>
        <w:fldChar w:fldCharType="begin"/>
      </w:r>
      <w:r>
        <w:instrText xml:space="preserve"> PAGEREF _Toc22920 \h </w:instrText>
      </w:r>
      <w:r>
        <w:fldChar w:fldCharType="separate"/>
      </w:r>
      <w:r>
        <w:t>2</w:t>
      </w:r>
      <w:r>
        <w:fldChar w:fldCharType="end"/>
      </w:r>
      <w:r>
        <w:rPr>
          <w:u w:val="none"/>
        </w:rPr>
        <w:fldChar w:fldCharType="end"/>
      </w:r>
    </w:p>
    <w:p>
      <w:pPr>
        <w:pStyle w:val="26"/>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instrText xml:space="preserve"> HYPERLINK \l _Toc15441 </w:instrText>
      </w:r>
      <w:r>
        <w:fldChar w:fldCharType="separate"/>
      </w:r>
      <w:r>
        <w:rPr>
          <w:szCs w:val="30"/>
        </w:rPr>
        <w:t>1.</w:t>
      </w:r>
      <w:r>
        <w:rPr>
          <w:rFonts w:hint="eastAsia"/>
          <w:szCs w:val="30"/>
        </w:rPr>
        <w:t>3</w:t>
      </w:r>
      <w:r>
        <w:rPr>
          <w:szCs w:val="30"/>
        </w:rPr>
        <w:t>论证</w:t>
      </w:r>
      <w:r>
        <w:rPr>
          <w:rFonts w:hint="eastAsia"/>
          <w:szCs w:val="30"/>
        </w:rPr>
        <w:t>原则</w:t>
      </w:r>
      <w:r>
        <w:tab/>
      </w:r>
      <w:r>
        <w:fldChar w:fldCharType="begin"/>
      </w:r>
      <w:r>
        <w:instrText xml:space="preserve"> PAGEREF _Toc15441 \h </w:instrText>
      </w:r>
      <w:r>
        <w:fldChar w:fldCharType="separate"/>
      </w:r>
      <w:r>
        <w:t>4</w:t>
      </w:r>
      <w:r>
        <w:fldChar w:fldCharType="end"/>
      </w:r>
      <w:r>
        <w:rPr>
          <w:u w:val="none"/>
        </w:rPr>
        <w:fldChar w:fldCharType="end"/>
      </w:r>
    </w:p>
    <w:p>
      <w:pPr>
        <w:pStyle w:val="26"/>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instrText xml:space="preserve"> HYPERLINK \l _Toc32093 </w:instrText>
      </w:r>
      <w:r>
        <w:fldChar w:fldCharType="separate"/>
      </w:r>
      <w:r>
        <w:rPr>
          <w:szCs w:val="30"/>
        </w:rPr>
        <w:t>1.</w:t>
      </w:r>
      <w:r>
        <w:rPr>
          <w:rFonts w:hint="eastAsia"/>
          <w:szCs w:val="30"/>
        </w:rPr>
        <w:t>4</w:t>
      </w:r>
      <w:r>
        <w:rPr>
          <w:szCs w:val="30"/>
        </w:rPr>
        <w:t>论证等级</w:t>
      </w:r>
      <w:r>
        <w:rPr>
          <w:rFonts w:hint="eastAsia"/>
          <w:szCs w:val="30"/>
        </w:rPr>
        <w:t>、</w:t>
      </w:r>
      <w:r>
        <w:rPr>
          <w:szCs w:val="30"/>
        </w:rPr>
        <w:t>范围</w:t>
      </w:r>
      <w:r>
        <w:rPr>
          <w:rFonts w:hint="eastAsia"/>
          <w:szCs w:val="30"/>
        </w:rPr>
        <w:t>和规模</w:t>
      </w:r>
      <w:r>
        <w:tab/>
      </w:r>
      <w:r>
        <w:fldChar w:fldCharType="begin"/>
      </w:r>
      <w:r>
        <w:instrText xml:space="preserve"> PAGEREF _Toc32093 \h </w:instrText>
      </w:r>
      <w:r>
        <w:fldChar w:fldCharType="separate"/>
      </w:r>
      <w:r>
        <w:t>5</w:t>
      </w:r>
      <w:r>
        <w:fldChar w:fldCharType="end"/>
      </w:r>
      <w:r>
        <w:rPr>
          <w:u w:val="none"/>
        </w:rPr>
        <w:fldChar w:fldCharType="end"/>
      </w:r>
    </w:p>
    <w:p>
      <w:pPr>
        <w:pStyle w:val="26"/>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instrText xml:space="preserve"> HYPERLINK \l _Toc12339 </w:instrText>
      </w:r>
      <w:r>
        <w:fldChar w:fldCharType="separate"/>
      </w:r>
      <w:r>
        <w:rPr>
          <w:szCs w:val="30"/>
        </w:rPr>
        <w:t>1.</w:t>
      </w:r>
      <w:r>
        <w:rPr>
          <w:rFonts w:hint="eastAsia"/>
          <w:szCs w:val="30"/>
        </w:rPr>
        <w:t>5</w:t>
      </w:r>
      <w:r>
        <w:rPr>
          <w:szCs w:val="30"/>
        </w:rPr>
        <w:t>论证</w:t>
      </w:r>
      <w:r>
        <w:rPr>
          <w:rFonts w:hint="eastAsia"/>
          <w:szCs w:val="30"/>
        </w:rPr>
        <w:t>工作</w:t>
      </w:r>
      <w:r>
        <w:rPr>
          <w:szCs w:val="30"/>
        </w:rPr>
        <w:t>程序</w:t>
      </w:r>
      <w:r>
        <w:tab/>
      </w:r>
      <w:r>
        <w:fldChar w:fldCharType="begin"/>
      </w:r>
      <w:r>
        <w:instrText xml:space="preserve"> PAGEREF _Toc12339 \h </w:instrText>
      </w:r>
      <w:r>
        <w:fldChar w:fldCharType="separate"/>
      </w:r>
      <w:r>
        <w:t>9</w:t>
      </w:r>
      <w:r>
        <w:fldChar w:fldCharType="end"/>
      </w:r>
      <w:r>
        <w:rPr>
          <w:u w:val="none"/>
        </w:rPr>
        <w:fldChar w:fldCharType="end"/>
      </w:r>
    </w:p>
    <w:p>
      <w:pPr>
        <w:pStyle w:val="26"/>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instrText xml:space="preserve"> HYPERLINK \l _Toc24367 </w:instrText>
      </w:r>
      <w:r>
        <w:fldChar w:fldCharType="separate"/>
      </w:r>
      <w:r>
        <w:rPr>
          <w:szCs w:val="30"/>
        </w:rPr>
        <w:t>1.</w:t>
      </w:r>
      <w:r>
        <w:rPr>
          <w:rFonts w:hint="eastAsia"/>
          <w:szCs w:val="30"/>
        </w:rPr>
        <w:t>6</w:t>
      </w:r>
      <w:r>
        <w:rPr>
          <w:szCs w:val="30"/>
        </w:rPr>
        <w:t>论证</w:t>
      </w:r>
      <w:r>
        <w:rPr>
          <w:rFonts w:hint="eastAsia"/>
          <w:szCs w:val="30"/>
        </w:rPr>
        <w:t>的主要</w:t>
      </w:r>
      <w:r>
        <w:rPr>
          <w:szCs w:val="30"/>
        </w:rPr>
        <w:t>内容</w:t>
      </w:r>
      <w:r>
        <w:tab/>
      </w:r>
      <w:r>
        <w:fldChar w:fldCharType="begin"/>
      </w:r>
      <w:r>
        <w:instrText xml:space="preserve"> PAGEREF _Toc24367 \h </w:instrText>
      </w:r>
      <w:r>
        <w:fldChar w:fldCharType="separate"/>
      </w:r>
      <w:r>
        <w:t>10</w:t>
      </w:r>
      <w:r>
        <w:fldChar w:fldCharType="end"/>
      </w:r>
      <w:r>
        <w:rPr>
          <w:u w:val="none"/>
        </w:rPr>
        <w:fldChar w:fldCharType="end"/>
      </w:r>
    </w:p>
    <w:p>
      <w:pPr>
        <w:pStyle w:val="22"/>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instrText xml:space="preserve"> HYPERLINK \l _Toc16242 </w:instrText>
      </w:r>
      <w:r>
        <w:fldChar w:fldCharType="separate"/>
      </w:r>
      <w:r>
        <w:t>2</w:t>
      </w:r>
      <w:r>
        <w:rPr>
          <w:rFonts w:hint="eastAsia"/>
        </w:rPr>
        <w:t>、</w:t>
      </w:r>
      <w:r>
        <w:t>项目概况</w:t>
      </w:r>
      <w:r>
        <w:tab/>
      </w:r>
      <w:r>
        <w:fldChar w:fldCharType="begin"/>
      </w:r>
      <w:r>
        <w:instrText xml:space="preserve"> PAGEREF _Toc16242 \h </w:instrText>
      </w:r>
      <w:r>
        <w:fldChar w:fldCharType="separate"/>
      </w:r>
      <w:r>
        <w:t>12</w:t>
      </w:r>
      <w:r>
        <w:fldChar w:fldCharType="end"/>
      </w:r>
      <w:r>
        <w:rPr>
          <w:u w:val="none"/>
        </w:rPr>
        <w:fldChar w:fldCharType="end"/>
      </w:r>
    </w:p>
    <w:p>
      <w:pPr>
        <w:pStyle w:val="26"/>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instrText xml:space="preserve"> HYPERLINK \l _Toc19441 </w:instrText>
      </w:r>
      <w:r>
        <w:fldChar w:fldCharType="separate"/>
      </w:r>
      <w:r>
        <w:rPr>
          <w:szCs w:val="30"/>
        </w:rPr>
        <w:t>2.</w:t>
      </w:r>
      <w:r>
        <w:rPr>
          <w:rFonts w:hint="eastAsia"/>
          <w:szCs w:val="30"/>
        </w:rPr>
        <w:t>1</w:t>
      </w:r>
      <w:r>
        <w:rPr>
          <w:szCs w:val="30"/>
        </w:rPr>
        <w:t>项目基本情况</w:t>
      </w:r>
      <w:r>
        <w:tab/>
      </w:r>
      <w:r>
        <w:fldChar w:fldCharType="begin"/>
      </w:r>
      <w:r>
        <w:instrText xml:space="preserve"> PAGEREF _Toc19441 \h </w:instrText>
      </w:r>
      <w:r>
        <w:fldChar w:fldCharType="separate"/>
      </w:r>
      <w:r>
        <w:t>12</w:t>
      </w:r>
      <w:r>
        <w:fldChar w:fldCharType="end"/>
      </w:r>
      <w:r>
        <w:rPr>
          <w:u w:val="none"/>
        </w:rPr>
        <w:fldChar w:fldCharType="end"/>
      </w:r>
    </w:p>
    <w:p>
      <w:pPr>
        <w:pStyle w:val="26"/>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instrText xml:space="preserve"> HYPERLINK \l _Toc32721 </w:instrText>
      </w:r>
      <w:r>
        <w:fldChar w:fldCharType="separate"/>
      </w:r>
      <w:r>
        <w:rPr>
          <w:rFonts w:hint="eastAsia"/>
          <w:szCs w:val="30"/>
        </w:rPr>
        <w:t>2.2项目所在区域概况</w:t>
      </w:r>
      <w:r>
        <w:tab/>
      </w:r>
      <w:r>
        <w:fldChar w:fldCharType="begin"/>
      </w:r>
      <w:r>
        <w:instrText xml:space="preserve"> PAGEREF _Toc32721 \h </w:instrText>
      </w:r>
      <w:r>
        <w:fldChar w:fldCharType="separate"/>
      </w:r>
      <w:r>
        <w:t>25</w:t>
      </w:r>
      <w:r>
        <w:fldChar w:fldCharType="end"/>
      </w:r>
      <w:r>
        <w:rPr>
          <w:u w:val="none"/>
        </w:rPr>
        <w:fldChar w:fldCharType="end"/>
      </w:r>
    </w:p>
    <w:p>
      <w:pPr>
        <w:pStyle w:val="26"/>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instrText xml:space="preserve"> HYPERLINK \l _Toc29834 </w:instrText>
      </w:r>
      <w:r>
        <w:fldChar w:fldCharType="separate"/>
      </w:r>
      <w:r>
        <w:rPr>
          <w:rFonts w:hint="eastAsia"/>
          <w:szCs w:val="30"/>
        </w:rPr>
        <w:t>2.3环境敏感区分布</w:t>
      </w:r>
      <w:r>
        <w:tab/>
      </w:r>
      <w:r>
        <w:fldChar w:fldCharType="begin"/>
      </w:r>
      <w:r>
        <w:instrText xml:space="preserve"> PAGEREF _Toc29834 \h </w:instrText>
      </w:r>
      <w:r>
        <w:fldChar w:fldCharType="separate"/>
      </w:r>
      <w:r>
        <w:t>29</w:t>
      </w:r>
      <w:r>
        <w:fldChar w:fldCharType="end"/>
      </w:r>
      <w:r>
        <w:rPr>
          <w:u w:val="none"/>
        </w:rPr>
        <w:fldChar w:fldCharType="end"/>
      </w:r>
    </w:p>
    <w:p>
      <w:pPr>
        <w:pStyle w:val="22"/>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instrText xml:space="preserve"> HYPERLINK \l _Toc20478 </w:instrText>
      </w:r>
      <w:r>
        <w:fldChar w:fldCharType="separate"/>
      </w:r>
      <w:r>
        <w:rPr>
          <w:rFonts w:hint="eastAsia"/>
        </w:rPr>
        <w:t>3、入河</w:t>
      </w:r>
      <w:r>
        <w:t>排污口所在区域水质现状及</w:t>
      </w:r>
      <w:r>
        <w:rPr>
          <w:rFonts w:hint="eastAsia"/>
        </w:rPr>
        <w:t>接纳</w:t>
      </w:r>
      <w:r>
        <w:t>污水状况</w:t>
      </w:r>
      <w:r>
        <w:tab/>
      </w:r>
      <w:r>
        <w:fldChar w:fldCharType="begin"/>
      </w:r>
      <w:r>
        <w:instrText xml:space="preserve"> PAGEREF _Toc20478 \h </w:instrText>
      </w:r>
      <w:r>
        <w:fldChar w:fldCharType="separate"/>
      </w:r>
      <w:r>
        <w:t>32</w:t>
      </w:r>
      <w:r>
        <w:fldChar w:fldCharType="end"/>
      </w:r>
      <w:r>
        <w:rPr>
          <w:u w:val="none"/>
        </w:rPr>
        <w:fldChar w:fldCharType="end"/>
      </w:r>
    </w:p>
    <w:p>
      <w:pPr>
        <w:pStyle w:val="26"/>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instrText xml:space="preserve"> HYPERLINK \l _Toc4276 </w:instrText>
      </w:r>
      <w:r>
        <w:fldChar w:fldCharType="separate"/>
      </w:r>
      <w:r>
        <w:rPr>
          <w:rFonts w:hint="eastAsia"/>
          <w:szCs w:val="30"/>
          <w:lang w:val="en-US" w:eastAsia="zh-CN"/>
        </w:rPr>
        <w:t>3.1</w:t>
      </w:r>
      <w:r>
        <w:rPr>
          <w:rFonts w:hint="eastAsia"/>
          <w:szCs w:val="30"/>
        </w:rPr>
        <w:t>入河排污口所在水域水质</w:t>
      </w:r>
      <w:r>
        <w:tab/>
      </w:r>
      <w:r>
        <w:fldChar w:fldCharType="begin"/>
      </w:r>
      <w:r>
        <w:instrText xml:space="preserve"> PAGEREF _Toc4276 \h </w:instrText>
      </w:r>
      <w:r>
        <w:fldChar w:fldCharType="separate"/>
      </w:r>
      <w:r>
        <w:t>32</w:t>
      </w:r>
      <w:r>
        <w:fldChar w:fldCharType="end"/>
      </w:r>
      <w:r>
        <w:rPr>
          <w:u w:val="none"/>
        </w:rPr>
        <w:fldChar w:fldCharType="end"/>
      </w:r>
    </w:p>
    <w:p>
      <w:pPr>
        <w:pStyle w:val="26"/>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instrText xml:space="preserve"> HYPERLINK \l _Toc5516 </w:instrText>
      </w:r>
      <w:r>
        <w:fldChar w:fldCharType="separate"/>
      </w:r>
      <w:r>
        <w:rPr>
          <w:rFonts w:hint="eastAsia"/>
          <w:szCs w:val="30"/>
        </w:rPr>
        <w:t>3</w:t>
      </w:r>
      <w:r>
        <w:rPr>
          <w:szCs w:val="30"/>
        </w:rPr>
        <w:t>.</w:t>
      </w:r>
      <w:r>
        <w:rPr>
          <w:rFonts w:hint="eastAsia"/>
          <w:szCs w:val="30"/>
        </w:rPr>
        <w:t>2入河排污口</w:t>
      </w:r>
      <w:r>
        <w:rPr>
          <w:szCs w:val="30"/>
        </w:rPr>
        <w:t>所在水域接纳污水状况</w:t>
      </w:r>
      <w:r>
        <w:tab/>
      </w:r>
      <w:r>
        <w:fldChar w:fldCharType="begin"/>
      </w:r>
      <w:r>
        <w:instrText xml:space="preserve"> PAGEREF _Toc5516 \h </w:instrText>
      </w:r>
      <w:r>
        <w:fldChar w:fldCharType="separate"/>
      </w:r>
      <w:r>
        <w:t>41</w:t>
      </w:r>
      <w:r>
        <w:fldChar w:fldCharType="end"/>
      </w:r>
      <w:r>
        <w:rPr>
          <w:u w:val="none"/>
        </w:rPr>
        <w:fldChar w:fldCharType="end"/>
      </w:r>
    </w:p>
    <w:p>
      <w:pPr>
        <w:pStyle w:val="22"/>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instrText xml:space="preserve"> HYPERLINK \l _Toc12682 </w:instrText>
      </w:r>
      <w:r>
        <w:fldChar w:fldCharType="separate"/>
      </w:r>
      <w:r>
        <w:rPr>
          <w:rFonts w:hint="eastAsia"/>
        </w:rPr>
        <w:t>4、</w:t>
      </w:r>
      <w:r>
        <w:t>入河排污口</w:t>
      </w:r>
      <w:r>
        <w:rPr>
          <w:rFonts w:hint="eastAsia"/>
        </w:rPr>
        <w:t>排放位置、排放方式</w:t>
      </w:r>
      <w:r>
        <w:tab/>
      </w:r>
      <w:r>
        <w:fldChar w:fldCharType="begin"/>
      </w:r>
      <w:r>
        <w:instrText xml:space="preserve"> PAGEREF _Toc12682 \h </w:instrText>
      </w:r>
      <w:r>
        <w:fldChar w:fldCharType="separate"/>
      </w:r>
      <w:r>
        <w:t>43</w:t>
      </w:r>
      <w:r>
        <w:fldChar w:fldCharType="end"/>
      </w:r>
      <w:r>
        <w:rPr>
          <w:u w:val="none"/>
        </w:rPr>
        <w:fldChar w:fldCharType="end"/>
      </w:r>
    </w:p>
    <w:p>
      <w:pPr>
        <w:pStyle w:val="26"/>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instrText xml:space="preserve"> HYPERLINK \l _Toc8114 </w:instrText>
      </w:r>
      <w:r>
        <w:fldChar w:fldCharType="separate"/>
      </w:r>
      <w:r>
        <w:rPr>
          <w:rFonts w:hint="eastAsia"/>
          <w:szCs w:val="30"/>
        </w:rPr>
        <w:t>4</w:t>
      </w:r>
      <w:r>
        <w:rPr>
          <w:szCs w:val="30"/>
        </w:rPr>
        <w:t>.</w:t>
      </w:r>
      <w:r>
        <w:rPr>
          <w:rFonts w:hint="eastAsia"/>
          <w:szCs w:val="30"/>
        </w:rPr>
        <w:t>1入河排污口设置的基本要求</w:t>
      </w:r>
      <w:r>
        <w:tab/>
      </w:r>
      <w:r>
        <w:fldChar w:fldCharType="begin"/>
      </w:r>
      <w:r>
        <w:instrText xml:space="preserve"> PAGEREF _Toc8114 \h </w:instrText>
      </w:r>
      <w:r>
        <w:fldChar w:fldCharType="separate"/>
      </w:r>
      <w:r>
        <w:t>43</w:t>
      </w:r>
      <w:r>
        <w:fldChar w:fldCharType="end"/>
      </w:r>
      <w:r>
        <w:rPr>
          <w:u w:val="none"/>
        </w:rPr>
        <w:fldChar w:fldCharType="end"/>
      </w:r>
    </w:p>
    <w:p>
      <w:pPr>
        <w:pStyle w:val="26"/>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instrText xml:space="preserve"> HYPERLINK \l _Toc2498 </w:instrText>
      </w:r>
      <w:r>
        <w:fldChar w:fldCharType="separate"/>
      </w:r>
      <w:r>
        <w:rPr>
          <w:rFonts w:hint="eastAsia"/>
          <w:szCs w:val="30"/>
        </w:rPr>
        <w:t>4</w:t>
      </w:r>
      <w:r>
        <w:rPr>
          <w:szCs w:val="30"/>
        </w:rPr>
        <w:t>.</w:t>
      </w:r>
      <w:r>
        <w:rPr>
          <w:rFonts w:hint="eastAsia"/>
          <w:szCs w:val="30"/>
        </w:rPr>
        <w:t>2水功能区（水域）纳污能力及限制排放总量</w:t>
      </w:r>
      <w:r>
        <w:tab/>
      </w:r>
      <w:r>
        <w:fldChar w:fldCharType="begin"/>
      </w:r>
      <w:r>
        <w:instrText xml:space="preserve"> PAGEREF _Toc2498 \h </w:instrText>
      </w:r>
      <w:r>
        <w:fldChar w:fldCharType="separate"/>
      </w:r>
      <w:r>
        <w:t>43</w:t>
      </w:r>
      <w:r>
        <w:fldChar w:fldCharType="end"/>
      </w:r>
      <w:r>
        <w:rPr>
          <w:u w:val="none"/>
        </w:rPr>
        <w:fldChar w:fldCharType="end"/>
      </w:r>
    </w:p>
    <w:p>
      <w:pPr>
        <w:pStyle w:val="26"/>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instrText xml:space="preserve"> HYPERLINK \l _Toc32036 </w:instrText>
      </w:r>
      <w:r>
        <w:fldChar w:fldCharType="separate"/>
      </w:r>
      <w:r>
        <w:rPr>
          <w:rFonts w:hint="eastAsia"/>
          <w:szCs w:val="30"/>
        </w:rPr>
        <w:t>4</w:t>
      </w:r>
      <w:r>
        <w:rPr>
          <w:szCs w:val="30"/>
        </w:rPr>
        <w:t>.</w:t>
      </w:r>
      <w:r>
        <w:rPr>
          <w:rFonts w:hint="eastAsia"/>
          <w:szCs w:val="30"/>
        </w:rPr>
        <w:t>2入河排污口设置方案</w:t>
      </w:r>
      <w:r>
        <w:tab/>
      </w:r>
      <w:r>
        <w:fldChar w:fldCharType="begin"/>
      </w:r>
      <w:r>
        <w:instrText xml:space="preserve"> PAGEREF _Toc32036 \h </w:instrText>
      </w:r>
      <w:r>
        <w:fldChar w:fldCharType="separate"/>
      </w:r>
      <w:r>
        <w:t>45</w:t>
      </w:r>
      <w:r>
        <w:fldChar w:fldCharType="end"/>
      </w:r>
      <w:r>
        <w:rPr>
          <w:u w:val="none"/>
        </w:rPr>
        <w:fldChar w:fldCharType="end"/>
      </w:r>
    </w:p>
    <w:p>
      <w:pPr>
        <w:pStyle w:val="26"/>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instrText xml:space="preserve"> HYPERLINK \l _Toc24762 </w:instrText>
      </w:r>
      <w:r>
        <w:fldChar w:fldCharType="separate"/>
      </w:r>
      <w:r>
        <w:rPr>
          <w:rFonts w:hint="eastAsia"/>
          <w:szCs w:val="30"/>
        </w:rPr>
        <w:t>4</w:t>
      </w:r>
      <w:r>
        <w:rPr>
          <w:szCs w:val="30"/>
        </w:rPr>
        <w:t>.</w:t>
      </w:r>
      <w:r>
        <w:rPr>
          <w:rFonts w:hint="eastAsia"/>
          <w:szCs w:val="30"/>
        </w:rPr>
        <w:t>3</w:t>
      </w:r>
      <w:r>
        <w:rPr>
          <w:szCs w:val="30"/>
        </w:rPr>
        <w:t>入河排污口设置可行性分析</w:t>
      </w:r>
      <w:r>
        <w:tab/>
      </w:r>
      <w:r>
        <w:fldChar w:fldCharType="begin"/>
      </w:r>
      <w:r>
        <w:instrText xml:space="preserve"> PAGEREF _Toc24762 \h </w:instrText>
      </w:r>
      <w:r>
        <w:fldChar w:fldCharType="separate"/>
      </w:r>
      <w:r>
        <w:t>49</w:t>
      </w:r>
      <w:r>
        <w:fldChar w:fldCharType="end"/>
      </w:r>
      <w:r>
        <w:rPr>
          <w:u w:val="none"/>
        </w:rPr>
        <w:fldChar w:fldCharType="end"/>
      </w:r>
    </w:p>
    <w:p>
      <w:pPr>
        <w:pStyle w:val="22"/>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instrText xml:space="preserve"> HYPERLINK \l _Toc17784 </w:instrText>
      </w:r>
      <w:r>
        <w:fldChar w:fldCharType="separate"/>
      </w:r>
      <w:r>
        <w:rPr>
          <w:rFonts w:hint="eastAsia"/>
        </w:rPr>
        <w:t>5、</w:t>
      </w:r>
      <w:r>
        <w:t>入河排污口</w:t>
      </w:r>
      <w:r>
        <w:rPr>
          <w:rFonts w:hint="eastAsia"/>
        </w:rPr>
        <w:t>排放</w:t>
      </w:r>
      <w:r>
        <w:t>位置、排放方式</w:t>
      </w:r>
      <w:r>
        <w:tab/>
      </w:r>
      <w:r>
        <w:fldChar w:fldCharType="begin"/>
      </w:r>
      <w:r>
        <w:instrText xml:space="preserve"> PAGEREF _Toc17784 \h </w:instrText>
      </w:r>
      <w:r>
        <w:fldChar w:fldCharType="separate"/>
      </w:r>
      <w:r>
        <w:t>56</w:t>
      </w:r>
      <w:r>
        <w:fldChar w:fldCharType="end"/>
      </w:r>
      <w:r>
        <w:rPr>
          <w:u w:val="none"/>
        </w:rPr>
        <w:fldChar w:fldCharType="end"/>
      </w:r>
    </w:p>
    <w:p>
      <w:pPr>
        <w:pStyle w:val="26"/>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instrText xml:space="preserve"> HYPERLINK \l _Toc20139 </w:instrText>
      </w:r>
      <w:r>
        <w:fldChar w:fldCharType="separate"/>
      </w:r>
      <w:r>
        <w:rPr>
          <w:rFonts w:hint="eastAsia"/>
          <w:szCs w:val="30"/>
        </w:rPr>
        <w:t>5</w:t>
      </w:r>
      <w:r>
        <w:rPr>
          <w:szCs w:val="30"/>
        </w:rPr>
        <w:t>.</w:t>
      </w:r>
      <w:r>
        <w:rPr>
          <w:rFonts w:hint="eastAsia"/>
          <w:szCs w:val="30"/>
        </w:rPr>
        <w:t>1废污水来源及构成</w:t>
      </w:r>
      <w:r>
        <w:tab/>
      </w:r>
      <w:r>
        <w:fldChar w:fldCharType="begin"/>
      </w:r>
      <w:r>
        <w:instrText xml:space="preserve"> PAGEREF _Toc20139 \h </w:instrText>
      </w:r>
      <w:r>
        <w:fldChar w:fldCharType="separate"/>
      </w:r>
      <w:r>
        <w:t>56</w:t>
      </w:r>
      <w:r>
        <w:fldChar w:fldCharType="end"/>
      </w:r>
      <w:r>
        <w:rPr>
          <w:u w:val="none"/>
        </w:rPr>
        <w:fldChar w:fldCharType="end"/>
      </w:r>
    </w:p>
    <w:p>
      <w:pPr>
        <w:pStyle w:val="26"/>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instrText xml:space="preserve"> HYPERLINK \l _Toc6907 </w:instrText>
      </w:r>
      <w:r>
        <w:fldChar w:fldCharType="separate"/>
      </w:r>
      <w:r>
        <w:rPr>
          <w:rFonts w:hint="eastAsia"/>
          <w:szCs w:val="30"/>
        </w:rPr>
        <w:t>5</w:t>
      </w:r>
      <w:r>
        <w:rPr>
          <w:szCs w:val="30"/>
        </w:rPr>
        <w:t>.2废污水所含主要污染物种类</w:t>
      </w:r>
      <w:r>
        <w:rPr>
          <w:rFonts w:hint="eastAsia"/>
          <w:szCs w:val="30"/>
        </w:rPr>
        <w:t>、</w:t>
      </w:r>
      <w:r>
        <w:rPr>
          <w:szCs w:val="30"/>
        </w:rPr>
        <w:t>排放浓度</w:t>
      </w:r>
      <w:r>
        <w:rPr>
          <w:rFonts w:hint="eastAsia"/>
          <w:szCs w:val="30"/>
        </w:rPr>
        <w:t>和</w:t>
      </w:r>
      <w:r>
        <w:rPr>
          <w:szCs w:val="30"/>
        </w:rPr>
        <w:t>总量</w:t>
      </w:r>
      <w:r>
        <w:tab/>
      </w:r>
      <w:r>
        <w:fldChar w:fldCharType="begin"/>
      </w:r>
      <w:r>
        <w:instrText xml:space="preserve"> PAGEREF _Toc6907 \h </w:instrText>
      </w:r>
      <w:r>
        <w:fldChar w:fldCharType="separate"/>
      </w:r>
      <w:r>
        <w:t>56</w:t>
      </w:r>
      <w:r>
        <w:fldChar w:fldCharType="end"/>
      </w:r>
      <w:r>
        <w:rPr>
          <w:u w:val="none"/>
        </w:rPr>
        <w:fldChar w:fldCharType="end"/>
      </w:r>
    </w:p>
    <w:p>
      <w:pPr>
        <w:pStyle w:val="22"/>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instrText xml:space="preserve"> HYPERLINK \l _Toc5063 </w:instrText>
      </w:r>
      <w:r>
        <w:fldChar w:fldCharType="separate"/>
      </w:r>
      <w:r>
        <w:rPr>
          <w:rFonts w:hint="eastAsia"/>
        </w:rPr>
        <w:t>6、</w:t>
      </w:r>
      <w:r>
        <w:t>入河排污口设置对水功能影响分析</w:t>
      </w:r>
      <w:r>
        <w:tab/>
      </w:r>
      <w:r>
        <w:fldChar w:fldCharType="begin"/>
      </w:r>
      <w:r>
        <w:instrText xml:space="preserve"> PAGEREF _Toc5063 \h </w:instrText>
      </w:r>
      <w:r>
        <w:fldChar w:fldCharType="separate"/>
      </w:r>
      <w:r>
        <w:t>58</w:t>
      </w:r>
      <w:r>
        <w:fldChar w:fldCharType="end"/>
      </w:r>
      <w:r>
        <w:rPr>
          <w:u w:val="none"/>
        </w:rPr>
        <w:fldChar w:fldCharType="end"/>
      </w:r>
    </w:p>
    <w:p>
      <w:pPr>
        <w:pStyle w:val="26"/>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instrText xml:space="preserve"> HYPERLINK \l _Toc4062 </w:instrText>
      </w:r>
      <w:r>
        <w:fldChar w:fldCharType="separate"/>
      </w:r>
      <w:r>
        <w:rPr>
          <w:rFonts w:hint="eastAsia"/>
          <w:szCs w:val="30"/>
        </w:rPr>
        <w:t>6</w:t>
      </w:r>
      <w:r>
        <w:rPr>
          <w:szCs w:val="30"/>
        </w:rPr>
        <w:t>.</w:t>
      </w:r>
      <w:r>
        <w:rPr>
          <w:rFonts w:hint="eastAsia"/>
          <w:szCs w:val="30"/>
        </w:rPr>
        <w:t>1影响范围</w:t>
      </w:r>
      <w:r>
        <w:tab/>
      </w:r>
      <w:r>
        <w:fldChar w:fldCharType="begin"/>
      </w:r>
      <w:r>
        <w:instrText xml:space="preserve"> PAGEREF _Toc4062 \h </w:instrText>
      </w:r>
      <w:r>
        <w:fldChar w:fldCharType="separate"/>
      </w:r>
      <w:r>
        <w:t>58</w:t>
      </w:r>
      <w:r>
        <w:fldChar w:fldCharType="end"/>
      </w:r>
      <w:r>
        <w:rPr>
          <w:u w:val="none"/>
        </w:rPr>
        <w:fldChar w:fldCharType="end"/>
      </w:r>
    </w:p>
    <w:p>
      <w:pPr>
        <w:pStyle w:val="26"/>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instrText xml:space="preserve"> HYPERLINK \l _Toc10518 </w:instrText>
      </w:r>
      <w:r>
        <w:fldChar w:fldCharType="separate"/>
      </w:r>
      <w:r>
        <w:rPr>
          <w:rFonts w:hint="eastAsia"/>
          <w:szCs w:val="30"/>
        </w:rPr>
        <w:t>6</w:t>
      </w:r>
      <w:r>
        <w:rPr>
          <w:szCs w:val="30"/>
        </w:rPr>
        <w:t>.</w:t>
      </w:r>
      <w:r>
        <w:rPr>
          <w:rFonts w:hint="eastAsia"/>
          <w:szCs w:val="30"/>
        </w:rPr>
        <w:t>2</w:t>
      </w:r>
      <w:r>
        <w:rPr>
          <w:szCs w:val="30"/>
        </w:rPr>
        <w:t>对水功能区水质影响分析</w:t>
      </w:r>
      <w:r>
        <w:tab/>
      </w:r>
      <w:r>
        <w:fldChar w:fldCharType="begin"/>
      </w:r>
      <w:r>
        <w:instrText xml:space="preserve"> PAGEREF _Toc10518 \h </w:instrText>
      </w:r>
      <w:r>
        <w:fldChar w:fldCharType="separate"/>
      </w:r>
      <w:r>
        <w:t>71</w:t>
      </w:r>
      <w:r>
        <w:fldChar w:fldCharType="end"/>
      </w:r>
      <w:r>
        <w:rPr>
          <w:u w:val="none"/>
        </w:rPr>
        <w:fldChar w:fldCharType="end"/>
      </w:r>
    </w:p>
    <w:p>
      <w:pPr>
        <w:pStyle w:val="26"/>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instrText xml:space="preserve"> HYPERLINK \l _Toc12838 </w:instrText>
      </w:r>
      <w:r>
        <w:fldChar w:fldCharType="separate"/>
      </w:r>
      <w:r>
        <w:rPr>
          <w:rFonts w:hint="eastAsia"/>
          <w:szCs w:val="30"/>
        </w:rPr>
        <w:t>6.3对水生态的影响分析</w:t>
      </w:r>
      <w:r>
        <w:tab/>
      </w:r>
      <w:bookmarkStart w:id="103" w:name="_GoBack"/>
      <w:bookmarkEnd w:id="103"/>
      <w:r>
        <w:fldChar w:fldCharType="begin"/>
      </w:r>
      <w:r>
        <w:instrText xml:space="preserve"> PAGEREF _Toc12838 \h </w:instrText>
      </w:r>
      <w:r>
        <w:fldChar w:fldCharType="separate"/>
      </w:r>
      <w:r>
        <w:t>71</w:t>
      </w:r>
      <w:r>
        <w:fldChar w:fldCharType="end"/>
      </w:r>
      <w:r>
        <w:rPr>
          <w:u w:val="none"/>
        </w:rPr>
        <w:fldChar w:fldCharType="end"/>
      </w:r>
    </w:p>
    <w:p>
      <w:pPr>
        <w:pStyle w:val="26"/>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instrText xml:space="preserve"> HYPERLINK \l _Toc24895 </w:instrText>
      </w:r>
      <w:r>
        <w:fldChar w:fldCharType="separate"/>
      </w:r>
      <w:r>
        <w:rPr>
          <w:rFonts w:hint="eastAsia"/>
          <w:szCs w:val="30"/>
        </w:rPr>
        <w:t>6.4</w:t>
      </w:r>
      <w:r>
        <w:rPr>
          <w:szCs w:val="30"/>
        </w:rPr>
        <w:t>对</w:t>
      </w:r>
      <w:r>
        <w:rPr>
          <w:rFonts w:hint="eastAsia"/>
          <w:szCs w:val="30"/>
        </w:rPr>
        <w:t>地下水的</w:t>
      </w:r>
      <w:r>
        <w:rPr>
          <w:szCs w:val="30"/>
        </w:rPr>
        <w:t>影响分析</w:t>
      </w:r>
      <w:r>
        <w:tab/>
      </w:r>
      <w:r>
        <w:fldChar w:fldCharType="begin"/>
      </w:r>
      <w:r>
        <w:instrText xml:space="preserve"> PAGEREF _Toc24895 \h </w:instrText>
      </w:r>
      <w:r>
        <w:fldChar w:fldCharType="separate"/>
      </w:r>
      <w:r>
        <w:t>72</w:t>
      </w:r>
      <w:r>
        <w:fldChar w:fldCharType="end"/>
      </w:r>
      <w:r>
        <w:rPr>
          <w:u w:val="none"/>
        </w:rPr>
        <w:fldChar w:fldCharType="end"/>
      </w:r>
    </w:p>
    <w:p>
      <w:pPr>
        <w:pStyle w:val="26"/>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instrText xml:space="preserve"> HYPERLINK \l _Toc23494 </w:instrText>
      </w:r>
      <w:r>
        <w:fldChar w:fldCharType="separate"/>
      </w:r>
      <w:r>
        <w:rPr>
          <w:rFonts w:hint="eastAsia"/>
          <w:szCs w:val="30"/>
        </w:rPr>
        <w:t>6.5</w:t>
      </w:r>
      <w:r>
        <w:rPr>
          <w:szCs w:val="30"/>
        </w:rPr>
        <w:t>对第三者影响分析</w:t>
      </w:r>
      <w:r>
        <w:tab/>
      </w:r>
      <w:r>
        <w:fldChar w:fldCharType="begin"/>
      </w:r>
      <w:r>
        <w:instrText xml:space="preserve"> PAGEREF _Toc23494 \h </w:instrText>
      </w:r>
      <w:r>
        <w:fldChar w:fldCharType="separate"/>
      </w:r>
      <w:r>
        <w:t>73</w:t>
      </w:r>
      <w:r>
        <w:fldChar w:fldCharType="end"/>
      </w:r>
      <w:r>
        <w:rPr>
          <w:u w:val="none"/>
        </w:rPr>
        <w:fldChar w:fldCharType="end"/>
      </w:r>
    </w:p>
    <w:p>
      <w:pPr>
        <w:pStyle w:val="26"/>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instrText xml:space="preserve"> HYPERLINK \l _Toc24746 </w:instrText>
      </w:r>
      <w:r>
        <w:fldChar w:fldCharType="separate"/>
      </w:r>
      <w:r>
        <w:rPr>
          <w:rFonts w:hint="eastAsia"/>
          <w:szCs w:val="30"/>
        </w:rPr>
        <w:t>6.6</w:t>
      </w:r>
      <w:r>
        <w:rPr>
          <w:rFonts w:hint="eastAsia"/>
          <w:szCs w:val="32"/>
        </w:rPr>
        <w:t>风险分析及防治措施</w:t>
      </w:r>
      <w:r>
        <w:tab/>
      </w:r>
      <w:r>
        <w:fldChar w:fldCharType="begin"/>
      </w:r>
      <w:r>
        <w:instrText xml:space="preserve"> PAGEREF _Toc24746 \h </w:instrText>
      </w:r>
      <w:r>
        <w:fldChar w:fldCharType="separate"/>
      </w:r>
      <w:r>
        <w:t>74</w:t>
      </w:r>
      <w:r>
        <w:fldChar w:fldCharType="end"/>
      </w:r>
      <w:r>
        <w:rPr>
          <w:u w:val="none"/>
        </w:rPr>
        <w:fldChar w:fldCharType="end"/>
      </w:r>
    </w:p>
    <w:p>
      <w:pPr>
        <w:pStyle w:val="26"/>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instrText xml:space="preserve"> HYPERLINK \l _Toc4292 </w:instrText>
      </w:r>
      <w:r>
        <w:fldChar w:fldCharType="separate"/>
      </w:r>
      <w:r>
        <w:rPr>
          <w:rFonts w:hint="eastAsia"/>
        </w:rPr>
        <w:t>6</w:t>
      </w:r>
      <w:r>
        <w:t>.</w:t>
      </w:r>
      <w:r>
        <w:rPr>
          <w:rFonts w:hint="eastAsia"/>
          <w:lang w:val="en-US" w:eastAsia="zh-CN"/>
        </w:rPr>
        <w:t>7入河排污口规范化建设及管理要求</w:t>
      </w:r>
      <w:r>
        <w:tab/>
      </w:r>
      <w:r>
        <w:fldChar w:fldCharType="begin"/>
      </w:r>
      <w:r>
        <w:instrText xml:space="preserve"> PAGEREF _Toc4292 \h </w:instrText>
      </w:r>
      <w:r>
        <w:fldChar w:fldCharType="separate"/>
      </w:r>
      <w:r>
        <w:t>79</w:t>
      </w:r>
      <w:r>
        <w:fldChar w:fldCharType="end"/>
      </w:r>
      <w:r>
        <w:rPr>
          <w:u w:val="none"/>
        </w:rPr>
        <w:fldChar w:fldCharType="end"/>
      </w:r>
    </w:p>
    <w:p>
      <w:pPr>
        <w:pStyle w:val="22"/>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instrText xml:space="preserve"> HYPERLINK \l _Toc12185 </w:instrText>
      </w:r>
      <w:r>
        <w:fldChar w:fldCharType="separate"/>
      </w:r>
      <w:r>
        <w:rPr>
          <w:rFonts w:hint="eastAsia"/>
        </w:rPr>
        <w:t>7、</w:t>
      </w:r>
      <w:r>
        <w:t>论证结论与建议</w:t>
      </w:r>
      <w:r>
        <w:tab/>
      </w:r>
      <w:r>
        <w:fldChar w:fldCharType="begin"/>
      </w:r>
      <w:r>
        <w:instrText xml:space="preserve"> PAGEREF _Toc12185 \h </w:instrText>
      </w:r>
      <w:r>
        <w:fldChar w:fldCharType="separate"/>
      </w:r>
      <w:r>
        <w:t>85</w:t>
      </w:r>
      <w:r>
        <w:fldChar w:fldCharType="end"/>
      </w:r>
      <w:r>
        <w:rPr>
          <w:u w:val="none"/>
        </w:rPr>
        <w:fldChar w:fldCharType="end"/>
      </w:r>
    </w:p>
    <w:p>
      <w:pPr>
        <w:pStyle w:val="26"/>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instrText xml:space="preserve"> HYPERLINK \l _Toc17247 </w:instrText>
      </w:r>
      <w:r>
        <w:fldChar w:fldCharType="separate"/>
      </w:r>
      <w:r>
        <w:rPr>
          <w:rFonts w:hint="eastAsia"/>
          <w:szCs w:val="30"/>
        </w:rPr>
        <w:t>7</w:t>
      </w:r>
      <w:r>
        <w:rPr>
          <w:szCs w:val="30"/>
        </w:rPr>
        <w:t>.1论证结论</w:t>
      </w:r>
      <w:r>
        <w:tab/>
      </w:r>
      <w:r>
        <w:fldChar w:fldCharType="begin"/>
      </w:r>
      <w:r>
        <w:instrText xml:space="preserve"> PAGEREF _Toc17247 \h </w:instrText>
      </w:r>
      <w:r>
        <w:fldChar w:fldCharType="separate"/>
      </w:r>
      <w:r>
        <w:t>85</w:t>
      </w:r>
      <w:r>
        <w:fldChar w:fldCharType="end"/>
      </w:r>
      <w:r>
        <w:rPr>
          <w:u w:val="none"/>
        </w:rPr>
        <w:fldChar w:fldCharType="end"/>
      </w:r>
    </w:p>
    <w:p>
      <w:pPr>
        <w:pStyle w:val="26"/>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pPr>
      <w:r>
        <w:rPr>
          <w:u w:val="none"/>
        </w:rPr>
        <w:fldChar w:fldCharType="begin"/>
      </w:r>
      <w:r>
        <w:instrText xml:space="preserve"> HYPERLINK \l _Toc32302 </w:instrText>
      </w:r>
      <w:r>
        <w:fldChar w:fldCharType="separate"/>
      </w:r>
      <w:r>
        <w:rPr>
          <w:rFonts w:hint="eastAsia"/>
          <w:szCs w:val="30"/>
        </w:rPr>
        <w:t>7</w:t>
      </w:r>
      <w:r>
        <w:rPr>
          <w:szCs w:val="30"/>
        </w:rPr>
        <w:t>.2建议</w:t>
      </w:r>
      <w:r>
        <w:tab/>
      </w:r>
      <w:r>
        <w:fldChar w:fldCharType="begin"/>
      </w:r>
      <w:r>
        <w:instrText xml:space="preserve"> PAGEREF _Toc32302 \h </w:instrText>
      </w:r>
      <w:r>
        <w:fldChar w:fldCharType="separate"/>
      </w:r>
      <w:r>
        <w:t>87</w:t>
      </w:r>
      <w:r>
        <w:fldChar w:fldCharType="end"/>
      </w:r>
      <w:r>
        <w:rPr>
          <w:u w:val="none"/>
        </w:rPr>
        <w:fldChar w:fldCharType="end"/>
      </w:r>
    </w:p>
    <w:p>
      <w:pPr>
        <w:pStyle w:val="22"/>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rPr>
          <w:u w:val="none"/>
        </w:rPr>
      </w:pPr>
      <w:r>
        <w:rPr>
          <w:u w:val="none"/>
        </w:rPr>
        <w:fldChar w:fldCharType="end"/>
      </w:r>
      <w:r>
        <w:rPr>
          <w:u w:val="none"/>
        </w:rPr>
        <w:fldChar w:fldCharType="begin"/>
      </w:r>
      <w:r>
        <w:rPr>
          <w:u w:val="none"/>
        </w:rPr>
        <w:instrText xml:space="preserve"> HYPERLINK \l _Toc11831 </w:instrText>
      </w:r>
      <w:r>
        <w:rPr>
          <w:u w:val="none"/>
        </w:rPr>
        <w:fldChar w:fldCharType="separate"/>
      </w:r>
      <w:r>
        <w:rPr>
          <w:rFonts w:hint="eastAsia"/>
          <w:szCs w:val="28"/>
          <w:u w:val="none"/>
        </w:rPr>
        <w:t>附件</w:t>
      </w:r>
      <w:r>
        <w:rPr>
          <w:u w:val="none"/>
        </w:rPr>
        <w:tab/>
      </w:r>
      <w:r>
        <w:rPr>
          <w:u w:val="none"/>
        </w:rPr>
        <w:fldChar w:fldCharType="end"/>
      </w:r>
    </w:p>
    <w:p>
      <w:pPr>
        <w:pStyle w:val="22"/>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rPr>
          <w:u w:val="none"/>
        </w:rPr>
      </w:pPr>
      <w:r>
        <w:rPr>
          <w:u w:val="none"/>
        </w:rPr>
        <w:fldChar w:fldCharType="begin"/>
      </w:r>
      <w:r>
        <w:rPr>
          <w:u w:val="none"/>
        </w:rPr>
        <w:instrText xml:space="preserve"> HYPERLINK \l _Toc27391 </w:instrText>
      </w:r>
      <w:r>
        <w:rPr>
          <w:u w:val="none"/>
        </w:rPr>
        <w:fldChar w:fldCharType="separate"/>
      </w:r>
      <w:r>
        <w:rPr>
          <w:rFonts w:hint="eastAsia"/>
          <w:szCs w:val="28"/>
          <w:u w:val="none"/>
        </w:rPr>
        <w:t>附件1：营业执照</w:t>
      </w:r>
      <w:r>
        <w:rPr>
          <w:u w:val="none"/>
        </w:rPr>
        <w:tab/>
      </w:r>
      <w:r>
        <w:rPr>
          <w:u w:val="none"/>
        </w:rPr>
        <w:fldChar w:fldCharType="end"/>
      </w:r>
    </w:p>
    <w:p>
      <w:pPr>
        <w:pStyle w:val="22"/>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rPr>
          <w:u w:val="none"/>
        </w:rPr>
      </w:pPr>
      <w:r>
        <w:rPr>
          <w:u w:val="none"/>
        </w:rPr>
        <w:fldChar w:fldCharType="begin"/>
      </w:r>
      <w:r>
        <w:rPr>
          <w:u w:val="none"/>
        </w:rPr>
        <w:instrText xml:space="preserve"> HYPERLINK \l _Toc27327 </w:instrText>
      </w:r>
      <w:r>
        <w:rPr>
          <w:u w:val="none"/>
        </w:rPr>
        <w:fldChar w:fldCharType="separate"/>
      </w:r>
      <w:r>
        <w:rPr>
          <w:rFonts w:hint="eastAsia"/>
          <w:szCs w:val="28"/>
          <w:u w:val="none"/>
        </w:rPr>
        <w:t>附件2：监测报告</w:t>
      </w:r>
      <w:r>
        <w:rPr>
          <w:u w:val="none"/>
        </w:rPr>
        <w:tab/>
      </w:r>
      <w:r>
        <w:rPr>
          <w:u w:val="none"/>
        </w:rPr>
        <w:fldChar w:fldCharType="end"/>
      </w:r>
    </w:p>
    <w:p>
      <w:pPr>
        <w:pStyle w:val="22"/>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rPr>
          <w:u w:val="none"/>
        </w:rPr>
      </w:pPr>
      <w:r>
        <w:rPr>
          <w:u w:val="none"/>
        </w:rPr>
        <w:fldChar w:fldCharType="begin"/>
      </w:r>
      <w:r>
        <w:rPr>
          <w:u w:val="none"/>
        </w:rPr>
        <w:instrText xml:space="preserve"> HYPERLINK \l _Toc31972 </w:instrText>
      </w:r>
      <w:r>
        <w:rPr>
          <w:u w:val="none"/>
        </w:rPr>
        <w:fldChar w:fldCharType="separate"/>
      </w:r>
      <w:r>
        <w:rPr>
          <w:rFonts w:hint="eastAsia"/>
          <w:szCs w:val="28"/>
          <w:u w:val="none"/>
        </w:rPr>
        <w:t>附件3：湘环评[2010]281号</w:t>
      </w:r>
      <w:r>
        <w:rPr>
          <w:u w:val="none"/>
        </w:rPr>
        <w:tab/>
      </w:r>
      <w:r>
        <w:rPr>
          <w:u w:val="none"/>
        </w:rPr>
        <w:fldChar w:fldCharType="end"/>
      </w:r>
    </w:p>
    <w:p>
      <w:pPr>
        <w:pStyle w:val="22"/>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rPr>
          <w:u w:val="none"/>
        </w:rPr>
      </w:pPr>
      <w:r>
        <w:rPr>
          <w:u w:val="none"/>
        </w:rPr>
        <w:fldChar w:fldCharType="begin"/>
      </w:r>
      <w:r>
        <w:rPr>
          <w:u w:val="none"/>
        </w:rPr>
        <w:instrText xml:space="preserve"> HYPERLINK \l _Toc14135 </w:instrText>
      </w:r>
      <w:r>
        <w:rPr>
          <w:u w:val="none"/>
        </w:rPr>
        <w:fldChar w:fldCharType="separate"/>
      </w:r>
      <w:r>
        <w:rPr>
          <w:rFonts w:hint="eastAsia"/>
          <w:szCs w:val="28"/>
          <w:u w:val="none"/>
        </w:rPr>
        <w:t>附件4：益环评书[2021]22号</w:t>
      </w:r>
      <w:r>
        <w:rPr>
          <w:u w:val="none"/>
        </w:rPr>
        <w:tab/>
      </w:r>
      <w:r>
        <w:rPr>
          <w:u w:val="none"/>
        </w:rPr>
        <w:fldChar w:fldCharType="end"/>
      </w:r>
    </w:p>
    <w:p>
      <w:pPr>
        <w:pStyle w:val="22"/>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rPr>
          <w:u w:val="none"/>
        </w:rPr>
      </w:pPr>
      <w:r>
        <w:rPr>
          <w:u w:val="none"/>
        </w:rPr>
        <w:fldChar w:fldCharType="begin"/>
      </w:r>
      <w:r>
        <w:rPr>
          <w:u w:val="none"/>
        </w:rPr>
        <w:instrText xml:space="preserve"> HYPERLINK \l _Toc1832 </w:instrText>
      </w:r>
      <w:r>
        <w:rPr>
          <w:u w:val="none"/>
        </w:rPr>
        <w:fldChar w:fldCharType="separate"/>
      </w:r>
      <w:r>
        <w:rPr>
          <w:rFonts w:hint="eastAsia"/>
          <w:szCs w:val="28"/>
          <w:u w:val="none"/>
        </w:rPr>
        <w:t>附件</w:t>
      </w:r>
      <w:r>
        <w:rPr>
          <w:rFonts w:hint="eastAsia"/>
          <w:szCs w:val="28"/>
          <w:u w:val="none"/>
          <w:lang w:val="en-US" w:eastAsia="zh-CN"/>
        </w:rPr>
        <w:t>5</w:t>
      </w:r>
      <w:r>
        <w:rPr>
          <w:rFonts w:hint="eastAsia"/>
          <w:szCs w:val="28"/>
          <w:u w:val="none"/>
        </w:rPr>
        <w:t>：验收意见</w:t>
      </w:r>
      <w:r>
        <w:rPr>
          <w:u w:val="none"/>
        </w:rPr>
        <w:fldChar w:fldCharType="end"/>
      </w:r>
      <w:r>
        <w:rPr>
          <w:u w:val="none"/>
        </w:rPr>
        <w:tab/>
      </w:r>
    </w:p>
    <w:p>
      <w:pPr>
        <w:pStyle w:val="22"/>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rPr>
          <w:u w:val="none"/>
        </w:rPr>
      </w:pPr>
      <w:r>
        <w:rPr>
          <w:u w:val="none"/>
        </w:rPr>
        <w:fldChar w:fldCharType="begin"/>
      </w:r>
      <w:r>
        <w:rPr>
          <w:u w:val="none"/>
        </w:rPr>
        <w:instrText xml:space="preserve"> HYPERLINK \l _Toc26380 </w:instrText>
      </w:r>
      <w:r>
        <w:rPr>
          <w:u w:val="none"/>
        </w:rPr>
        <w:fldChar w:fldCharType="separate"/>
      </w:r>
      <w:r>
        <w:rPr>
          <w:rFonts w:hint="eastAsia"/>
          <w:szCs w:val="28"/>
          <w:u w:val="none"/>
        </w:rPr>
        <w:t>附件6：</w:t>
      </w:r>
      <w:r>
        <w:rPr>
          <w:rFonts w:hint="eastAsia"/>
          <w:szCs w:val="28"/>
          <w:u w:val="none"/>
          <w:lang w:val="en-US" w:eastAsia="zh-CN"/>
        </w:rPr>
        <w:t>采矿许可证</w:t>
      </w:r>
      <w:r>
        <w:rPr>
          <w:u w:val="none"/>
        </w:rPr>
        <w:tab/>
      </w:r>
      <w:r>
        <w:rPr>
          <w:u w:val="none"/>
        </w:rPr>
        <w:fldChar w:fldCharType="end"/>
      </w:r>
    </w:p>
    <w:p>
      <w:pPr>
        <w:pStyle w:val="22"/>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rPr>
          <w:u w:val="none"/>
        </w:rPr>
      </w:pPr>
      <w:r>
        <w:rPr>
          <w:u w:val="none"/>
        </w:rPr>
        <w:fldChar w:fldCharType="begin"/>
      </w:r>
      <w:r>
        <w:rPr>
          <w:u w:val="none"/>
        </w:rPr>
        <w:instrText xml:space="preserve"> HYPERLINK \l _Toc13034 </w:instrText>
      </w:r>
      <w:r>
        <w:rPr>
          <w:u w:val="none"/>
        </w:rPr>
        <w:fldChar w:fldCharType="separate"/>
      </w:r>
      <w:r>
        <w:rPr>
          <w:rFonts w:hint="eastAsia"/>
          <w:szCs w:val="28"/>
          <w:u w:val="none"/>
        </w:rPr>
        <w:t>附件</w:t>
      </w:r>
      <w:r>
        <w:rPr>
          <w:rFonts w:hint="eastAsia"/>
          <w:szCs w:val="28"/>
          <w:u w:val="none"/>
          <w:lang w:val="en-US" w:eastAsia="zh-CN"/>
        </w:rPr>
        <w:t>7</w:t>
      </w:r>
      <w:r>
        <w:rPr>
          <w:rFonts w:hint="eastAsia"/>
          <w:szCs w:val="28"/>
          <w:u w:val="none"/>
        </w:rPr>
        <w:t>：地公园管理部门意见</w:t>
      </w:r>
      <w:r>
        <w:rPr>
          <w:u w:val="none"/>
        </w:rPr>
        <w:tab/>
      </w:r>
      <w:r>
        <w:rPr>
          <w:u w:val="none"/>
        </w:rPr>
        <w:fldChar w:fldCharType="end"/>
      </w:r>
    </w:p>
    <w:p>
      <w:pPr>
        <w:pStyle w:val="22"/>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rPr>
          <w:u w:val="none"/>
        </w:rPr>
      </w:pPr>
      <w:r>
        <w:rPr>
          <w:u w:val="none"/>
        </w:rPr>
        <w:fldChar w:fldCharType="begin"/>
      </w:r>
      <w:r>
        <w:rPr>
          <w:u w:val="none"/>
        </w:rPr>
        <w:instrText xml:space="preserve"> HYPERLINK \l _Toc15519 </w:instrText>
      </w:r>
      <w:r>
        <w:rPr>
          <w:u w:val="none"/>
        </w:rPr>
        <w:fldChar w:fldCharType="separate"/>
      </w:r>
      <w:r>
        <w:rPr>
          <w:rFonts w:hint="eastAsia"/>
          <w:szCs w:val="28"/>
          <w:u w:val="none"/>
        </w:rPr>
        <w:t>附件</w:t>
      </w:r>
      <w:r>
        <w:rPr>
          <w:rFonts w:hint="eastAsia"/>
          <w:szCs w:val="28"/>
          <w:u w:val="none"/>
          <w:lang w:val="en-US" w:eastAsia="zh-CN"/>
        </w:rPr>
        <w:t>8</w:t>
      </w:r>
      <w:r>
        <w:rPr>
          <w:rFonts w:hint="eastAsia"/>
          <w:szCs w:val="28"/>
          <w:u w:val="none"/>
        </w:rPr>
        <w:t>：专家评审意见及签到表</w:t>
      </w:r>
      <w:r>
        <w:rPr>
          <w:u w:val="none"/>
        </w:rPr>
        <w:tab/>
      </w:r>
      <w:r>
        <w:rPr>
          <w:u w:val="none"/>
        </w:rPr>
        <w:fldChar w:fldCharType="end"/>
      </w:r>
    </w:p>
    <w:p>
      <w:pPr>
        <w:pStyle w:val="22"/>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rPr>
          <w:u w:val="none"/>
        </w:rPr>
      </w:pPr>
      <w:r>
        <w:rPr>
          <w:u w:val="none"/>
        </w:rPr>
        <w:fldChar w:fldCharType="begin"/>
      </w:r>
      <w:r>
        <w:rPr>
          <w:u w:val="none"/>
        </w:rPr>
        <w:instrText xml:space="preserve"> HYPERLINK \l _Toc1987 </w:instrText>
      </w:r>
      <w:r>
        <w:rPr>
          <w:u w:val="none"/>
        </w:rPr>
        <w:fldChar w:fldCharType="separate"/>
      </w:r>
      <w:r>
        <w:rPr>
          <w:rFonts w:hint="eastAsia"/>
          <w:szCs w:val="28"/>
          <w:u w:val="none"/>
        </w:rPr>
        <w:t>附</w:t>
      </w:r>
      <w:r>
        <w:rPr>
          <w:rFonts w:hint="eastAsia"/>
          <w:szCs w:val="28"/>
          <w:u w:val="none"/>
          <w:lang w:val="en-US" w:eastAsia="zh-CN"/>
        </w:rPr>
        <w:t>件9</w:t>
      </w:r>
      <w:r>
        <w:rPr>
          <w:rFonts w:hint="eastAsia"/>
          <w:szCs w:val="28"/>
          <w:u w:val="none"/>
        </w:rPr>
        <w:t>：</w:t>
      </w:r>
      <w:r>
        <w:rPr>
          <w:rFonts w:hint="eastAsia"/>
          <w:szCs w:val="28"/>
          <w:u w:val="none"/>
          <w:lang w:val="en-US" w:eastAsia="zh-CN"/>
        </w:rPr>
        <w:t>专家复核意见</w:t>
      </w:r>
      <w:r>
        <w:rPr>
          <w:u w:val="none"/>
        </w:rPr>
        <w:tab/>
      </w:r>
      <w:r>
        <w:rPr>
          <w:u w:val="none"/>
        </w:rPr>
        <w:fldChar w:fldCharType="end"/>
      </w:r>
    </w:p>
    <w:p>
      <w:pPr>
        <w:pStyle w:val="22"/>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rPr>
          <w:u w:val="none"/>
        </w:rPr>
      </w:pPr>
      <w:r>
        <w:rPr>
          <w:u w:val="none"/>
        </w:rPr>
        <w:fldChar w:fldCharType="begin"/>
      </w:r>
      <w:r>
        <w:rPr>
          <w:u w:val="none"/>
        </w:rPr>
        <w:instrText xml:space="preserve"> HYPERLINK \l _Toc7416 </w:instrText>
      </w:r>
      <w:r>
        <w:rPr>
          <w:u w:val="none"/>
        </w:rPr>
        <w:fldChar w:fldCharType="separate"/>
      </w:r>
      <w:r>
        <w:rPr>
          <w:rFonts w:hint="eastAsia"/>
          <w:szCs w:val="28"/>
          <w:u w:val="none"/>
        </w:rPr>
        <w:t>附图：</w:t>
      </w:r>
      <w:r>
        <w:rPr>
          <w:u w:val="none"/>
        </w:rPr>
        <w:tab/>
      </w:r>
      <w:r>
        <w:rPr>
          <w:u w:val="none"/>
        </w:rPr>
        <w:fldChar w:fldCharType="end"/>
      </w:r>
    </w:p>
    <w:p>
      <w:pPr>
        <w:pStyle w:val="22"/>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rPr>
          <w:u w:val="none"/>
        </w:rPr>
      </w:pPr>
      <w:r>
        <w:rPr>
          <w:u w:val="none"/>
        </w:rPr>
        <w:fldChar w:fldCharType="begin"/>
      </w:r>
      <w:r>
        <w:rPr>
          <w:u w:val="none"/>
        </w:rPr>
        <w:instrText xml:space="preserve"> HYPERLINK \l _Toc11048 </w:instrText>
      </w:r>
      <w:r>
        <w:rPr>
          <w:u w:val="none"/>
        </w:rPr>
        <w:fldChar w:fldCharType="separate"/>
      </w:r>
      <w:r>
        <w:rPr>
          <w:rFonts w:hint="eastAsia"/>
          <w:szCs w:val="28"/>
          <w:u w:val="none"/>
        </w:rPr>
        <w:t>附图1：项目地理位置图</w:t>
      </w:r>
      <w:r>
        <w:rPr>
          <w:u w:val="none"/>
        </w:rPr>
        <w:tab/>
      </w:r>
      <w:r>
        <w:rPr>
          <w:u w:val="none"/>
        </w:rPr>
        <w:fldChar w:fldCharType="end"/>
      </w:r>
    </w:p>
    <w:p>
      <w:pPr>
        <w:pStyle w:val="22"/>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rPr>
          <w:u w:val="none"/>
        </w:rPr>
      </w:pPr>
      <w:r>
        <w:rPr>
          <w:u w:val="none"/>
        </w:rPr>
        <w:fldChar w:fldCharType="begin"/>
      </w:r>
      <w:r>
        <w:rPr>
          <w:u w:val="none"/>
        </w:rPr>
        <w:instrText xml:space="preserve"> HYPERLINK \l _Toc16927 </w:instrText>
      </w:r>
      <w:r>
        <w:rPr>
          <w:u w:val="none"/>
        </w:rPr>
        <w:fldChar w:fldCharType="separate"/>
      </w:r>
      <w:r>
        <w:rPr>
          <w:rFonts w:hint="eastAsia"/>
          <w:szCs w:val="28"/>
          <w:u w:val="none"/>
        </w:rPr>
        <w:t>附图2：平面布置图</w:t>
      </w:r>
      <w:r>
        <w:rPr>
          <w:u w:val="none"/>
        </w:rPr>
        <w:tab/>
      </w:r>
      <w:r>
        <w:rPr>
          <w:u w:val="none"/>
        </w:rPr>
        <w:fldChar w:fldCharType="end"/>
      </w:r>
    </w:p>
    <w:p>
      <w:pPr>
        <w:pStyle w:val="22"/>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rPr>
          <w:u w:val="none"/>
        </w:rPr>
      </w:pPr>
      <w:r>
        <w:rPr>
          <w:u w:val="none"/>
        </w:rPr>
        <w:fldChar w:fldCharType="begin"/>
      </w:r>
      <w:r>
        <w:rPr>
          <w:u w:val="none"/>
        </w:rPr>
        <w:instrText xml:space="preserve"> HYPERLINK \l _Toc30680 </w:instrText>
      </w:r>
      <w:r>
        <w:rPr>
          <w:u w:val="none"/>
        </w:rPr>
        <w:fldChar w:fldCharType="separate"/>
      </w:r>
      <w:r>
        <w:rPr>
          <w:rFonts w:hint="eastAsia"/>
          <w:szCs w:val="28"/>
          <w:u w:val="none"/>
        </w:rPr>
        <w:t>附图3：项目与湿地公园位置关系示意图</w:t>
      </w:r>
      <w:r>
        <w:rPr>
          <w:u w:val="none"/>
        </w:rPr>
        <w:tab/>
      </w:r>
      <w:r>
        <w:rPr>
          <w:u w:val="none"/>
        </w:rPr>
        <w:fldChar w:fldCharType="end"/>
      </w:r>
    </w:p>
    <w:p>
      <w:pPr>
        <w:pStyle w:val="22"/>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rPr>
          <w:u w:val="none"/>
        </w:rPr>
      </w:pPr>
      <w:r>
        <w:rPr>
          <w:u w:val="none"/>
        </w:rPr>
        <w:fldChar w:fldCharType="begin"/>
      </w:r>
      <w:r>
        <w:rPr>
          <w:u w:val="none"/>
        </w:rPr>
        <w:instrText xml:space="preserve"> HYPERLINK \l _Toc26947 </w:instrText>
      </w:r>
      <w:r>
        <w:rPr>
          <w:u w:val="none"/>
        </w:rPr>
        <w:fldChar w:fldCharType="separate"/>
      </w:r>
      <w:r>
        <w:rPr>
          <w:szCs w:val="28"/>
          <w:u w:val="none"/>
        </w:rPr>
        <w:t>附图4</w:t>
      </w:r>
      <w:r>
        <w:rPr>
          <w:rFonts w:hint="eastAsia"/>
          <w:szCs w:val="28"/>
          <w:u w:val="none"/>
        </w:rPr>
        <w:t>：</w:t>
      </w:r>
      <w:r>
        <w:rPr>
          <w:szCs w:val="28"/>
          <w:u w:val="none"/>
        </w:rPr>
        <w:t>项目监测布点图</w:t>
      </w:r>
      <w:r>
        <w:rPr>
          <w:u w:val="none"/>
        </w:rPr>
        <w:tab/>
      </w:r>
      <w:r>
        <w:rPr>
          <w:u w:val="none"/>
        </w:rPr>
        <w:fldChar w:fldCharType="end"/>
      </w:r>
    </w:p>
    <w:p>
      <w:pPr>
        <w:pStyle w:val="22"/>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rPr>
          <w:u w:val="none"/>
        </w:rPr>
      </w:pPr>
      <w:r>
        <w:rPr>
          <w:u w:val="none"/>
        </w:rPr>
        <w:fldChar w:fldCharType="begin"/>
      </w:r>
      <w:r>
        <w:rPr>
          <w:u w:val="none"/>
        </w:rPr>
        <w:instrText xml:space="preserve"> HYPERLINK \l _Toc5614 </w:instrText>
      </w:r>
      <w:r>
        <w:rPr>
          <w:u w:val="none"/>
        </w:rPr>
        <w:fldChar w:fldCharType="separate"/>
      </w:r>
      <w:r>
        <w:rPr>
          <w:rFonts w:hint="eastAsia"/>
          <w:szCs w:val="28"/>
          <w:u w:val="none"/>
        </w:rPr>
        <w:t>附图5：益阳市水功能区划图</w:t>
      </w:r>
      <w:r>
        <w:rPr>
          <w:u w:val="none"/>
        </w:rPr>
        <w:tab/>
      </w:r>
      <w:r>
        <w:rPr>
          <w:u w:val="none"/>
        </w:rPr>
        <w:fldChar w:fldCharType="end"/>
      </w:r>
    </w:p>
    <w:p>
      <w:pPr>
        <w:pStyle w:val="22"/>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rPr>
          <w:u w:val="none"/>
        </w:rPr>
      </w:pPr>
      <w:r>
        <w:rPr>
          <w:u w:val="none"/>
        </w:rPr>
        <w:fldChar w:fldCharType="begin"/>
      </w:r>
      <w:r>
        <w:rPr>
          <w:u w:val="none"/>
        </w:rPr>
        <w:instrText xml:space="preserve"> HYPERLINK \l _Toc8985 </w:instrText>
      </w:r>
      <w:r>
        <w:rPr>
          <w:u w:val="none"/>
        </w:rPr>
        <w:fldChar w:fldCharType="separate"/>
      </w:r>
      <w:r>
        <w:rPr>
          <w:rFonts w:hint="eastAsia"/>
          <w:szCs w:val="28"/>
          <w:u w:val="none"/>
        </w:rPr>
        <w:t>附图6：</w:t>
      </w:r>
      <w:r>
        <w:rPr>
          <w:rFonts w:hint="eastAsia"/>
          <w:szCs w:val="28"/>
          <w:u w:val="none"/>
          <w:lang w:val="en-US" w:eastAsia="zh-CN"/>
        </w:rPr>
        <w:t>桃江县</w:t>
      </w:r>
      <w:r>
        <w:rPr>
          <w:rFonts w:hint="eastAsia"/>
          <w:szCs w:val="28"/>
          <w:u w:val="none"/>
        </w:rPr>
        <w:t>水系图</w:t>
      </w:r>
      <w:r>
        <w:rPr>
          <w:u w:val="none"/>
        </w:rPr>
        <w:tab/>
      </w:r>
      <w:r>
        <w:rPr>
          <w:u w:val="none"/>
        </w:rPr>
        <w:fldChar w:fldCharType="end"/>
      </w:r>
    </w:p>
    <w:p>
      <w:pPr>
        <w:pStyle w:val="22"/>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rPr>
          <w:u w:val="none"/>
        </w:rPr>
      </w:pPr>
      <w:r>
        <w:rPr>
          <w:u w:val="none"/>
        </w:rPr>
        <w:fldChar w:fldCharType="begin"/>
      </w:r>
      <w:r>
        <w:rPr>
          <w:u w:val="none"/>
        </w:rPr>
        <w:instrText xml:space="preserve"> HYPERLINK \l _Toc16458 </w:instrText>
      </w:r>
      <w:r>
        <w:rPr>
          <w:u w:val="none"/>
        </w:rPr>
        <w:fldChar w:fldCharType="separate"/>
      </w:r>
      <w:r>
        <w:rPr>
          <w:rFonts w:hint="eastAsia"/>
          <w:szCs w:val="28"/>
          <w:u w:val="none"/>
        </w:rPr>
        <w:t>附</w:t>
      </w:r>
      <w:r>
        <w:rPr>
          <w:rFonts w:hint="eastAsia"/>
          <w:szCs w:val="28"/>
          <w:u w:val="none"/>
          <w:lang w:val="en-US" w:eastAsia="zh-CN"/>
        </w:rPr>
        <w:t>图</w:t>
      </w:r>
      <w:r>
        <w:rPr>
          <w:rFonts w:hint="eastAsia"/>
          <w:szCs w:val="28"/>
          <w:u w:val="none"/>
        </w:rPr>
        <w:t>7：论证范围、影响范围图</w:t>
      </w:r>
      <w:r>
        <w:rPr>
          <w:u w:val="none"/>
        </w:rPr>
        <w:tab/>
      </w:r>
      <w:r>
        <w:rPr>
          <w:u w:val="none"/>
        </w:rPr>
        <w:fldChar w:fldCharType="end"/>
      </w:r>
    </w:p>
    <w:p>
      <w:pPr>
        <w:pStyle w:val="22"/>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rPr>
          <w:u w:val="none"/>
        </w:rPr>
      </w:pPr>
      <w:r>
        <w:rPr>
          <w:u w:val="none"/>
        </w:rPr>
        <w:fldChar w:fldCharType="begin"/>
      </w:r>
      <w:r>
        <w:rPr>
          <w:u w:val="none"/>
        </w:rPr>
        <w:instrText xml:space="preserve"> HYPERLINK \l _Toc24589 </w:instrText>
      </w:r>
      <w:r>
        <w:rPr>
          <w:u w:val="none"/>
        </w:rPr>
        <w:fldChar w:fldCharType="separate"/>
      </w:r>
      <w:r>
        <w:rPr>
          <w:rFonts w:hint="eastAsia"/>
          <w:szCs w:val="28"/>
          <w:u w:val="none"/>
        </w:rPr>
        <w:t>附图8：项目入河排污口与上下游自来水厂位置关系图</w:t>
      </w:r>
      <w:r>
        <w:rPr>
          <w:u w:val="none"/>
        </w:rPr>
        <w:tab/>
      </w:r>
      <w:r>
        <w:rPr>
          <w:u w:val="none"/>
        </w:rPr>
        <w:fldChar w:fldCharType="end"/>
      </w:r>
    </w:p>
    <w:p>
      <w:pPr>
        <w:pStyle w:val="22"/>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rPr>
          <w:u w:val="none"/>
        </w:rPr>
      </w:pPr>
      <w:r>
        <w:rPr>
          <w:u w:val="none"/>
        </w:rPr>
        <w:fldChar w:fldCharType="begin"/>
      </w:r>
      <w:r>
        <w:rPr>
          <w:u w:val="none"/>
        </w:rPr>
        <w:instrText xml:space="preserve"> HYPERLINK \l _Toc2668 </w:instrText>
      </w:r>
      <w:r>
        <w:rPr>
          <w:u w:val="none"/>
        </w:rPr>
        <w:fldChar w:fldCharType="separate"/>
      </w:r>
      <w:r>
        <w:rPr>
          <w:rFonts w:hint="eastAsia"/>
          <w:szCs w:val="28"/>
          <w:u w:val="none"/>
        </w:rPr>
        <w:t>附图9：项目敏感目标分布图</w:t>
      </w:r>
      <w:r>
        <w:rPr>
          <w:u w:val="none"/>
        </w:rPr>
        <w:tab/>
      </w:r>
      <w:r>
        <w:rPr>
          <w:u w:val="none"/>
        </w:rPr>
        <w:fldChar w:fldCharType="end"/>
      </w:r>
    </w:p>
    <w:p>
      <w:pPr>
        <w:pStyle w:val="22"/>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rPr>
          <w:u w:val="none"/>
        </w:rPr>
      </w:pPr>
      <w:r>
        <w:rPr>
          <w:u w:val="none"/>
        </w:rPr>
        <w:fldChar w:fldCharType="begin"/>
      </w:r>
      <w:r>
        <w:rPr>
          <w:u w:val="none"/>
        </w:rPr>
        <w:instrText xml:space="preserve"> HYPERLINK \l _Toc24393 </w:instrText>
      </w:r>
      <w:r>
        <w:rPr>
          <w:u w:val="none"/>
        </w:rPr>
        <w:fldChar w:fldCharType="separate"/>
      </w:r>
      <w:r>
        <w:rPr>
          <w:rFonts w:hint="eastAsia"/>
          <w:szCs w:val="28"/>
          <w:u w:val="none"/>
        </w:rPr>
        <w:t>附图10：项目排水路径图</w:t>
      </w:r>
      <w:r>
        <w:rPr>
          <w:u w:val="none"/>
        </w:rPr>
        <w:tab/>
      </w:r>
      <w:r>
        <w:rPr>
          <w:u w:val="none"/>
        </w:rPr>
        <w:fldChar w:fldCharType="end"/>
      </w:r>
    </w:p>
    <w:p>
      <w:pPr>
        <w:pStyle w:val="22"/>
        <w:keepNext w:val="0"/>
        <w:keepLines w:val="0"/>
        <w:pageBreakBefore w:val="0"/>
        <w:widowControl/>
        <w:tabs>
          <w:tab w:val="right" w:leader="dot" w:pos="9070"/>
        </w:tabs>
        <w:kinsoku/>
        <w:wordWrap/>
        <w:overflowPunct/>
        <w:topLinePunct w:val="0"/>
        <w:autoSpaceDE/>
        <w:autoSpaceDN/>
        <w:bidi w:val="0"/>
        <w:adjustRightInd/>
        <w:snapToGrid/>
        <w:spacing w:line="240" w:lineRule="auto"/>
        <w:textAlignment w:val="auto"/>
        <w:rPr>
          <w:u w:val="none"/>
        </w:rPr>
      </w:pPr>
      <w:r>
        <w:rPr>
          <w:u w:val="none"/>
        </w:rPr>
        <w:fldChar w:fldCharType="begin"/>
      </w:r>
      <w:r>
        <w:rPr>
          <w:u w:val="none"/>
        </w:rPr>
        <w:instrText xml:space="preserve"> HYPERLINK \l _Toc20981 </w:instrText>
      </w:r>
      <w:r>
        <w:rPr>
          <w:u w:val="none"/>
        </w:rPr>
        <w:fldChar w:fldCharType="separate"/>
      </w:r>
      <w:r>
        <w:rPr>
          <w:rFonts w:hint="eastAsia"/>
          <w:szCs w:val="28"/>
          <w:u w:val="none"/>
        </w:rPr>
        <w:t>附图11：项目与大栗港自来水厂位置关系示意图</w:t>
      </w:r>
      <w:r>
        <w:rPr>
          <w:u w:val="none"/>
        </w:rPr>
        <w:tab/>
      </w:r>
      <w:r>
        <w:rPr>
          <w:u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firstLine="480"/>
        <w:textAlignment w:val="auto"/>
        <w:rPr>
          <w:u w:val="none"/>
        </w:rPr>
      </w:pPr>
      <w:r>
        <w:rPr>
          <w:u w:val="none"/>
        </w:rPr>
        <w:fldChar w:fldCharType="begin"/>
      </w:r>
      <w:r>
        <w:rPr>
          <w:u w:val="none"/>
        </w:rPr>
        <w:instrText xml:space="preserve"> HYPERLINK \l _Toc7833 </w:instrText>
      </w:r>
      <w:r>
        <w:rPr>
          <w:u w:val="none"/>
        </w:rPr>
        <w:fldChar w:fldCharType="separate"/>
      </w:r>
      <w:r>
        <w:rPr>
          <w:rFonts w:hint="eastAsia"/>
          <w:szCs w:val="28"/>
          <w:u w:val="none"/>
        </w:rPr>
        <w:t>附图12：现场照片</w:t>
      </w:r>
      <w:r>
        <w:rPr>
          <w:u w:val="none"/>
        </w:rPr>
        <w:tab/>
      </w:r>
      <w:r>
        <w:rPr>
          <w:u w:val="none"/>
        </w:rPr>
        <w:fldChar w:fldCharType="end"/>
      </w:r>
    </w:p>
    <w:p>
      <w:pPr>
        <w:spacing w:line="240" w:lineRule="auto"/>
        <w:ind w:firstLine="480"/>
        <w:jc w:val="center"/>
        <w:rPr>
          <w:u w:val="none"/>
        </w:rPr>
      </w:pPr>
      <w:r>
        <w:rPr>
          <w:u w:val="none"/>
        </w:rPr>
        <w:br w:type="page"/>
      </w:r>
    </w:p>
    <w:p>
      <w:pPr>
        <w:pStyle w:val="11"/>
        <w:tabs>
          <w:tab w:val="left" w:pos="-2486"/>
        </w:tabs>
        <w:autoSpaceDE/>
        <w:autoSpaceDN/>
        <w:adjustRightInd/>
        <w:snapToGrid w:val="0"/>
        <w:spacing w:line="240" w:lineRule="auto"/>
        <w:ind w:firstLine="482"/>
        <w:jc w:val="center"/>
        <w:outlineLvl w:val="0"/>
        <w:rPr>
          <w:rFonts w:ascii="Times New Roman" w:cs="Times New Roman"/>
          <w:b/>
          <w:bCs/>
          <w:color w:val="000000"/>
          <w:u w:val="none"/>
        </w:rPr>
      </w:pPr>
      <w:bookmarkStart w:id="0" w:name="_Toc31180"/>
      <w:bookmarkStart w:id="1" w:name="_Toc6104"/>
      <w:r>
        <w:rPr>
          <w:rFonts w:ascii="Times New Roman" w:cs="Times New Roman"/>
          <w:b/>
          <w:bCs/>
          <w:color w:val="000000"/>
          <w:u w:val="none"/>
        </w:rPr>
        <w:t>桃江县湘域矿业有限公司首溪金矿入河排污口设置基本情况表</w:t>
      </w:r>
      <w:bookmarkEnd w:id="0"/>
      <w:bookmarkEnd w:id="1"/>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851"/>
        <w:gridCol w:w="1748"/>
        <w:gridCol w:w="1701"/>
        <w:gridCol w:w="1621"/>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r>
              <w:rPr>
                <w:u w:val="none"/>
              </w:rPr>
              <w:t>申请单位</w:t>
            </w:r>
          </w:p>
        </w:tc>
        <w:tc>
          <w:tcPr>
            <w:tcW w:w="2599" w:type="dxa"/>
            <w:gridSpan w:val="2"/>
            <w:tcBorders>
              <w:top w:val="single" w:color="auto" w:sz="4" w:space="0"/>
              <w:left w:val="single" w:color="auto" w:sz="4" w:space="0"/>
              <w:bottom w:val="single" w:color="auto" w:sz="4" w:space="0"/>
              <w:right w:val="single" w:color="auto" w:sz="4" w:space="0"/>
            </w:tcBorders>
            <w:vAlign w:val="center"/>
          </w:tcPr>
          <w:p>
            <w:pPr>
              <w:pStyle w:val="70"/>
              <w:rPr>
                <w:u w:val="none"/>
              </w:rPr>
            </w:pPr>
            <w:r>
              <w:rPr>
                <w:rStyle w:val="72"/>
                <w:rFonts w:hint="eastAsia" w:ascii="Times New Roman" w:hAnsi="Times New Roman" w:cs="Times New Roman"/>
                <w:sz w:val="21"/>
                <w:szCs w:val="21"/>
                <w:u w:val="none"/>
              </w:rPr>
              <w:t>桃江县湘域矿业有限公司</w:t>
            </w:r>
          </w:p>
        </w:tc>
        <w:tc>
          <w:tcPr>
            <w:tcW w:w="1701" w:type="dxa"/>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r>
              <w:rPr>
                <w:u w:val="none"/>
              </w:rPr>
              <w:t>法人代表</w:t>
            </w:r>
          </w:p>
        </w:tc>
        <w:tc>
          <w:tcPr>
            <w:tcW w:w="2845" w:type="dxa"/>
            <w:gridSpan w:val="2"/>
            <w:tcBorders>
              <w:top w:val="single" w:color="auto" w:sz="4" w:space="0"/>
              <w:left w:val="single" w:color="auto" w:sz="4" w:space="0"/>
              <w:bottom w:val="single" w:color="auto" w:sz="4" w:space="0"/>
              <w:right w:val="single" w:color="auto" w:sz="4" w:space="0"/>
            </w:tcBorders>
            <w:vAlign w:val="center"/>
          </w:tcPr>
          <w:p>
            <w:pPr>
              <w:pStyle w:val="70"/>
              <w:rPr>
                <w:u w:val="none"/>
              </w:rPr>
            </w:pPr>
            <w:r>
              <w:rPr>
                <w:rFonts w:hint="eastAsia"/>
                <w:u w:val="none"/>
              </w:rPr>
              <w:t>刘财建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r>
              <w:rPr>
                <w:u w:val="none"/>
              </w:rPr>
              <w:t>详细地址</w:t>
            </w:r>
          </w:p>
        </w:tc>
        <w:tc>
          <w:tcPr>
            <w:tcW w:w="2599" w:type="dxa"/>
            <w:gridSpan w:val="2"/>
            <w:tcBorders>
              <w:top w:val="single" w:color="auto" w:sz="4" w:space="0"/>
              <w:left w:val="single" w:color="auto" w:sz="4" w:space="0"/>
              <w:bottom w:val="single" w:color="auto" w:sz="4" w:space="0"/>
              <w:right w:val="single" w:color="auto" w:sz="4" w:space="0"/>
            </w:tcBorders>
            <w:vAlign w:val="center"/>
          </w:tcPr>
          <w:p>
            <w:pPr>
              <w:pStyle w:val="55"/>
              <w:snapToGrid w:val="0"/>
              <w:ind w:right="63"/>
              <w:jc w:val="center"/>
              <w:rPr>
                <w:u w:val="none"/>
                <w:lang w:eastAsia="zh-CN"/>
              </w:rPr>
            </w:pPr>
            <w:r>
              <w:rPr>
                <w:rStyle w:val="72"/>
                <w:rFonts w:hint="eastAsia" w:ascii="Times New Roman" w:hAnsi="Times New Roman"/>
                <w:sz w:val="21"/>
                <w:szCs w:val="21"/>
                <w:u w:val="none"/>
              </w:rPr>
              <w:t>湖南省益阳市桃江县大栗港镇兴坪村</w:t>
            </w:r>
          </w:p>
        </w:tc>
        <w:tc>
          <w:tcPr>
            <w:tcW w:w="1701" w:type="dxa"/>
            <w:tcBorders>
              <w:top w:val="single" w:color="auto" w:sz="4" w:space="0"/>
              <w:left w:val="single" w:color="auto" w:sz="4" w:space="0"/>
              <w:bottom w:val="single" w:color="auto" w:sz="4" w:space="0"/>
              <w:right w:val="single" w:color="auto" w:sz="4" w:space="0"/>
            </w:tcBorders>
            <w:vAlign w:val="center"/>
          </w:tcPr>
          <w:p>
            <w:pPr>
              <w:pStyle w:val="70"/>
              <w:rPr>
                <w:u w:val="none"/>
              </w:rPr>
            </w:pPr>
            <w:r>
              <w:rPr>
                <w:rFonts w:hint="eastAsia"/>
                <w:u w:val="none"/>
              </w:rPr>
              <w:t>邮政编码</w:t>
            </w:r>
          </w:p>
        </w:tc>
        <w:tc>
          <w:tcPr>
            <w:tcW w:w="2845" w:type="dxa"/>
            <w:gridSpan w:val="2"/>
            <w:tcBorders>
              <w:top w:val="single" w:color="auto" w:sz="4" w:space="0"/>
              <w:left w:val="single" w:color="auto" w:sz="4" w:space="0"/>
              <w:bottom w:val="single" w:color="auto" w:sz="4" w:space="0"/>
              <w:right w:val="single" w:color="auto" w:sz="4" w:space="0"/>
            </w:tcBorders>
            <w:vAlign w:val="center"/>
          </w:tcPr>
          <w:p>
            <w:pPr>
              <w:pStyle w:val="70"/>
              <w:rPr>
                <w:u w:val="none"/>
              </w:rPr>
            </w:pPr>
            <w:r>
              <w:rPr>
                <w:rFonts w:hint="eastAsia"/>
                <w:u w:val="none"/>
              </w:rPr>
              <w:t>413403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pStyle w:val="70"/>
              <w:rPr>
                <w:u w:val="none"/>
              </w:rPr>
            </w:pPr>
            <w:r>
              <w:rPr>
                <w:rFonts w:hint="eastAsia"/>
                <w:u w:val="none"/>
              </w:rPr>
              <w:t>单位性质</w:t>
            </w:r>
          </w:p>
        </w:tc>
        <w:tc>
          <w:tcPr>
            <w:tcW w:w="2599" w:type="dxa"/>
            <w:gridSpan w:val="2"/>
            <w:tcBorders>
              <w:top w:val="single" w:color="auto" w:sz="4" w:space="0"/>
              <w:left w:val="single" w:color="auto" w:sz="4" w:space="0"/>
              <w:bottom w:val="single" w:color="auto" w:sz="4" w:space="0"/>
              <w:right w:val="single" w:color="auto" w:sz="4" w:space="0"/>
            </w:tcBorders>
            <w:vAlign w:val="center"/>
          </w:tcPr>
          <w:p>
            <w:pPr>
              <w:pStyle w:val="70"/>
              <w:rPr>
                <w:u w:val="none"/>
              </w:rPr>
            </w:pPr>
            <w:r>
              <w:rPr>
                <w:rFonts w:hint="eastAsia"/>
                <w:u w:val="none"/>
              </w:rPr>
              <w:t>私营企业</w:t>
            </w:r>
          </w:p>
        </w:tc>
        <w:tc>
          <w:tcPr>
            <w:tcW w:w="1701" w:type="dxa"/>
            <w:tcBorders>
              <w:top w:val="single" w:color="auto" w:sz="4" w:space="0"/>
              <w:left w:val="single" w:color="auto" w:sz="4" w:space="0"/>
              <w:bottom w:val="single" w:color="auto" w:sz="4" w:space="0"/>
              <w:right w:val="single" w:color="auto" w:sz="4" w:space="0"/>
            </w:tcBorders>
            <w:vAlign w:val="center"/>
          </w:tcPr>
          <w:p>
            <w:pPr>
              <w:pStyle w:val="70"/>
              <w:rPr>
                <w:u w:val="none"/>
              </w:rPr>
            </w:pPr>
            <w:r>
              <w:rPr>
                <w:rFonts w:hint="eastAsia"/>
                <w:u w:val="none"/>
              </w:rPr>
              <w:t>主管机关</w:t>
            </w:r>
          </w:p>
        </w:tc>
        <w:tc>
          <w:tcPr>
            <w:tcW w:w="2845" w:type="dxa"/>
            <w:gridSpan w:val="2"/>
            <w:tcBorders>
              <w:top w:val="single" w:color="auto" w:sz="4" w:space="0"/>
              <w:left w:val="single" w:color="auto" w:sz="4" w:space="0"/>
              <w:bottom w:val="single" w:color="auto" w:sz="4" w:space="0"/>
              <w:right w:val="single" w:color="auto" w:sz="4" w:space="0"/>
            </w:tcBorders>
            <w:vAlign w:val="center"/>
          </w:tcPr>
          <w:p>
            <w:pPr>
              <w:pStyle w:val="70"/>
              <w:rPr>
                <w:u w:val="none"/>
              </w:rPr>
            </w:pPr>
            <w:r>
              <w:rPr>
                <w:rFonts w:hint="eastAsia"/>
                <w:u w:val="none"/>
              </w:rPr>
              <w:t>桃江县人民政府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r>
              <w:rPr>
                <w:u w:val="none"/>
              </w:rPr>
              <w:t>联系人</w:t>
            </w:r>
          </w:p>
        </w:tc>
        <w:tc>
          <w:tcPr>
            <w:tcW w:w="2599" w:type="dxa"/>
            <w:gridSpan w:val="2"/>
            <w:tcBorders>
              <w:top w:val="single" w:color="auto" w:sz="4" w:space="0"/>
              <w:left w:val="single" w:color="auto" w:sz="4" w:space="0"/>
              <w:bottom w:val="single" w:color="auto" w:sz="4" w:space="0"/>
              <w:right w:val="single" w:color="auto" w:sz="4" w:space="0"/>
            </w:tcBorders>
            <w:vAlign w:val="center"/>
          </w:tcPr>
          <w:p>
            <w:pPr>
              <w:pStyle w:val="70"/>
              <w:rPr>
                <w:u w:val="none"/>
              </w:rPr>
            </w:pPr>
            <w:r>
              <w:rPr>
                <w:rFonts w:hint="eastAsia"/>
                <w:u w:val="none"/>
              </w:rPr>
              <w:t>刘财建</w:t>
            </w:r>
          </w:p>
        </w:tc>
        <w:tc>
          <w:tcPr>
            <w:tcW w:w="1701" w:type="dxa"/>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r>
              <w:rPr>
                <w:u w:val="none"/>
              </w:rPr>
              <w:t>联系电话</w:t>
            </w:r>
          </w:p>
        </w:tc>
        <w:tc>
          <w:tcPr>
            <w:tcW w:w="2845" w:type="dxa"/>
            <w:gridSpan w:val="2"/>
            <w:tcBorders>
              <w:top w:val="single" w:color="auto" w:sz="4" w:space="0"/>
              <w:left w:val="single" w:color="auto" w:sz="4" w:space="0"/>
              <w:bottom w:val="single" w:color="auto" w:sz="4" w:space="0"/>
              <w:right w:val="single" w:color="auto" w:sz="4" w:space="0"/>
            </w:tcBorders>
            <w:vAlign w:val="center"/>
          </w:tcPr>
          <w:p>
            <w:pPr>
              <w:pStyle w:val="70"/>
              <w:rPr>
                <w:u w:val="none"/>
              </w:rPr>
            </w:pPr>
            <w:r>
              <w:rPr>
                <w:rFonts w:hint="eastAsia"/>
                <w:u w:val="none"/>
              </w:rPr>
              <w:t>15869881555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pStyle w:val="70"/>
              <w:rPr>
                <w:u w:val="none"/>
              </w:rPr>
            </w:pPr>
            <w:r>
              <w:rPr>
                <w:rFonts w:hint="eastAsia"/>
                <w:u w:val="none"/>
              </w:rPr>
              <w:t>取用水量</w:t>
            </w:r>
          </w:p>
          <w:p>
            <w:pPr>
              <w:pStyle w:val="70"/>
              <w:rPr>
                <w:u w:val="none"/>
              </w:rPr>
            </w:pPr>
            <w:r>
              <w:rPr>
                <w:rFonts w:hint="eastAsia"/>
                <w:u w:val="none"/>
              </w:rPr>
              <w:t>（万t/年）</w:t>
            </w:r>
          </w:p>
        </w:tc>
        <w:tc>
          <w:tcPr>
            <w:tcW w:w="7145" w:type="dxa"/>
            <w:gridSpan w:val="5"/>
            <w:tcBorders>
              <w:top w:val="single" w:color="auto" w:sz="4" w:space="0"/>
              <w:left w:val="single" w:color="auto" w:sz="4" w:space="0"/>
              <w:bottom w:val="single" w:color="auto" w:sz="4" w:space="0"/>
              <w:right w:val="single" w:color="auto" w:sz="4" w:space="0"/>
            </w:tcBorders>
            <w:vAlign w:val="center"/>
          </w:tcPr>
          <w:p>
            <w:pPr>
              <w:pStyle w:val="70"/>
              <w:rPr>
                <w:u w:val="none"/>
              </w:rPr>
            </w:pPr>
            <w:r>
              <w:rPr>
                <w:rFonts w:hint="eastAsia"/>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r>
              <w:rPr>
                <w:u w:val="none"/>
              </w:rPr>
              <w:t>服务面</w:t>
            </w:r>
            <w:r>
              <w:rPr>
                <w:rFonts w:hint="eastAsia"/>
                <w:u w:val="none"/>
              </w:rPr>
              <w:t>积</w:t>
            </w:r>
            <w:r>
              <w:rPr>
                <w:u w:val="none"/>
              </w:rPr>
              <w:t>（km</w:t>
            </w:r>
            <w:r>
              <w:rPr>
                <w:u w:val="none"/>
                <w:vertAlign w:val="superscript"/>
              </w:rPr>
              <w:t>2</w:t>
            </w:r>
            <w:r>
              <w:rPr>
                <w:u w:val="none"/>
              </w:rPr>
              <w:t>）</w:t>
            </w:r>
          </w:p>
        </w:tc>
        <w:tc>
          <w:tcPr>
            <w:tcW w:w="2599" w:type="dxa"/>
            <w:gridSpan w:val="2"/>
            <w:tcBorders>
              <w:top w:val="single" w:color="auto" w:sz="4" w:space="0"/>
              <w:left w:val="single" w:color="auto" w:sz="4" w:space="0"/>
              <w:bottom w:val="single" w:color="auto" w:sz="4" w:space="0"/>
              <w:right w:val="single" w:color="auto" w:sz="4" w:space="0"/>
            </w:tcBorders>
            <w:vAlign w:val="center"/>
          </w:tcPr>
          <w:p>
            <w:pPr>
              <w:pStyle w:val="70"/>
              <w:rPr>
                <w:rFonts w:hint="eastAsia" w:eastAsia="宋体"/>
                <w:u w:val="none"/>
                <w:lang w:eastAsia="zh-CN"/>
              </w:rPr>
            </w:pPr>
            <w:r>
              <w:rPr>
                <w:rFonts w:hint="eastAsia"/>
                <w:u w:val="none"/>
                <w:lang w:val="en-US" w:eastAsia="zh-CN"/>
              </w:rPr>
              <w:t>/</w:t>
            </w:r>
          </w:p>
        </w:tc>
        <w:tc>
          <w:tcPr>
            <w:tcW w:w="1701" w:type="dxa"/>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r>
              <w:rPr>
                <w:u w:val="none"/>
              </w:rPr>
              <w:t>服务</w:t>
            </w:r>
            <w:r>
              <w:rPr>
                <w:rFonts w:hint="eastAsia"/>
                <w:u w:val="none"/>
              </w:rPr>
              <w:t>人口</w:t>
            </w:r>
          </w:p>
        </w:tc>
        <w:tc>
          <w:tcPr>
            <w:tcW w:w="2845" w:type="dxa"/>
            <w:gridSpan w:val="2"/>
            <w:tcBorders>
              <w:top w:val="single" w:color="auto" w:sz="4" w:space="0"/>
              <w:left w:val="single" w:color="auto" w:sz="4" w:space="0"/>
              <w:bottom w:val="single" w:color="auto" w:sz="4" w:space="0"/>
              <w:right w:val="single" w:color="auto" w:sz="4" w:space="0"/>
            </w:tcBorders>
            <w:vAlign w:val="center"/>
          </w:tcPr>
          <w:p>
            <w:pPr>
              <w:pStyle w:val="70"/>
              <w:rPr>
                <w:u w:val="none"/>
              </w:rPr>
            </w:pPr>
            <w:r>
              <w:rPr>
                <w:rFonts w:hint="eastAsia"/>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r>
              <w:rPr>
                <w:u w:val="none"/>
              </w:rPr>
              <w:t>联系人</w:t>
            </w:r>
          </w:p>
        </w:tc>
        <w:tc>
          <w:tcPr>
            <w:tcW w:w="2599" w:type="dxa"/>
            <w:gridSpan w:val="2"/>
            <w:tcBorders>
              <w:top w:val="single" w:color="auto" w:sz="4" w:space="0"/>
              <w:left w:val="single" w:color="auto" w:sz="4" w:space="0"/>
              <w:bottom w:val="single" w:color="auto" w:sz="4" w:space="0"/>
              <w:right w:val="single" w:color="auto" w:sz="4" w:space="0"/>
            </w:tcBorders>
            <w:vAlign w:val="center"/>
          </w:tcPr>
          <w:p>
            <w:pPr>
              <w:pStyle w:val="70"/>
              <w:rPr>
                <w:u w:val="none"/>
              </w:rPr>
            </w:pPr>
            <w:r>
              <w:rPr>
                <w:rFonts w:hint="eastAsia"/>
                <w:u w:val="none"/>
              </w:rPr>
              <w:t>刘财建</w:t>
            </w:r>
          </w:p>
        </w:tc>
        <w:tc>
          <w:tcPr>
            <w:tcW w:w="1701" w:type="dxa"/>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r>
              <w:rPr>
                <w:u w:val="none"/>
              </w:rPr>
              <w:t>联系电话</w:t>
            </w:r>
          </w:p>
        </w:tc>
        <w:tc>
          <w:tcPr>
            <w:tcW w:w="2845" w:type="dxa"/>
            <w:gridSpan w:val="2"/>
            <w:tcBorders>
              <w:top w:val="single" w:color="auto" w:sz="4" w:space="0"/>
              <w:left w:val="single" w:color="auto" w:sz="4" w:space="0"/>
              <w:bottom w:val="single" w:color="auto" w:sz="4" w:space="0"/>
              <w:right w:val="single" w:color="auto" w:sz="4" w:space="0"/>
            </w:tcBorders>
            <w:vAlign w:val="center"/>
          </w:tcPr>
          <w:p>
            <w:pPr>
              <w:pStyle w:val="70"/>
              <w:rPr>
                <w:u w:val="none"/>
              </w:rPr>
            </w:pPr>
            <w:r>
              <w:rPr>
                <w:rFonts w:hint="eastAsia"/>
                <w:u w:val="none"/>
              </w:rPr>
              <w:t>15869881555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4" w:type="dxa"/>
            <w:vMerge w:val="restart"/>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r>
              <w:rPr>
                <w:u w:val="none"/>
              </w:rPr>
              <w:t>入河排污口类型</w:t>
            </w:r>
          </w:p>
        </w:tc>
        <w:tc>
          <w:tcPr>
            <w:tcW w:w="851" w:type="dxa"/>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r>
              <w:rPr>
                <w:u w:val="none"/>
              </w:rPr>
              <w:t>新建</w:t>
            </w:r>
          </w:p>
        </w:tc>
        <w:tc>
          <w:tcPr>
            <w:tcW w:w="1748" w:type="dxa"/>
            <w:tcBorders>
              <w:top w:val="single" w:color="auto" w:sz="4" w:space="0"/>
              <w:left w:val="single" w:color="auto" w:sz="4" w:space="0"/>
              <w:bottom w:val="single" w:color="auto" w:sz="4" w:space="0"/>
              <w:right w:val="single" w:color="auto" w:sz="4" w:space="0"/>
            </w:tcBorders>
            <w:vAlign w:val="center"/>
          </w:tcPr>
          <w:p>
            <w:pPr>
              <w:pStyle w:val="70"/>
              <w:rPr>
                <w:u w:val="none"/>
              </w:rPr>
            </w:pPr>
            <w:r>
              <w:rPr>
                <w:u w:val="none"/>
              </w:rPr>
              <w:t>√</w:t>
            </w: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r>
              <w:rPr>
                <w:u w:val="none"/>
              </w:rPr>
              <w:t>排污口分类</w:t>
            </w:r>
          </w:p>
        </w:tc>
        <w:tc>
          <w:tcPr>
            <w:tcW w:w="1621" w:type="dxa"/>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r>
              <w:rPr>
                <w:u w:val="none"/>
              </w:rPr>
              <w:t>工业</w:t>
            </w:r>
          </w:p>
        </w:tc>
        <w:tc>
          <w:tcPr>
            <w:tcW w:w="0" w:type="auto"/>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r>
              <w:rPr>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4" w:type="dxa"/>
            <w:vMerge w:val="continue"/>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r>
              <w:rPr>
                <w:u w:val="none"/>
              </w:rPr>
              <w:t>改建</w:t>
            </w:r>
          </w:p>
        </w:tc>
        <w:tc>
          <w:tcPr>
            <w:tcW w:w="1748" w:type="dxa"/>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p>
        </w:tc>
        <w:tc>
          <w:tcPr>
            <w:tcW w:w="1621" w:type="dxa"/>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r>
              <w:rPr>
                <w:u w:val="none"/>
              </w:rPr>
              <w:t>生活</w:t>
            </w:r>
          </w:p>
        </w:tc>
        <w:tc>
          <w:tcPr>
            <w:tcW w:w="0" w:type="auto"/>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4" w:type="dxa"/>
            <w:vMerge w:val="continue"/>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r>
              <w:rPr>
                <w:u w:val="none"/>
              </w:rPr>
              <w:t>扩大</w:t>
            </w:r>
          </w:p>
        </w:tc>
        <w:tc>
          <w:tcPr>
            <w:tcW w:w="1748" w:type="dxa"/>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p>
        </w:tc>
        <w:tc>
          <w:tcPr>
            <w:tcW w:w="1621" w:type="dxa"/>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r>
              <w:rPr>
                <w:u w:val="none"/>
              </w:rPr>
              <w:t>混合</w:t>
            </w:r>
          </w:p>
        </w:tc>
        <w:tc>
          <w:tcPr>
            <w:tcW w:w="0" w:type="auto"/>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4" w:type="dxa"/>
            <w:vMerge w:val="restart"/>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r>
              <w:rPr>
                <w:u w:val="none"/>
              </w:rPr>
              <w:t>排放方式</w:t>
            </w:r>
          </w:p>
        </w:tc>
        <w:tc>
          <w:tcPr>
            <w:tcW w:w="851" w:type="dxa"/>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r>
              <w:rPr>
                <w:u w:val="none"/>
              </w:rPr>
              <w:t>连续</w:t>
            </w:r>
          </w:p>
        </w:tc>
        <w:tc>
          <w:tcPr>
            <w:tcW w:w="1748" w:type="dxa"/>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r>
              <w:rPr>
                <w:u w:val="none"/>
              </w:rPr>
              <w:t>√</w:t>
            </w: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r>
              <w:rPr>
                <w:u w:val="none"/>
              </w:rPr>
              <w:t>入河方式</w:t>
            </w:r>
          </w:p>
        </w:tc>
        <w:tc>
          <w:tcPr>
            <w:tcW w:w="2845" w:type="dxa"/>
            <w:gridSpan w:val="2"/>
            <w:vMerge w:val="restart"/>
            <w:tcBorders>
              <w:top w:val="single" w:color="auto" w:sz="4" w:space="0"/>
              <w:left w:val="single" w:color="auto" w:sz="4" w:space="0"/>
              <w:bottom w:val="single" w:color="auto" w:sz="4" w:space="0"/>
              <w:right w:val="single" w:color="auto" w:sz="4" w:space="0"/>
            </w:tcBorders>
            <w:vAlign w:val="center"/>
          </w:tcPr>
          <w:p>
            <w:pPr>
              <w:pStyle w:val="70"/>
              <w:rPr>
                <w:u w:val="none"/>
              </w:rPr>
            </w:pPr>
            <w:r>
              <w:rPr>
                <w:u w:val="none"/>
              </w:rPr>
              <w:t>明渠（√）、管道（）</w:t>
            </w:r>
          </w:p>
          <w:p>
            <w:pPr>
              <w:pStyle w:val="70"/>
              <w:rPr>
                <w:u w:val="none"/>
              </w:rPr>
            </w:pPr>
            <w:r>
              <w:rPr>
                <w:u w:val="none"/>
              </w:rPr>
              <w:t>泵站（）、涵闸（）</w:t>
            </w:r>
          </w:p>
          <w:p>
            <w:pPr>
              <w:pStyle w:val="70"/>
              <w:rPr>
                <w:u w:val="none"/>
              </w:rPr>
            </w:pPr>
            <w:r>
              <w:rPr>
                <w:u w:val="none"/>
              </w:rPr>
              <w:t>潜没（）、其他（）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4" w:type="dxa"/>
            <w:vMerge w:val="continue"/>
            <w:tcBorders>
              <w:top w:val="single" w:color="auto" w:sz="4" w:space="0"/>
              <w:left w:val="single" w:color="auto" w:sz="4" w:space="0"/>
              <w:bottom w:val="single" w:color="auto" w:sz="4" w:space="0"/>
              <w:right w:val="single" w:color="auto" w:sz="4" w:space="0"/>
            </w:tcBorders>
            <w:vAlign w:val="center"/>
          </w:tcPr>
          <w:p>
            <w:pPr>
              <w:pStyle w:val="70"/>
              <w:rPr>
                <w:u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r>
              <w:rPr>
                <w:u w:val="none"/>
              </w:rPr>
              <w:t>间歇</w:t>
            </w:r>
          </w:p>
        </w:tc>
        <w:tc>
          <w:tcPr>
            <w:tcW w:w="1748" w:type="dxa"/>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p>
        </w:tc>
        <w:tc>
          <w:tcPr>
            <w:tcW w:w="2845"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4" w:type="dxa"/>
            <w:vMerge w:val="restart"/>
            <w:tcBorders>
              <w:top w:val="single" w:color="auto" w:sz="4" w:space="0"/>
              <w:left w:val="single" w:color="auto" w:sz="4" w:space="0"/>
              <w:bottom w:val="single" w:color="auto" w:sz="4" w:space="0"/>
              <w:right w:val="single" w:color="auto" w:sz="4" w:space="0"/>
            </w:tcBorders>
            <w:vAlign w:val="center"/>
          </w:tcPr>
          <w:p>
            <w:pPr>
              <w:pStyle w:val="70"/>
              <w:rPr>
                <w:u w:val="none"/>
              </w:rPr>
            </w:pPr>
            <w:r>
              <w:rPr>
                <w:u w:val="none"/>
              </w:rPr>
              <w:t>入河排污口</w:t>
            </w:r>
          </w:p>
          <w:p>
            <w:pPr>
              <w:pStyle w:val="70"/>
              <w:rPr>
                <w:u w:val="none"/>
                <w:lang w:eastAsia="en-US"/>
              </w:rPr>
            </w:pPr>
            <w:r>
              <w:rPr>
                <w:u w:val="none"/>
              </w:rPr>
              <w:t>位置</w:t>
            </w:r>
          </w:p>
        </w:tc>
        <w:tc>
          <w:tcPr>
            <w:tcW w:w="7145" w:type="dxa"/>
            <w:gridSpan w:val="5"/>
            <w:tcBorders>
              <w:top w:val="single" w:color="auto" w:sz="4" w:space="0"/>
              <w:left w:val="single" w:color="auto" w:sz="4" w:space="0"/>
              <w:bottom w:val="single" w:color="auto" w:sz="4" w:space="0"/>
              <w:right w:val="single" w:color="auto" w:sz="4" w:space="0"/>
            </w:tcBorders>
            <w:vAlign w:val="center"/>
          </w:tcPr>
          <w:p>
            <w:pPr>
              <w:pStyle w:val="70"/>
              <w:rPr>
                <w:u w:val="none"/>
              </w:rPr>
            </w:pPr>
            <w:r>
              <w:rPr>
                <w:u w:val="none"/>
              </w:rPr>
              <w:t>所在行政区：</w:t>
            </w:r>
            <w:r>
              <w:rPr>
                <w:rFonts w:hint="eastAsia"/>
                <w:u w:val="none"/>
              </w:rPr>
              <w:t>益阳市桃江县</w:t>
            </w:r>
            <w:r>
              <w:rPr>
                <w:rStyle w:val="72"/>
                <w:rFonts w:hint="eastAsia" w:ascii="Times New Roman" w:hAnsi="Times New Roman" w:cs="Times New Roman"/>
                <w:sz w:val="21"/>
                <w:szCs w:val="21"/>
                <w:u w:val="none"/>
              </w:rPr>
              <w:t>大栗港镇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4" w:type="dxa"/>
            <w:vMerge w:val="continue"/>
            <w:tcBorders>
              <w:top w:val="single" w:color="auto" w:sz="4" w:space="0"/>
              <w:left w:val="single" w:color="auto" w:sz="4" w:space="0"/>
              <w:bottom w:val="single" w:color="auto" w:sz="4" w:space="0"/>
              <w:right w:val="single" w:color="auto" w:sz="4" w:space="0"/>
            </w:tcBorders>
            <w:vAlign w:val="center"/>
          </w:tcPr>
          <w:p>
            <w:pPr>
              <w:pStyle w:val="70"/>
              <w:rPr>
                <w:u w:val="none"/>
              </w:rPr>
            </w:pPr>
          </w:p>
        </w:tc>
        <w:tc>
          <w:tcPr>
            <w:tcW w:w="7145" w:type="dxa"/>
            <w:gridSpan w:val="5"/>
            <w:tcBorders>
              <w:top w:val="single" w:color="auto" w:sz="4" w:space="0"/>
              <w:left w:val="single" w:color="auto" w:sz="4" w:space="0"/>
              <w:bottom w:val="single" w:color="auto" w:sz="4" w:space="0"/>
              <w:right w:val="single" w:color="auto" w:sz="4" w:space="0"/>
            </w:tcBorders>
            <w:vAlign w:val="center"/>
          </w:tcPr>
          <w:p>
            <w:pPr>
              <w:pStyle w:val="70"/>
              <w:rPr>
                <w:u w:val="none"/>
              </w:rPr>
            </w:pPr>
            <w:r>
              <w:rPr>
                <w:u w:val="none"/>
              </w:rPr>
              <w:t>排入水体名称：</w:t>
            </w:r>
            <w:r>
              <w:rPr>
                <w:rFonts w:hint="eastAsia"/>
                <w:u w:val="none"/>
              </w:rPr>
              <w:t>资江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4" w:type="dxa"/>
            <w:vMerge w:val="continue"/>
            <w:tcBorders>
              <w:top w:val="single" w:color="auto" w:sz="4" w:space="0"/>
              <w:left w:val="single" w:color="auto" w:sz="4" w:space="0"/>
              <w:bottom w:val="single" w:color="auto" w:sz="4" w:space="0"/>
              <w:right w:val="single" w:color="auto" w:sz="4" w:space="0"/>
            </w:tcBorders>
            <w:vAlign w:val="center"/>
          </w:tcPr>
          <w:p>
            <w:pPr>
              <w:pStyle w:val="70"/>
              <w:rPr>
                <w:u w:val="none"/>
              </w:rPr>
            </w:pPr>
          </w:p>
        </w:tc>
        <w:tc>
          <w:tcPr>
            <w:tcW w:w="7145" w:type="dxa"/>
            <w:gridSpan w:val="5"/>
            <w:tcBorders>
              <w:top w:val="single" w:color="auto" w:sz="4" w:space="0"/>
              <w:left w:val="single" w:color="auto" w:sz="4" w:space="0"/>
              <w:bottom w:val="single" w:color="auto" w:sz="4" w:space="0"/>
              <w:right w:val="single" w:color="auto" w:sz="4" w:space="0"/>
            </w:tcBorders>
            <w:vAlign w:val="center"/>
          </w:tcPr>
          <w:p>
            <w:pPr>
              <w:pStyle w:val="70"/>
              <w:rPr>
                <w:u w:val="none"/>
              </w:rPr>
            </w:pPr>
            <w:r>
              <w:rPr>
                <w:u w:val="none"/>
              </w:rPr>
              <w:t>排入的水功能区：</w:t>
            </w:r>
            <w:r>
              <w:rPr>
                <w:rFonts w:hint="eastAsia"/>
                <w:u w:val="none"/>
              </w:rPr>
              <w:t>资水桃江保留区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4" w:type="dxa"/>
            <w:vMerge w:val="continue"/>
            <w:tcBorders>
              <w:top w:val="single" w:color="auto" w:sz="4" w:space="0"/>
              <w:left w:val="single" w:color="auto" w:sz="4" w:space="0"/>
              <w:bottom w:val="single" w:color="auto" w:sz="4" w:space="0"/>
              <w:right w:val="single" w:color="auto" w:sz="4" w:space="0"/>
            </w:tcBorders>
            <w:vAlign w:val="center"/>
          </w:tcPr>
          <w:p>
            <w:pPr>
              <w:pStyle w:val="70"/>
              <w:rPr>
                <w:u w:val="none"/>
              </w:rPr>
            </w:pPr>
          </w:p>
        </w:tc>
        <w:tc>
          <w:tcPr>
            <w:tcW w:w="7145" w:type="dxa"/>
            <w:gridSpan w:val="5"/>
            <w:tcBorders>
              <w:top w:val="single" w:color="auto" w:sz="4" w:space="0"/>
              <w:left w:val="single" w:color="auto" w:sz="4" w:space="0"/>
              <w:bottom w:val="single" w:color="auto" w:sz="4" w:space="0"/>
              <w:right w:val="single" w:color="auto" w:sz="4" w:space="0"/>
            </w:tcBorders>
            <w:vAlign w:val="center"/>
          </w:tcPr>
          <w:p>
            <w:pPr>
              <w:pStyle w:val="70"/>
              <w:rPr>
                <w:u w:val="none"/>
                <w:lang w:val="de-DE"/>
              </w:rPr>
            </w:pPr>
            <w:r>
              <w:rPr>
                <w:u w:val="none"/>
              </w:rPr>
              <w:t>坐标：E111°4</w:t>
            </w:r>
            <w:r>
              <w:rPr>
                <w:rFonts w:hint="eastAsia"/>
                <w:u w:val="none"/>
              </w:rPr>
              <w:t>8</w:t>
            </w:r>
            <w:r>
              <w:rPr>
                <w:u w:val="none"/>
              </w:rPr>
              <w:t>'</w:t>
            </w:r>
            <w:r>
              <w:rPr>
                <w:rFonts w:hint="eastAsia"/>
                <w:u w:val="none"/>
              </w:rPr>
              <w:t>45.26568</w:t>
            </w:r>
            <w:r>
              <w:rPr>
                <w:u w:val="none"/>
              </w:rPr>
              <w:t>"、N28°</w:t>
            </w:r>
            <w:r>
              <w:rPr>
                <w:rFonts w:hint="eastAsia"/>
                <w:u w:val="none"/>
              </w:rPr>
              <w:t>30</w:t>
            </w:r>
            <w:r>
              <w:rPr>
                <w:u w:val="none"/>
              </w:rPr>
              <w:t>'</w:t>
            </w:r>
            <w:r>
              <w:rPr>
                <w:rFonts w:hint="eastAsia"/>
                <w:u w:val="none"/>
              </w:rPr>
              <w:t>25.90339</w:t>
            </w:r>
            <w:r>
              <w:rPr>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gridSpan w:val="2"/>
            <w:tcBorders>
              <w:top w:val="single" w:color="auto" w:sz="4" w:space="0"/>
              <w:left w:val="single" w:color="auto" w:sz="4" w:space="0"/>
              <w:bottom w:val="single" w:color="auto" w:sz="4" w:space="0"/>
              <w:right w:val="single" w:color="auto" w:sz="4" w:space="0"/>
            </w:tcBorders>
            <w:vAlign w:val="center"/>
          </w:tcPr>
          <w:p>
            <w:pPr>
              <w:pStyle w:val="70"/>
              <w:rPr>
                <w:u w:val="none"/>
              </w:rPr>
            </w:pPr>
            <w:r>
              <w:rPr>
                <w:u w:val="none"/>
              </w:rPr>
              <w:t>设计排污能力（t/d）</w:t>
            </w:r>
          </w:p>
        </w:tc>
        <w:tc>
          <w:tcPr>
            <w:tcW w:w="1748" w:type="dxa"/>
            <w:tcBorders>
              <w:top w:val="single" w:color="auto" w:sz="4" w:space="0"/>
              <w:left w:val="single" w:color="auto" w:sz="4" w:space="0"/>
              <w:bottom w:val="single" w:color="auto" w:sz="4" w:space="0"/>
              <w:right w:val="single" w:color="auto" w:sz="4" w:space="0"/>
            </w:tcBorders>
            <w:vAlign w:val="center"/>
          </w:tcPr>
          <w:p>
            <w:pPr>
              <w:pStyle w:val="70"/>
              <w:rPr>
                <w:highlight w:val="red"/>
                <w:u w:val="none"/>
              </w:rPr>
            </w:pPr>
            <w:r>
              <w:rPr>
                <w:rFonts w:hint="eastAsia"/>
                <w:u w:val="none"/>
              </w:rPr>
              <w:t>1200</w:t>
            </w:r>
          </w:p>
        </w:tc>
        <w:tc>
          <w:tcPr>
            <w:tcW w:w="1701" w:type="dxa"/>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r>
              <w:rPr>
                <w:rFonts w:hint="eastAsia"/>
                <w:u w:val="none"/>
              </w:rPr>
              <w:t>入河</w:t>
            </w:r>
            <w:r>
              <w:rPr>
                <w:u w:val="none"/>
              </w:rPr>
              <w:t>排污口大小</w:t>
            </w:r>
          </w:p>
        </w:tc>
        <w:tc>
          <w:tcPr>
            <w:tcW w:w="2845" w:type="dxa"/>
            <w:gridSpan w:val="2"/>
            <w:tcBorders>
              <w:top w:val="single" w:color="auto" w:sz="4" w:space="0"/>
              <w:left w:val="single" w:color="auto" w:sz="4" w:space="0"/>
              <w:bottom w:val="single" w:color="auto" w:sz="4" w:space="0"/>
              <w:right w:val="single" w:color="auto" w:sz="4" w:space="0"/>
            </w:tcBorders>
            <w:vAlign w:val="center"/>
          </w:tcPr>
          <w:p>
            <w:pPr>
              <w:pStyle w:val="70"/>
              <w:rPr>
                <w:u w:val="none"/>
              </w:rPr>
            </w:pPr>
            <w:r>
              <w:rPr>
                <w:rFonts w:hint="eastAsia"/>
                <w:u w:val="none"/>
              </w:rPr>
              <w:t>渠径60cm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gridSpan w:val="2"/>
            <w:tcBorders>
              <w:top w:val="single" w:color="auto" w:sz="4" w:space="0"/>
              <w:left w:val="single" w:color="auto" w:sz="4" w:space="0"/>
              <w:bottom w:val="single" w:color="auto" w:sz="4" w:space="0"/>
              <w:right w:val="single" w:color="auto" w:sz="4" w:space="0"/>
            </w:tcBorders>
            <w:vAlign w:val="center"/>
          </w:tcPr>
          <w:p>
            <w:pPr>
              <w:pStyle w:val="70"/>
              <w:rPr>
                <w:u w:val="none"/>
              </w:rPr>
            </w:pPr>
            <w:r>
              <w:rPr>
                <w:u w:val="none"/>
              </w:rPr>
              <w:t>工业废水排放量（t/d）</w:t>
            </w:r>
          </w:p>
        </w:tc>
        <w:tc>
          <w:tcPr>
            <w:tcW w:w="1748" w:type="dxa"/>
            <w:tcBorders>
              <w:top w:val="single" w:color="auto" w:sz="4" w:space="0"/>
              <w:left w:val="single" w:color="auto" w:sz="4" w:space="0"/>
              <w:bottom w:val="single" w:color="auto" w:sz="4" w:space="0"/>
              <w:right w:val="single" w:color="auto" w:sz="4" w:space="0"/>
            </w:tcBorders>
            <w:vAlign w:val="center"/>
          </w:tcPr>
          <w:p>
            <w:pPr>
              <w:pStyle w:val="70"/>
              <w:rPr>
                <w:rFonts w:hint="default" w:eastAsia="宋体"/>
                <w:highlight w:val="red"/>
                <w:u w:val="none"/>
                <w:lang w:val="en-US" w:eastAsia="zh-CN"/>
              </w:rPr>
            </w:pPr>
            <w:r>
              <w:rPr>
                <w:rFonts w:hint="eastAsia"/>
                <w:u w:val="none"/>
                <w:lang w:val="en-US" w:eastAsia="zh-CN"/>
              </w:rPr>
              <w:t>181.2</w:t>
            </w: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pStyle w:val="70"/>
              <w:rPr>
                <w:u w:val="none"/>
              </w:rPr>
            </w:pPr>
            <w:r>
              <w:rPr>
                <w:u w:val="none"/>
              </w:rPr>
              <w:t>年排放废污水总量（万t）</w:t>
            </w:r>
          </w:p>
        </w:tc>
        <w:tc>
          <w:tcPr>
            <w:tcW w:w="2845" w:type="dxa"/>
            <w:gridSpan w:val="2"/>
            <w:vMerge w:val="restart"/>
            <w:tcBorders>
              <w:top w:val="single" w:color="auto" w:sz="4" w:space="0"/>
              <w:left w:val="single" w:color="auto" w:sz="4" w:space="0"/>
              <w:bottom w:val="single" w:color="auto" w:sz="4" w:space="0"/>
              <w:right w:val="single" w:color="auto" w:sz="4" w:space="0"/>
            </w:tcBorders>
            <w:vAlign w:val="center"/>
          </w:tcPr>
          <w:p>
            <w:pPr>
              <w:pStyle w:val="70"/>
              <w:rPr>
                <w:rFonts w:hint="default" w:eastAsia="宋体"/>
                <w:u w:val="none"/>
                <w:lang w:val="en-US" w:eastAsia="zh-CN"/>
              </w:rPr>
            </w:pPr>
            <w:r>
              <w:rPr>
                <w:rFonts w:hint="eastAsia"/>
                <w:u w:val="none"/>
                <w:lang w:val="en-US" w:eastAsia="zh-CN"/>
              </w:rPr>
              <w:t>6.6125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gridSpan w:val="2"/>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r>
              <w:rPr>
                <w:u w:val="none"/>
              </w:rPr>
              <w:t>生活污水排放量（t/d）</w:t>
            </w:r>
          </w:p>
        </w:tc>
        <w:tc>
          <w:tcPr>
            <w:tcW w:w="1748" w:type="dxa"/>
            <w:tcBorders>
              <w:top w:val="single" w:color="auto" w:sz="4" w:space="0"/>
              <w:left w:val="single" w:color="auto" w:sz="4" w:space="0"/>
              <w:bottom w:val="single" w:color="auto" w:sz="4" w:space="0"/>
              <w:right w:val="single" w:color="auto" w:sz="4" w:space="0"/>
            </w:tcBorders>
            <w:vAlign w:val="center"/>
          </w:tcPr>
          <w:p>
            <w:pPr>
              <w:pStyle w:val="70"/>
              <w:rPr>
                <w:rFonts w:hint="default" w:eastAsia="宋体"/>
                <w:u w:val="none"/>
                <w:lang w:val="en-US" w:eastAsia="zh-CN"/>
              </w:rPr>
            </w:pPr>
            <w:r>
              <w:rPr>
                <w:rFonts w:hint="eastAsia"/>
                <w:u w:val="none"/>
                <w:lang w:val="en-US" w:eastAsia="zh-CN"/>
              </w:rPr>
              <w:t>/</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pStyle w:val="70"/>
              <w:rPr>
                <w:u w:val="none"/>
              </w:rPr>
            </w:pPr>
          </w:p>
        </w:tc>
        <w:tc>
          <w:tcPr>
            <w:tcW w:w="2845"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70"/>
              <w:rPr>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gridSpan w:val="2"/>
            <w:tcBorders>
              <w:top w:val="single" w:color="auto" w:sz="4" w:space="0"/>
              <w:left w:val="single" w:color="auto" w:sz="4" w:space="0"/>
              <w:bottom w:val="single" w:color="auto" w:sz="4" w:space="0"/>
              <w:right w:val="single" w:color="auto" w:sz="4" w:space="0"/>
            </w:tcBorders>
            <w:vAlign w:val="center"/>
          </w:tcPr>
          <w:p>
            <w:pPr>
              <w:pStyle w:val="70"/>
              <w:rPr>
                <w:u w:val="none"/>
              </w:rPr>
            </w:pPr>
            <w:r>
              <w:rPr>
                <w:u w:val="none"/>
              </w:rPr>
              <w:t>混合废污水排放量（t/d）</w:t>
            </w:r>
          </w:p>
        </w:tc>
        <w:tc>
          <w:tcPr>
            <w:tcW w:w="1748" w:type="dxa"/>
            <w:tcBorders>
              <w:top w:val="single" w:color="auto" w:sz="4" w:space="0"/>
              <w:left w:val="single" w:color="auto" w:sz="4" w:space="0"/>
              <w:bottom w:val="single" w:color="auto" w:sz="4" w:space="0"/>
              <w:right w:val="single" w:color="auto" w:sz="4" w:space="0"/>
            </w:tcBorders>
            <w:vAlign w:val="center"/>
          </w:tcPr>
          <w:p>
            <w:pPr>
              <w:pStyle w:val="70"/>
              <w:rPr>
                <w:u w:val="none"/>
              </w:rPr>
            </w:pPr>
            <w:r>
              <w:rPr>
                <w:rFonts w:hint="eastAsia"/>
                <w:u w:val="none"/>
              </w:rPr>
              <w:t>/</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pStyle w:val="70"/>
              <w:rPr>
                <w:u w:val="none"/>
              </w:rPr>
            </w:pPr>
          </w:p>
        </w:tc>
        <w:tc>
          <w:tcPr>
            <w:tcW w:w="2845"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70"/>
              <w:rPr>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gridSpan w:val="2"/>
            <w:tcBorders>
              <w:top w:val="single" w:color="auto" w:sz="4" w:space="0"/>
              <w:left w:val="single" w:color="auto" w:sz="4" w:space="0"/>
              <w:bottom w:val="single" w:color="auto" w:sz="4" w:space="0"/>
              <w:right w:val="single" w:color="auto" w:sz="4" w:space="0"/>
            </w:tcBorders>
            <w:vAlign w:val="center"/>
          </w:tcPr>
          <w:p>
            <w:pPr>
              <w:pStyle w:val="70"/>
              <w:rPr>
                <w:u w:val="none"/>
              </w:rPr>
            </w:pPr>
            <w:r>
              <w:rPr>
                <w:u w:val="none"/>
              </w:rPr>
              <w:t>其他废污水排放量（t/d）</w:t>
            </w:r>
          </w:p>
        </w:tc>
        <w:tc>
          <w:tcPr>
            <w:tcW w:w="1748" w:type="dxa"/>
            <w:tcBorders>
              <w:top w:val="single" w:color="auto" w:sz="4" w:space="0"/>
              <w:left w:val="single" w:color="auto" w:sz="4" w:space="0"/>
              <w:bottom w:val="single" w:color="auto" w:sz="4" w:space="0"/>
              <w:right w:val="single" w:color="auto" w:sz="4" w:space="0"/>
            </w:tcBorders>
            <w:vAlign w:val="center"/>
          </w:tcPr>
          <w:p>
            <w:pPr>
              <w:pStyle w:val="70"/>
              <w:rPr>
                <w:highlight w:val="red"/>
                <w:u w:val="none"/>
              </w:rPr>
            </w:pPr>
            <w:r>
              <w:rPr>
                <w:rFonts w:hint="eastAsia"/>
                <w:u w:val="none"/>
              </w:rPr>
              <w:t>/</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pStyle w:val="70"/>
              <w:rPr>
                <w:u w:val="none"/>
              </w:rPr>
            </w:pPr>
          </w:p>
        </w:tc>
        <w:tc>
          <w:tcPr>
            <w:tcW w:w="2845"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70"/>
              <w:rPr>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gridSpan w:val="2"/>
            <w:tcBorders>
              <w:top w:val="single" w:color="auto" w:sz="4" w:space="0"/>
              <w:left w:val="single" w:color="auto" w:sz="4" w:space="0"/>
              <w:bottom w:val="single" w:color="auto" w:sz="4" w:space="0"/>
              <w:right w:val="single" w:color="auto" w:sz="4" w:space="0"/>
            </w:tcBorders>
            <w:vAlign w:val="center"/>
          </w:tcPr>
          <w:p>
            <w:pPr>
              <w:pStyle w:val="70"/>
              <w:rPr>
                <w:u w:val="none"/>
              </w:rPr>
            </w:pPr>
            <w:r>
              <w:rPr>
                <w:u w:val="none"/>
              </w:rPr>
              <w:t>污水是否经过处理</w:t>
            </w:r>
          </w:p>
        </w:tc>
        <w:tc>
          <w:tcPr>
            <w:tcW w:w="1748" w:type="dxa"/>
            <w:tcBorders>
              <w:top w:val="single" w:color="auto" w:sz="4" w:space="0"/>
              <w:left w:val="single" w:color="auto" w:sz="4" w:space="0"/>
              <w:bottom w:val="single" w:color="auto" w:sz="4" w:space="0"/>
              <w:right w:val="single" w:color="auto" w:sz="4" w:space="0"/>
            </w:tcBorders>
            <w:vAlign w:val="center"/>
          </w:tcPr>
          <w:p>
            <w:pPr>
              <w:pStyle w:val="70"/>
              <w:rPr>
                <w:highlight w:val="red"/>
                <w:u w:val="none"/>
              </w:rPr>
            </w:pPr>
            <w:r>
              <w:rPr>
                <w:u w:val="none"/>
              </w:rPr>
              <w:t>是</w:t>
            </w:r>
          </w:p>
        </w:tc>
        <w:tc>
          <w:tcPr>
            <w:tcW w:w="1701" w:type="dxa"/>
            <w:tcBorders>
              <w:top w:val="single" w:color="auto" w:sz="4" w:space="0"/>
              <w:left w:val="single" w:color="auto" w:sz="4" w:space="0"/>
              <w:bottom w:val="single" w:color="auto" w:sz="4" w:space="0"/>
              <w:right w:val="single" w:color="auto" w:sz="4" w:space="0"/>
            </w:tcBorders>
            <w:vAlign w:val="center"/>
          </w:tcPr>
          <w:p>
            <w:pPr>
              <w:pStyle w:val="70"/>
              <w:rPr>
                <w:u w:val="none"/>
                <w:lang w:eastAsia="en-US"/>
              </w:rPr>
            </w:pPr>
            <w:r>
              <w:rPr>
                <w:u w:val="none"/>
              </w:rPr>
              <w:t>污水处理方式</w:t>
            </w:r>
          </w:p>
        </w:tc>
        <w:tc>
          <w:tcPr>
            <w:tcW w:w="2845" w:type="dxa"/>
            <w:gridSpan w:val="2"/>
            <w:tcBorders>
              <w:top w:val="single" w:color="auto" w:sz="4" w:space="0"/>
              <w:left w:val="single" w:color="auto" w:sz="4" w:space="0"/>
              <w:bottom w:val="single" w:color="auto" w:sz="4" w:space="0"/>
              <w:right w:val="single" w:color="auto" w:sz="4" w:space="0"/>
            </w:tcBorders>
            <w:vAlign w:val="center"/>
          </w:tcPr>
          <w:p>
            <w:pPr>
              <w:pStyle w:val="70"/>
              <w:rPr>
                <w:u w:val="none"/>
              </w:rPr>
            </w:pPr>
            <w:r>
              <w:rPr>
                <w:rFonts w:hint="eastAsia"/>
                <w:u w:val="none"/>
              </w:rPr>
              <w:t>沉淀+吸附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pStyle w:val="70"/>
              <w:rPr>
                <w:u w:val="none"/>
              </w:rPr>
            </w:pPr>
            <w:r>
              <w:rPr>
                <w:u w:val="none"/>
              </w:rPr>
              <w:t>主要污染物排放浓度及排放总量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gridSpan w:val="2"/>
            <w:vMerge w:val="restart"/>
            <w:tcBorders>
              <w:top w:val="single" w:color="auto" w:sz="4" w:space="0"/>
              <w:left w:val="single" w:color="auto" w:sz="4" w:space="0"/>
              <w:bottom w:val="single" w:color="auto" w:sz="4" w:space="0"/>
              <w:right w:val="single" w:color="auto" w:sz="4" w:space="0"/>
            </w:tcBorders>
            <w:vAlign w:val="center"/>
          </w:tcPr>
          <w:p>
            <w:pPr>
              <w:pStyle w:val="70"/>
              <w:rPr>
                <w:u w:val="none"/>
              </w:rPr>
            </w:pPr>
            <w:r>
              <w:rPr>
                <w:u w:val="none"/>
              </w:rPr>
              <w:t>项目名称</w:t>
            </w:r>
          </w:p>
        </w:tc>
        <w:tc>
          <w:tcPr>
            <w:tcW w:w="1748" w:type="dxa"/>
            <w:vMerge w:val="restart"/>
            <w:tcBorders>
              <w:top w:val="single" w:color="auto" w:sz="4" w:space="0"/>
              <w:left w:val="single" w:color="auto" w:sz="4" w:space="0"/>
              <w:bottom w:val="single" w:color="auto" w:sz="4" w:space="0"/>
              <w:right w:val="single" w:color="auto" w:sz="4" w:space="0"/>
            </w:tcBorders>
            <w:vAlign w:val="center"/>
          </w:tcPr>
          <w:p>
            <w:pPr>
              <w:pStyle w:val="70"/>
              <w:rPr>
                <w:u w:val="none"/>
              </w:rPr>
            </w:pPr>
            <w:r>
              <w:rPr>
                <w:u w:val="none"/>
              </w:rPr>
              <w:t>排放浓度（mg/L）</w:t>
            </w:r>
          </w:p>
        </w:tc>
        <w:tc>
          <w:tcPr>
            <w:tcW w:w="4546" w:type="dxa"/>
            <w:gridSpan w:val="3"/>
            <w:tcBorders>
              <w:top w:val="single" w:color="auto" w:sz="4" w:space="0"/>
              <w:left w:val="single" w:color="auto" w:sz="4" w:space="0"/>
              <w:bottom w:val="single" w:color="auto" w:sz="4" w:space="0"/>
              <w:right w:val="single" w:color="auto" w:sz="4" w:space="0"/>
            </w:tcBorders>
            <w:vAlign w:val="center"/>
          </w:tcPr>
          <w:p>
            <w:pPr>
              <w:pStyle w:val="70"/>
              <w:rPr>
                <w:u w:val="none"/>
              </w:rPr>
            </w:pPr>
            <w:r>
              <w:rPr>
                <w:highlight w:val="none"/>
                <w:u w:val="none"/>
              </w:rPr>
              <w:t>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70"/>
              <w:rPr>
                <w:u w:val="none"/>
              </w:rPr>
            </w:pPr>
          </w:p>
        </w:tc>
        <w:tc>
          <w:tcPr>
            <w:tcW w:w="1748" w:type="dxa"/>
            <w:vMerge w:val="continue"/>
            <w:tcBorders>
              <w:top w:val="single" w:color="auto" w:sz="4" w:space="0"/>
              <w:left w:val="single" w:color="auto" w:sz="4" w:space="0"/>
              <w:bottom w:val="single" w:color="auto" w:sz="4" w:space="0"/>
              <w:right w:val="single" w:color="auto" w:sz="4" w:space="0"/>
            </w:tcBorders>
            <w:vAlign w:val="center"/>
          </w:tcPr>
          <w:p>
            <w:pPr>
              <w:pStyle w:val="70"/>
              <w:rPr>
                <w:u w:val="none"/>
              </w:rPr>
            </w:pPr>
          </w:p>
        </w:tc>
        <w:tc>
          <w:tcPr>
            <w:tcW w:w="4546" w:type="dxa"/>
            <w:gridSpan w:val="3"/>
            <w:tcBorders>
              <w:top w:val="single" w:color="auto" w:sz="4" w:space="0"/>
              <w:left w:val="single" w:color="auto" w:sz="4" w:space="0"/>
              <w:bottom w:val="single" w:color="auto" w:sz="4" w:space="0"/>
              <w:right w:val="single" w:color="auto" w:sz="4" w:space="0"/>
            </w:tcBorders>
            <w:vAlign w:val="center"/>
          </w:tcPr>
          <w:p>
            <w:pPr>
              <w:pStyle w:val="70"/>
              <w:rPr>
                <w:u w:val="none"/>
              </w:rPr>
            </w:pPr>
            <w:r>
              <w:rPr>
                <w:u w:val="none"/>
              </w:rPr>
              <w:t>年排放总量</w:t>
            </w:r>
            <w:r>
              <w:rPr>
                <w:rFonts w:hint="eastAsia"/>
                <w:u w:val="non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gridSpan w:val="2"/>
            <w:tcBorders>
              <w:top w:val="single" w:color="auto" w:sz="4" w:space="0"/>
              <w:left w:val="single" w:color="auto" w:sz="4" w:space="0"/>
              <w:bottom w:val="single" w:color="auto" w:sz="4" w:space="0"/>
              <w:right w:val="single" w:color="auto" w:sz="4" w:space="0"/>
            </w:tcBorders>
          </w:tcPr>
          <w:p>
            <w:pPr>
              <w:widowControl w:val="0"/>
              <w:spacing w:line="240" w:lineRule="auto"/>
              <w:ind w:firstLine="0" w:firstLineChars="0"/>
              <w:jc w:val="center"/>
              <w:rPr>
                <w:u w:val="none"/>
              </w:rPr>
            </w:pPr>
            <w:r>
              <w:rPr>
                <w:rFonts w:hint="eastAsia"/>
                <w:sz w:val="21"/>
                <w:szCs w:val="21"/>
                <w:u w:val="none"/>
              </w:rPr>
              <w:t>COD</w:t>
            </w:r>
          </w:p>
        </w:tc>
        <w:tc>
          <w:tcPr>
            <w:tcW w:w="1748" w:type="dxa"/>
            <w:tcBorders>
              <w:top w:val="single" w:color="auto" w:sz="4" w:space="0"/>
              <w:left w:val="single" w:color="auto" w:sz="4" w:space="0"/>
              <w:bottom w:val="single" w:color="auto" w:sz="4" w:space="0"/>
              <w:right w:val="single" w:color="auto" w:sz="4" w:space="0"/>
            </w:tcBorders>
          </w:tcPr>
          <w:p>
            <w:pPr>
              <w:widowControl w:val="0"/>
              <w:spacing w:line="240" w:lineRule="auto"/>
              <w:ind w:firstLine="0" w:firstLineChars="0"/>
              <w:jc w:val="center"/>
              <w:rPr>
                <w:u w:val="none"/>
              </w:rPr>
            </w:pPr>
            <w:r>
              <w:rPr>
                <w:rFonts w:hint="eastAsia"/>
                <w:sz w:val="21"/>
                <w:szCs w:val="21"/>
                <w:u w:val="none"/>
              </w:rPr>
              <w:t>100</w:t>
            </w:r>
            <w:r>
              <w:rPr>
                <w:sz w:val="21"/>
                <w:szCs w:val="21"/>
                <w:u w:val="none"/>
              </w:rPr>
              <w:t>mg/</w:t>
            </w:r>
            <w:r>
              <w:rPr>
                <w:rFonts w:hint="eastAsia"/>
                <w:sz w:val="21"/>
                <w:szCs w:val="21"/>
                <w:u w:val="none"/>
              </w:rPr>
              <w:t>L</w:t>
            </w:r>
          </w:p>
        </w:tc>
        <w:tc>
          <w:tcPr>
            <w:tcW w:w="4546" w:type="dxa"/>
            <w:gridSpan w:val="3"/>
            <w:tcBorders>
              <w:top w:val="single" w:color="auto" w:sz="4" w:space="0"/>
              <w:left w:val="single" w:color="auto" w:sz="4" w:space="0"/>
              <w:bottom w:val="single" w:color="auto" w:sz="4" w:space="0"/>
              <w:right w:val="single" w:color="auto" w:sz="4" w:space="0"/>
            </w:tcBorders>
            <w:shd w:val="clear" w:color="auto" w:fill="auto"/>
          </w:tcPr>
          <w:p>
            <w:pPr>
              <w:widowControl w:val="0"/>
              <w:spacing w:line="240" w:lineRule="auto"/>
              <w:ind w:firstLine="0" w:firstLineChars="0"/>
              <w:jc w:val="center"/>
              <w:rPr>
                <w:rFonts w:ascii="Times New Roman" w:hAnsi="Times New Roman" w:eastAsia="宋体" w:cstheme="minorBidi"/>
                <w:kern w:val="2"/>
                <w:sz w:val="21"/>
                <w:szCs w:val="21"/>
                <w:highlight w:val="none"/>
                <w:u w:val="none"/>
                <w:lang w:val="en-US" w:eastAsia="zh-CN" w:bidi="ar-SA"/>
              </w:rPr>
            </w:pPr>
            <w:r>
              <w:rPr>
                <w:rFonts w:hint="eastAsia" w:ascii="Times New Roman" w:hAnsi="Times New Roman" w:eastAsia="宋体" w:cstheme="minorBidi"/>
                <w:kern w:val="2"/>
                <w:sz w:val="21"/>
                <w:szCs w:val="21"/>
                <w:highlight w:val="none"/>
                <w:u w:val="none"/>
                <w:lang w:val="en-US" w:eastAsia="zh-CN" w:bidi="ar-SA"/>
              </w:rPr>
              <w:t>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gridSpan w:val="2"/>
            <w:tcBorders>
              <w:top w:val="single" w:color="auto" w:sz="4" w:space="0"/>
              <w:left w:val="single" w:color="auto" w:sz="4" w:space="0"/>
              <w:bottom w:val="single" w:color="auto" w:sz="4" w:space="0"/>
              <w:right w:val="single" w:color="auto" w:sz="4" w:space="0"/>
            </w:tcBorders>
          </w:tcPr>
          <w:p>
            <w:pPr>
              <w:widowControl w:val="0"/>
              <w:spacing w:line="240" w:lineRule="auto"/>
              <w:ind w:firstLine="0" w:firstLineChars="0"/>
              <w:jc w:val="center"/>
              <w:rPr>
                <w:u w:val="none"/>
              </w:rPr>
            </w:pPr>
            <w:r>
              <w:rPr>
                <w:rFonts w:hint="eastAsia"/>
                <w:sz w:val="21"/>
                <w:szCs w:val="21"/>
                <w:u w:val="none"/>
              </w:rPr>
              <w:t>砷</w:t>
            </w:r>
          </w:p>
        </w:tc>
        <w:tc>
          <w:tcPr>
            <w:tcW w:w="1748" w:type="dxa"/>
            <w:tcBorders>
              <w:top w:val="single" w:color="auto" w:sz="4" w:space="0"/>
              <w:left w:val="single" w:color="auto" w:sz="4" w:space="0"/>
              <w:bottom w:val="single" w:color="auto" w:sz="4" w:space="0"/>
              <w:right w:val="single" w:color="auto" w:sz="4" w:space="0"/>
            </w:tcBorders>
          </w:tcPr>
          <w:p>
            <w:pPr>
              <w:widowControl w:val="0"/>
              <w:spacing w:line="240" w:lineRule="auto"/>
              <w:ind w:firstLine="0" w:firstLineChars="0"/>
              <w:jc w:val="center"/>
              <w:rPr>
                <w:u w:val="none"/>
              </w:rPr>
            </w:pPr>
            <w:r>
              <w:rPr>
                <w:rFonts w:hint="eastAsia"/>
                <w:sz w:val="21"/>
                <w:szCs w:val="21"/>
                <w:u w:val="none"/>
                <w:lang w:val="en-US" w:eastAsia="zh-CN"/>
              </w:rPr>
              <w:t>0.2</w:t>
            </w:r>
            <w:r>
              <w:rPr>
                <w:sz w:val="21"/>
                <w:szCs w:val="21"/>
                <w:u w:val="none"/>
              </w:rPr>
              <w:t>mg/</w:t>
            </w:r>
            <w:r>
              <w:rPr>
                <w:rFonts w:hint="eastAsia"/>
                <w:sz w:val="21"/>
                <w:szCs w:val="21"/>
                <w:u w:val="none"/>
              </w:rPr>
              <w:t>L</w:t>
            </w:r>
          </w:p>
        </w:tc>
        <w:tc>
          <w:tcPr>
            <w:tcW w:w="4546" w:type="dxa"/>
            <w:gridSpan w:val="3"/>
            <w:tcBorders>
              <w:top w:val="single" w:color="auto" w:sz="4" w:space="0"/>
              <w:left w:val="single" w:color="auto" w:sz="4" w:space="0"/>
              <w:bottom w:val="single" w:color="auto" w:sz="4" w:space="0"/>
              <w:right w:val="single" w:color="auto" w:sz="4" w:space="0"/>
            </w:tcBorders>
            <w:shd w:val="clear" w:color="auto" w:fill="auto"/>
          </w:tcPr>
          <w:p>
            <w:pPr>
              <w:widowControl w:val="0"/>
              <w:spacing w:line="240" w:lineRule="auto"/>
              <w:ind w:firstLine="0" w:firstLineChars="0"/>
              <w:jc w:val="center"/>
              <w:rPr>
                <w:rFonts w:ascii="Times New Roman" w:hAnsi="Times New Roman" w:eastAsia="宋体" w:cstheme="minorBidi"/>
                <w:kern w:val="2"/>
                <w:sz w:val="21"/>
                <w:szCs w:val="21"/>
                <w:highlight w:val="none"/>
                <w:u w:val="none"/>
                <w:lang w:val="en-US" w:eastAsia="zh-CN" w:bidi="ar-SA"/>
              </w:rPr>
            </w:pPr>
            <w:r>
              <w:rPr>
                <w:rFonts w:hint="eastAsia" w:ascii="Times New Roman" w:hAnsi="Times New Roman" w:eastAsia="宋体" w:cstheme="minorBidi"/>
                <w:kern w:val="2"/>
                <w:sz w:val="21"/>
                <w:szCs w:val="21"/>
                <w:highlight w:val="none"/>
                <w:u w:val="none"/>
                <w:lang w:val="en-US" w:eastAsia="zh-CN" w:bidi="ar-SA"/>
              </w:rPr>
              <w:t>0.0132</w:t>
            </w:r>
          </w:p>
        </w:tc>
      </w:tr>
    </w:tbl>
    <w:p>
      <w:pPr>
        <w:ind w:firstLine="480"/>
        <w:rPr>
          <w:u w:val="none"/>
        </w:rPr>
      </w:pPr>
    </w:p>
    <w:p>
      <w:pPr>
        <w:spacing w:line="240" w:lineRule="auto"/>
        <w:ind w:firstLine="0" w:firstLineChars="0"/>
        <w:rPr>
          <w:u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418" w:bottom="1440" w:left="1418" w:header="851" w:footer="992" w:gutter="0"/>
          <w:pgBorders>
            <w:top w:val="none" w:sz="0" w:space="0"/>
            <w:left w:val="none" w:sz="0" w:space="0"/>
            <w:bottom w:val="none" w:sz="0" w:space="0"/>
            <w:right w:val="none" w:sz="0" w:space="0"/>
          </w:pgBorders>
          <w:pgNumType w:start="1"/>
          <w:cols w:space="720" w:num="1"/>
          <w:docGrid w:type="linesAndChars" w:linePitch="326" w:charSpace="0"/>
        </w:sectPr>
      </w:pPr>
      <w:bookmarkStart w:id="2" w:name="_Toc20292"/>
    </w:p>
    <w:p>
      <w:pPr>
        <w:pStyle w:val="2"/>
        <w:spacing w:before="0" w:after="0" w:line="240" w:lineRule="auto"/>
        <w:ind w:firstLine="0" w:firstLineChars="0"/>
        <w:jc w:val="left"/>
        <w:rPr>
          <w:u w:val="none"/>
        </w:rPr>
      </w:pPr>
      <w:bookmarkStart w:id="3" w:name="_Toc5873"/>
      <w:r>
        <w:rPr>
          <w:u w:val="none"/>
        </w:rPr>
        <w:t>1</w:t>
      </w:r>
      <w:r>
        <w:rPr>
          <w:rFonts w:hint="eastAsia"/>
          <w:u w:val="none"/>
        </w:rPr>
        <w:t>、</w:t>
      </w:r>
      <w:r>
        <w:rPr>
          <w:u w:val="none"/>
        </w:rPr>
        <w:t>总则</w:t>
      </w:r>
      <w:bookmarkEnd w:id="2"/>
      <w:bookmarkEnd w:id="3"/>
    </w:p>
    <w:p>
      <w:pPr>
        <w:pStyle w:val="3"/>
        <w:spacing w:line="240" w:lineRule="auto"/>
        <w:rPr>
          <w:b w:val="0"/>
          <w:sz w:val="24"/>
          <w:u w:val="none"/>
        </w:rPr>
      </w:pPr>
      <w:bookmarkStart w:id="4" w:name="_Toc16756"/>
      <w:bookmarkStart w:id="5" w:name="_Toc24508"/>
      <w:r>
        <w:rPr>
          <w:sz w:val="30"/>
          <w:szCs w:val="30"/>
          <w:u w:val="none"/>
        </w:rPr>
        <w:t>1.</w:t>
      </w:r>
      <w:r>
        <w:rPr>
          <w:rFonts w:hint="eastAsia"/>
          <w:sz w:val="30"/>
          <w:szCs w:val="30"/>
          <w:u w:val="none"/>
        </w:rPr>
        <w:t>1</w:t>
      </w:r>
      <w:bookmarkEnd w:id="4"/>
      <w:r>
        <w:rPr>
          <w:rFonts w:hint="eastAsia"/>
          <w:sz w:val="30"/>
          <w:szCs w:val="30"/>
          <w:u w:val="none"/>
        </w:rPr>
        <w:t>论证来源</w:t>
      </w:r>
      <w:bookmarkEnd w:id="5"/>
    </w:p>
    <w:p>
      <w:pPr>
        <w:ind w:firstLine="480"/>
        <w:rPr>
          <w:u w:val="none"/>
        </w:rPr>
      </w:pPr>
      <w:r>
        <w:rPr>
          <w:rFonts w:hint="eastAsia"/>
          <w:u w:val="none"/>
        </w:rPr>
        <w:t>首溪金矿位于桃江县城西31km大栗港镇兴坪村，于2015年9月委托娄底市环境保护科学研究所编制了《桃江县湘域矿业有限公司首溪金矿</w:t>
      </w:r>
      <w:r>
        <w:rPr>
          <w:u w:val="none"/>
        </w:rPr>
        <w:t>年采选2万吨金矿石项目环境影响报告书</w:t>
      </w:r>
      <w:r>
        <w:rPr>
          <w:rFonts w:hint="eastAsia"/>
          <w:u w:val="none"/>
        </w:rPr>
        <w:t>》，</w:t>
      </w:r>
      <w:r>
        <w:rPr>
          <w:u w:val="none"/>
        </w:rPr>
        <w:t>2010</w:t>
      </w:r>
      <w:r>
        <w:rPr>
          <w:rFonts w:hint="eastAsia"/>
          <w:u w:val="none"/>
        </w:rPr>
        <w:t>年</w:t>
      </w:r>
      <w:r>
        <w:rPr>
          <w:u w:val="none"/>
        </w:rPr>
        <w:t>10</w:t>
      </w:r>
      <w:r>
        <w:rPr>
          <w:rFonts w:hint="eastAsia"/>
          <w:u w:val="none"/>
        </w:rPr>
        <w:t>月15日取得了原湖南省环境保护厅对于该项目的批复（</w:t>
      </w:r>
      <w:r>
        <w:rPr>
          <w:u w:val="none"/>
        </w:rPr>
        <w:t>湘环评[2010]281号</w:t>
      </w:r>
      <w:r>
        <w:rPr>
          <w:rFonts w:hint="eastAsia"/>
          <w:u w:val="none"/>
        </w:rPr>
        <w:t>）；</w:t>
      </w:r>
      <w:r>
        <w:rPr>
          <w:u w:val="none"/>
        </w:rPr>
        <w:t>2017年，项目通过了湖南省环境保护厅组织的竣工环保验收</w:t>
      </w:r>
      <w:r>
        <w:rPr>
          <w:rFonts w:hint="eastAsia"/>
          <w:u w:val="none"/>
        </w:rPr>
        <w:t>；2021年11月委托湖南朗润环境咨询有限公司编制了《</w:t>
      </w:r>
      <w:r>
        <w:rPr>
          <w:u w:val="none"/>
        </w:rPr>
        <w:t>桃江县湘域矿业有限公司首溪金矿扩建项目环境影响报告书</w:t>
      </w:r>
      <w:r>
        <w:rPr>
          <w:rFonts w:hint="eastAsia"/>
          <w:u w:val="none"/>
        </w:rPr>
        <w:t>》，2021年</w:t>
      </w:r>
      <w:r>
        <w:rPr>
          <w:u w:val="none"/>
        </w:rPr>
        <w:t>11</w:t>
      </w:r>
      <w:r>
        <w:rPr>
          <w:rFonts w:hint="eastAsia"/>
          <w:u w:val="none"/>
        </w:rPr>
        <w:t>月12日取得了益阳市生态环境局对于该项目的批复（益环评书[2021]22号）；2023年</w:t>
      </w:r>
      <w:r>
        <w:rPr>
          <w:rFonts w:hint="eastAsia"/>
          <w:u w:val="none"/>
          <w:lang w:val="en-US" w:eastAsia="zh-CN"/>
        </w:rPr>
        <w:t>6月</w:t>
      </w:r>
      <w:r>
        <w:rPr>
          <w:rFonts w:hint="eastAsia"/>
          <w:u w:val="none"/>
        </w:rPr>
        <w:t>，项目</w:t>
      </w:r>
      <w:r>
        <w:rPr>
          <w:rFonts w:hint="eastAsia"/>
          <w:u w:val="none"/>
          <w:lang w:val="en-US" w:eastAsia="zh-CN"/>
        </w:rPr>
        <w:t>完成自主</w:t>
      </w:r>
      <w:r>
        <w:rPr>
          <w:rFonts w:hint="eastAsia"/>
          <w:u w:val="none"/>
        </w:rPr>
        <w:t>验收，于2023年6月9日取得了《固定污染源排污登记回执》（登记编号：914309226985884827001W）。</w:t>
      </w:r>
    </w:p>
    <w:p>
      <w:pPr>
        <w:ind w:firstLine="480"/>
        <w:rPr>
          <w:u w:val="none"/>
        </w:rPr>
      </w:pPr>
      <w:r>
        <w:rPr>
          <w:rFonts w:hint="eastAsia"/>
          <w:u w:val="none"/>
        </w:rPr>
        <w:t>桃江县湘域矿业有限公司首溪金矿矿区范围地理坐标：东经</w:t>
      </w:r>
      <w:r>
        <w:rPr>
          <w:u w:val="none"/>
        </w:rPr>
        <w:t>111°48′32″~111°48′49″，北纬28°30′13″~28°30′21″，开采方式</w:t>
      </w:r>
      <w:r>
        <w:rPr>
          <w:rFonts w:hint="eastAsia"/>
          <w:u w:val="none"/>
        </w:rPr>
        <w:t>为地下开采、采用斜井开拓。选矿厂位于矿区范围内，位于采矿工业广场北侧40m处，尾矿库位于选矿厂主厂房南侧山坡下方约150m处的山谷中。</w:t>
      </w:r>
      <w:r>
        <w:rPr>
          <w:u w:val="none"/>
        </w:rPr>
        <w:t>项目生产过程中产生的废水主要有生产废水和生活污水。其中生产废水包括矿井涌水、压滤废水、尾矿库渗水和废石堆场淋溶水等。其中采矿过程产生的井下涌水部分回用于生产，多余部分进入废水处理系统，经三级沉淀处理达标后由专用排水渠排入资江。选矿过程、废石堆存、尾矿堆存产生的废水经处理后大部分回用，其余部分与矿井涌水一并外排。食堂废水经隔油池预处理后与生活污水一起经由化粪池+一体化设施+人工湿地处理系统处理后</w:t>
      </w:r>
      <w:r>
        <w:rPr>
          <w:rFonts w:hint="eastAsia"/>
          <w:u w:val="none"/>
        </w:rPr>
        <w:t>回用</w:t>
      </w:r>
      <w:r>
        <w:rPr>
          <w:rFonts w:hint="eastAsia"/>
          <w:u w:val="none"/>
          <w:lang w:val="en-US" w:eastAsia="zh-CN"/>
        </w:rPr>
        <w:t>于矿区绿化用水</w:t>
      </w:r>
      <w:r>
        <w:rPr>
          <w:u w:val="none"/>
        </w:rPr>
        <w:t>。</w:t>
      </w:r>
    </w:p>
    <w:p>
      <w:pPr>
        <w:ind w:firstLine="480"/>
        <w:rPr>
          <w:u w:val="none"/>
        </w:rPr>
      </w:pPr>
      <w:r>
        <w:rPr>
          <w:rFonts w:hint="eastAsia"/>
          <w:u w:val="none"/>
        </w:rPr>
        <w:t>根据《中华人民共和国河道管理条例》第34条：“向河道、湖泊排污的排污口的设置和扩大，排污单位在向环境保护部门申报之前，应当征得河道主管机关的同意”；《入河排污口监督管理办法》（水利部令第47号）第六条：“设置入河排污口的单位（下称排污单位），应当在向环境保护行政主管部门报送建设项目环境影响报告书（表）之前，向有管辖权的县级以上地方人民政府水行政主管部门或者流域管理机构提出入河排污口设置申请；依法需要办理河道管理范围内建设项目审查手续或者取水许可审批手续的，排污单位应当根据具体要求，分别在提出河道管理范围内建设项目申请或者取水许可申请的同时，提出入河排污口设置申请；依法不需要编制环境影响报告书（表）以及依法不需要办理河道管理范围内建设项目审查手续和取水许可手续的，排污单位应当在设置入河排污口前，向有管辖权的县级以上地方人民政府水行政主管部门或者流域管理机构提出入河排污口设置申请”。</w:t>
      </w:r>
    </w:p>
    <w:p>
      <w:pPr>
        <w:ind w:firstLine="480"/>
        <w:rPr>
          <w:u w:val="none"/>
        </w:rPr>
      </w:pPr>
      <w:r>
        <w:rPr>
          <w:rFonts w:hint="eastAsia"/>
          <w:u w:val="none"/>
        </w:rPr>
        <w:t>另外，根据“水利部公众咨询的回复”（答复时间2019年11月11日）：“按照《深化党和国家机构改革方案》《国务院机构改革方案》规定，原由水利部负责的排污口设置管理职责，整合入生态环境部”。</w:t>
      </w:r>
    </w:p>
    <w:p>
      <w:pPr>
        <w:ind w:firstLine="480"/>
        <w:rPr>
          <w:u w:val="none"/>
        </w:rPr>
      </w:pPr>
      <w:r>
        <w:rPr>
          <w:rFonts w:hint="eastAsia"/>
          <w:u w:val="none"/>
        </w:rPr>
        <w:t>为此，桃江县湘域矿业有限公司委托</w:t>
      </w:r>
      <w:r>
        <w:rPr>
          <w:u w:val="none"/>
        </w:rPr>
        <w:t>湖南湘健环保科技有限公司</w:t>
      </w:r>
      <w:r>
        <w:rPr>
          <w:rFonts w:hint="eastAsia"/>
          <w:u w:val="none"/>
        </w:rPr>
        <w:t>编制《桃江县湘域矿业有限公司首溪金矿入河排污口设置论证报告》（以下简称入河排污口设置论证报告）。</w:t>
      </w:r>
    </w:p>
    <w:p>
      <w:pPr>
        <w:ind w:firstLine="480"/>
        <w:rPr>
          <w:u w:val="none"/>
        </w:rPr>
      </w:pPr>
      <w:r>
        <w:rPr>
          <w:rFonts w:hint="eastAsia"/>
          <w:u w:val="none"/>
        </w:rPr>
        <w:t>我公司接受委托后，通过实地查勘，收集本项目前期相关技术资料，分析入河排污口有关信息，在满足水功能区（或水域）保护要求的前提下，论证入河排污口设置对水功能区、水生态和第三者权益的影响，根据纳污能力、排污总量控制、水生态保护等要求，提出水资源保护措施，优化入河排污口设置方案，为生态环境主管部门审批入河排污口以及建设单位合理设置入河排污口提供科学依据，以保证生活、生产和生态用水安全。</w:t>
      </w:r>
    </w:p>
    <w:p>
      <w:pPr>
        <w:pStyle w:val="3"/>
        <w:spacing w:line="240" w:lineRule="auto"/>
        <w:rPr>
          <w:sz w:val="30"/>
          <w:szCs w:val="30"/>
          <w:u w:val="none"/>
        </w:rPr>
      </w:pPr>
      <w:bookmarkStart w:id="6" w:name="_Toc3454"/>
      <w:bookmarkStart w:id="7" w:name="_Toc22920"/>
      <w:r>
        <w:rPr>
          <w:sz w:val="30"/>
          <w:szCs w:val="30"/>
          <w:u w:val="none"/>
        </w:rPr>
        <w:t>1.</w:t>
      </w:r>
      <w:r>
        <w:rPr>
          <w:rFonts w:hint="eastAsia"/>
          <w:sz w:val="30"/>
          <w:szCs w:val="30"/>
          <w:u w:val="none"/>
        </w:rPr>
        <w:t>2</w:t>
      </w:r>
      <w:r>
        <w:rPr>
          <w:sz w:val="30"/>
          <w:szCs w:val="30"/>
          <w:u w:val="none"/>
        </w:rPr>
        <w:t>论证</w:t>
      </w:r>
      <w:r>
        <w:rPr>
          <w:rFonts w:hint="eastAsia"/>
          <w:sz w:val="30"/>
          <w:szCs w:val="30"/>
          <w:u w:val="none"/>
        </w:rPr>
        <w:t>目的</w:t>
      </w:r>
      <w:r>
        <w:rPr>
          <w:sz w:val="30"/>
          <w:szCs w:val="30"/>
          <w:u w:val="none"/>
        </w:rPr>
        <w:t>及依据</w:t>
      </w:r>
      <w:bookmarkEnd w:id="6"/>
      <w:bookmarkEnd w:id="7"/>
    </w:p>
    <w:p>
      <w:pPr>
        <w:pStyle w:val="4"/>
        <w:spacing w:line="240" w:lineRule="auto"/>
        <w:rPr>
          <w:u w:val="none"/>
        </w:rPr>
      </w:pPr>
      <w:r>
        <w:rPr>
          <w:u w:val="none"/>
        </w:rPr>
        <w:t>1.</w:t>
      </w:r>
      <w:r>
        <w:rPr>
          <w:rFonts w:hint="eastAsia"/>
          <w:u w:val="none"/>
        </w:rPr>
        <w:t>2</w:t>
      </w:r>
      <w:r>
        <w:rPr>
          <w:u w:val="none"/>
        </w:rPr>
        <w:t>.1论证</w:t>
      </w:r>
      <w:r>
        <w:rPr>
          <w:rFonts w:hint="eastAsia"/>
          <w:u w:val="none"/>
        </w:rPr>
        <w:t>目的</w:t>
      </w:r>
    </w:p>
    <w:p>
      <w:pPr>
        <w:ind w:firstLine="480"/>
        <w:rPr>
          <w:u w:val="none"/>
        </w:rPr>
      </w:pPr>
      <w:r>
        <w:rPr>
          <w:u w:val="none"/>
        </w:rPr>
        <w:t>按照《中华人民共和国水法》、《入河排污口监督管理办法》、《湖南省入河排污口监督管理办法》和《水功能区管理办法》等法律法规的要求，结合本项目入河排污口方案，其开展入河排污口设置论证主要</w:t>
      </w:r>
      <w:r>
        <w:rPr>
          <w:rFonts w:hint="eastAsia"/>
          <w:u w:val="none"/>
        </w:rPr>
        <w:t>目的</w:t>
      </w:r>
      <w:r>
        <w:rPr>
          <w:u w:val="none"/>
        </w:rPr>
        <w:t>：</w:t>
      </w:r>
    </w:p>
    <w:p>
      <w:pPr>
        <w:ind w:firstLine="480"/>
        <w:rPr>
          <w:u w:val="none"/>
        </w:rPr>
      </w:pPr>
      <w:r>
        <w:rPr>
          <w:rFonts w:hint="eastAsia"/>
          <w:u w:val="none"/>
        </w:rPr>
        <w:t>（1）</w:t>
      </w:r>
      <w:r>
        <w:rPr>
          <w:u w:val="none"/>
        </w:rPr>
        <w:t>在满足水功能区保护要求的前提下，论证入河排污口对水域、水功能区、水生生物和第三者权益的影响，以及区域污染物削减措施效果；</w:t>
      </w:r>
    </w:p>
    <w:p>
      <w:pPr>
        <w:ind w:firstLine="480"/>
        <w:rPr>
          <w:u w:val="none"/>
        </w:rPr>
      </w:pPr>
      <w:r>
        <w:rPr>
          <w:rFonts w:hint="eastAsia"/>
          <w:u w:val="none"/>
        </w:rPr>
        <w:t>（2）</w:t>
      </w:r>
      <w:r>
        <w:rPr>
          <w:u w:val="none"/>
        </w:rPr>
        <w:t>根据收纳水体纳污能力，排污总量控制、水生态保护等要求，对排污口设置的合理性进行分析论证；</w:t>
      </w:r>
    </w:p>
    <w:p>
      <w:pPr>
        <w:ind w:firstLine="480"/>
        <w:rPr>
          <w:u w:val="none"/>
        </w:rPr>
      </w:pPr>
      <w:r>
        <w:rPr>
          <w:rFonts w:hint="eastAsia"/>
          <w:u w:val="none"/>
        </w:rPr>
        <w:t>（3）</w:t>
      </w:r>
      <w:r>
        <w:rPr>
          <w:u w:val="none"/>
        </w:rPr>
        <w:t>优化入河排污口设置方案，并提出水资源保护措施，为行政主管部门审批入河排污口及建设单位合理设置入河排污口提供科学依据，以保障所在水域生活、生态和生产用水安全。</w:t>
      </w:r>
      <w:bookmarkStart w:id="8" w:name="_Toc19437"/>
    </w:p>
    <w:p>
      <w:pPr>
        <w:pStyle w:val="4"/>
        <w:spacing w:line="240" w:lineRule="auto"/>
        <w:rPr>
          <w:u w:val="none"/>
        </w:rPr>
      </w:pPr>
      <w:r>
        <w:rPr>
          <w:u w:val="none"/>
        </w:rPr>
        <w:t>1.</w:t>
      </w:r>
      <w:r>
        <w:rPr>
          <w:rFonts w:hint="eastAsia"/>
          <w:u w:val="none"/>
        </w:rPr>
        <w:t>2</w:t>
      </w:r>
      <w:r>
        <w:rPr>
          <w:u w:val="none"/>
        </w:rPr>
        <w:t>.</w:t>
      </w:r>
      <w:r>
        <w:rPr>
          <w:rFonts w:hint="eastAsia"/>
          <w:u w:val="none"/>
        </w:rPr>
        <w:t>2</w:t>
      </w:r>
      <w:r>
        <w:rPr>
          <w:u w:val="none"/>
        </w:rPr>
        <w:t>论证</w:t>
      </w:r>
      <w:bookmarkEnd w:id="8"/>
      <w:r>
        <w:rPr>
          <w:rFonts w:hint="eastAsia"/>
          <w:u w:val="none"/>
        </w:rPr>
        <w:t>依据</w:t>
      </w:r>
    </w:p>
    <w:p>
      <w:pPr>
        <w:ind w:firstLine="482"/>
        <w:rPr>
          <w:b/>
          <w:bCs/>
          <w:u w:val="none"/>
        </w:rPr>
      </w:pPr>
      <w:r>
        <w:rPr>
          <w:b/>
          <w:bCs/>
          <w:u w:val="none"/>
        </w:rPr>
        <w:t>1.2.2.1法律法规及相关政策</w:t>
      </w:r>
    </w:p>
    <w:p>
      <w:pPr>
        <w:ind w:firstLine="480"/>
        <w:rPr>
          <w:u w:val="none"/>
        </w:rPr>
      </w:pPr>
      <w:r>
        <w:rPr>
          <w:rFonts w:hint="eastAsia"/>
          <w:u w:val="none"/>
        </w:rPr>
        <w:t>（1）</w:t>
      </w:r>
      <w:r>
        <w:rPr>
          <w:u w:val="none"/>
        </w:rPr>
        <w:t>《中华人民共和国水法》</w:t>
      </w:r>
      <w:r>
        <w:rPr>
          <w:rStyle w:val="72"/>
          <w:rFonts w:ascii="Times New Roman" w:hAnsi="Times New Roman"/>
          <w:color w:val="000000"/>
          <w:sz w:val="24"/>
          <w:u w:val="none"/>
        </w:rPr>
        <w:t>（2016年9月1日实施）</w:t>
      </w:r>
      <w:r>
        <w:rPr>
          <w:u w:val="none"/>
        </w:rPr>
        <w:t>；</w:t>
      </w:r>
    </w:p>
    <w:p>
      <w:pPr>
        <w:ind w:firstLine="480"/>
        <w:rPr>
          <w:u w:val="none"/>
        </w:rPr>
      </w:pPr>
      <w:r>
        <w:rPr>
          <w:rFonts w:hint="eastAsia"/>
          <w:u w:val="none"/>
        </w:rPr>
        <w:t>（2）</w:t>
      </w:r>
      <w:r>
        <w:rPr>
          <w:u w:val="none"/>
        </w:rPr>
        <w:t>《中华人民共和国防洪法》</w:t>
      </w:r>
      <w:r>
        <w:rPr>
          <w:rStyle w:val="72"/>
          <w:rFonts w:ascii="Times New Roman" w:hAnsi="Times New Roman"/>
          <w:color w:val="000000"/>
          <w:sz w:val="24"/>
          <w:u w:val="none"/>
        </w:rPr>
        <w:t>（2016年9月1日实施）</w:t>
      </w:r>
      <w:r>
        <w:rPr>
          <w:u w:val="none"/>
        </w:rPr>
        <w:t>；</w:t>
      </w:r>
    </w:p>
    <w:p>
      <w:pPr>
        <w:ind w:firstLine="480"/>
        <w:rPr>
          <w:u w:val="none"/>
        </w:rPr>
      </w:pPr>
      <w:r>
        <w:rPr>
          <w:rFonts w:hint="eastAsia"/>
          <w:u w:val="none"/>
        </w:rPr>
        <w:t>（3）</w:t>
      </w:r>
      <w:r>
        <w:rPr>
          <w:u w:val="none"/>
        </w:rPr>
        <w:t>《中华人民共和国环境保护法》</w:t>
      </w:r>
      <w:r>
        <w:rPr>
          <w:rFonts w:hint="eastAsia"/>
          <w:u w:val="none"/>
        </w:rPr>
        <w:t>（</w:t>
      </w:r>
      <w:r>
        <w:rPr>
          <w:u w:val="none"/>
        </w:rPr>
        <w:t>中华人民共和国主席令第9号，2015年1月1日实施</w:t>
      </w:r>
      <w:r>
        <w:rPr>
          <w:rFonts w:hint="eastAsia"/>
          <w:u w:val="none"/>
        </w:rPr>
        <w:t>）</w:t>
      </w:r>
      <w:r>
        <w:rPr>
          <w:u w:val="none"/>
        </w:rPr>
        <w:t>；</w:t>
      </w:r>
    </w:p>
    <w:p>
      <w:pPr>
        <w:ind w:firstLine="480"/>
        <w:rPr>
          <w:u w:val="none"/>
        </w:rPr>
      </w:pPr>
      <w:r>
        <w:rPr>
          <w:rFonts w:hint="eastAsia"/>
          <w:u w:val="none"/>
        </w:rPr>
        <w:t>（4）</w:t>
      </w:r>
      <w:r>
        <w:rPr>
          <w:u w:val="none"/>
        </w:rPr>
        <w:t>《中华人民共和国水污染防治法》</w:t>
      </w:r>
      <w:r>
        <w:rPr>
          <w:rFonts w:hint="eastAsia"/>
          <w:u w:val="none"/>
        </w:rPr>
        <w:t>（</w:t>
      </w:r>
      <w:r>
        <w:rPr>
          <w:u w:val="none"/>
        </w:rPr>
        <w:t>中华人民共和国主席令第70号，</w:t>
      </w:r>
      <w:r>
        <w:rPr>
          <w:rFonts w:hint="eastAsia"/>
          <w:u w:val="none"/>
        </w:rPr>
        <w:t>2018年1月1日）</w:t>
      </w:r>
      <w:r>
        <w:rPr>
          <w:u w:val="none"/>
        </w:rPr>
        <w:t>；</w:t>
      </w:r>
    </w:p>
    <w:p>
      <w:pPr>
        <w:ind w:firstLine="480"/>
        <w:rPr>
          <w:u w:val="none"/>
        </w:rPr>
      </w:pPr>
      <w:r>
        <w:rPr>
          <w:rFonts w:hint="eastAsia"/>
          <w:u w:val="none"/>
        </w:rPr>
        <w:t>（5）</w:t>
      </w:r>
      <w:r>
        <w:rPr>
          <w:u w:val="none"/>
        </w:rPr>
        <w:t>《中华人民共和国环境影响评价法》</w:t>
      </w:r>
      <w:r>
        <w:rPr>
          <w:rFonts w:hint="eastAsia"/>
          <w:u w:val="none"/>
        </w:rPr>
        <w:t>（</w:t>
      </w:r>
      <w:r>
        <w:rPr>
          <w:u w:val="none"/>
        </w:rPr>
        <w:t>2018年12月29日修正</w:t>
      </w:r>
      <w:r>
        <w:rPr>
          <w:rFonts w:hint="eastAsia"/>
          <w:u w:val="none"/>
        </w:rPr>
        <w:t>）</w:t>
      </w:r>
      <w:r>
        <w:rPr>
          <w:u w:val="none"/>
        </w:rPr>
        <w:t>；</w:t>
      </w:r>
    </w:p>
    <w:p>
      <w:pPr>
        <w:ind w:firstLine="480"/>
        <w:rPr>
          <w:u w:val="none"/>
        </w:rPr>
      </w:pPr>
      <w:r>
        <w:rPr>
          <w:rFonts w:hint="eastAsia"/>
          <w:u w:val="none"/>
        </w:rPr>
        <w:t>（6）</w:t>
      </w:r>
      <w:r>
        <w:rPr>
          <w:u w:val="none"/>
        </w:rPr>
        <w:t>《中华人民共和国河道管理条例》</w:t>
      </w:r>
      <w:r>
        <w:rPr>
          <w:rFonts w:hint="eastAsia"/>
          <w:u w:val="none"/>
        </w:rPr>
        <w:t>（</w:t>
      </w:r>
      <w:r>
        <w:rPr>
          <w:u w:val="none"/>
        </w:rPr>
        <w:t>201</w:t>
      </w:r>
      <w:r>
        <w:rPr>
          <w:rFonts w:hint="eastAsia"/>
          <w:u w:val="none"/>
        </w:rPr>
        <w:t>8</w:t>
      </w:r>
      <w:r>
        <w:rPr>
          <w:u w:val="none"/>
        </w:rPr>
        <w:t>年</w:t>
      </w:r>
      <w:r>
        <w:rPr>
          <w:rFonts w:hint="eastAsia"/>
          <w:u w:val="none"/>
        </w:rPr>
        <w:t>3</w:t>
      </w:r>
      <w:r>
        <w:rPr>
          <w:u w:val="none"/>
        </w:rPr>
        <w:t>月</w:t>
      </w:r>
      <w:r>
        <w:rPr>
          <w:rFonts w:hint="eastAsia"/>
          <w:u w:val="none"/>
        </w:rPr>
        <w:t>19日</w:t>
      </w:r>
      <w:r>
        <w:rPr>
          <w:u w:val="none"/>
        </w:rPr>
        <w:t>修订</w:t>
      </w:r>
      <w:r>
        <w:rPr>
          <w:rFonts w:hint="eastAsia"/>
          <w:u w:val="none"/>
        </w:rPr>
        <w:t>）</w:t>
      </w:r>
      <w:r>
        <w:rPr>
          <w:u w:val="none"/>
        </w:rPr>
        <w:t>；</w:t>
      </w:r>
    </w:p>
    <w:p>
      <w:pPr>
        <w:ind w:firstLine="480"/>
        <w:rPr>
          <w:u w:val="none"/>
        </w:rPr>
      </w:pPr>
      <w:r>
        <w:rPr>
          <w:rFonts w:hint="eastAsia"/>
          <w:u w:val="none"/>
        </w:rPr>
        <w:t>（7）</w:t>
      </w:r>
      <w:r>
        <w:rPr>
          <w:u w:val="none"/>
        </w:rPr>
        <w:t>《建设项目水资源论证管理办法》</w:t>
      </w:r>
      <w:r>
        <w:rPr>
          <w:rFonts w:hint="eastAsia"/>
          <w:u w:val="none"/>
        </w:rPr>
        <w:t>（</w:t>
      </w:r>
      <w:r>
        <w:rPr>
          <w:u w:val="none"/>
        </w:rPr>
        <w:t>2017年修改</w:t>
      </w:r>
      <w:r>
        <w:rPr>
          <w:rFonts w:hint="eastAsia"/>
          <w:u w:val="none"/>
        </w:rPr>
        <w:t>）</w:t>
      </w:r>
      <w:r>
        <w:rPr>
          <w:u w:val="none"/>
        </w:rPr>
        <w:t>；</w:t>
      </w:r>
    </w:p>
    <w:p>
      <w:pPr>
        <w:ind w:firstLine="480"/>
        <w:rPr>
          <w:u w:val="none"/>
        </w:rPr>
      </w:pPr>
      <w:r>
        <w:rPr>
          <w:rFonts w:hint="eastAsia"/>
          <w:u w:val="none"/>
        </w:rPr>
        <w:t>（8）</w:t>
      </w:r>
      <w:r>
        <w:rPr>
          <w:u w:val="none"/>
        </w:rPr>
        <w:t>《入河排污口监督管理办法》</w:t>
      </w:r>
      <w:r>
        <w:rPr>
          <w:rFonts w:hint="eastAsia"/>
          <w:u w:val="none"/>
        </w:rPr>
        <w:t>（</w:t>
      </w:r>
      <w:r>
        <w:rPr>
          <w:u w:val="none"/>
        </w:rPr>
        <w:t>水利部令第47号，2015年12月16日修订</w:t>
      </w:r>
      <w:r>
        <w:rPr>
          <w:rFonts w:hint="eastAsia"/>
          <w:u w:val="none"/>
        </w:rPr>
        <w:t>）</w:t>
      </w:r>
      <w:r>
        <w:rPr>
          <w:u w:val="none"/>
        </w:rPr>
        <w:t>；</w:t>
      </w:r>
    </w:p>
    <w:p>
      <w:pPr>
        <w:ind w:firstLine="480"/>
        <w:rPr>
          <w:u w:val="none"/>
        </w:rPr>
      </w:pPr>
      <w:r>
        <w:rPr>
          <w:rFonts w:hint="eastAsia"/>
          <w:u w:val="none"/>
        </w:rPr>
        <w:t>（9）</w:t>
      </w:r>
      <w:r>
        <w:rPr>
          <w:u w:val="none"/>
        </w:rPr>
        <w:t>《水功能区监督管理办法》</w:t>
      </w:r>
      <w:r>
        <w:rPr>
          <w:rFonts w:hint="eastAsia"/>
          <w:u w:val="none"/>
        </w:rPr>
        <w:t>（</w:t>
      </w:r>
      <w:r>
        <w:rPr>
          <w:u w:val="none"/>
        </w:rPr>
        <w:t>2017年4月</w:t>
      </w:r>
      <w:r>
        <w:rPr>
          <w:rFonts w:hint="eastAsia"/>
          <w:u w:val="none"/>
        </w:rPr>
        <w:t>）</w:t>
      </w:r>
      <w:r>
        <w:rPr>
          <w:u w:val="none"/>
        </w:rPr>
        <w:t>；</w:t>
      </w:r>
    </w:p>
    <w:p>
      <w:pPr>
        <w:ind w:firstLine="480"/>
        <w:rPr>
          <w:u w:val="none"/>
        </w:rPr>
      </w:pPr>
      <w:r>
        <w:rPr>
          <w:rFonts w:hint="eastAsia"/>
          <w:u w:val="none"/>
        </w:rPr>
        <w:t>（10）《国务院关于印发水污染防治行动计划的通知》（国发[2015]17号，2015年4月2日）；</w:t>
      </w:r>
    </w:p>
    <w:p>
      <w:pPr>
        <w:ind w:firstLine="480"/>
        <w:rPr>
          <w:u w:val="none"/>
        </w:rPr>
      </w:pPr>
      <w:r>
        <w:rPr>
          <w:rFonts w:hint="eastAsia"/>
          <w:u w:val="none"/>
        </w:rPr>
        <w:t>（11）《水利部关于进一步加强入河排污口监督管理工作的通知》（水利部水资源[2017]138号，2017年3月23日）；</w:t>
      </w:r>
    </w:p>
    <w:p>
      <w:pPr>
        <w:ind w:firstLine="480"/>
        <w:rPr>
          <w:u w:val="none"/>
        </w:rPr>
      </w:pPr>
      <w:r>
        <w:rPr>
          <w:rFonts w:hint="eastAsia"/>
          <w:u w:val="none"/>
        </w:rPr>
        <w:t>（12）《国务院办公厅关于加强入河入海排污口监督管理工作的实施意见》（国办函〔2022〕17号）；</w:t>
      </w:r>
    </w:p>
    <w:p>
      <w:pPr>
        <w:ind w:firstLine="480"/>
        <w:rPr>
          <w:u w:val="none"/>
        </w:rPr>
      </w:pPr>
      <w:r>
        <w:rPr>
          <w:rFonts w:hint="eastAsia"/>
          <w:u w:val="none"/>
        </w:rPr>
        <w:t>（</w:t>
      </w:r>
      <w:r>
        <w:rPr>
          <w:u w:val="none"/>
        </w:rPr>
        <w:t>1</w:t>
      </w:r>
      <w:r>
        <w:rPr>
          <w:rFonts w:hint="eastAsia"/>
          <w:u w:val="none"/>
        </w:rPr>
        <w:t>3）《湖南省入河排污口监督管理办法》（湘政办发[</w:t>
      </w:r>
      <w:r>
        <w:rPr>
          <w:u w:val="none"/>
        </w:rPr>
        <w:t>2018</w:t>
      </w:r>
      <w:r>
        <w:rPr>
          <w:rFonts w:hint="eastAsia"/>
          <w:u w:val="none"/>
        </w:rPr>
        <w:t>]</w:t>
      </w:r>
      <w:r>
        <w:rPr>
          <w:u w:val="none"/>
        </w:rPr>
        <w:t>44</w:t>
      </w:r>
      <w:r>
        <w:rPr>
          <w:rFonts w:hint="eastAsia"/>
          <w:u w:val="none"/>
        </w:rPr>
        <w:t>号，</w:t>
      </w:r>
      <w:r>
        <w:rPr>
          <w:u w:val="none"/>
        </w:rPr>
        <w:t>2018</w:t>
      </w:r>
      <w:r>
        <w:rPr>
          <w:rFonts w:hint="eastAsia"/>
          <w:u w:val="none"/>
        </w:rPr>
        <w:t>年</w:t>
      </w:r>
      <w:r>
        <w:rPr>
          <w:u w:val="none"/>
        </w:rPr>
        <w:t>7</w:t>
      </w:r>
      <w:r>
        <w:rPr>
          <w:rFonts w:hint="eastAsia"/>
          <w:u w:val="none"/>
        </w:rPr>
        <w:t>月</w:t>
      </w:r>
      <w:r>
        <w:rPr>
          <w:u w:val="none"/>
        </w:rPr>
        <w:t>12</w:t>
      </w:r>
      <w:r>
        <w:rPr>
          <w:rFonts w:hint="eastAsia"/>
          <w:u w:val="none"/>
        </w:rPr>
        <w:t>日）；</w:t>
      </w:r>
    </w:p>
    <w:p>
      <w:pPr>
        <w:ind w:firstLine="480"/>
        <w:rPr>
          <w:u w:val="none"/>
        </w:rPr>
      </w:pPr>
      <w:r>
        <w:rPr>
          <w:rFonts w:hint="eastAsia"/>
          <w:u w:val="none"/>
        </w:rPr>
        <w:t>（</w:t>
      </w:r>
      <w:r>
        <w:rPr>
          <w:u w:val="none"/>
        </w:rPr>
        <w:t>1</w:t>
      </w:r>
      <w:r>
        <w:rPr>
          <w:rFonts w:hint="eastAsia"/>
          <w:u w:val="none"/>
        </w:rPr>
        <w:t>4）《湖南省贯彻落实</w:t>
      </w:r>
      <w:r>
        <w:rPr>
          <w:u w:val="none"/>
        </w:rPr>
        <w:t>&lt;</w:t>
      </w:r>
      <w:r>
        <w:rPr>
          <w:rFonts w:hint="eastAsia"/>
          <w:u w:val="none"/>
        </w:rPr>
        <w:t>水污染防治行动计划</w:t>
      </w:r>
      <w:r>
        <w:rPr>
          <w:u w:val="none"/>
        </w:rPr>
        <w:t>&gt;</w:t>
      </w:r>
      <w:r>
        <w:rPr>
          <w:rFonts w:hint="eastAsia"/>
          <w:u w:val="none"/>
        </w:rPr>
        <w:t>实施方案（</w:t>
      </w:r>
      <w:r>
        <w:rPr>
          <w:u w:val="none"/>
        </w:rPr>
        <w:t>2016-2020</w:t>
      </w:r>
      <w:r>
        <w:rPr>
          <w:rFonts w:hint="eastAsia"/>
          <w:u w:val="none"/>
        </w:rPr>
        <w:t>年）》（湘政发[</w:t>
      </w:r>
      <w:r>
        <w:rPr>
          <w:u w:val="none"/>
        </w:rPr>
        <w:t>2015</w:t>
      </w:r>
      <w:r>
        <w:rPr>
          <w:rFonts w:hint="eastAsia"/>
          <w:u w:val="none"/>
        </w:rPr>
        <w:t>]</w:t>
      </w:r>
      <w:r>
        <w:rPr>
          <w:u w:val="none"/>
        </w:rPr>
        <w:t>53</w:t>
      </w:r>
      <w:r>
        <w:rPr>
          <w:rFonts w:hint="eastAsia"/>
          <w:u w:val="none"/>
        </w:rPr>
        <w:t>号）；</w:t>
      </w:r>
    </w:p>
    <w:p>
      <w:pPr>
        <w:ind w:firstLine="480"/>
        <w:rPr>
          <w:u w:val="none"/>
        </w:rPr>
      </w:pPr>
      <w:r>
        <w:rPr>
          <w:rFonts w:hint="eastAsia"/>
          <w:u w:val="none"/>
        </w:rPr>
        <w:t>（</w:t>
      </w:r>
      <w:r>
        <w:rPr>
          <w:u w:val="none"/>
        </w:rPr>
        <w:t>1</w:t>
      </w:r>
      <w:r>
        <w:rPr>
          <w:rFonts w:hint="eastAsia"/>
          <w:u w:val="none"/>
        </w:rPr>
        <w:t>5）《湖南省水功能区划（修编版）》（湖南省水利厅，</w:t>
      </w:r>
      <w:r>
        <w:rPr>
          <w:u w:val="none"/>
        </w:rPr>
        <w:t>2015</w:t>
      </w:r>
      <w:r>
        <w:rPr>
          <w:rFonts w:hint="eastAsia"/>
          <w:u w:val="none"/>
        </w:rPr>
        <w:t>年修编）；</w:t>
      </w:r>
    </w:p>
    <w:p>
      <w:pPr>
        <w:ind w:firstLine="480"/>
        <w:rPr>
          <w:u w:val="none"/>
        </w:rPr>
      </w:pPr>
      <w:r>
        <w:rPr>
          <w:rFonts w:hint="eastAsia"/>
          <w:u w:val="none"/>
        </w:rPr>
        <w:t>（</w:t>
      </w:r>
      <w:r>
        <w:rPr>
          <w:u w:val="none"/>
        </w:rPr>
        <w:t>1</w:t>
      </w:r>
      <w:r>
        <w:rPr>
          <w:rFonts w:hint="eastAsia"/>
          <w:u w:val="none"/>
        </w:rPr>
        <w:t>6）湖南省生态环境厅《关于做好入河排污口设置审批和水功能区划相关工作的通知》（湘环发[</w:t>
      </w:r>
      <w:r>
        <w:rPr>
          <w:u w:val="none"/>
        </w:rPr>
        <w:t>2019</w:t>
      </w:r>
      <w:r>
        <w:rPr>
          <w:rFonts w:hint="eastAsia"/>
          <w:u w:val="none"/>
        </w:rPr>
        <w:t>]</w:t>
      </w:r>
      <w:r>
        <w:rPr>
          <w:u w:val="none"/>
        </w:rPr>
        <w:t>17</w:t>
      </w:r>
      <w:r>
        <w:rPr>
          <w:rFonts w:hint="eastAsia"/>
          <w:u w:val="none"/>
        </w:rPr>
        <w:t>号）；</w:t>
      </w:r>
    </w:p>
    <w:p>
      <w:pPr>
        <w:ind w:firstLine="480"/>
        <w:rPr>
          <w:u w:val="none"/>
        </w:rPr>
      </w:pPr>
      <w:r>
        <w:rPr>
          <w:rFonts w:hint="eastAsia"/>
          <w:u w:val="none"/>
        </w:rPr>
        <w:t>（17）湖南省生态环境厅湖南省水利厅关于印发《湖南省入河（湖）排污口监督管理工作方案》的通知（湘环发[2023]31号）；</w:t>
      </w:r>
    </w:p>
    <w:p>
      <w:pPr>
        <w:ind w:firstLine="480"/>
        <w:rPr>
          <w:u w:val="none"/>
        </w:rPr>
      </w:pPr>
      <w:r>
        <w:rPr>
          <w:rFonts w:hint="eastAsia"/>
          <w:u w:val="none"/>
        </w:rPr>
        <w:t>（18）益阳市生态环境保护委员会办公室关于印发《益阳市入河（湖）排污口排查整治工作专项行动方案》的通知（益生环委办[2023]42号）。</w:t>
      </w:r>
    </w:p>
    <w:p>
      <w:pPr>
        <w:ind w:firstLine="482"/>
        <w:rPr>
          <w:b/>
          <w:bCs/>
          <w:u w:val="none"/>
        </w:rPr>
      </w:pPr>
      <w:bookmarkStart w:id="9" w:name="_Toc5444"/>
      <w:r>
        <w:rPr>
          <w:b/>
          <w:bCs/>
          <w:u w:val="none"/>
        </w:rPr>
        <w:t>1.</w:t>
      </w:r>
      <w:r>
        <w:rPr>
          <w:rFonts w:hint="eastAsia"/>
          <w:b/>
          <w:bCs/>
          <w:u w:val="none"/>
        </w:rPr>
        <w:t>2</w:t>
      </w:r>
      <w:r>
        <w:rPr>
          <w:b/>
          <w:bCs/>
          <w:u w:val="none"/>
        </w:rPr>
        <w:t>.</w:t>
      </w:r>
      <w:r>
        <w:rPr>
          <w:rFonts w:hint="eastAsia"/>
          <w:b/>
          <w:bCs/>
          <w:u w:val="none"/>
        </w:rPr>
        <w:t>2.2</w:t>
      </w:r>
      <w:r>
        <w:rPr>
          <w:b/>
          <w:bCs/>
          <w:u w:val="none"/>
        </w:rPr>
        <w:t>规程规范</w:t>
      </w:r>
      <w:bookmarkEnd w:id="9"/>
    </w:p>
    <w:p>
      <w:pPr>
        <w:ind w:firstLine="480"/>
        <w:rPr>
          <w:u w:val="none"/>
        </w:rPr>
      </w:pPr>
      <w:r>
        <w:rPr>
          <w:u w:val="none"/>
        </w:rPr>
        <w:t>（1）《入河排污口管理技术导则》（SL532-2011）；</w:t>
      </w:r>
    </w:p>
    <w:p>
      <w:pPr>
        <w:ind w:firstLine="480"/>
        <w:rPr>
          <w:u w:val="none"/>
        </w:rPr>
      </w:pPr>
      <w:r>
        <w:rPr>
          <w:u w:val="none"/>
        </w:rPr>
        <w:t>（2）《环境影响评价技术导则地表水环境》（HJ2.3-2018）；</w:t>
      </w:r>
    </w:p>
    <w:p>
      <w:pPr>
        <w:ind w:firstLine="480"/>
        <w:rPr>
          <w:u w:val="none"/>
        </w:rPr>
      </w:pPr>
      <w:r>
        <w:rPr>
          <w:u w:val="none"/>
        </w:rPr>
        <w:t>（3）《水资源评价导则》</w:t>
      </w:r>
      <w:r>
        <w:rPr>
          <w:rStyle w:val="72"/>
          <w:rFonts w:ascii="Times New Roman" w:hAnsi="Times New Roman"/>
          <w:color w:val="000000"/>
          <w:sz w:val="24"/>
          <w:u w:val="none"/>
        </w:rPr>
        <w:t>（</w:t>
      </w:r>
      <w:r>
        <w:rPr>
          <w:rStyle w:val="72"/>
          <w:rFonts w:hint="eastAsia" w:ascii="Times New Roman" w:hAnsi="Times New Roman"/>
          <w:color w:val="000000"/>
          <w:sz w:val="24"/>
          <w:u w:val="none"/>
        </w:rPr>
        <w:t>征求意见稿</w:t>
      </w:r>
      <w:r>
        <w:rPr>
          <w:rStyle w:val="72"/>
          <w:rFonts w:ascii="Times New Roman" w:hAnsi="Times New Roman"/>
          <w:color w:val="000000"/>
          <w:sz w:val="24"/>
          <w:u w:val="none"/>
        </w:rPr>
        <w:t>）</w:t>
      </w:r>
      <w:r>
        <w:rPr>
          <w:u w:val="none"/>
        </w:rPr>
        <w:t>；</w:t>
      </w:r>
    </w:p>
    <w:p>
      <w:pPr>
        <w:ind w:firstLine="480"/>
        <w:rPr>
          <w:u w:val="none"/>
        </w:rPr>
      </w:pPr>
      <w:r>
        <w:rPr>
          <w:u w:val="none"/>
        </w:rPr>
        <w:t>（</w:t>
      </w:r>
      <w:r>
        <w:rPr>
          <w:rFonts w:hint="eastAsia"/>
          <w:u w:val="none"/>
        </w:rPr>
        <w:t>4</w:t>
      </w:r>
      <w:r>
        <w:rPr>
          <w:u w:val="none"/>
        </w:rPr>
        <w:t>）《水域纳污能力计算规程》（GB/T25173-2010）；</w:t>
      </w:r>
    </w:p>
    <w:p>
      <w:pPr>
        <w:ind w:firstLine="480"/>
        <w:rPr>
          <w:u w:val="none"/>
        </w:rPr>
      </w:pPr>
      <w:r>
        <w:rPr>
          <w:u w:val="none"/>
        </w:rPr>
        <w:t>（</w:t>
      </w:r>
      <w:r>
        <w:rPr>
          <w:rFonts w:hint="eastAsia"/>
          <w:u w:val="none"/>
        </w:rPr>
        <w:t>5</w:t>
      </w:r>
      <w:r>
        <w:rPr>
          <w:u w:val="none"/>
        </w:rPr>
        <w:t>）《饮用水水源保护区划分技术规范》（HJ338-2018）；</w:t>
      </w:r>
    </w:p>
    <w:p>
      <w:pPr>
        <w:ind w:firstLine="480"/>
        <w:rPr>
          <w:u w:val="none"/>
        </w:rPr>
      </w:pPr>
      <w:r>
        <w:rPr>
          <w:u w:val="none"/>
        </w:rPr>
        <w:t>（</w:t>
      </w:r>
      <w:r>
        <w:rPr>
          <w:rFonts w:hint="eastAsia"/>
          <w:u w:val="none"/>
        </w:rPr>
        <w:t>6</w:t>
      </w:r>
      <w:r>
        <w:rPr>
          <w:u w:val="none"/>
        </w:rPr>
        <w:t>）《水环境监测规范》（SL219-2018）；</w:t>
      </w:r>
    </w:p>
    <w:p>
      <w:pPr>
        <w:ind w:firstLine="480"/>
        <w:rPr>
          <w:u w:val="none"/>
        </w:rPr>
      </w:pPr>
      <w:r>
        <w:rPr>
          <w:u w:val="none"/>
        </w:rPr>
        <w:t>（</w:t>
      </w:r>
      <w:r>
        <w:rPr>
          <w:rFonts w:hint="eastAsia"/>
          <w:u w:val="none"/>
        </w:rPr>
        <w:t>7</w:t>
      </w:r>
      <w:r>
        <w:rPr>
          <w:u w:val="none"/>
        </w:rPr>
        <w:t>）《地表水水资源质量评价技术规程》（SL395-2007）。</w:t>
      </w:r>
    </w:p>
    <w:p>
      <w:pPr>
        <w:ind w:firstLine="480"/>
        <w:rPr>
          <w:u w:val="none"/>
        </w:rPr>
      </w:pPr>
      <w:r>
        <w:rPr>
          <w:rFonts w:hint="eastAsia"/>
          <w:u w:val="none"/>
        </w:rPr>
        <w:t>（8）《水文调查规范》（</w:t>
      </w:r>
      <w:r>
        <w:rPr>
          <w:u w:val="none"/>
        </w:rPr>
        <w:t>SL196-2015</w:t>
      </w:r>
      <w:r>
        <w:rPr>
          <w:rFonts w:hint="eastAsia"/>
          <w:u w:val="none"/>
        </w:rPr>
        <w:t>）；</w:t>
      </w:r>
    </w:p>
    <w:p>
      <w:pPr>
        <w:ind w:firstLine="480"/>
        <w:rPr>
          <w:u w:val="none"/>
        </w:rPr>
      </w:pPr>
      <w:r>
        <w:rPr>
          <w:rFonts w:hint="eastAsia"/>
          <w:u w:val="none"/>
        </w:rPr>
        <w:t>（9）《入河排污口设置论证报告技术导则（征求意见稿）》；</w:t>
      </w:r>
    </w:p>
    <w:p>
      <w:pPr>
        <w:ind w:firstLine="480"/>
        <w:rPr>
          <w:u w:val="none"/>
        </w:rPr>
      </w:pPr>
      <w:r>
        <w:rPr>
          <w:rFonts w:hint="eastAsia"/>
          <w:u w:val="none"/>
        </w:rPr>
        <w:t>（10）</w:t>
      </w:r>
      <w:r>
        <w:rPr>
          <w:rStyle w:val="72"/>
          <w:rFonts w:hint="eastAsia" w:ascii="Times New Roman" w:hAnsi="Times New Roman"/>
          <w:color w:val="000000"/>
          <w:sz w:val="24"/>
          <w:u w:val="none"/>
        </w:rPr>
        <w:t>《入河入海排污口监督管理技术指南排污口分类（HJ1312-2023）》</w:t>
      </w:r>
      <w:r>
        <w:rPr>
          <w:rFonts w:hint="eastAsia"/>
          <w:u w:val="none"/>
        </w:rPr>
        <w:t>。</w:t>
      </w:r>
    </w:p>
    <w:p>
      <w:pPr>
        <w:ind w:firstLine="482"/>
        <w:rPr>
          <w:b/>
          <w:bCs/>
          <w:u w:val="none"/>
        </w:rPr>
      </w:pPr>
      <w:bookmarkStart w:id="10" w:name="_Toc15533"/>
      <w:r>
        <w:rPr>
          <w:b/>
          <w:bCs/>
          <w:u w:val="none"/>
        </w:rPr>
        <w:t>1.</w:t>
      </w:r>
      <w:r>
        <w:rPr>
          <w:rFonts w:hint="eastAsia"/>
          <w:b/>
          <w:bCs/>
          <w:u w:val="none"/>
        </w:rPr>
        <w:t>2</w:t>
      </w:r>
      <w:r>
        <w:rPr>
          <w:b/>
          <w:bCs/>
          <w:u w:val="none"/>
        </w:rPr>
        <w:t>.</w:t>
      </w:r>
      <w:r>
        <w:rPr>
          <w:rFonts w:hint="eastAsia"/>
          <w:b/>
          <w:bCs/>
          <w:u w:val="none"/>
        </w:rPr>
        <w:t>2.3</w:t>
      </w:r>
      <w:r>
        <w:rPr>
          <w:b/>
          <w:bCs/>
          <w:u w:val="none"/>
        </w:rPr>
        <w:t>采用标准</w:t>
      </w:r>
      <w:bookmarkEnd w:id="10"/>
    </w:p>
    <w:p>
      <w:pPr>
        <w:ind w:firstLine="480"/>
        <w:rPr>
          <w:u w:val="none"/>
        </w:rPr>
      </w:pPr>
      <w:r>
        <w:rPr>
          <w:u w:val="none"/>
        </w:rPr>
        <w:t>（1）《污水综合排放标准》（GB8979-1996）；</w:t>
      </w:r>
    </w:p>
    <w:p>
      <w:pPr>
        <w:ind w:firstLine="480"/>
        <w:rPr>
          <w:u w:val="none"/>
        </w:rPr>
      </w:pPr>
      <w:r>
        <w:rPr>
          <w:u w:val="none"/>
        </w:rPr>
        <w:t>（</w:t>
      </w:r>
      <w:r>
        <w:rPr>
          <w:rFonts w:hint="eastAsia"/>
          <w:u w:val="none"/>
        </w:rPr>
        <w:t>2</w:t>
      </w:r>
      <w:r>
        <w:rPr>
          <w:u w:val="none"/>
        </w:rPr>
        <w:t>）《地表水环境质量标准》（GB3838-2002）；</w:t>
      </w:r>
    </w:p>
    <w:p>
      <w:pPr>
        <w:ind w:firstLine="480"/>
        <w:rPr>
          <w:u w:val="none"/>
        </w:rPr>
      </w:pPr>
      <w:r>
        <w:rPr>
          <w:rFonts w:hint="eastAsia"/>
          <w:u w:val="none"/>
        </w:rPr>
        <w:t>（</w:t>
      </w:r>
      <w:r>
        <w:rPr>
          <w:rFonts w:hint="eastAsia"/>
          <w:u w:val="none"/>
          <w:lang w:val="en-US" w:eastAsia="zh-CN"/>
        </w:rPr>
        <w:t>3</w:t>
      </w:r>
      <w:r>
        <w:rPr>
          <w:rFonts w:hint="eastAsia"/>
          <w:u w:val="none"/>
        </w:rPr>
        <w:t>）</w:t>
      </w:r>
      <w:r>
        <w:rPr>
          <w:u w:val="none"/>
        </w:rPr>
        <w:t>《</w:t>
      </w:r>
      <w:r>
        <w:rPr>
          <w:rFonts w:hint="eastAsia"/>
          <w:u w:val="none"/>
        </w:rPr>
        <w:t>湖南省工业废水铊污染物排放标准》(DB43/968-2021)；</w:t>
      </w:r>
    </w:p>
    <w:p>
      <w:pPr>
        <w:ind w:firstLine="480"/>
        <w:rPr>
          <w:u w:val="none"/>
        </w:rPr>
      </w:pPr>
      <w:r>
        <w:rPr>
          <w:rFonts w:hint="eastAsia"/>
          <w:u w:val="none"/>
        </w:rPr>
        <w:t>（</w:t>
      </w:r>
      <w:r>
        <w:rPr>
          <w:rFonts w:hint="eastAsia"/>
          <w:u w:val="none"/>
          <w:lang w:val="en-US" w:eastAsia="zh-CN"/>
        </w:rPr>
        <w:t>4</w:t>
      </w:r>
      <w:r>
        <w:rPr>
          <w:rFonts w:hint="eastAsia"/>
          <w:u w:val="none"/>
        </w:rPr>
        <w:t>）《锡、锑、汞工业污染物排放标准》(GB30770-2014)</w:t>
      </w:r>
      <w:bookmarkStart w:id="11" w:name="_Toc24004"/>
      <w:r>
        <w:rPr>
          <w:rFonts w:hint="eastAsia"/>
          <w:u w:val="none"/>
        </w:rPr>
        <w:t>；</w:t>
      </w:r>
    </w:p>
    <w:p>
      <w:pPr>
        <w:ind w:firstLine="482"/>
        <w:rPr>
          <w:b/>
          <w:bCs/>
          <w:u w:val="none"/>
        </w:rPr>
      </w:pPr>
      <w:r>
        <w:rPr>
          <w:b/>
          <w:bCs/>
          <w:u w:val="none"/>
        </w:rPr>
        <w:t>1.</w:t>
      </w:r>
      <w:r>
        <w:rPr>
          <w:rFonts w:hint="eastAsia"/>
          <w:b/>
          <w:bCs/>
          <w:u w:val="none"/>
        </w:rPr>
        <w:t>2</w:t>
      </w:r>
      <w:r>
        <w:rPr>
          <w:b/>
          <w:bCs/>
          <w:u w:val="none"/>
        </w:rPr>
        <w:t>.</w:t>
      </w:r>
      <w:r>
        <w:rPr>
          <w:rFonts w:hint="eastAsia"/>
          <w:b/>
          <w:bCs/>
          <w:u w:val="none"/>
        </w:rPr>
        <w:t>2.4</w:t>
      </w:r>
      <w:r>
        <w:rPr>
          <w:b/>
          <w:bCs/>
          <w:u w:val="none"/>
        </w:rPr>
        <w:t>技术资料及文件</w:t>
      </w:r>
      <w:bookmarkEnd w:id="11"/>
    </w:p>
    <w:p>
      <w:pPr>
        <w:ind w:firstLine="480"/>
        <w:rPr>
          <w:u w:val="none"/>
        </w:rPr>
      </w:pPr>
      <w:r>
        <w:rPr>
          <w:rFonts w:hint="eastAsia"/>
          <w:u w:val="none"/>
        </w:rPr>
        <w:t>（1）</w:t>
      </w:r>
      <w:r>
        <w:rPr>
          <w:u w:val="none"/>
        </w:rPr>
        <w:t>《</w:t>
      </w:r>
      <w:r>
        <w:rPr>
          <w:rFonts w:hint="eastAsia"/>
          <w:u w:val="none"/>
        </w:rPr>
        <w:t>湖南</w:t>
      </w:r>
      <w:r>
        <w:rPr>
          <w:u w:val="none"/>
        </w:rPr>
        <w:t>省水功能区划》</w:t>
      </w:r>
      <w:r>
        <w:rPr>
          <w:rFonts w:hint="eastAsia"/>
          <w:u w:val="none"/>
        </w:rPr>
        <w:t>（</w:t>
      </w:r>
      <w:r>
        <w:rPr>
          <w:u w:val="none"/>
        </w:rPr>
        <w:t>湘政函[2005]5号</w:t>
      </w:r>
      <w:r>
        <w:rPr>
          <w:rFonts w:hint="eastAsia"/>
          <w:u w:val="none"/>
        </w:rPr>
        <w:t>）</w:t>
      </w:r>
      <w:r>
        <w:rPr>
          <w:u w:val="none"/>
        </w:rPr>
        <w:t>；</w:t>
      </w:r>
    </w:p>
    <w:p>
      <w:pPr>
        <w:ind w:firstLine="480"/>
        <w:rPr>
          <w:u w:val="none"/>
        </w:rPr>
      </w:pPr>
      <w:r>
        <w:rPr>
          <w:rFonts w:hint="eastAsia"/>
          <w:u w:val="none"/>
        </w:rPr>
        <w:t>（2）</w:t>
      </w:r>
      <w:r>
        <w:rPr>
          <w:u w:val="none"/>
        </w:rPr>
        <w:t>《</w:t>
      </w:r>
      <w:r>
        <w:rPr>
          <w:rFonts w:hint="eastAsia"/>
          <w:u w:val="none"/>
        </w:rPr>
        <w:t>益阳市</w:t>
      </w:r>
      <w:r>
        <w:rPr>
          <w:u w:val="none"/>
        </w:rPr>
        <w:t>水功能区划》；</w:t>
      </w:r>
    </w:p>
    <w:p>
      <w:pPr>
        <w:ind w:firstLine="480"/>
        <w:rPr>
          <w:u w:val="none"/>
        </w:rPr>
      </w:pPr>
      <w:r>
        <w:rPr>
          <w:rFonts w:hint="eastAsia"/>
          <w:u w:val="none"/>
        </w:rPr>
        <w:t>（3）建设方</w:t>
      </w:r>
      <w:r>
        <w:rPr>
          <w:u w:val="none"/>
        </w:rPr>
        <w:t>提供的其他技术支持资料</w:t>
      </w:r>
      <w:r>
        <w:rPr>
          <w:rFonts w:hint="eastAsia"/>
          <w:u w:val="none"/>
        </w:rPr>
        <w:t>。</w:t>
      </w:r>
    </w:p>
    <w:p>
      <w:pPr>
        <w:pStyle w:val="3"/>
        <w:spacing w:line="240" w:lineRule="auto"/>
        <w:rPr>
          <w:sz w:val="30"/>
          <w:szCs w:val="30"/>
          <w:u w:val="none"/>
        </w:rPr>
      </w:pPr>
      <w:bookmarkStart w:id="12" w:name="_Toc15441"/>
      <w:r>
        <w:rPr>
          <w:sz w:val="30"/>
          <w:szCs w:val="30"/>
          <w:u w:val="none"/>
        </w:rPr>
        <w:t>1.</w:t>
      </w:r>
      <w:r>
        <w:rPr>
          <w:rFonts w:hint="eastAsia"/>
          <w:sz w:val="30"/>
          <w:szCs w:val="30"/>
          <w:u w:val="none"/>
        </w:rPr>
        <w:t>3</w:t>
      </w:r>
      <w:r>
        <w:rPr>
          <w:sz w:val="30"/>
          <w:szCs w:val="30"/>
          <w:u w:val="none"/>
        </w:rPr>
        <w:t>论证</w:t>
      </w:r>
      <w:r>
        <w:rPr>
          <w:rFonts w:hint="eastAsia"/>
          <w:sz w:val="30"/>
          <w:szCs w:val="30"/>
          <w:u w:val="none"/>
        </w:rPr>
        <w:t>原则</w:t>
      </w:r>
      <w:bookmarkEnd w:id="12"/>
    </w:p>
    <w:p>
      <w:pPr>
        <w:ind w:firstLine="480"/>
        <w:rPr>
          <w:u w:val="none"/>
        </w:rPr>
      </w:pPr>
      <w:r>
        <w:rPr>
          <w:u w:val="none"/>
        </w:rPr>
        <w:t>（1）以国家法律法规为依据</w:t>
      </w:r>
    </w:p>
    <w:p>
      <w:pPr>
        <w:ind w:firstLine="480"/>
        <w:rPr>
          <w:u w:val="none"/>
        </w:rPr>
      </w:pPr>
      <w:r>
        <w:rPr>
          <w:u w:val="none"/>
        </w:rPr>
        <w:t>按照《中华人民共和国水法》、《中华人民共和国环境保护法》、《水功能区管理办法》和《入河排污口监督管理办法》等法律法规的规定，充分考虑水资源的可再生能力以及自然环境的承受能力，坚持可持续发展的原则，进行科学合理的论证，既要保证本区域和当地居民的用水安全，又不破坏相邻区域和后代人赖以生存的水环境。</w:t>
      </w:r>
    </w:p>
    <w:p>
      <w:pPr>
        <w:ind w:firstLine="480"/>
        <w:rPr>
          <w:u w:val="none"/>
        </w:rPr>
      </w:pPr>
      <w:r>
        <w:rPr>
          <w:u w:val="none"/>
        </w:rPr>
        <w:t>（2）以保护水资源功能为目标</w:t>
      </w:r>
    </w:p>
    <w:p>
      <w:pPr>
        <w:ind w:firstLine="480"/>
        <w:rPr>
          <w:u w:val="none"/>
        </w:rPr>
      </w:pPr>
      <w:r>
        <w:rPr>
          <w:u w:val="none"/>
        </w:rPr>
        <w:t>坚持水资源利用与保护并重的原则，严格按照《地表水环境质量标准》等相关技术标准和规程进行论证，既要合理利用水体自净能力，又要依据国家和行业有关技术标准，严格遵循水环境保护规律和原理，保障水环境安全。</w:t>
      </w:r>
    </w:p>
    <w:p>
      <w:pPr>
        <w:ind w:firstLine="480"/>
        <w:rPr>
          <w:u w:val="none"/>
        </w:rPr>
      </w:pPr>
      <w:r>
        <w:rPr>
          <w:u w:val="none"/>
        </w:rPr>
        <w:t>（3）以符合区域发展规划为基础</w:t>
      </w:r>
    </w:p>
    <w:p>
      <w:pPr>
        <w:ind w:firstLine="480"/>
        <w:rPr>
          <w:u w:val="none"/>
        </w:rPr>
      </w:pPr>
      <w:r>
        <w:rPr>
          <w:u w:val="none"/>
        </w:rPr>
        <w:t>在符合当地</w:t>
      </w:r>
      <w:r>
        <w:rPr>
          <w:rFonts w:hint="eastAsia"/>
          <w:u w:val="none"/>
        </w:rPr>
        <w:t>区域</w:t>
      </w:r>
      <w:r>
        <w:rPr>
          <w:u w:val="none"/>
        </w:rPr>
        <w:t>规划的基础上，结合水资源保护的要求，遵循客观事实，真实反</w:t>
      </w:r>
      <w:r>
        <w:rPr>
          <w:rFonts w:hint="eastAsia"/>
          <w:u w:val="none"/>
          <w:lang w:eastAsia="zh-CN"/>
        </w:rPr>
        <w:t>映</w:t>
      </w:r>
      <w:r>
        <w:rPr>
          <w:u w:val="none"/>
        </w:rPr>
        <w:t>论证区域水环境状况；对入河排污口设置方案进行充分论证；客观分析排污对水功能区水质和水生态环境的影响；确保水功能区水体功能不受影响；保护第三者权益不受损害；对可能的影响提出具有可操作性的防范措施。</w:t>
      </w:r>
    </w:p>
    <w:p>
      <w:pPr>
        <w:pStyle w:val="3"/>
        <w:spacing w:line="240" w:lineRule="auto"/>
        <w:rPr>
          <w:sz w:val="30"/>
          <w:szCs w:val="30"/>
          <w:u w:val="none"/>
        </w:rPr>
      </w:pPr>
      <w:bookmarkStart w:id="13" w:name="_Toc13819"/>
      <w:bookmarkStart w:id="14" w:name="_Toc32093"/>
      <w:r>
        <w:rPr>
          <w:sz w:val="30"/>
          <w:szCs w:val="30"/>
          <w:u w:val="none"/>
        </w:rPr>
        <w:t>1.</w:t>
      </w:r>
      <w:r>
        <w:rPr>
          <w:rFonts w:hint="eastAsia"/>
          <w:sz w:val="30"/>
          <w:szCs w:val="30"/>
          <w:u w:val="none"/>
        </w:rPr>
        <w:t>4</w:t>
      </w:r>
      <w:r>
        <w:rPr>
          <w:sz w:val="30"/>
          <w:szCs w:val="30"/>
          <w:u w:val="none"/>
        </w:rPr>
        <w:t>论证等级</w:t>
      </w:r>
      <w:r>
        <w:rPr>
          <w:rFonts w:hint="eastAsia"/>
          <w:sz w:val="30"/>
          <w:szCs w:val="30"/>
          <w:u w:val="none"/>
        </w:rPr>
        <w:t>、</w:t>
      </w:r>
      <w:r>
        <w:rPr>
          <w:sz w:val="30"/>
          <w:szCs w:val="30"/>
          <w:u w:val="none"/>
        </w:rPr>
        <w:t>范围</w:t>
      </w:r>
      <w:bookmarkEnd w:id="13"/>
      <w:r>
        <w:rPr>
          <w:rFonts w:hint="eastAsia"/>
          <w:sz w:val="30"/>
          <w:szCs w:val="30"/>
          <w:u w:val="none"/>
        </w:rPr>
        <w:t>和规模</w:t>
      </w:r>
      <w:bookmarkEnd w:id="14"/>
    </w:p>
    <w:p>
      <w:pPr>
        <w:pStyle w:val="4"/>
        <w:spacing w:line="240" w:lineRule="auto"/>
        <w:rPr>
          <w:u w:val="none"/>
        </w:rPr>
      </w:pPr>
      <w:r>
        <w:rPr>
          <w:u w:val="none"/>
        </w:rPr>
        <w:t>1.</w:t>
      </w:r>
      <w:r>
        <w:rPr>
          <w:rFonts w:hint="eastAsia"/>
          <w:u w:val="none"/>
        </w:rPr>
        <w:t>4</w:t>
      </w:r>
      <w:r>
        <w:rPr>
          <w:u w:val="none"/>
        </w:rPr>
        <w:t>.</w:t>
      </w:r>
      <w:r>
        <w:rPr>
          <w:rFonts w:hint="eastAsia"/>
          <w:u w:val="none"/>
        </w:rPr>
        <w:t>1</w:t>
      </w:r>
      <w:r>
        <w:rPr>
          <w:u w:val="none"/>
        </w:rPr>
        <w:t>论证</w:t>
      </w:r>
      <w:r>
        <w:rPr>
          <w:rFonts w:hint="eastAsia"/>
          <w:u w:val="none"/>
        </w:rPr>
        <w:t>等级</w:t>
      </w:r>
    </w:p>
    <w:p>
      <w:pPr>
        <w:ind w:firstLine="480"/>
        <w:rPr>
          <w:u w:val="none"/>
        </w:rPr>
      </w:pPr>
      <w:r>
        <w:rPr>
          <w:rFonts w:hint="eastAsia"/>
          <w:u w:val="none"/>
        </w:rPr>
        <w:t>根据《入河排污口设置论证报告技术导则》（征求意见稿），入河排污口设置论证工作等级由各分类指标等级的最高级别确定，分类等级由水功能区管理要求、水功能区水域纳污现状、水生态现状、污染物排放种类、废污水排放流量、年度废污水排放量、区域水资源状况等分类指标的最高级别确定，</w:t>
      </w:r>
      <w:r>
        <w:rPr>
          <w:u w:val="none"/>
        </w:rPr>
        <w:t>其论证等级分析见下表。</w:t>
      </w:r>
    </w:p>
    <w:p>
      <w:pPr>
        <w:spacing w:line="240" w:lineRule="auto"/>
        <w:ind w:firstLine="0" w:firstLineChars="0"/>
        <w:jc w:val="center"/>
        <w:rPr>
          <w:u w:val="none"/>
        </w:rPr>
      </w:pPr>
      <w:r>
        <w:rPr>
          <w:b/>
          <w:bCs/>
          <w:szCs w:val="21"/>
          <w:u w:val="none"/>
        </w:rPr>
        <w:t>表1.3-1入河排污口设置论证分类分级指标</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755"/>
        <w:gridCol w:w="1506"/>
        <w:gridCol w:w="1426"/>
        <w:gridCol w:w="2403"/>
        <w:gridCol w:w="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jc w:val="center"/>
        </w:trPr>
        <w:tc>
          <w:tcPr>
            <w:tcW w:w="745" w:type="pct"/>
            <w:vMerge w:val="restart"/>
            <w:vAlign w:val="center"/>
          </w:tcPr>
          <w:p>
            <w:pPr>
              <w:spacing w:line="240" w:lineRule="auto"/>
              <w:ind w:firstLine="0" w:firstLineChars="0"/>
              <w:jc w:val="center"/>
              <w:rPr>
                <w:sz w:val="21"/>
                <w:szCs w:val="21"/>
                <w:u w:val="none"/>
              </w:rPr>
            </w:pPr>
            <w:r>
              <w:rPr>
                <w:sz w:val="21"/>
                <w:szCs w:val="21"/>
                <w:u w:val="none"/>
              </w:rPr>
              <w:t>分类指标</w:t>
            </w:r>
          </w:p>
        </w:tc>
        <w:tc>
          <w:tcPr>
            <w:tcW w:w="2524" w:type="pct"/>
            <w:gridSpan w:val="3"/>
            <w:tcMar>
              <w:left w:w="28" w:type="dxa"/>
              <w:right w:w="28" w:type="dxa"/>
            </w:tcMar>
            <w:vAlign w:val="center"/>
          </w:tcPr>
          <w:p>
            <w:pPr>
              <w:spacing w:line="240" w:lineRule="auto"/>
              <w:ind w:firstLine="0" w:firstLineChars="0"/>
              <w:jc w:val="center"/>
              <w:rPr>
                <w:sz w:val="21"/>
                <w:szCs w:val="21"/>
                <w:u w:val="none"/>
              </w:rPr>
            </w:pPr>
            <w:r>
              <w:rPr>
                <w:sz w:val="21"/>
                <w:szCs w:val="21"/>
                <w:u w:val="none"/>
              </w:rPr>
              <w:t>等级</w:t>
            </w:r>
          </w:p>
        </w:tc>
        <w:tc>
          <w:tcPr>
            <w:tcW w:w="1294" w:type="pct"/>
            <w:vMerge w:val="restart"/>
            <w:tcMar>
              <w:left w:w="28" w:type="dxa"/>
              <w:right w:w="28" w:type="dxa"/>
            </w:tcMar>
            <w:vAlign w:val="center"/>
          </w:tcPr>
          <w:p>
            <w:pPr>
              <w:spacing w:line="240" w:lineRule="auto"/>
              <w:ind w:firstLine="0" w:firstLineChars="0"/>
              <w:jc w:val="center"/>
              <w:rPr>
                <w:sz w:val="21"/>
                <w:szCs w:val="21"/>
                <w:u w:val="none"/>
              </w:rPr>
            </w:pPr>
            <w:r>
              <w:rPr>
                <w:sz w:val="21"/>
                <w:szCs w:val="21"/>
                <w:u w:val="none"/>
              </w:rPr>
              <w:t>本项目</w:t>
            </w:r>
          </w:p>
        </w:tc>
        <w:tc>
          <w:tcPr>
            <w:tcW w:w="437" w:type="pct"/>
            <w:vMerge w:val="restart"/>
            <w:vAlign w:val="center"/>
          </w:tcPr>
          <w:p>
            <w:pPr>
              <w:spacing w:line="240" w:lineRule="auto"/>
              <w:ind w:firstLine="0" w:firstLineChars="0"/>
              <w:jc w:val="center"/>
              <w:rPr>
                <w:sz w:val="21"/>
                <w:szCs w:val="21"/>
                <w:u w:val="none"/>
              </w:rPr>
            </w:pPr>
            <w:r>
              <w:rPr>
                <w:rFonts w:hint="eastAsia"/>
                <w:sz w:val="21"/>
                <w:szCs w:val="21"/>
                <w:u w:val="none"/>
              </w:rPr>
              <w:t>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745" w:type="pct"/>
            <w:vMerge w:val="continue"/>
            <w:vAlign w:val="center"/>
          </w:tcPr>
          <w:p>
            <w:pPr>
              <w:spacing w:line="240" w:lineRule="auto"/>
              <w:ind w:left="480" w:firstLine="0" w:firstLineChars="0"/>
              <w:jc w:val="center"/>
              <w:rPr>
                <w:sz w:val="21"/>
                <w:szCs w:val="21"/>
                <w:u w:val="none"/>
              </w:rPr>
            </w:pPr>
          </w:p>
        </w:tc>
        <w:tc>
          <w:tcPr>
            <w:tcW w:w="945" w:type="pct"/>
            <w:tcMar>
              <w:left w:w="28" w:type="dxa"/>
              <w:right w:w="28" w:type="dxa"/>
            </w:tcMar>
            <w:vAlign w:val="center"/>
          </w:tcPr>
          <w:p>
            <w:pPr>
              <w:spacing w:line="240" w:lineRule="auto"/>
              <w:ind w:firstLine="0" w:firstLineChars="0"/>
              <w:jc w:val="center"/>
              <w:rPr>
                <w:sz w:val="21"/>
                <w:szCs w:val="21"/>
                <w:u w:val="none"/>
              </w:rPr>
            </w:pPr>
            <w:r>
              <w:rPr>
                <w:sz w:val="21"/>
                <w:szCs w:val="21"/>
                <w:u w:val="none"/>
              </w:rPr>
              <w:t>一级</w:t>
            </w:r>
          </w:p>
        </w:tc>
        <w:tc>
          <w:tcPr>
            <w:tcW w:w="811" w:type="pct"/>
            <w:tcMar>
              <w:left w:w="28" w:type="dxa"/>
              <w:right w:w="28" w:type="dxa"/>
            </w:tcMar>
            <w:vAlign w:val="center"/>
          </w:tcPr>
          <w:p>
            <w:pPr>
              <w:spacing w:line="240" w:lineRule="auto"/>
              <w:ind w:firstLine="0" w:firstLineChars="0"/>
              <w:jc w:val="center"/>
              <w:rPr>
                <w:sz w:val="21"/>
                <w:szCs w:val="21"/>
                <w:u w:val="none"/>
              </w:rPr>
            </w:pPr>
            <w:r>
              <w:rPr>
                <w:sz w:val="21"/>
                <w:szCs w:val="21"/>
                <w:u w:val="none"/>
              </w:rPr>
              <w:t>二级</w:t>
            </w:r>
          </w:p>
        </w:tc>
        <w:tc>
          <w:tcPr>
            <w:tcW w:w="768" w:type="pct"/>
            <w:tcMar>
              <w:left w:w="28" w:type="dxa"/>
              <w:right w:w="28" w:type="dxa"/>
            </w:tcMar>
            <w:vAlign w:val="center"/>
          </w:tcPr>
          <w:p>
            <w:pPr>
              <w:spacing w:line="240" w:lineRule="auto"/>
              <w:ind w:firstLine="0" w:firstLineChars="0"/>
              <w:jc w:val="center"/>
              <w:rPr>
                <w:sz w:val="21"/>
                <w:szCs w:val="21"/>
                <w:u w:val="none"/>
              </w:rPr>
            </w:pPr>
            <w:r>
              <w:rPr>
                <w:sz w:val="21"/>
                <w:szCs w:val="21"/>
                <w:u w:val="none"/>
              </w:rPr>
              <w:t>三级</w:t>
            </w:r>
          </w:p>
        </w:tc>
        <w:tc>
          <w:tcPr>
            <w:tcW w:w="1294" w:type="pct"/>
            <w:vMerge w:val="continue"/>
            <w:tcMar>
              <w:left w:w="28" w:type="dxa"/>
              <w:right w:w="28" w:type="dxa"/>
            </w:tcMar>
            <w:vAlign w:val="center"/>
          </w:tcPr>
          <w:p>
            <w:pPr>
              <w:spacing w:line="240" w:lineRule="auto"/>
              <w:ind w:left="480" w:firstLine="0" w:firstLineChars="0"/>
              <w:jc w:val="center"/>
              <w:rPr>
                <w:sz w:val="21"/>
                <w:szCs w:val="21"/>
                <w:u w:val="none"/>
              </w:rPr>
            </w:pPr>
          </w:p>
        </w:tc>
        <w:tc>
          <w:tcPr>
            <w:tcW w:w="437" w:type="pct"/>
            <w:vMerge w:val="continue"/>
            <w:vAlign w:val="center"/>
          </w:tcPr>
          <w:p>
            <w:pPr>
              <w:spacing w:line="240" w:lineRule="auto"/>
              <w:ind w:left="480" w:firstLine="0" w:firstLineChars="0"/>
              <w:jc w:val="center"/>
              <w:rPr>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45" w:type="pct"/>
            <w:vAlign w:val="center"/>
          </w:tcPr>
          <w:p>
            <w:pPr>
              <w:spacing w:line="240" w:lineRule="auto"/>
              <w:ind w:firstLine="0" w:firstLineChars="0"/>
              <w:jc w:val="center"/>
              <w:rPr>
                <w:sz w:val="21"/>
                <w:szCs w:val="21"/>
                <w:u w:val="none"/>
              </w:rPr>
            </w:pPr>
            <w:r>
              <w:rPr>
                <w:sz w:val="21"/>
                <w:szCs w:val="21"/>
                <w:u w:val="none"/>
              </w:rPr>
              <w:t>水功能区管理要求</w:t>
            </w:r>
          </w:p>
        </w:tc>
        <w:tc>
          <w:tcPr>
            <w:tcW w:w="945" w:type="pct"/>
            <w:tcMar>
              <w:left w:w="28" w:type="dxa"/>
              <w:right w:w="28" w:type="dxa"/>
            </w:tcMar>
            <w:vAlign w:val="center"/>
          </w:tcPr>
          <w:p>
            <w:pPr>
              <w:spacing w:line="240" w:lineRule="auto"/>
              <w:ind w:firstLine="0" w:firstLineChars="0"/>
              <w:jc w:val="center"/>
              <w:rPr>
                <w:sz w:val="21"/>
                <w:szCs w:val="21"/>
                <w:u w:val="none"/>
              </w:rPr>
            </w:pPr>
            <w:r>
              <w:rPr>
                <w:sz w:val="21"/>
                <w:szCs w:val="21"/>
                <w:u w:val="none"/>
              </w:rPr>
              <w:t>涉及一级水功能区中的保护区、保留区、缓冲区及二级水功能区中饮用水水源区</w:t>
            </w:r>
          </w:p>
        </w:tc>
        <w:tc>
          <w:tcPr>
            <w:tcW w:w="811" w:type="pct"/>
            <w:tcMar>
              <w:left w:w="28" w:type="dxa"/>
              <w:right w:w="28" w:type="dxa"/>
            </w:tcMar>
            <w:vAlign w:val="center"/>
          </w:tcPr>
          <w:p>
            <w:pPr>
              <w:spacing w:line="240" w:lineRule="auto"/>
              <w:ind w:firstLine="0" w:firstLineChars="0"/>
              <w:jc w:val="center"/>
              <w:rPr>
                <w:sz w:val="21"/>
                <w:szCs w:val="21"/>
                <w:u w:val="none"/>
              </w:rPr>
            </w:pPr>
            <w:r>
              <w:rPr>
                <w:sz w:val="21"/>
                <w:szCs w:val="21"/>
                <w:u w:val="none"/>
              </w:rPr>
              <w:t>涉及二级水功能区中的工业、农业、渔业、景观娱乐用水区</w:t>
            </w:r>
          </w:p>
        </w:tc>
        <w:tc>
          <w:tcPr>
            <w:tcW w:w="768" w:type="pct"/>
            <w:tcMar>
              <w:left w:w="28" w:type="dxa"/>
              <w:right w:w="28" w:type="dxa"/>
            </w:tcMar>
            <w:vAlign w:val="center"/>
          </w:tcPr>
          <w:p>
            <w:pPr>
              <w:spacing w:line="240" w:lineRule="auto"/>
              <w:ind w:firstLine="0" w:firstLineChars="0"/>
              <w:jc w:val="center"/>
              <w:rPr>
                <w:sz w:val="21"/>
                <w:szCs w:val="21"/>
                <w:u w:val="none"/>
              </w:rPr>
            </w:pPr>
            <w:r>
              <w:rPr>
                <w:sz w:val="21"/>
                <w:szCs w:val="21"/>
                <w:u w:val="none"/>
              </w:rPr>
              <w:t>涉及二级水功能区中的排污控制区和过渡区</w:t>
            </w:r>
          </w:p>
        </w:tc>
        <w:tc>
          <w:tcPr>
            <w:tcW w:w="1294" w:type="pct"/>
            <w:tcMar>
              <w:left w:w="28" w:type="dxa"/>
              <w:right w:w="28" w:type="dxa"/>
            </w:tcMar>
            <w:vAlign w:val="center"/>
          </w:tcPr>
          <w:p>
            <w:pPr>
              <w:spacing w:line="240" w:lineRule="auto"/>
              <w:ind w:firstLine="0" w:firstLineChars="0"/>
              <w:jc w:val="center"/>
              <w:rPr>
                <w:sz w:val="21"/>
                <w:szCs w:val="21"/>
                <w:u w:val="none"/>
              </w:rPr>
            </w:pPr>
            <w:r>
              <w:rPr>
                <w:rFonts w:hint="eastAsia"/>
                <w:sz w:val="21"/>
                <w:szCs w:val="21"/>
                <w:u w:val="none"/>
              </w:rPr>
              <w:t>根据《益阳市水功能区划》</w:t>
            </w:r>
            <w:r>
              <w:rPr>
                <w:sz w:val="21"/>
                <w:szCs w:val="21"/>
                <w:u w:val="none"/>
              </w:rPr>
              <w:t>，</w:t>
            </w:r>
            <w:r>
              <w:rPr>
                <w:rFonts w:hint="eastAsia"/>
                <w:sz w:val="21"/>
                <w:szCs w:val="21"/>
                <w:u w:val="none"/>
              </w:rPr>
              <w:t>项目所在区域为资水桃江保留区，</w:t>
            </w:r>
            <w:r>
              <w:rPr>
                <w:sz w:val="21"/>
                <w:szCs w:val="21"/>
                <w:u w:val="none"/>
              </w:rPr>
              <w:t>水质管理目标为地表水环境质量标准》（GB38338-2002）</w:t>
            </w:r>
            <w:r>
              <w:rPr>
                <w:rFonts w:hint="eastAsia"/>
                <w:sz w:val="21"/>
                <w:szCs w:val="21"/>
                <w:u w:val="none"/>
              </w:rPr>
              <w:t>Ⅱ</w:t>
            </w:r>
            <w:r>
              <w:rPr>
                <w:sz w:val="21"/>
                <w:szCs w:val="21"/>
                <w:u w:val="none"/>
              </w:rPr>
              <w:t>类水标准</w:t>
            </w:r>
          </w:p>
        </w:tc>
        <w:tc>
          <w:tcPr>
            <w:tcW w:w="437" w:type="pct"/>
            <w:vAlign w:val="center"/>
          </w:tcPr>
          <w:p>
            <w:pPr>
              <w:spacing w:line="240" w:lineRule="auto"/>
              <w:ind w:firstLine="0" w:firstLineChars="0"/>
              <w:jc w:val="center"/>
              <w:rPr>
                <w:b/>
                <w:sz w:val="21"/>
                <w:szCs w:val="21"/>
                <w:u w:val="none"/>
              </w:rPr>
            </w:pPr>
            <w:r>
              <w:rPr>
                <w:rFonts w:hint="eastAsia"/>
                <w:b/>
                <w:sz w:val="21"/>
                <w:szCs w:val="21"/>
                <w:u w:val="none"/>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1" w:hRule="atLeast"/>
          <w:jc w:val="center"/>
        </w:trPr>
        <w:tc>
          <w:tcPr>
            <w:tcW w:w="745" w:type="pct"/>
            <w:tcMar>
              <w:left w:w="28" w:type="dxa"/>
              <w:right w:w="28" w:type="dxa"/>
            </w:tcMar>
            <w:vAlign w:val="center"/>
          </w:tcPr>
          <w:p>
            <w:pPr>
              <w:spacing w:line="240" w:lineRule="auto"/>
              <w:ind w:firstLine="0" w:firstLineChars="0"/>
              <w:jc w:val="center"/>
              <w:rPr>
                <w:sz w:val="21"/>
                <w:szCs w:val="21"/>
                <w:u w:val="none"/>
              </w:rPr>
            </w:pPr>
            <w:r>
              <w:rPr>
                <w:sz w:val="21"/>
                <w:szCs w:val="21"/>
                <w:u w:val="none"/>
              </w:rPr>
              <w:t>水功能区水域纳污现状</w:t>
            </w:r>
          </w:p>
        </w:tc>
        <w:tc>
          <w:tcPr>
            <w:tcW w:w="945" w:type="pct"/>
            <w:tcMar>
              <w:left w:w="28" w:type="dxa"/>
              <w:right w:w="28" w:type="dxa"/>
            </w:tcMar>
            <w:vAlign w:val="center"/>
          </w:tcPr>
          <w:p>
            <w:pPr>
              <w:spacing w:line="240" w:lineRule="auto"/>
              <w:ind w:firstLine="0" w:firstLineChars="0"/>
              <w:jc w:val="center"/>
              <w:rPr>
                <w:sz w:val="21"/>
                <w:szCs w:val="21"/>
                <w:u w:val="none"/>
              </w:rPr>
            </w:pPr>
            <w:r>
              <w:rPr>
                <w:sz w:val="21"/>
                <w:szCs w:val="21"/>
                <w:u w:val="none"/>
              </w:rPr>
              <w:t>现状污染物入河量超出水功能区水域纳污能力</w:t>
            </w:r>
          </w:p>
        </w:tc>
        <w:tc>
          <w:tcPr>
            <w:tcW w:w="811" w:type="pct"/>
            <w:tcMar>
              <w:left w:w="28" w:type="dxa"/>
              <w:right w:w="28" w:type="dxa"/>
            </w:tcMar>
            <w:vAlign w:val="center"/>
          </w:tcPr>
          <w:p>
            <w:pPr>
              <w:spacing w:line="240" w:lineRule="auto"/>
              <w:ind w:firstLine="0" w:firstLineChars="0"/>
              <w:jc w:val="center"/>
              <w:rPr>
                <w:sz w:val="21"/>
                <w:szCs w:val="21"/>
                <w:u w:val="none"/>
              </w:rPr>
            </w:pPr>
            <w:r>
              <w:rPr>
                <w:sz w:val="21"/>
                <w:szCs w:val="21"/>
                <w:u w:val="none"/>
              </w:rPr>
              <w:t>现状污染物入河量接近水功能区水域纳污能力</w:t>
            </w:r>
          </w:p>
        </w:tc>
        <w:tc>
          <w:tcPr>
            <w:tcW w:w="768" w:type="pct"/>
            <w:tcMar>
              <w:left w:w="28" w:type="dxa"/>
              <w:right w:w="28" w:type="dxa"/>
            </w:tcMar>
            <w:vAlign w:val="center"/>
          </w:tcPr>
          <w:p>
            <w:pPr>
              <w:spacing w:line="240" w:lineRule="auto"/>
              <w:ind w:firstLine="0" w:firstLineChars="0"/>
              <w:jc w:val="center"/>
              <w:rPr>
                <w:sz w:val="21"/>
                <w:szCs w:val="21"/>
                <w:u w:val="none"/>
              </w:rPr>
            </w:pPr>
            <w:r>
              <w:rPr>
                <w:sz w:val="21"/>
                <w:szCs w:val="21"/>
                <w:u w:val="none"/>
              </w:rPr>
              <w:t>现状污染物入河量远小于水功能区水域纳污能力</w:t>
            </w:r>
          </w:p>
        </w:tc>
        <w:tc>
          <w:tcPr>
            <w:tcW w:w="1294" w:type="pct"/>
            <w:tcMar>
              <w:left w:w="28" w:type="dxa"/>
              <w:right w:w="28" w:type="dxa"/>
            </w:tcMar>
            <w:vAlign w:val="center"/>
          </w:tcPr>
          <w:p>
            <w:pPr>
              <w:spacing w:line="240" w:lineRule="auto"/>
              <w:ind w:firstLine="0" w:firstLineChars="0"/>
              <w:jc w:val="center"/>
              <w:rPr>
                <w:sz w:val="21"/>
                <w:szCs w:val="21"/>
                <w:u w:val="none"/>
              </w:rPr>
            </w:pPr>
            <w:r>
              <w:rPr>
                <w:sz w:val="21"/>
                <w:szCs w:val="21"/>
                <w:u w:val="none"/>
              </w:rPr>
              <w:t>项目排放总量远小于论证河段纳污能力</w:t>
            </w:r>
          </w:p>
        </w:tc>
        <w:tc>
          <w:tcPr>
            <w:tcW w:w="437" w:type="pct"/>
            <w:vAlign w:val="center"/>
          </w:tcPr>
          <w:p>
            <w:pPr>
              <w:spacing w:line="240" w:lineRule="auto"/>
              <w:ind w:firstLine="0" w:firstLineChars="0"/>
              <w:jc w:val="center"/>
              <w:rPr>
                <w:sz w:val="21"/>
                <w:szCs w:val="21"/>
                <w:u w:val="none"/>
              </w:rPr>
            </w:pPr>
            <w:r>
              <w:rPr>
                <w:rFonts w:hint="eastAsia"/>
                <w:sz w:val="21"/>
                <w:szCs w:val="21"/>
                <w:u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4" w:hRule="atLeast"/>
          <w:jc w:val="center"/>
        </w:trPr>
        <w:tc>
          <w:tcPr>
            <w:tcW w:w="745" w:type="pct"/>
            <w:tcMar>
              <w:left w:w="28" w:type="dxa"/>
              <w:right w:w="28" w:type="dxa"/>
            </w:tcMar>
            <w:vAlign w:val="center"/>
          </w:tcPr>
          <w:p>
            <w:pPr>
              <w:spacing w:line="240" w:lineRule="auto"/>
              <w:ind w:firstLine="0" w:firstLineChars="0"/>
              <w:jc w:val="center"/>
              <w:rPr>
                <w:sz w:val="21"/>
                <w:szCs w:val="21"/>
                <w:u w:val="none"/>
              </w:rPr>
            </w:pPr>
            <w:r>
              <w:rPr>
                <w:sz w:val="21"/>
                <w:szCs w:val="21"/>
                <w:u w:val="none"/>
              </w:rPr>
              <w:t>水生态现状</w:t>
            </w:r>
          </w:p>
        </w:tc>
        <w:tc>
          <w:tcPr>
            <w:tcW w:w="945" w:type="pct"/>
            <w:tcMar>
              <w:left w:w="28" w:type="dxa"/>
              <w:right w:w="28" w:type="dxa"/>
            </w:tcMar>
            <w:vAlign w:val="center"/>
          </w:tcPr>
          <w:p>
            <w:pPr>
              <w:spacing w:line="240" w:lineRule="auto"/>
              <w:ind w:firstLine="0" w:firstLineChars="0"/>
              <w:jc w:val="center"/>
              <w:rPr>
                <w:sz w:val="21"/>
                <w:szCs w:val="21"/>
                <w:u w:val="none"/>
              </w:rPr>
            </w:pPr>
            <w:r>
              <w:rPr>
                <w:sz w:val="21"/>
                <w:szCs w:val="21"/>
                <w:u w:val="none"/>
              </w:rPr>
              <w:t>现状生态问题敏感；相关水域现状排污对水文情势和水生态环境产生明显影响，同时存在水温或水体富营养化影响问题</w:t>
            </w:r>
          </w:p>
        </w:tc>
        <w:tc>
          <w:tcPr>
            <w:tcW w:w="811" w:type="pct"/>
            <w:tcMar>
              <w:left w:w="28" w:type="dxa"/>
              <w:right w:w="28" w:type="dxa"/>
            </w:tcMar>
            <w:vAlign w:val="center"/>
          </w:tcPr>
          <w:p>
            <w:pPr>
              <w:spacing w:line="240" w:lineRule="auto"/>
              <w:ind w:firstLine="0" w:firstLineChars="0"/>
              <w:jc w:val="center"/>
              <w:rPr>
                <w:sz w:val="21"/>
                <w:szCs w:val="21"/>
                <w:u w:val="none"/>
              </w:rPr>
            </w:pPr>
            <w:r>
              <w:rPr>
                <w:sz w:val="21"/>
                <w:szCs w:val="21"/>
                <w:u w:val="none"/>
              </w:rPr>
              <w:t>现状生态问题较为敏感；相关水域现状排污对水文情势和水生态环境产生一定影响</w:t>
            </w:r>
          </w:p>
        </w:tc>
        <w:tc>
          <w:tcPr>
            <w:tcW w:w="768" w:type="pct"/>
            <w:tcMar>
              <w:left w:w="28" w:type="dxa"/>
              <w:right w:w="28" w:type="dxa"/>
            </w:tcMar>
            <w:vAlign w:val="center"/>
          </w:tcPr>
          <w:p>
            <w:pPr>
              <w:spacing w:line="240" w:lineRule="auto"/>
              <w:ind w:firstLine="0" w:firstLineChars="0"/>
              <w:jc w:val="center"/>
              <w:rPr>
                <w:sz w:val="21"/>
                <w:szCs w:val="21"/>
                <w:u w:val="none"/>
              </w:rPr>
            </w:pPr>
            <w:r>
              <w:rPr>
                <w:sz w:val="21"/>
                <w:szCs w:val="21"/>
                <w:u w:val="none"/>
              </w:rPr>
              <w:t>现状无敏感生态问题；相关水域现状排污对水生态环境无影响或影响轻微</w:t>
            </w:r>
          </w:p>
        </w:tc>
        <w:tc>
          <w:tcPr>
            <w:tcW w:w="1294" w:type="pct"/>
            <w:tcMar>
              <w:left w:w="28" w:type="dxa"/>
              <w:right w:w="28" w:type="dxa"/>
            </w:tcMar>
            <w:vAlign w:val="center"/>
          </w:tcPr>
          <w:p>
            <w:pPr>
              <w:spacing w:line="240" w:lineRule="auto"/>
              <w:ind w:firstLine="0" w:firstLineChars="0"/>
              <w:jc w:val="center"/>
              <w:rPr>
                <w:sz w:val="21"/>
                <w:szCs w:val="21"/>
                <w:u w:val="none"/>
              </w:rPr>
            </w:pPr>
            <w:r>
              <w:rPr>
                <w:rFonts w:hint="eastAsia"/>
                <w:sz w:val="21"/>
                <w:szCs w:val="21"/>
                <w:u w:val="none"/>
              </w:rPr>
              <w:t>现状无敏感生态问题；相关水域现状排污对水生态环境无影响或影响轻微</w:t>
            </w:r>
            <w:r>
              <w:rPr>
                <w:sz w:val="21"/>
                <w:szCs w:val="21"/>
                <w:u w:val="none"/>
              </w:rPr>
              <w:t>，无生态环境敏感目标</w:t>
            </w:r>
          </w:p>
        </w:tc>
        <w:tc>
          <w:tcPr>
            <w:tcW w:w="437" w:type="pct"/>
            <w:vAlign w:val="center"/>
          </w:tcPr>
          <w:p>
            <w:pPr>
              <w:spacing w:line="240" w:lineRule="auto"/>
              <w:ind w:firstLine="0" w:firstLineChars="0"/>
              <w:jc w:val="center"/>
              <w:rPr>
                <w:sz w:val="21"/>
                <w:szCs w:val="21"/>
                <w:u w:val="none"/>
              </w:rPr>
            </w:pPr>
            <w:r>
              <w:rPr>
                <w:rFonts w:hint="eastAsia"/>
                <w:sz w:val="21"/>
                <w:szCs w:val="21"/>
                <w:u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8" w:hRule="atLeast"/>
          <w:jc w:val="center"/>
        </w:trPr>
        <w:tc>
          <w:tcPr>
            <w:tcW w:w="745" w:type="pct"/>
            <w:tcMar>
              <w:left w:w="28" w:type="dxa"/>
              <w:right w:w="28" w:type="dxa"/>
            </w:tcMar>
            <w:vAlign w:val="center"/>
          </w:tcPr>
          <w:p>
            <w:pPr>
              <w:spacing w:line="240" w:lineRule="auto"/>
              <w:ind w:firstLine="0" w:firstLineChars="0"/>
              <w:jc w:val="center"/>
              <w:rPr>
                <w:sz w:val="21"/>
                <w:szCs w:val="21"/>
                <w:u w:val="none"/>
              </w:rPr>
            </w:pPr>
            <w:r>
              <w:rPr>
                <w:sz w:val="21"/>
                <w:szCs w:val="21"/>
                <w:u w:val="none"/>
              </w:rPr>
              <w:t>污染物排放种类</w:t>
            </w:r>
          </w:p>
        </w:tc>
        <w:tc>
          <w:tcPr>
            <w:tcW w:w="945" w:type="pct"/>
            <w:tcMar>
              <w:left w:w="28" w:type="dxa"/>
              <w:right w:w="28" w:type="dxa"/>
            </w:tcMar>
            <w:vAlign w:val="center"/>
          </w:tcPr>
          <w:p>
            <w:pPr>
              <w:spacing w:line="240" w:lineRule="auto"/>
              <w:ind w:firstLine="0" w:firstLineChars="0"/>
              <w:jc w:val="center"/>
              <w:rPr>
                <w:sz w:val="21"/>
                <w:szCs w:val="21"/>
                <w:u w:val="none"/>
              </w:rPr>
            </w:pPr>
            <w:r>
              <w:rPr>
                <w:sz w:val="21"/>
                <w:szCs w:val="21"/>
                <w:u w:val="none"/>
              </w:rPr>
              <w:t>所排放废污水含有毒有机物、重金属、放射性或持久性化学污染物</w:t>
            </w:r>
          </w:p>
        </w:tc>
        <w:tc>
          <w:tcPr>
            <w:tcW w:w="811" w:type="pct"/>
            <w:tcMar>
              <w:left w:w="28" w:type="dxa"/>
              <w:right w:w="28" w:type="dxa"/>
            </w:tcMar>
            <w:vAlign w:val="center"/>
          </w:tcPr>
          <w:p>
            <w:pPr>
              <w:spacing w:line="240" w:lineRule="auto"/>
              <w:ind w:firstLine="0" w:firstLineChars="0"/>
              <w:jc w:val="center"/>
              <w:rPr>
                <w:sz w:val="21"/>
                <w:szCs w:val="21"/>
                <w:u w:val="none"/>
              </w:rPr>
            </w:pPr>
            <w:r>
              <w:rPr>
                <w:sz w:val="21"/>
                <w:szCs w:val="21"/>
                <w:u w:val="none"/>
              </w:rPr>
              <w:t>所排放废污水含有多种可降解化学污染物</w:t>
            </w:r>
          </w:p>
        </w:tc>
        <w:tc>
          <w:tcPr>
            <w:tcW w:w="768" w:type="pct"/>
            <w:tcMar>
              <w:left w:w="28" w:type="dxa"/>
              <w:right w:w="28" w:type="dxa"/>
            </w:tcMar>
            <w:vAlign w:val="center"/>
          </w:tcPr>
          <w:p>
            <w:pPr>
              <w:spacing w:line="240" w:lineRule="auto"/>
              <w:ind w:firstLine="0" w:firstLineChars="0"/>
              <w:jc w:val="center"/>
              <w:rPr>
                <w:sz w:val="21"/>
                <w:szCs w:val="21"/>
                <w:u w:val="none"/>
              </w:rPr>
            </w:pPr>
            <w:r>
              <w:rPr>
                <w:rFonts w:hint="eastAsia"/>
                <w:sz w:val="21"/>
                <w:szCs w:val="21"/>
                <w:u w:val="none"/>
              </w:rPr>
              <w:t>所排放废污水含有少量可降解的污染物</w:t>
            </w:r>
          </w:p>
        </w:tc>
        <w:tc>
          <w:tcPr>
            <w:tcW w:w="1294" w:type="pct"/>
            <w:tcMar>
              <w:left w:w="28" w:type="dxa"/>
              <w:right w:w="28" w:type="dxa"/>
            </w:tcMar>
            <w:vAlign w:val="center"/>
          </w:tcPr>
          <w:p>
            <w:pPr>
              <w:spacing w:line="240" w:lineRule="auto"/>
              <w:ind w:firstLine="0" w:firstLineChars="0"/>
              <w:jc w:val="center"/>
              <w:rPr>
                <w:sz w:val="21"/>
                <w:szCs w:val="21"/>
                <w:u w:val="none"/>
              </w:rPr>
            </w:pPr>
            <w:r>
              <w:rPr>
                <w:rFonts w:hint="eastAsia"/>
                <w:sz w:val="21"/>
                <w:szCs w:val="21"/>
                <w:u w:val="none"/>
              </w:rPr>
              <w:t>所排放废污水含有重金属</w:t>
            </w:r>
          </w:p>
        </w:tc>
        <w:tc>
          <w:tcPr>
            <w:tcW w:w="437" w:type="pct"/>
            <w:vAlign w:val="center"/>
          </w:tcPr>
          <w:p>
            <w:pPr>
              <w:spacing w:line="240" w:lineRule="auto"/>
              <w:ind w:firstLine="0" w:firstLineChars="0"/>
              <w:jc w:val="center"/>
              <w:rPr>
                <w:sz w:val="21"/>
                <w:szCs w:val="21"/>
                <w:u w:val="none"/>
              </w:rPr>
            </w:pPr>
            <w:r>
              <w:rPr>
                <w:rFonts w:hint="eastAsia"/>
                <w:b/>
                <w:sz w:val="21"/>
                <w:szCs w:val="21"/>
                <w:u w:val="none"/>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jc w:val="center"/>
        </w:trPr>
        <w:tc>
          <w:tcPr>
            <w:tcW w:w="745" w:type="pct"/>
            <w:tcMar>
              <w:left w:w="28" w:type="dxa"/>
              <w:right w:w="28" w:type="dxa"/>
            </w:tcMar>
            <w:vAlign w:val="center"/>
          </w:tcPr>
          <w:p>
            <w:pPr>
              <w:spacing w:line="240" w:lineRule="auto"/>
              <w:ind w:firstLine="0" w:firstLineChars="0"/>
              <w:jc w:val="center"/>
              <w:rPr>
                <w:sz w:val="21"/>
                <w:szCs w:val="21"/>
                <w:u w:val="none"/>
              </w:rPr>
            </w:pPr>
            <w:r>
              <w:rPr>
                <w:sz w:val="21"/>
                <w:szCs w:val="21"/>
                <w:u w:val="none"/>
              </w:rPr>
              <w:t>废污水排放流量（缺水地区）（m</w:t>
            </w:r>
            <w:r>
              <w:rPr>
                <w:sz w:val="21"/>
                <w:szCs w:val="21"/>
                <w:u w:val="none"/>
                <w:vertAlign w:val="superscript"/>
              </w:rPr>
              <w:t>3</w:t>
            </w:r>
            <w:r>
              <w:rPr>
                <w:sz w:val="21"/>
                <w:szCs w:val="21"/>
                <w:u w:val="none"/>
              </w:rPr>
              <w:t>/h）</w:t>
            </w:r>
          </w:p>
        </w:tc>
        <w:tc>
          <w:tcPr>
            <w:tcW w:w="945" w:type="pct"/>
            <w:tcMar>
              <w:left w:w="28" w:type="dxa"/>
              <w:right w:w="28" w:type="dxa"/>
            </w:tcMar>
            <w:vAlign w:val="center"/>
          </w:tcPr>
          <w:p>
            <w:pPr>
              <w:spacing w:line="240" w:lineRule="auto"/>
              <w:ind w:firstLine="0" w:firstLineChars="0"/>
              <w:jc w:val="center"/>
              <w:rPr>
                <w:sz w:val="21"/>
                <w:szCs w:val="21"/>
                <w:u w:val="none"/>
              </w:rPr>
            </w:pPr>
            <w:r>
              <w:rPr>
                <w:sz w:val="21"/>
                <w:szCs w:val="21"/>
                <w:u w:val="none"/>
              </w:rPr>
              <w:t>≥1000（300）</w:t>
            </w:r>
          </w:p>
        </w:tc>
        <w:tc>
          <w:tcPr>
            <w:tcW w:w="811" w:type="pct"/>
            <w:tcMar>
              <w:left w:w="28" w:type="dxa"/>
              <w:right w:w="28" w:type="dxa"/>
            </w:tcMar>
            <w:vAlign w:val="center"/>
          </w:tcPr>
          <w:p>
            <w:pPr>
              <w:spacing w:line="240" w:lineRule="auto"/>
              <w:ind w:firstLine="0" w:firstLineChars="0"/>
              <w:jc w:val="center"/>
              <w:rPr>
                <w:sz w:val="21"/>
                <w:szCs w:val="21"/>
                <w:u w:val="none"/>
              </w:rPr>
            </w:pPr>
            <w:r>
              <w:rPr>
                <w:sz w:val="21"/>
                <w:szCs w:val="21"/>
                <w:u w:val="none"/>
              </w:rPr>
              <w:t>1000～500（300～100）</w:t>
            </w:r>
          </w:p>
        </w:tc>
        <w:tc>
          <w:tcPr>
            <w:tcW w:w="768" w:type="pct"/>
            <w:tcMar>
              <w:left w:w="28" w:type="dxa"/>
              <w:right w:w="28" w:type="dxa"/>
            </w:tcMar>
            <w:vAlign w:val="center"/>
          </w:tcPr>
          <w:p>
            <w:pPr>
              <w:spacing w:line="240" w:lineRule="auto"/>
              <w:ind w:firstLine="0" w:firstLineChars="0"/>
              <w:jc w:val="center"/>
              <w:rPr>
                <w:sz w:val="21"/>
                <w:szCs w:val="21"/>
                <w:u w:val="none"/>
              </w:rPr>
            </w:pPr>
            <w:r>
              <w:rPr>
                <w:sz w:val="21"/>
                <w:szCs w:val="21"/>
                <w:u w:val="none"/>
              </w:rPr>
              <w:t>≤500（100）</w:t>
            </w:r>
          </w:p>
        </w:tc>
        <w:tc>
          <w:tcPr>
            <w:tcW w:w="1294" w:type="pct"/>
            <w:tcMar>
              <w:left w:w="28" w:type="dxa"/>
              <w:right w:w="28" w:type="dxa"/>
            </w:tcMar>
            <w:vAlign w:val="center"/>
          </w:tcPr>
          <w:p>
            <w:pPr>
              <w:spacing w:line="240" w:lineRule="auto"/>
              <w:ind w:firstLine="0" w:firstLineChars="0"/>
              <w:jc w:val="center"/>
              <w:rPr>
                <w:sz w:val="21"/>
                <w:szCs w:val="21"/>
                <w:u w:val="none"/>
              </w:rPr>
            </w:pPr>
            <w:r>
              <w:rPr>
                <w:rFonts w:hint="eastAsia"/>
                <w:sz w:val="21"/>
                <w:szCs w:val="21"/>
                <w:u w:val="none"/>
              </w:rPr>
              <w:t>本项目废污水排放流量</w:t>
            </w:r>
            <w:r>
              <w:rPr>
                <w:rFonts w:hint="eastAsia"/>
                <w:sz w:val="21"/>
                <w:szCs w:val="21"/>
                <w:u w:val="none"/>
                <w:lang w:val="en-US" w:eastAsia="zh-CN"/>
              </w:rPr>
              <w:t>7.55</w:t>
            </w:r>
            <w:r>
              <w:rPr>
                <w:sz w:val="21"/>
                <w:szCs w:val="21"/>
                <w:u w:val="none"/>
              </w:rPr>
              <w:t>m</w:t>
            </w:r>
            <w:r>
              <w:rPr>
                <w:sz w:val="21"/>
                <w:szCs w:val="21"/>
                <w:u w:val="none"/>
                <w:vertAlign w:val="superscript"/>
              </w:rPr>
              <w:t>3</w:t>
            </w:r>
            <w:r>
              <w:rPr>
                <w:sz w:val="21"/>
                <w:szCs w:val="21"/>
                <w:u w:val="none"/>
              </w:rPr>
              <w:t>/h</w:t>
            </w:r>
            <w:r>
              <w:rPr>
                <w:rFonts w:hint="eastAsia"/>
                <w:sz w:val="21"/>
                <w:szCs w:val="21"/>
                <w:u w:val="none"/>
              </w:rPr>
              <w:t>，该项目所在地</w:t>
            </w:r>
            <w:r>
              <w:rPr>
                <w:sz w:val="21"/>
                <w:szCs w:val="21"/>
                <w:u w:val="none"/>
              </w:rPr>
              <w:t>不属于缺水地区</w:t>
            </w:r>
          </w:p>
        </w:tc>
        <w:tc>
          <w:tcPr>
            <w:tcW w:w="437" w:type="pct"/>
            <w:vAlign w:val="center"/>
          </w:tcPr>
          <w:p>
            <w:pPr>
              <w:spacing w:line="240" w:lineRule="auto"/>
              <w:ind w:firstLine="0" w:firstLineChars="0"/>
              <w:jc w:val="center"/>
              <w:rPr>
                <w:sz w:val="21"/>
                <w:szCs w:val="21"/>
                <w:u w:val="none"/>
              </w:rPr>
            </w:pPr>
            <w:r>
              <w:rPr>
                <w:rFonts w:hint="eastAsia"/>
                <w:sz w:val="21"/>
                <w:szCs w:val="21"/>
                <w:u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jc w:val="center"/>
        </w:trPr>
        <w:tc>
          <w:tcPr>
            <w:tcW w:w="745" w:type="pct"/>
            <w:tcMar>
              <w:left w:w="28" w:type="dxa"/>
              <w:right w:w="28" w:type="dxa"/>
            </w:tcMar>
            <w:vAlign w:val="center"/>
          </w:tcPr>
          <w:p>
            <w:pPr>
              <w:spacing w:line="240" w:lineRule="auto"/>
              <w:ind w:firstLine="0" w:firstLineChars="0"/>
              <w:jc w:val="center"/>
              <w:rPr>
                <w:sz w:val="21"/>
                <w:szCs w:val="21"/>
                <w:u w:val="none"/>
              </w:rPr>
            </w:pPr>
            <w:r>
              <w:rPr>
                <w:sz w:val="21"/>
                <w:szCs w:val="21"/>
                <w:u w:val="none"/>
              </w:rPr>
              <w:t>年度废污水排放量</w:t>
            </w:r>
          </w:p>
        </w:tc>
        <w:tc>
          <w:tcPr>
            <w:tcW w:w="945" w:type="pct"/>
            <w:tcMar>
              <w:left w:w="28" w:type="dxa"/>
              <w:right w:w="28" w:type="dxa"/>
            </w:tcMar>
            <w:vAlign w:val="center"/>
          </w:tcPr>
          <w:p>
            <w:pPr>
              <w:spacing w:line="240" w:lineRule="auto"/>
              <w:ind w:firstLine="0" w:firstLineChars="0"/>
              <w:jc w:val="center"/>
              <w:rPr>
                <w:sz w:val="21"/>
                <w:szCs w:val="21"/>
                <w:u w:val="none"/>
              </w:rPr>
            </w:pPr>
            <w:r>
              <w:rPr>
                <w:sz w:val="21"/>
                <w:szCs w:val="21"/>
                <w:u w:val="none"/>
              </w:rPr>
              <w:t>大于200万</w:t>
            </w:r>
            <w:r>
              <w:rPr>
                <w:rFonts w:hint="eastAsia"/>
                <w:sz w:val="21"/>
                <w:szCs w:val="21"/>
                <w:u w:val="none"/>
              </w:rPr>
              <w:t>t</w:t>
            </w:r>
          </w:p>
        </w:tc>
        <w:tc>
          <w:tcPr>
            <w:tcW w:w="811" w:type="pct"/>
            <w:tcMar>
              <w:left w:w="28" w:type="dxa"/>
              <w:right w:w="28" w:type="dxa"/>
            </w:tcMar>
            <w:vAlign w:val="center"/>
          </w:tcPr>
          <w:p>
            <w:pPr>
              <w:spacing w:line="240" w:lineRule="auto"/>
              <w:ind w:firstLine="0" w:firstLineChars="0"/>
              <w:jc w:val="center"/>
              <w:rPr>
                <w:sz w:val="21"/>
                <w:szCs w:val="21"/>
                <w:u w:val="none"/>
              </w:rPr>
            </w:pPr>
            <w:r>
              <w:rPr>
                <w:sz w:val="21"/>
                <w:szCs w:val="21"/>
                <w:u w:val="none"/>
              </w:rPr>
              <w:t>20～200万</w:t>
            </w:r>
            <w:r>
              <w:rPr>
                <w:rFonts w:hint="eastAsia"/>
                <w:sz w:val="21"/>
                <w:szCs w:val="21"/>
                <w:u w:val="none"/>
              </w:rPr>
              <w:t>t</w:t>
            </w:r>
          </w:p>
        </w:tc>
        <w:tc>
          <w:tcPr>
            <w:tcW w:w="768" w:type="pct"/>
            <w:tcMar>
              <w:left w:w="28" w:type="dxa"/>
              <w:right w:w="28" w:type="dxa"/>
            </w:tcMar>
            <w:vAlign w:val="center"/>
          </w:tcPr>
          <w:p>
            <w:pPr>
              <w:spacing w:line="240" w:lineRule="auto"/>
              <w:ind w:firstLine="0" w:firstLineChars="0"/>
              <w:jc w:val="center"/>
              <w:rPr>
                <w:sz w:val="21"/>
                <w:szCs w:val="21"/>
                <w:u w:val="none"/>
              </w:rPr>
            </w:pPr>
            <w:r>
              <w:rPr>
                <w:sz w:val="21"/>
                <w:szCs w:val="21"/>
                <w:u w:val="none"/>
              </w:rPr>
              <w:t>小于20万</w:t>
            </w:r>
            <w:r>
              <w:rPr>
                <w:rFonts w:hint="eastAsia"/>
                <w:sz w:val="21"/>
                <w:szCs w:val="21"/>
                <w:u w:val="none"/>
              </w:rPr>
              <w:t>t</w:t>
            </w:r>
          </w:p>
        </w:tc>
        <w:tc>
          <w:tcPr>
            <w:tcW w:w="1294" w:type="pct"/>
            <w:tcMar>
              <w:left w:w="28" w:type="dxa"/>
              <w:right w:w="28" w:type="dxa"/>
            </w:tcMar>
            <w:vAlign w:val="center"/>
          </w:tcPr>
          <w:p>
            <w:pPr>
              <w:spacing w:line="240" w:lineRule="auto"/>
              <w:ind w:firstLine="0" w:firstLineChars="0"/>
              <w:jc w:val="center"/>
              <w:rPr>
                <w:sz w:val="21"/>
                <w:szCs w:val="21"/>
                <w:u w:val="none"/>
              </w:rPr>
            </w:pPr>
            <w:r>
              <w:rPr>
                <w:rFonts w:hint="eastAsia"/>
                <w:sz w:val="21"/>
                <w:szCs w:val="21"/>
                <w:u w:val="none"/>
                <w:lang w:val="en-US" w:eastAsia="zh-CN"/>
              </w:rPr>
              <w:t>66125</w:t>
            </w:r>
            <w:r>
              <w:rPr>
                <w:rFonts w:hint="eastAsia"/>
                <w:sz w:val="21"/>
                <w:szCs w:val="21"/>
                <w:u w:val="none"/>
              </w:rPr>
              <w:t>t/a</w:t>
            </w:r>
          </w:p>
        </w:tc>
        <w:tc>
          <w:tcPr>
            <w:tcW w:w="437" w:type="pct"/>
            <w:vAlign w:val="center"/>
          </w:tcPr>
          <w:p>
            <w:pPr>
              <w:spacing w:line="240" w:lineRule="auto"/>
              <w:ind w:firstLine="0" w:firstLineChars="0"/>
              <w:jc w:val="center"/>
              <w:rPr>
                <w:sz w:val="21"/>
                <w:szCs w:val="21"/>
                <w:u w:val="none"/>
              </w:rPr>
            </w:pPr>
            <w:r>
              <w:rPr>
                <w:rFonts w:hint="eastAsia"/>
                <w:sz w:val="21"/>
                <w:szCs w:val="21"/>
                <w:u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1" w:hRule="atLeast"/>
          <w:jc w:val="center"/>
        </w:trPr>
        <w:tc>
          <w:tcPr>
            <w:tcW w:w="745" w:type="pct"/>
            <w:vAlign w:val="center"/>
          </w:tcPr>
          <w:p>
            <w:pPr>
              <w:spacing w:line="240" w:lineRule="auto"/>
              <w:ind w:firstLine="0" w:firstLineChars="0"/>
              <w:jc w:val="center"/>
              <w:rPr>
                <w:sz w:val="21"/>
                <w:szCs w:val="21"/>
                <w:u w:val="none"/>
              </w:rPr>
            </w:pPr>
            <w:r>
              <w:rPr>
                <w:sz w:val="21"/>
                <w:szCs w:val="21"/>
                <w:u w:val="none"/>
              </w:rPr>
              <w:t>区域水资源状况</w:t>
            </w:r>
          </w:p>
        </w:tc>
        <w:tc>
          <w:tcPr>
            <w:tcW w:w="945" w:type="pct"/>
            <w:tcMar>
              <w:left w:w="28" w:type="dxa"/>
              <w:right w:w="28" w:type="dxa"/>
            </w:tcMar>
            <w:vAlign w:val="center"/>
          </w:tcPr>
          <w:p>
            <w:pPr>
              <w:spacing w:line="240" w:lineRule="auto"/>
              <w:ind w:firstLine="0" w:firstLineChars="0"/>
              <w:jc w:val="center"/>
              <w:rPr>
                <w:sz w:val="21"/>
                <w:szCs w:val="21"/>
                <w:u w:val="none"/>
              </w:rPr>
            </w:pPr>
            <w:r>
              <w:rPr>
                <w:sz w:val="21"/>
                <w:szCs w:val="21"/>
                <w:u w:val="none"/>
              </w:rPr>
              <w:t>用水紧缺，取用水量达到或超出所分配用水指标</w:t>
            </w:r>
          </w:p>
        </w:tc>
        <w:tc>
          <w:tcPr>
            <w:tcW w:w="811" w:type="pct"/>
            <w:tcMar>
              <w:left w:w="28" w:type="dxa"/>
              <w:right w:w="28" w:type="dxa"/>
            </w:tcMar>
            <w:vAlign w:val="center"/>
          </w:tcPr>
          <w:p>
            <w:pPr>
              <w:spacing w:line="240" w:lineRule="auto"/>
              <w:ind w:firstLine="0" w:firstLineChars="0"/>
              <w:jc w:val="center"/>
              <w:rPr>
                <w:sz w:val="21"/>
                <w:szCs w:val="21"/>
                <w:u w:val="none"/>
              </w:rPr>
            </w:pPr>
            <w:r>
              <w:rPr>
                <w:sz w:val="21"/>
                <w:szCs w:val="21"/>
                <w:u w:val="none"/>
              </w:rPr>
              <w:t>水资源量一般，取用水量小于或接近所分配用水指标</w:t>
            </w:r>
          </w:p>
        </w:tc>
        <w:tc>
          <w:tcPr>
            <w:tcW w:w="768" w:type="pct"/>
            <w:tcMar>
              <w:left w:w="28" w:type="dxa"/>
              <w:right w:w="28" w:type="dxa"/>
            </w:tcMar>
            <w:vAlign w:val="center"/>
          </w:tcPr>
          <w:p>
            <w:pPr>
              <w:spacing w:line="240" w:lineRule="auto"/>
              <w:ind w:firstLine="0" w:firstLineChars="0"/>
              <w:jc w:val="center"/>
              <w:rPr>
                <w:sz w:val="21"/>
                <w:szCs w:val="21"/>
                <w:u w:val="none"/>
              </w:rPr>
            </w:pPr>
            <w:r>
              <w:rPr>
                <w:sz w:val="21"/>
                <w:szCs w:val="21"/>
                <w:u w:val="none"/>
              </w:rPr>
              <w:t>水资源丰沛，取用水量远小于所分配用水指标</w:t>
            </w:r>
          </w:p>
        </w:tc>
        <w:tc>
          <w:tcPr>
            <w:tcW w:w="1294" w:type="pct"/>
            <w:tcMar>
              <w:left w:w="28" w:type="dxa"/>
              <w:right w:w="28" w:type="dxa"/>
            </w:tcMar>
            <w:vAlign w:val="center"/>
          </w:tcPr>
          <w:p>
            <w:pPr>
              <w:spacing w:line="240" w:lineRule="auto"/>
              <w:ind w:firstLine="0" w:firstLineChars="0"/>
              <w:jc w:val="center"/>
              <w:rPr>
                <w:sz w:val="21"/>
                <w:szCs w:val="21"/>
                <w:u w:val="none"/>
              </w:rPr>
            </w:pPr>
            <w:r>
              <w:rPr>
                <w:sz w:val="21"/>
                <w:szCs w:val="21"/>
                <w:u w:val="none"/>
              </w:rPr>
              <w:t>水资源丰沛，取水用水量远小于所分配用水指标</w:t>
            </w:r>
          </w:p>
        </w:tc>
        <w:tc>
          <w:tcPr>
            <w:tcW w:w="437" w:type="pct"/>
            <w:vAlign w:val="center"/>
          </w:tcPr>
          <w:p>
            <w:pPr>
              <w:spacing w:line="240" w:lineRule="auto"/>
              <w:ind w:firstLine="0" w:firstLineChars="0"/>
              <w:jc w:val="center"/>
              <w:rPr>
                <w:sz w:val="21"/>
                <w:szCs w:val="21"/>
                <w:u w:val="none"/>
              </w:rPr>
            </w:pPr>
            <w:r>
              <w:rPr>
                <w:rFonts w:hint="eastAsia"/>
                <w:sz w:val="21"/>
                <w:szCs w:val="21"/>
                <w:u w:val="none"/>
              </w:rPr>
              <w:t>三级</w:t>
            </w:r>
          </w:p>
        </w:tc>
      </w:tr>
    </w:tbl>
    <w:p>
      <w:pPr>
        <w:ind w:firstLine="480"/>
        <w:rPr>
          <w:u w:val="none"/>
        </w:rPr>
      </w:pPr>
      <w:r>
        <w:rPr>
          <w:rFonts w:hint="eastAsia"/>
          <w:u w:val="none"/>
        </w:rPr>
        <w:t>综上，入河排污口设置论证工作等级由各分类指标等级的最高级别确定，分类等级由地区水资源与水生态状况、水资源利用状况、水域管理要求、污染物排放类型、废污水排放量等分类指标的最高级别确定。因此本次入河排污口设置论证工作等级为</w:t>
      </w:r>
      <w:r>
        <w:rPr>
          <w:rFonts w:hint="eastAsia"/>
          <w:b/>
          <w:bCs/>
          <w:u w:val="none"/>
        </w:rPr>
        <w:t>一级。</w:t>
      </w:r>
    </w:p>
    <w:p>
      <w:pPr>
        <w:pStyle w:val="4"/>
        <w:spacing w:line="240" w:lineRule="auto"/>
        <w:rPr>
          <w:u w:val="none"/>
        </w:rPr>
      </w:pPr>
      <w:r>
        <w:rPr>
          <w:u w:val="none"/>
        </w:rPr>
        <w:t>1.</w:t>
      </w:r>
      <w:r>
        <w:rPr>
          <w:rFonts w:hint="eastAsia"/>
          <w:u w:val="none"/>
        </w:rPr>
        <w:t>4</w:t>
      </w:r>
      <w:r>
        <w:rPr>
          <w:u w:val="none"/>
        </w:rPr>
        <w:t>.</w:t>
      </w:r>
      <w:r>
        <w:rPr>
          <w:rFonts w:hint="eastAsia"/>
          <w:u w:val="none"/>
        </w:rPr>
        <w:t>2</w:t>
      </w:r>
      <w:r>
        <w:rPr>
          <w:u w:val="none"/>
        </w:rPr>
        <w:t>论证</w:t>
      </w:r>
      <w:r>
        <w:rPr>
          <w:rFonts w:hint="eastAsia"/>
          <w:u w:val="none"/>
        </w:rPr>
        <w:t>范围</w:t>
      </w:r>
    </w:p>
    <w:p>
      <w:pPr>
        <w:ind w:firstLine="480"/>
        <w:rPr>
          <w:u w:val="none"/>
        </w:rPr>
      </w:pPr>
      <w:r>
        <w:rPr>
          <w:rFonts w:hint="eastAsia"/>
          <w:u w:val="none"/>
        </w:rPr>
        <w:t>根据《入河排污口监督管理办法》制定的《入河排污口设置论证基本要求（试行）》规定以及《入河排污口设置论证报告技术导则（征求意见稿）》：原则上以受入河排污口影响的主要水域和其影响范围内的第三方取、用水户为论证范围，论证工作的基础单元为水功能区，其中入河排污口所在水功能区和可能受影响的周边水功能区，是论证的重点区域；涉及鱼类产卵场等生态敏感点的，论证范围可不限于上述水功能区，未划分水功能区的水域，入河排污口排污影响范围内的水域都应为论证范围。</w:t>
      </w:r>
    </w:p>
    <w:p>
      <w:pPr>
        <w:ind w:firstLine="480"/>
        <w:rPr>
          <w:u w:val="none"/>
        </w:rPr>
      </w:pPr>
      <w:r>
        <w:rPr>
          <w:rFonts w:hint="eastAsia"/>
          <w:u w:val="none"/>
        </w:rPr>
        <w:t>本项目入河排污口位于资水，资水在益阳市境内流长280km，流域面积7362km</w:t>
      </w:r>
      <w:r>
        <w:rPr>
          <w:rFonts w:hint="eastAsia"/>
          <w:u w:val="none"/>
          <w:vertAlign w:val="superscript"/>
        </w:rPr>
        <w:t>2</w:t>
      </w:r>
      <w:r>
        <w:rPr>
          <w:rFonts w:hint="eastAsia"/>
          <w:u w:val="none"/>
        </w:rPr>
        <w:t>。资水有两源：左源赧水发源于城步苗族自治县北青山，右源夫夷水发源于广西资源县越城岭，两水于邵阳县双江口汇合，流经邵阳、新化、安化、桃江、益阳等市县，于益阳市甘溪港注入洞庭湖，全长653km，流域面积28201km</w:t>
      </w:r>
      <w:r>
        <w:rPr>
          <w:rFonts w:hint="eastAsia"/>
          <w:u w:val="none"/>
          <w:vertAlign w:val="superscript"/>
        </w:rPr>
        <w:t>2</w:t>
      </w:r>
      <w:r>
        <w:rPr>
          <w:rFonts w:hint="eastAsia"/>
          <w:u w:val="none"/>
        </w:rPr>
        <w:t>。</w:t>
      </w:r>
    </w:p>
    <w:p>
      <w:pPr>
        <w:ind w:firstLine="480"/>
        <w:rPr>
          <w:u w:val="none"/>
        </w:rPr>
      </w:pPr>
      <w:r>
        <w:rPr>
          <w:rFonts w:hint="eastAsia"/>
          <w:u w:val="none"/>
        </w:rPr>
        <w:t>根据《湖南省主要水系地表水环境功能区划》（</w:t>
      </w:r>
      <w:r>
        <w:rPr>
          <w:u w:val="none"/>
        </w:rPr>
        <w:t>DB43/023-2005</w:t>
      </w:r>
      <w:r>
        <w:rPr>
          <w:rFonts w:hint="eastAsia"/>
          <w:u w:val="none"/>
        </w:rPr>
        <w:t>）、《益阳市水功能区划》，排污口所在河段为资水桃江保留区，起于桃江县武潭镇水厂下200m，止于桃江县桃花江镇自来水公司一水厂上2000m，全长70.3km，该段目前开发利用程度较低、仅有少量农田灌溉且取用水量较小，根据现状监测报告，目前水质为Ⅱ类。</w:t>
      </w:r>
    </w:p>
    <w:p>
      <w:pPr>
        <w:ind w:firstLine="480"/>
        <w:rPr>
          <w:u w:val="none"/>
        </w:rPr>
      </w:pPr>
      <w:r>
        <w:rPr>
          <w:u w:val="none"/>
        </w:rPr>
        <w:t>2014年国家林业局《关于同意北京房山长沟泉水等140处湿地开展国家湿地公园试点工作的通知》（林湿发</w:t>
      </w:r>
      <w:r>
        <w:rPr>
          <w:rFonts w:hint="eastAsia"/>
          <w:u w:val="none"/>
        </w:rPr>
        <w:t>[</w:t>
      </w:r>
      <w:r>
        <w:rPr>
          <w:u w:val="none"/>
        </w:rPr>
        <w:t>2014</w:t>
      </w:r>
      <w:r>
        <w:rPr>
          <w:rFonts w:hint="eastAsia"/>
          <w:u w:val="none"/>
        </w:rPr>
        <w:t>]</w:t>
      </w:r>
      <w:r>
        <w:rPr>
          <w:u w:val="none"/>
        </w:rPr>
        <w:t>205号）发布，设立湖南桃江羞女湖国家湿地公园，湖南桃江羞女湖国家湿地公园其范围主要包括位于资水下游的修山电站大坝至马迹塘电站大坝水域（含碧螺溪、渣滓溪、沾溪等一级支流的部分水域）及周边部分耕地、林地、交通运输用地。地理坐标为：北纬28°29′19.805″~28°35′2.684″，东经111°53′53.634″~111°55′51.165″。湿地公园东西长为41.8</w:t>
      </w:r>
      <w:r>
        <w:rPr>
          <w:rFonts w:hint="eastAsia"/>
          <w:u w:val="none"/>
        </w:rPr>
        <w:t>km</w:t>
      </w:r>
      <w:r>
        <w:rPr>
          <w:u w:val="none"/>
        </w:rPr>
        <w:t>，南北宽为0.6</w:t>
      </w:r>
      <w:r>
        <w:rPr>
          <w:rFonts w:hint="eastAsia"/>
          <w:u w:val="none"/>
        </w:rPr>
        <w:t>km</w:t>
      </w:r>
      <w:r>
        <w:rPr>
          <w:u w:val="none"/>
        </w:rPr>
        <w:t>，总面积2300.5</w:t>
      </w:r>
      <w:r>
        <w:rPr>
          <w:rFonts w:hint="eastAsia"/>
          <w:u w:val="none"/>
        </w:rPr>
        <w:t>hm2</w:t>
      </w:r>
      <w:r>
        <w:rPr>
          <w:u w:val="none"/>
        </w:rPr>
        <w:t>。本项目位于湖南桃江羞女湖国家湿地公园白竹洲保育区，白竹洲保育区：该区地处羞女湖上游，包括马迹塘水电站大坝</w:t>
      </w:r>
      <w:r>
        <w:rPr>
          <w:rFonts w:hint="eastAsia"/>
          <w:u w:val="none"/>
        </w:rPr>
        <w:t>下游</w:t>
      </w:r>
      <w:r>
        <w:rPr>
          <w:u w:val="none"/>
        </w:rPr>
        <w:t>至白竹洲水电站大坝西侧之间的公园范围（含柿子洲、大洲、黄婆洲等3个洲滩)，面积873.2</w:t>
      </w:r>
      <w:r>
        <w:rPr>
          <w:rFonts w:hint="eastAsia"/>
          <w:u w:val="none"/>
        </w:rPr>
        <w:t>hm</w:t>
      </w:r>
      <w:r>
        <w:rPr>
          <w:rFonts w:hint="eastAsia"/>
          <w:u w:val="none"/>
          <w:vertAlign w:val="superscript"/>
        </w:rPr>
        <w:t>2</w:t>
      </w:r>
      <w:r>
        <w:rPr>
          <w:u w:val="none"/>
        </w:rPr>
        <w:t>。</w:t>
      </w:r>
    </w:p>
    <w:p>
      <w:pPr>
        <w:ind w:firstLine="480"/>
        <w:rPr>
          <w:u w:val="none"/>
        </w:rPr>
      </w:pPr>
      <w:r>
        <w:rPr>
          <w:rFonts w:hint="eastAsia"/>
          <w:u w:val="none"/>
        </w:rPr>
        <w:t>根据本项目污水排放情况，结合纳污水体水环境特点等，同时参照《环境影响评价技术导则—地表水环境》（</w:t>
      </w:r>
      <w:r>
        <w:rPr>
          <w:u w:val="none"/>
        </w:rPr>
        <w:t>HJ2.3-2018</w:t>
      </w:r>
      <w:r>
        <w:rPr>
          <w:rFonts w:hint="eastAsia"/>
          <w:u w:val="none"/>
        </w:rPr>
        <w:t>）应满足覆盖对照断面、控制断面与消减断面等关心断面的要求，本项目关心断面为湖南桃江羞女湖国家湿地公园白竹洲保育区，湖南桃江羞女湖国家湿地公园白竹洲保育区范围为桃江县湘域矿业有限公司首溪金矿入河排污口下游至白竹洲水电站大坝西侧，确定本次论证范围为桃江县湘域矿业有限公司入河排污口上游500m至下游17.5km白竹洲水电站资水河段，论证范围总长为18km。</w:t>
      </w:r>
    </w:p>
    <w:p>
      <w:pPr>
        <w:ind w:firstLine="480"/>
        <w:rPr>
          <w:u w:val="none"/>
        </w:rPr>
        <w:sectPr>
          <w:footerReference r:id="rId11" w:type="default"/>
          <w:pgSz w:w="11906" w:h="16838"/>
          <w:pgMar w:top="1440" w:right="1418" w:bottom="1440" w:left="1418" w:header="851" w:footer="992" w:gutter="0"/>
          <w:pgBorders>
            <w:top w:val="none" w:sz="0" w:space="0"/>
            <w:left w:val="none" w:sz="0" w:space="0"/>
            <w:bottom w:val="none" w:sz="0" w:space="0"/>
            <w:right w:val="none" w:sz="0" w:space="0"/>
          </w:pgBorders>
          <w:pgNumType w:fmt="decimal" w:start="1"/>
          <w:cols w:space="720" w:num="1"/>
          <w:docGrid w:type="linesAndChars" w:linePitch="326" w:charSpace="0"/>
        </w:sectPr>
      </w:pPr>
      <w:r>
        <w:rPr>
          <w:rFonts w:hint="eastAsia"/>
          <w:u w:val="none"/>
        </w:rPr>
        <w:t>项目论证范围示意图见下图。</w:t>
      </w:r>
      <w:r>
        <w:rPr>
          <w:rFonts w:hint="eastAsia"/>
          <w:u w:val="none"/>
        </w:rPr>
        <w:tab/>
      </w:r>
    </w:p>
    <w:p>
      <w:pPr>
        <w:spacing w:line="240" w:lineRule="auto"/>
        <w:ind w:firstLine="480"/>
        <w:rPr>
          <w:u w:val="none"/>
        </w:rPr>
      </w:pPr>
      <w:r>
        <w:rPr>
          <w:u w:val="none"/>
        </w:rPr>
        <w:pict>
          <v:shape id="_x0000_s2050" o:spid="_x0000_s2050" o:spt="62" type="#_x0000_t62" style="position:absolute;left:0pt;margin-left:393.85pt;margin-top:86.85pt;height:81.45pt;width:160.3pt;z-index:251668480;v-text-anchor:middle;mso-width-relative:page;mso-height-relative:page;" filled="f" stroked="t" coordsize="21600,21600" o:gfxdata="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GN7wUnZAAAADAEAAA8AAAAAAAAAAQAgAAAAIgAAAGRycy9kb3du&#10;cmV2LnhtbFBLAQIUABQAAAAIAIdO4kANVcPC4gIAAJsFAAAOAAAAAAAAAAEAIAAAACgBAABkcnMv&#10;ZTJvRG9jLnhtbFBLBQYAAAAABgAGAFkBAAB8BgAAAAA=&#10;" adj="-84,38570,14400">
            <v:path/>
            <v:fill on="f" focussize="0,0"/>
            <v:stroke weight="1.5pt" color="#2E75B6" joinstyle="miter"/>
            <v:imagedata o:title=""/>
            <o:lock v:ext="edit"/>
            <v:textbox>
              <w:txbxContent>
                <w:p>
                  <w:pPr>
                    <w:pStyle w:val="70"/>
                    <w:rPr>
                      <w:b/>
                      <w:bCs/>
                      <w:sz w:val="18"/>
                      <w:szCs w:val="18"/>
                    </w:rPr>
                  </w:pPr>
                  <w:r>
                    <w:rPr>
                      <w:rFonts w:hint="eastAsia"/>
                      <w:b/>
                      <w:bCs/>
                      <w:sz w:val="18"/>
                      <w:szCs w:val="18"/>
                    </w:rPr>
                    <w:t>论证范围桃江县湘域矿业有限公司首溪金矿入河排污口上游500m至下游17.5km白竹洲水电站资水河段，论证范围总长为18km。</w:t>
                  </w:r>
                </w:p>
              </w:txbxContent>
            </v:textbox>
          </v:shape>
        </w:pict>
      </w:r>
      <w:r>
        <w:rPr>
          <w:u w:val="none"/>
        </w:rPr>
        <w:drawing>
          <wp:inline distT="0" distB="0" distL="114300" distR="114300">
            <wp:extent cx="8886825" cy="5320030"/>
            <wp:effectExtent l="0" t="0" r="9525" b="1397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4" cstate="email"/>
                    <a:stretch>
                      <a:fillRect/>
                    </a:stretch>
                  </pic:blipFill>
                  <pic:spPr>
                    <a:xfrm>
                      <a:off x="0" y="0"/>
                      <a:ext cx="8886825" cy="5320030"/>
                    </a:xfrm>
                    <a:prstGeom prst="rect">
                      <a:avLst/>
                    </a:prstGeom>
                    <a:noFill/>
                    <a:ln>
                      <a:noFill/>
                    </a:ln>
                  </pic:spPr>
                </pic:pic>
              </a:graphicData>
            </a:graphic>
          </wp:inline>
        </w:drawing>
      </w:r>
    </w:p>
    <w:p>
      <w:pPr>
        <w:spacing w:line="240" w:lineRule="auto"/>
        <w:ind w:firstLine="480"/>
        <w:jc w:val="center"/>
        <w:rPr>
          <w:b/>
          <w:bCs/>
          <w:sz w:val="21"/>
          <w:szCs w:val="21"/>
          <w:u w:val="none"/>
        </w:rPr>
      </w:pPr>
      <w:r>
        <w:rPr>
          <w:u w:val="none"/>
        </w:rPr>
        <w:drawing>
          <wp:anchor distT="0" distB="0" distL="114300" distR="114300" simplePos="0" relativeHeight="251662336" behindDoc="0" locked="0" layoutInCell="1" allowOverlap="1">
            <wp:simplePos x="0" y="0"/>
            <wp:positionH relativeFrom="column">
              <wp:posOffset>304800</wp:posOffset>
            </wp:positionH>
            <wp:positionV relativeFrom="paragraph">
              <wp:posOffset>-5396865</wp:posOffset>
            </wp:positionV>
            <wp:extent cx="885825" cy="1095375"/>
            <wp:effectExtent l="0" t="0" r="0" b="0"/>
            <wp:wrapNone/>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cstate="email"/>
                    <a:stretch>
                      <a:fillRect/>
                    </a:stretch>
                  </pic:blipFill>
                  <pic:spPr>
                    <a:xfrm>
                      <a:off x="0" y="0"/>
                      <a:ext cx="885825" cy="1095375"/>
                    </a:xfrm>
                    <a:prstGeom prst="rect">
                      <a:avLst/>
                    </a:prstGeom>
                    <a:noFill/>
                    <a:ln>
                      <a:noFill/>
                    </a:ln>
                  </pic:spPr>
                </pic:pic>
              </a:graphicData>
            </a:graphic>
          </wp:anchor>
        </w:drawing>
      </w:r>
      <w:r>
        <w:rPr>
          <w:u w:val="none"/>
        </w:rPr>
        <w:pict>
          <v:shape id="_x0000_s2075" o:spid="_x0000_s2075" o:spt="61" type="#_x0000_t61" style="position:absolute;left:0pt;margin-left:167.8pt;margin-top:556.85pt;height:22.5pt;width:92.65pt;z-index:251665408;mso-width-relative:page;mso-height-relative:page;" stroked="t" coordsize="21600,21600" o:gfxdata="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375r/2gAAAA0BAAAPAAAAAAAAAAEAIAAAACIAAABkcnMvZG93bnJl&#10;di54bWxQSwECFAAUAAAACACHTuJAXKN1iTQCAACPBAAADgAAAAAAAAABACAAAAApAQAAZHJzL2Uy&#10;b0RvYy54bWxQSwUGAAAAAAYABgBZAQAAzwUAAAAA&#10;" adj="-7678,-32303">
            <v:path/>
            <v:fill focussize="0,0"/>
            <v:stroke color="#FFFFFF" joinstyle="miter"/>
            <v:imagedata o:title=""/>
            <o:lock v:ext="edit"/>
            <v:textbox>
              <w:txbxContent>
                <w:p>
                  <w:pPr>
                    <w:spacing w:line="240" w:lineRule="auto"/>
                    <w:ind w:firstLine="0" w:firstLineChars="0"/>
                    <w:rPr>
                      <w:sz w:val="21"/>
                      <w:szCs w:val="21"/>
                    </w:rPr>
                  </w:pPr>
                  <w:r>
                    <w:rPr>
                      <w:rFonts w:hint="eastAsia"/>
                      <w:sz w:val="21"/>
                      <w:szCs w:val="21"/>
                    </w:rPr>
                    <w:t>浑河于家房断面</w:t>
                  </w:r>
                </w:p>
                <w:p>
                  <w:pPr>
                    <w:ind w:firstLine="480"/>
                  </w:pPr>
                </w:p>
              </w:txbxContent>
            </v:textbox>
          </v:shape>
        </w:pict>
      </w:r>
      <w:r>
        <w:rPr>
          <w:u w:val="none"/>
        </w:rPr>
        <w:pict>
          <v:line id="_x0000_s2074" o:spid="_x0000_s2074" o:spt="20" style="position:absolute;left:0pt;margin-left:119.5pt;margin-top:517.7pt;height:15pt;width:27.5pt;z-index:251664384;mso-width-relative:page;mso-height-relative:page;" stroked="t" coordsize="21600,21600" o:gfxdata="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Xnbv3YAAAADQEAAA8AAAAAAAAAAQAgAAAAIgAAAGRycy9kb3ducmV2LnhtbFBLAQIUABQA&#10;AAAIAIdO4kBYIFb58AEAAN4DAAAOAAAAAAAAAAEAIAAAACcBAABkcnMvZTJvRG9jLnhtbFBLBQYA&#10;AAAABgAGAFkBAACJBQAAAAA=&#10;">
            <v:path arrowok="t"/>
            <v:fill focussize="0,0"/>
            <v:stroke color="#FFFF00"/>
            <v:imagedata o:title=""/>
            <o:lock v:ext="edit"/>
          </v:line>
        </w:pict>
      </w:r>
      <w:r>
        <w:rPr>
          <w:b/>
          <w:bCs/>
          <w:sz w:val="21"/>
          <w:szCs w:val="21"/>
          <w:u w:val="none"/>
        </w:rPr>
        <w:t>图</w:t>
      </w:r>
      <w:r>
        <w:rPr>
          <w:rFonts w:hint="eastAsia"/>
          <w:b/>
          <w:bCs/>
          <w:sz w:val="21"/>
          <w:szCs w:val="21"/>
          <w:u w:val="none"/>
        </w:rPr>
        <w:t>1.4.2-1</w:t>
      </w:r>
      <w:r>
        <w:rPr>
          <w:b/>
          <w:bCs/>
          <w:sz w:val="21"/>
          <w:szCs w:val="21"/>
          <w:u w:val="none"/>
        </w:rPr>
        <w:t>本项目</w:t>
      </w:r>
      <w:r>
        <w:rPr>
          <w:rFonts w:hint="eastAsia"/>
          <w:b/>
          <w:bCs/>
          <w:sz w:val="21"/>
          <w:szCs w:val="21"/>
          <w:u w:val="none"/>
        </w:rPr>
        <w:t>论证范围</w:t>
      </w:r>
      <w:r>
        <w:rPr>
          <w:b/>
          <w:bCs/>
          <w:sz w:val="21"/>
          <w:szCs w:val="21"/>
          <w:u w:val="none"/>
        </w:rPr>
        <w:t>示意图</w:t>
      </w:r>
    </w:p>
    <w:p>
      <w:pPr>
        <w:pStyle w:val="46"/>
        <w:spacing w:line="240" w:lineRule="auto"/>
        <w:ind w:left="0" w:leftChars="0" w:firstLine="0" w:firstLineChars="0"/>
        <w:rPr>
          <w:u w:val="none"/>
        </w:rPr>
        <w:sectPr>
          <w:pgSz w:w="16838" w:h="11906" w:orient="landscape"/>
          <w:pgMar w:top="1134" w:right="1418" w:bottom="1701" w:left="1418" w:header="851" w:footer="992" w:gutter="0"/>
          <w:pgBorders>
            <w:top w:val="none" w:sz="0" w:space="0"/>
            <w:left w:val="none" w:sz="0" w:space="0"/>
            <w:bottom w:val="none" w:sz="0" w:space="0"/>
            <w:right w:val="none" w:sz="0" w:space="0"/>
          </w:pgBorders>
          <w:pgNumType w:fmt="decimal"/>
          <w:cols w:space="720" w:num="1"/>
          <w:docGrid w:type="linesAndChars" w:linePitch="332" w:charSpace="0"/>
        </w:sectPr>
      </w:pPr>
    </w:p>
    <w:p>
      <w:pPr>
        <w:pStyle w:val="3"/>
        <w:spacing w:line="240" w:lineRule="auto"/>
        <w:rPr>
          <w:sz w:val="30"/>
          <w:szCs w:val="30"/>
          <w:u w:val="none"/>
        </w:rPr>
      </w:pPr>
      <w:bookmarkStart w:id="15" w:name="_Toc12339"/>
      <w:bookmarkStart w:id="16" w:name="_Toc13970"/>
      <w:r>
        <w:rPr>
          <w:sz w:val="30"/>
          <w:szCs w:val="30"/>
          <w:u w:val="none"/>
        </w:rPr>
        <w:t>1.</w:t>
      </w:r>
      <w:r>
        <w:rPr>
          <w:rFonts w:hint="eastAsia"/>
          <w:sz w:val="30"/>
          <w:szCs w:val="30"/>
          <w:u w:val="none"/>
        </w:rPr>
        <w:t>5</w:t>
      </w:r>
      <w:r>
        <w:rPr>
          <w:sz w:val="30"/>
          <w:szCs w:val="30"/>
          <w:u w:val="none"/>
        </w:rPr>
        <w:t>论证</w:t>
      </w:r>
      <w:r>
        <w:rPr>
          <w:rFonts w:hint="eastAsia"/>
          <w:sz w:val="30"/>
          <w:szCs w:val="30"/>
          <w:u w:val="none"/>
        </w:rPr>
        <w:t>工作</w:t>
      </w:r>
      <w:r>
        <w:rPr>
          <w:sz w:val="30"/>
          <w:szCs w:val="30"/>
          <w:u w:val="none"/>
        </w:rPr>
        <w:t>程序</w:t>
      </w:r>
      <w:bookmarkEnd w:id="15"/>
      <w:bookmarkEnd w:id="16"/>
    </w:p>
    <w:p>
      <w:pPr>
        <w:pStyle w:val="4"/>
        <w:spacing w:line="240" w:lineRule="auto"/>
        <w:rPr>
          <w:sz w:val="24"/>
          <w:u w:val="none"/>
        </w:rPr>
      </w:pPr>
      <w:r>
        <w:rPr>
          <w:rFonts w:hint="eastAsia"/>
          <w:sz w:val="24"/>
          <w:u w:val="none"/>
        </w:rPr>
        <w:t>1.5.1现场查勘和资料收集</w:t>
      </w:r>
    </w:p>
    <w:p>
      <w:pPr>
        <w:ind w:firstLine="480"/>
        <w:rPr>
          <w:u w:val="none"/>
        </w:rPr>
      </w:pPr>
      <w:r>
        <w:rPr>
          <w:rFonts w:hint="eastAsia"/>
          <w:u w:val="none"/>
        </w:rPr>
        <w:t>根据排污口设置的方案，组织技术人员对现场进行查勘，调查和收集该项目所在区域的自然环境和社会环境资料，排污口设置区域的水文、水质和水生态资料等，同时收集可能影响的其他取排水用户资料。</w:t>
      </w:r>
    </w:p>
    <w:p>
      <w:pPr>
        <w:pStyle w:val="4"/>
        <w:spacing w:line="240" w:lineRule="auto"/>
        <w:rPr>
          <w:sz w:val="24"/>
          <w:u w:val="none"/>
        </w:rPr>
      </w:pPr>
      <w:r>
        <w:rPr>
          <w:rFonts w:hint="eastAsia"/>
          <w:sz w:val="24"/>
          <w:u w:val="none"/>
        </w:rPr>
        <w:t>1.5.2资料整理</w:t>
      </w:r>
    </w:p>
    <w:p>
      <w:pPr>
        <w:ind w:firstLine="480"/>
        <w:rPr>
          <w:u w:val="none"/>
        </w:rPr>
      </w:pPr>
      <w:r>
        <w:rPr>
          <w:rFonts w:hint="eastAsia"/>
          <w:u w:val="none"/>
        </w:rPr>
        <w:t>根据所搜集的资料，进行整理分析，明确工程布局、工艺流程、排污口位置、主要污染物排放量及污染特征等基本情况；分析所属河段水资源保护管理要求，水环境现状和水生态现状等情况，以及其他取排水用户分布情况等。</w:t>
      </w:r>
    </w:p>
    <w:p>
      <w:pPr>
        <w:pStyle w:val="4"/>
        <w:spacing w:line="240" w:lineRule="auto"/>
        <w:rPr>
          <w:sz w:val="24"/>
          <w:u w:val="none"/>
        </w:rPr>
      </w:pPr>
      <w:r>
        <w:rPr>
          <w:rFonts w:hint="eastAsia"/>
          <w:sz w:val="24"/>
          <w:u w:val="none"/>
        </w:rPr>
        <w:t>1.5.3影响分析</w:t>
      </w:r>
    </w:p>
    <w:p>
      <w:pPr>
        <w:ind w:firstLine="480"/>
        <w:rPr>
          <w:u w:val="none"/>
        </w:rPr>
      </w:pPr>
      <w:r>
        <w:rPr>
          <w:rFonts w:hint="eastAsia"/>
          <w:u w:val="none"/>
        </w:rPr>
        <w:t>根据现状及资料分析，得出的入河排污口污染物排放产生的影响范围，以及所处河段水生态现状，论证分析入河排污口对所在水域受纳水体的影响的程度。论证分析排污口对上下游水功能区内第三方取用水安全的影响，提出入河排污口设置的制约因素。</w:t>
      </w:r>
    </w:p>
    <w:p>
      <w:pPr>
        <w:ind w:firstLine="480"/>
        <w:rPr>
          <w:u w:val="none"/>
        </w:rPr>
      </w:pPr>
      <w:r>
        <w:rPr>
          <w:rFonts w:hint="eastAsia"/>
          <w:u w:val="none"/>
        </w:rPr>
        <w:t>根据影响论证结果，综合考虑水功能区水质和水生态保护的要求、第三者权益等因素，分析入河排污口位置、排放浓度和总量是否符合有关要求。</w:t>
      </w:r>
    </w:p>
    <w:p>
      <w:pPr>
        <w:ind w:firstLine="480"/>
        <w:rPr>
          <w:u w:val="none"/>
        </w:rPr>
      </w:pPr>
      <w:r>
        <w:rPr>
          <w:rFonts w:hint="eastAsia"/>
          <w:u w:val="none"/>
        </w:rPr>
        <w:t>建设项目入河排污口设置论证程序见图1.5.3-1。</w:t>
      </w:r>
    </w:p>
    <w:p>
      <w:pPr>
        <w:spacing w:line="240" w:lineRule="auto"/>
        <w:ind w:firstLine="0" w:firstLineChars="0"/>
        <w:jc w:val="center"/>
        <w:rPr>
          <w:u w:val="none"/>
          <w:lang w:eastAsia="en-US"/>
        </w:rPr>
      </w:pPr>
      <w:r>
        <w:rPr>
          <w:rFonts w:cs="Arial"/>
          <w:u w:val="none"/>
        </w:rPr>
        <w:drawing>
          <wp:inline distT="0" distB="0" distL="0" distR="0">
            <wp:extent cx="5133975" cy="7296150"/>
            <wp:effectExtent l="0" t="0" r="9525" b="0"/>
            <wp:docPr id="4128" name="图片 4128" descr="C:\Users\Administrator.PCOS-1806041154\AppData\Roaming\Tencent\Users\510637896\QQ\WinTemp\RichOle\Z{{8[%3_(RJP~~3NU7%_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 name="图片 4128" descr="C:\Users\Administrator.PCOS-1806041154\AppData\Roaming\Tencent\Users\510637896\QQ\WinTemp\RichOle\Z{{8[%3_(RJP~~3NU7%_D$B.png"/>
                    <pic:cNvPicPr>
                      <a:picLocks noChangeAspect="1" noChangeArrowheads="1"/>
                    </pic:cNvPicPr>
                  </pic:nvPicPr>
                  <pic:blipFill>
                    <a:blip r:embed="rId16" cstate="email"/>
                    <a:srcRect/>
                    <a:stretch>
                      <a:fillRect/>
                    </a:stretch>
                  </pic:blipFill>
                  <pic:spPr>
                    <a:xfrm>
                      <a:off x="0" y="0"/>
                      <a:ext cx="5133975" cy="7296150"/>
                    </a:xfrm>
                    <a:prstGeom prst="rect">
                      <a:avLst/>
                    </a:prstGeom>
                    <a:noFill/>
                    <a:ln>
                      <a:noFill/>
                    </a:ln>
                  </pic:spPr>
                </pic:pic>
              </a:graphicData>
            </a:graphic>
          </wp:inline>
        </w:drawing>
      </w:r>
    </w:p>
    <w:p>
      <w:pPr>
        <w:spacing w:line="240" w:lineRule="auto"/>
        <w:ind w:firstLine="482"/>
        <w:jc w:val="center"/>
        <w:rPr>
          <w:b/>
          <w:bCs/>
          <w:u w:val="none"/>
        </w:rPr>
      </w:pPr>
      <w:r>
        <w:rPr>
          <w:rFonts w:hint="eastAsia"/>
          <w:b/>
          <w:bCs/>
          <w:u w:val="none"/>
        </w:rPr>
        <w:t>图1.5.3-1建设项目入河排污口设置论证程序图</w:t>
      </w:r>
    </w:p>
    <w:p>
      <w:pPr>
        <w:pStyle w:val="3"/>
        <w:spacing w:line="240" w:lineRule="auto"/>
        <w:rPr>
          <w:sz w:val="30"/>
          <w:szCs w:val="30"/>
          <w:u w:val="none"/>
        </w:rPr>
      </w:pPr>
      <w:bookmarkStart w:id="17" w:name="_Toc24367"/>
      <w:bookmarkStart w:id="18" w:name="_Toc4417"/>
      <w:r>
        <w:rPr>
          <w:sz w:val="30"/>
          <w:szCs w:val="30"/>
          <w:u w:val="none"/>
        </w:rPr>
        <w:t>1.</w:t>
      </w:r>
      <w:r>
        <w:rPr>
          <w:rFonts w:hint="eastAsia"/>
          <w:sz w:val="30"/>
          <w:szCs w:val="30"/>
          <w:u w:val="none"/>
        </w:rPr>
        <w:t>6</w:t>
      </w:r>
      <w:r>
        <w:rPr>
          <w:sz w:val="30"/>
          <w:szCs w:val="30"/>
          <w:u w:val="none"/>
        </w:rPr>
        <w:t>论证</w:t>
      </w:r>
      <w:r>
        <w:rPr>
          <w:rFonts w:hint="eastAsia"/>
          <w:sz w:val="30"/>
          <w:szCs w:val="30"/>
          <w:u w:val="none"/>
        </w:rPr>
        <w:t>的主要</w:t>
      </w:r>
      <w:r>
        <w:rPr>
          <w:sz w:val="30"/>
          <w:szCs w:val="30"/>
          <w:u w:val="none"/>
        </w:rPr>
        <w:t>内容</w:t>
      </w:r>
      <w:bookmarkEnd w:id="17"/>
      <w:bookmarkEnd w:id="18"/>
    </w:p>
    <w:p>
      <w:pPr>
        <w:ind w:firstLine="480"/>
        <w:rPr>
          <w:u w:val="none"/>
        </w:rPr>
      </w:pPr>
      <w:r>
        <w:rPr>
          <w:u w:val="none"/>
        </w:rPr>
        <w:t>按照《入河排污口管理技术导则》、《入河排污口监督管理办法》要求，本次论证报告主要内容如下：</w:t>
      </w:r>
    </w:p>
    <w:p>
      <w:pPr>
        <w:ind w:firstLine="480"/>
        <w:rPr>
          <w:u w:val="none"/>
        </w:rPr>
      </w:pPr>
      <w:r>
        <w:rPr>
          <w:rFonts w:hint="eastAsia"/>
          <w:u w:val="none"/>
        </w:rPr>
        <w:t>（1）</w:t>
      </w:r>
      <w:r>
        <w:rPr>
          <w:u w:val="none"/>
        </w:rPr>
        <w:t>建设项目基本情况；</w:t>
      </w:r>
    </w:p>
    <w:p>
      <w:pPr>
        <w:ind w:firstLine="480"/>
        <w:rPr>
          <w:u w:val="none"/>
        </w:rPr>
      </w:pPr>
      <w:r>
        <w:rPr>
          <w:rFonts w:hint="eastAsia"/>
          <w:u w:val="none"/>
        </w:rPr>
        <w:t>（2）</w:t>
      </w:r>
      <w:r>
        <w:rPr>
          <w:u w:val="none"/>
        </w:rPr>
        <w:t>入河排污口所在水功能区（水域）水质及纳污现状分析；</w:t>
      </w:r>
    </w:p>
    <w:p>
      <w:pPr>
        <w:ind w:firstLine="480"/>
        <w:rPr>
          <w:u w:val="none"/>
        </w:rPr>
      </w:pPr>
      <w:r>
        <w:rPr>
          <w:rFonts w:hint="eastAsia"/>
          <w:u w:val="none"/>
        </w:rPr>
        <w:t>（3）</w:t>
      </w:r>
      <w:r>
        <w:rPr>
          <w:u w:val="none"/>
        </w:rPr>
        <w:t>项目入河排污口设置可行性分析论证及入河排污口设置方案；</w:t>
      </w:r>
    </w:p>
    <w:p>
      <w:pPr>
        <w:ind w:firstLine="480"/>
        <w:rPr>
          <w:u w:val="none"/>
        </w:rPr>
      </w:pPr>
      <w:r>
        <w:rPr>
          <w:rFonts w:hint="eastAsia"/>
          <w:u w:val="none"/>
        </w:rPr>
        <w:t>（4）</w:t>
      </w:r>
      <w:r>
        <w:rPr>
          <w:u w:val="none"/>
        </w:rPr>
        <w:t>入河排污口设置对水功能区（水域）水质影响分析；</w:t>
      </w:r>
    </w:p>
    <w:p>
      <w:pPr>
        <w:ind w:firstLine="480"/>
        <w:rPr>
          <w:u w:val="none"/>
        </w:rPr>
      </w:pPr>
      <w:r>
        <w:rPr>
          <w:rFonts w:hint="eastAsia"/>
          <w:u w:val="none"/>
        </w:rPr>
        <w:t>（5）</w:t>
      </w:r>
      <w:r>
        <w:rPr>
          <w:u w:val="none"/>
        </w:rPr>
        <w:t>入河排污口设置对水功能区（水域）水生态影响分析；</w:t>
      </w:r>
    </w:p>
    <w:p>
      <w:pPr>
        <w:ind w:firstLine="480"/>
        <w:rPr>
          <w:u w:val="none"/>
        </w:rPr>
      </w:pPr>
      <w:r>
        <w:rPr>
          <w:rFonts w:hint="eastAsia"/>
          <w:u w:val="none"/>
        </w:rPr>
        <w:t>（6）</w:t>
      </w:r>
      <w:r>
        <w:rPr>
          <w:u w:val="none"/>
        </w:rPr>
        <w:t>入河排污口设置对地下水影响分析；</w:t>
      </w:r>
    </w:p>
    <w:p>
      <w:pPr>
        <w:ind w:firstLine="480"/>
        <w:rPr>
          <w:u w:val="none"/>
        </w:rPr>
      </w:pPr>
      <w:r>
        <w:rPr>
          <w:rFonts w:hint="eastAsia"/>
          <w:u w:val="none"/>
        </w:rPr>
        <w:t>（7）</w:t>
      </w:r>
      <w:r>
        <w:rPr>
          <w:u w:val="none"/>
        </w:rPr>
        <w:t>入河排污口设置对有利害关系的第三者权益的影响分析；</w:t>
      </w:r>
    </w:p>
    <w:p>
      <w:pPr>
        <w:ind w:firstLine="480"/>
        <w:rPr>
          <w:u w:val="none"/>
        </w:rPr>
      </w:pPr>
      <w:r>
        <w:rPr>
          <w:rFonts w:hint="eastAsia"/>
          <w:u w:val="none"/>
        </w:rPr>
        <w:t>（8）</w:t>
      </w:r>
      <w:r>
        <w:rPr>
          <w:u w:val="none"/>
        </w:rPr>
        <w:t>入河排污口设置合理性分析。</w:t>
      </w:r>
    </w:p>
    <w:p>
      <w:pPr>
        <w:ind w:firstLine="480"/>
        <w:rPr>
          <w:u w:val="none"/>
        </w:rPr>
      </w:pPr>
      <w:r>
        <w:rPr>
          <w:u w:val="none"/>
        </w:rPr>
        <w:t>（</w:t>
      </w:r>
      <w:r>
        <w:rPr>
          <w:rFonts w:hint="eastAsia"/>
          <w:u w:val="none"/>
        </w:rPr>
        <w:t>9</w:t>
      </w:r>
      <w:r>
        <w:rPr>
          <w:u w:val="none"/>
        </w:rPr>
        <w:t>）结论及建议</w:t>
      </w:r>
    </w:p>
    <w:p>
      <w:pPr>
        <w:spacing w:line="240" w:lineRule="auto"/>
        <w:ind w:firstLine="480"/>
        <w:rPr>
          <w:u w:val="none"/>
        </w:rPr>
      </w:pPr>
    </w:p>
    <w:p>
      <w:pPr>
        <w:spacing w:line="240" w:lineRule="auto"/>
        <w:ind w:firstLine="480"/>
        <w:rPr>
          <w:u w:val="none"/>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pPr>
        <w:pStyle w:val="2"/>
        <w:spacing w:before="0" w:after="0" w:line="240" w:lineRule="auto"/>
        <w:ind w:firstLine="0" w:firstLineChars="0"/>
        <w:jc w:val="left"/>
        <w:rPr>
          <w:u w:val="none"/>
        </w:rPr>
      </w:pPr>
      <w:bookmarkStart w:id="19" w:name="_Toc16242"/>
      <w:bookmarkStart w:id="20" w:name="_Toc18074"/>
      <w:r>
        <w:rPr>
          <w:u w:val="none"/>
        </w:rPr>
        <w:t>2</w:t>
      </w:r>
      <w:r>
        <w:rPr>
          <w:rFonts w:hint="eastAsia"/>
          <w:u w:val="none"/>
        </w:rPr>
        <w:t>、</w:t>
      </w:r>
      <w:r>
        <w:rPr>
          <w:u w:val="none"/>
        </w:rPr>
        <w:t>项目概况</w:t>
      </w:r>
      <w:bookmarkEnd w:id="19"/>
      <w:bookmarkEnd w:id="20"/>
    </w:p>
    <w:p>
      <w:pPr>
        <w:pStyle w:val="3"/>
        <w:spacing w:line="240" w:lineRule="auto"/>
        <w:rPr>
          <w:sz w:val="30"/>
          <w:szCs w:val="30"/>
          <w:u w:val="none"/>
        </w:rPr>
      </w:pPr>
      <w:bookmarkStart w:id="21" w:name="_Toc20309"/>
      <w:bookmarkStart w:id="22" w:name="_Toc19441"/>
      <w:r>
        <w:rPr>
          <w:sz w:val="30"/>
          <w:szCs w:val="30"/>
          <w:u w:val="none"/>
        </w:rPr>
        <w:t>2.</w:t>
      </w:r>
      <w:r>
        <w:rPr>
          <w:rFonts w:hint="eastAsia"/>
          <w:sz w:val="30"/>
          <w:szCs w:val="30"/>
          <w:u w:val="none"/>
        </w:rPr>
        <w:t>1</w:t>
      </w:r>
      <w:r>
        <w:rPr>
          <w:sz w:val="30"/>
          <w:szCs w:val="30"/>
          <w:u w:val="none"/>
        </w:rPr>
        <w:t>项目基本情况</w:t>
      </w:r>
      <w:bookmarkEnd w:id="21"/>
      <w:bookmarkEnd w:id="22"/>
    </w:p>
    <w:p>
      <w:pPr>
        <w:pStyle w:val="4"/>
        <w:spacing w:line="240" w:lineRule="auto"/>
        <w:rPr>
          <w:u w:val="none"/>
        </w:rPr>
      </w:pPr>
      <w:r>
        <w:rPr>
          <w:rFonts w:hint="eastAsia"/>
          <w:u w:val="none"/>
        </w:rPr>
        <w:t>2.1.1项目主要建设内容</w:t>
      </w:r>
    </w:p>
    <w:p>
      <w:pPr>
        <w:ind w:firstLine="480"/>
        <w:rPr>
          <w:u w:val="none"/>
        </w:rPr>
      </w:pPr>
      <w:r>
        <w:rPr>
          <w:rFonts w:hint="eastAsia"/>
          <w:u w:val="none"/>
        </w:rPr>
        <w:t>（1）</w:t>
      </w:r>
      <w:r>
        <w:rPr>
          <w:u w:val="none"/>
        </w:rPr>
        <w:t>项目名称：桃江县湘域矿业有限公司首溪金矿</w:t>
      </w:r>
      <w:r>
        <w:rPr>
          <w:rFonts w:hint="eastAsia"/>
          <w:u w:val="none"/>
        </w:rPr>
        <w:t>入河排污口设置论证；</w:t>
      </w:r>
    </w:p>
    <w:p>
      <w:pPr>
        <w:ind w:firstLine="480"/>
        <w:rPr>
          <w:u w:val="none"/>
        </w:rPr>
      </w:pPr>
      <w:r>
        <w:rPr>
          <w:rFonts w:hint="eastAsia"/>
          <w:u w:val="none"/>
        </w:rPr>
        <w:t>（2）</w:t>
      </w:r>
      <w:r>
        <w:rPr>
          <w:u w:val="none"/>
        </w:rPr>
        <w:t>建设单位：桃江县湘域矿业有限公司；</w:t>
      </w:r>
    </w:p>
    <w:p>
      <w:pPr>
        <w:ind w:firstLine="480"/>
        <w:rPr>
          <w:u w:val="none"/>
        </w:rPr>
      </w:pPr>
      <w:r>
        <w:rPr>
          <w:rFonts w:hint="eastAsia"/>
          <w:u w:val="none"/>
        </w:rPr>
        <w:t>（3）</w:t>
      </w:r>
      <w:r>
        <w:rPr>
          <w:u w:val="none"/>
        </w:rPr>
        <w:t>建设地点：</w:t>
      </w:r>
      <w:r>
        <w:rPr>
          <w:rFonts w:hint="eastAsia"/>
          <w:u w:val="none"/>
          <w:lang w:eastAsia="zh-CN"/>
        </w:rPr>
        <w:t>湖南省益阳市桃江县大栗港镇兴坪村</w:t>
      </w:r>
      <w:r>
        <w:rPr>
          <w:u w:val="none"/>
        </w:rPr>
        <w:t>；</w:t>
      </w:r>
    </w:p>
    <w:p>
      <w:pPr>
        <w:ind w:firstLine="480"/>
        <w:rPr>
          <w:u w:val="none"/>
        </w:rPr>
      </w:pPr>
      <w:r>
        <w:rPr>
          <w:rFonts w:hint="eastAsia"/>
          <w:u w:val="none"/>
        </w:rPr>
        <w:t>（4）</w:t>
      </w:r>
      <w:r>
        <w:rPr>
          <w:u w:val="none"/>
        </w:rPr>
        <w:t>建设性质：</w:t>
      </w:r>
      <w:r>
        <w:rPr>
          <w:rFonts w:hint="eastAsia"/>
          <w:u w:val="none"/>
        </w:rPr>
        <w:t>新建</w:t>
      </w:r>
      <w:r>
        <w:rPr>
          <w:u w:val="none"/>
        </w:rPr>
        <w:t>；</w:t>
      </w:r>
    </w:p>
    <w:p>
      <w:pPr>
        <w:ind w:firstLine="480"/>
        <w:rPr>
          <w:u w:val="none"/>
        </w:rPr>
      </w:pPr>
      <w:r>
        <w:rPr>
          <w:rFonts w:hint="eastAsia"/>
          <w:u w:val="none"/>
        </w:rPr>
        <w:t>（5）生产规模</w:t>
      </w:r>
      <w:r>
        <w:rPr>
          <w:u w:val="none"/>
        </w:rPr>
        <w:t>：</w:t>
      </w:r>
      <w:r>
        <w:rPr>
          <w:rFonts w:hint="eastAsia"/>
          <w:u w:val="none"/>
        </w:rPr>
        <w:t>矿山开采规模3万t/a，选矿规模3万t/a</w:t>
      </w:r>
      <w:r>
        <w:rPr>
          <w:u w:val="none"/>
        </w:rPr>
        <w:t>；</w:t>
      </w:r>
    </w:p>
    <w:p>
      <w:pPr>
        <w:ind w:firstLine="480"/>
        <w:rPr>
          <w:u w:val="none"/>
        </w:rPr>
      </w:pPr>
      <w:r>
        <w:rPr>
          <w:rFonts w:hint="eastAsia"/>
          <w:u w:val="none"/>
        </w:rPr>
        <w:t>（6）项目组成：分为主体工程，辅助工程、公用工程，环保工程及辅助工程等。</w:t>
      </w:r>
    </w:p>
    <w:p>
      <w:pPr>
        <w:ind w:firstLine="480"/>
        <w:rPr>
          <w:u w:val="none"/>
        </w:rPr>
      </w:pPr>
      <w:r>
        <w:rPr>
          <w:rFonts w:hint="eastAsia"/>
          <w:u w:val="none"/>
        </w:rPr>
        <w:t>（7）工作制度：其中管理人员，每天一班，每班8小时；生产职工，每天三</w:t>
      </w:r>
    </w:p>
    <w:p>
      <w:pPr>
        <w:ind w:firstLine="480"/>
        <w:rPr>
          <w:u w:val="none"/>
        </w:rPr>
      </w:pPr>
      <w:r>
        <w:rPr>
          <w:rFonts w:hint="eastAsia"/>
          <w:u w:val="none"/>
        </w:rPr>
        <w:t>班，除破碎筛分职工每班5小时外其余均每班8小时，年工作制度为300天</w:t>
      </w:r>
      <w:r>
        <w:rPr>
          <w:u w:val="none"/>
        </w:rPr>
        <w:t>。</w:t>
      </w:r>
    </w:p>
    <w:p>
      <w:pPr>
        <w:ind w:firstLine="480"/>
        <w:rPr>
          <w:u w:val="none"/>
        </w:rPr>
      </w:pPr>
      <w:r>
        <w:rPr>
          <w:rFonts w:hint="eastAsia"/>
          <w:u w:val="none"/>
        </w:rPr>
        <w:t>（8）</w:t>
      </w:r>
      <w:r>
        <w:rPr>
          <w:u w:val="none"/>
        </w:rPr>
        <w:t>入河排污口位置方案：本次排污口位置拟设置于桃江县</w:t>
      </w:r>
      <w:r>
        <w:rPr>
          <w:rFonts w:hint="eastAsia"/>
          <w:u w:val="none"/>
        </w:rPr>
        <w:t>大栗港镇兴坪村</w:t>
      </w:r>
      <w:r>
        <w:rPr>
          <w:u w:val="none"/>
        </w:rPr>
        <w:t>，</w:t>
      </w:r>
      <w:r>
        <w:rPr>
          <w:rFonts w:hint="eastAsia"/>
          <w:u w:val="none"/>
        </w:rPr>
        <w:t>资水</w:t>
      </w:r>
      <w:r>
        <w:rPr>
          <w:u w:val="none"/>
        </w:rPr>
        <w:t>水流方向右侧，排放口坐标为（E：111°48′43.72365″，N：28°30′25.66435″）。</w:t>
      </w:r>
    </w:p>
    <w:p>
      <w:pPr>
        <w:pStyle w:val="4"/>
        <w:spacing w:line="240" w:lineRule="auto"/>
        <w:rPr>
          <w:u w:val="none"/>
        </w:rPr>
      </w:pPr>
      <w:bookmarkStart w:id="23" w:name="_Toc20352"/>
      <w:bookmarkStart w:id="24" w:name="_Toc9961"/>
      <w:r>
        <w:rPr>
          <w:rFonts w:hint="eastAsia"/>
          <w:u w:val="none"/>
        </w:rPr>
        <w:t>2.1.2</w:t>
      </w:r>
      <w:bookmarkEnd w:id="23"/>
      <w:r>
        <w:rPr>
          <w:rFonts w:hint="eastAsia"/>
          <w:u w:val="none"/>
        </w:rPr>
        <w:t>主要建设内容及规模</w:t>
      </w:r>
      <w:bookmarkEnd w:id="24"/>
    </w:p>
    <w:p>
      <w:pPr>
        <w:ind w:firstLine="480"/>
        <w:rPr>
          <w:u w:val="none"/>
        </w:rPr>
      </w:pPr>
      <w:r>
        <w:rPr>
          <w:rFonts w:hint="eastAsia"/>
          <w:u w:val="none"/>
        </w:rPr>
        <w:t>本项目由生产区、办公区、生活区三个部分组成，具体组成情况见表2.1.2-1。</w:t>
      </w:r>
    </w:p>
    <w:p>
      <w:pPr>
        <w:spacing w:line="240" w:lineRule="auto"/>
        <w:ind w:firstLine="482"/>
        <w:jc w:val="center"/>
        <w:rPr>
          <w:b/>
          <w:bCs/>
          <w:u w:val="none"/>
        </w:rPr>
      </w:pPr>
      <w:r>
        <w:rPr>
          <w:rFonts w:hint="eastAsia"/>
          <w:b/>
          <w:bCs/>
          <w:u w:val="none"/>
        </w:rPr>
        <w:t>表2.1.2-1项目工程组成一览表</w:t>
      </w:r>
    </w:p>
    <w:tbl>
      <w:tblPr>
        <w:tblStyle w:val="31"/>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186"/>
        <w:gridCol w:w="2118"/>
        <w:gridCol w:w="4581"/>
        <w:gridCol w:w="140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68" w:hRule="atLeast"/>
          <w:tblHeader/>
          <w:jc w:val="center"/>
        </w:trPr>
        <w:tc>
          <w:tcPr>
            <w:tcW w:w="1779" w:type="pct"/>
            <w:gridSpan w:val="2"/>
            <w:tcBorders>
              <w:tl2br w:val="nil"/>
              <w:tr2bl w:val="nil"/>
            </w:tcBorders>
            <w:vAlign w:val="center"/>
          </w:tcPr>
          <w:p>
            <w:pPr>
              <w:pStyle w:val="51"/>
              <w:rPr>
                <w:u w:val="none"/>
              </w:rPr>
            </w:pPr>
            <w:r>
              <w:rPr>
                <w:rFonts w:hint="eastAsia"/>
                <w:u w:val="none"/>
              </w:rPr>
              <w:t>名称</w:t>
            </w:r>
          </w:p>
        </w:tc>
        <w:tc>
          <w:tcPr>
            <w:tcW w:w="2466" w:type="pct"/>
            <w:tcBorders>
              <w:tl2br w:val="nil"/>
              <w:tr2bl w:val="nil"/>
            </w:tcBorders>
            <w:vAlign w:val="center"/>
          </w:tcPr>
          <w:p>
            <w:pPr>
              <w:pStyle w:val="51"/>
              <w:rPr>
                <w:u w:val="none"/>
              </w:rPr>
            </w:pPr>
            <w:r>
              <w:rPr>
                <w:rFonts w:hint="eastAsia"/>
                <w:u w:val="none"/>
              </w:rPr>
              <w:t>建设内容及规模</w:t>
            </w:r>
          </w:p>
        </w:tc>
        <w:tc>
          <w:tcPr>
            <w:tcW w:w="754" w:type="pct"/>
            <w:tcBorders>
              <w:tl2br w:val="nil"/>
              <w:tr2bl w:val="nil"/>
            </w:tcBorders>
            <w:vAlign w:val="center"/>
          </w:tcPr>
          <w:p>
            <w:pPr>
              <w:pStyle w:val="51"/>
              <w:rPr>
                <w:u w:val="none"/>
              </w:rPr>
            </w:pPr>
            <w:r>
              <w:rPr>
                <w:rFonts w:hint="eastAsia"/>
                <w:u w:val="none"/>
              </w:rPr>
              <w:t>是否建成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9" w:hRule="atLeast"/>
          <w:jc w:val="center"/>
        </w:trPr>
        <w:tc>
          <w:tcPr>
            <w:tcW w:w="639" w:type="pct"/>
            <w:vMerge w:val="restart"/>
            <w:tcBorders>
              <w:tl2br w:val="nil"/>
              <w:tr2bl w:val="nil"/>
            </w:tcBorders>
            <w:vAlign w:val="center"/>
          </w:tcPr>
          <w:p>
            <w:pPr>
              <w:pStyle w:val="51"/>
              <w:rPr>
                <w:u w:val="none"/>
              </w:rPr>
            </w:pPr>
            <w:r>
              <w:rPr>
                <w:rFonts w:hint="eastAsia"/>
                <w:u w:val="none"/>
              </w:rPr>
              <w:t>主体工程</w:t>
            </w:r>
          </w:p>
        </w:tc>
        <w:tc>
          <w:tcPr>
            <w:tcW w:w="1140" w:type="pct"/>
            <w:tcBorders>
              <w:tl2br w:val="nil"/>
              <w:tr2bl w:val="nil"/>
            </w:tcBorders>
            <w:vAlign w:val="center"/>
          </w:tcPr>
          <w:p>
            <w:pPr>
              <w:pStyle w:val="51"/>
              <w:rPr>
                <w:u w:val="none"/>
              </w:rPr>
            </w:pPr>
            <w:r>
              <w:rPr>
                <w:rFonts w:hint="eastAsia"/>
                <w:u w:val="none"/>
              </w:rPr>
              <w:t>采矿区</w:t>
            </w:r>
          </w:p>
        </w:tc>
        <w:tc>
          <w:tcPr>
            <w:tcW w:w="2466" w:type="pct"/>
            <w:tcBorders>
              <w:tl2br w:val="nil"/>
              <w:tr2bl w:val="nil"/>
            </w:tcBorders>
            <w:vAlign w:val="center"/>
          </w:tcPr>
          <w:p>
            <w:pPr>
              <w:pStyle w:val="51"/>
              <w:rPr>
                <w:u w:val="none"/>
              </w:rPr>
            </w:pPr>
            <w:r>
              <w:rPr>
                <w:rFonts w:hint="eastAsia"/>
                <w:u w:val="none"/>
              </w:rPr>
              <w:t>矿井、采矿工业广场(250m</w:t>
            </w:r>
            <w:r>
              <w:rPr>
                <w:rFonts w:hint="eastAsia"/>
                <w:u w:val="none"/>
                <w:vertAlign w:val="superscript"/>
              </w:rPr>
              <w:t>2</w:t>
            </w:r>
            <w:r>
              <w:rPr>
                <w:rFonts w:hint="eastAsia"/>
                <w:u w:val="none"/>
              </w:rPr>
              <w:t>)</w:t>
            </w:r>
          </w:p>
        </w:tc>
        <w:tc>
          <w:tcPr>
            <w:tcW w:w="754" w:type="pct"/>
            <w:tcBorders>
              <w:tl2br w:val="nil"/>
              <w:tr2bl w:val="nil"/>
            </w:tcBorders>
            <w:vAlign w:val="center"/>
          </w:tcPr>
          <w:p>
            <w:pPr>
              <w:pStyle w:val="51"/>
              <w:rPr>
                <w:u w:val="none"/>
              </w:rPr>
            </w:pPr>
            <w:r>
              <w:rPr>
                <w:rFonts w:hint="eastAsia"/>
                <w:u w:val="none"/>
              </w:rPr>
              <w:t>已建成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9" w:hRule="atLeast"/>
          <w:jc w:val="center"/>
        </w:trPr>
        <w:tc>
          <w:tcPr>
            <w:tcW w:w="639" w:type="pct"/>
            <w:vMerge w:val="continue"/>
            <w:tcBorders>
              <w:tl2br w:val="nil"/>
              <w:tr2bl w:val="nil"/>
            </w:tcBorders>
            <w:vAlign w:val="center"/>
          </w:tcPr>
          <w:p>
            <w:pPr>
              <w:pStyle w:val="51"/>
              <w:rPr>
                <w:u w:val="none"/>
              </w:rPr>
            </w:pPr>
            <w:bookmarkStart w:id="25" w:name="_Toc30511"/>
          </w:p>
        </w:tc>
        <w:tc>
          <w:tcPr>
            <w:tcW w:w="1140" w:type="pct"/>
            <w:tcBorders>
              <w:tl2br w:val="nil"/>
              <w:tr2bl w:val="nil"/>
            </w:tcBorders>
            <w:vAlign w:val="center"/>
          </w:tcPr>
          <w:p>
            <w:pPr>
              <w:pStyle w:val="51"/>
              <w:rPr>
                <w:u w:val="none"/>
              </w:rPr>
            </w:pPr>
            <w:r>
              <w:rPr>
                <w:rFonts w:hint="eastAsia"/>
                <w:u w:val="none"/>
              </w:rPr>
              <w:t>选矿区</w:t>
            </w:r>
          </w:p>
        </w:tc>
        <w:tc>
          <w:tcPr>
            <w:tcW w:w="2466" w:type="pct"/>
            <w:tcBorders>
              <w:tl2br w:val="nil"/>
              <w:tr2bl w:val="nil"/>
            </w:tcBorders>
            <w:vAlign w:val="center"/>
          </w:tcPr>
          <w:p>
            <w:pPr>
              <w:pStyle w:val="51"/>
              <w:jc w:val="left"/>
              <w:rPr>
                <w:u w:val="none"/>
              </w:rPr>
            </w:pPr>
            <w:r>
              <w:rPr>
                <w:rFonts w:hint="eastAsia"/>
                <w:u w:val="none"/>
              </w:rPr>
              <w:t>破碎车间(200m</w:t>
            </w:r>
            <w:r>
              <w:rPr>
                <w:rFonts w:hint="eastAsia"/>
                <w:u w:val="none"/>
                <w:vertAlign w:val="superscript"/>
              </w:rPr>
              <w:t>2</w:t>
            </w:r>
            <w:r>
              <w:rPr>
                <w:rFonts w:hint="eastAsia"/>
                <w:u w:val="none"/>
              </w:rPr>
              <w:t>)、球磨车间(120m</w:t>
            </w:r>
            <w:r>
              <w:rPr>
                <w:rFonts w:hint="eastAsia"/>
                <w:u w:val="none"/>
                <w:vertAlign w:val="superscript"/>
              </w:rPr>
              <w:t>2</w:t>
            </w:r>
            <w:r>
              <w:rPr>
                <w:rFonts w:hint="eastAsia"/>
                <w:u w:val="none"/>
              </w:rPr>
              <w:t>)、浮选车间(160m</w:t>
            </w:r>
            <w:r>
              <w:rPr>
                <w:rFonts w:hint="eastAsia"/>
                <w:u w:val="none"/>
                <w:vertAlign w:val="superscript"/>
              </w:rPr>
              <w:t>2</w:t>
            </w:r>
            <w:r>
              <w:rPr>
                <w:rFonts w:hint="eastAsia"/>
                <w:u w:val="none"/>
              </w:rPr>
              <w:t>)、精矿浓密车间(20m</w:t>
            </w:r>
            <w:r>
              <w:rPr>
                <w:rFonts w:hint="eastAsia"/>
                <w:u w:val="none"/>
                <w:vertAlign w:val="superscript"/>
              </w:rPr>
              <w:t>2</w:t>
            </w:r>
            <w:r>
              <w:rPr>
                <w:rFonts w:hint="eastAsia"/>
                <w:u w:val="none"/>
              </w:rPr>
              <w:t>)、尾矿压滤车间(30m</w:t>
            </w:r>
            <w:r>
              <w:rPr>
                <w:rFonts w:hint="eastAsia"/>
                <w:u w:val="none"/>
                <w:vertAlign w:val="superscript"/>
              </w:rPr>
              <w:t>2</w:t>
            </w:r>
            <w:r>
              <w:rPr>
                <w:rFonts w:hint="eastAsia"/>
                <w:u w:val="none"/>
              </w:rPr>
              <w:t>)</w:t>
            </w:r>
          </w:p>
        </w:tc>
        <w:tc>
          <w:tcPr>
            <w:tcW w:w="754" w:type="pct"/>
            <w:tcBorders>
              <w:tl2br w:val="nil"/>
              <w:tr2bl w:val="nil"/>
            </w:tcBorders>
            <w:vAlign w:val="center"/>
          </w:tcPr>
          <w:p>
            <w:pPr>
              <w:pStyle w:val="51"/>
              <w:rPr>
                <w:u w:val="none"/>
              </w:rPr>
            </w:pPr>
            <w:r>
              <w:rPr>
                <w:rFonts w:hint="eastAsia"/>
                <w:u w:val="none"/>
              </w:rPr>
              <w:t>已建成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9" w:hRule="atLeast"/>
          <w:jc w:val="center"/>
        </w:trPr>
        <w:tc>
          <w:tcPr>
            <w:tcW w:w="639" w:type="pct"/>
            <w:vMerge w:val="continue"/>
            <w:tcBorders>
              <w:tl2br w:val="nil"/>
              <w:tr2bl w:val="nil"/>
            </w:tcBorders>
            <w:vAlign w:val="center"/>
          </w:tcPr>
          <w:p>
            <w:pPr>
              <w:pStyle w:val="51"/>
              <w:rPr>
                <w:u w:val="none"/>
              </w:rPr>
            </w:pPr>
          </w:p>
        </w:tc>
        <w:tc>
          <w:tcPr>
            <w:tcW w:w="1140" w:type="pct"/>
            <w:tcBorders>
              <w:tl2br w:val="nil"/>
              <w:tr2bl w:val="nil"/>
            </w:tcBorders>
            <w:vAlign w:val="center"/>
          </w:tcPr>
          <w:p>
            <w:pPr>
              <w:pStyle w:val="51"/>
              <w:rPr>
                <w:u w:val="none"/>
              </w:rPr>
            </w:pPr>
            <w:r>
              <w:rPr>
                <w:rFonts w:hint="eastAsia"/>
                <w:u w:val="none"/>
              </w:rPr>
              <w:t>尾矿库</w:t>
            </w:r>
          </w:p>
        </w:tc>
        <w:tc>
          <w:tcPr>
            <w:tcW w:w="2466" w:type="pct"/>
            <w:tcBorders>
              <w:tl2br w:val="nil"/>
              <w:tr2bl w:val="nil"/>
            </w:tcBorders>
            <w:vAlign w:val="center"/>
          </w:tcPr>
          <w:p>
            <w:pPr>
              <w:pStyle w:val="51"/>
              <w:jc w:val="left"/>
              <w:rPr>
                <w:u w:val="none"/>
              </w:rPr>
            </w:pPr>
            <w:r>
              <w:rPr>
                <w:rFonts w:hint="eastAsia"/>
                <w:u w:val="none"/>
              </w:rPr>
              <w:t>尾矿库坝采用碾压土石筑坝，坝底埋有渗水管，设计总坝高15m、坝底宽68.50m、坝顶宽4m、长86m，设计库容27.57万m</w:t>
            </w:r>
            <w:r>
              <w:rPr>
                <w:rFonts w:hint="eastAsia"/>
                <w:u w:val="none"/>
                <w:vertAlign w:val="superscript"/>
              </w:rPr>
              <w:t>3</w:t>
            </w:r>
            <w:r>
              <w:rPr>
                <w:rFonts w:hint="eastAsia"/>
                <w:u w:val="none"/>
              </w:rPr>
              <w:t>、总有效库容25.58万m</w:t>
            </w:r>
            <w:r>
              <w:rPr>
                <w:rFonts w:hint="eastAsia"/>
                <w:u w:val="none"/>
                <w:vertAlign w:val="superscript"/>
              </w:rPr>
              <w:t>3</w:t>
            </w:r>
            <w:r>
              <w:rPr>
                <w:rFonts w:hint="eastAsia"/>
                <w:u w:val="none"/>
              </w:rPr>
              <w:t>，属五等小型库；初期坝采用碾压均质土坝，总坝高15m、坝底宽68.50m、坝顶宽4m、长86m，排洪设施采用拦洪坝＋截洪沟型式</w:t>
            </w:r>
          </w:p>
        </w:tc>
        <w:tc>
          <w:tcPr>
            <w:tcW w:w="754" w:type="pct"/>
            <w:tcBorders>
              <w:tl2br w:val="nil"/>
              <w:tr2bl w:val="nil"/>
            </w:tcBorders>
            <w:vAlign w:val="center"/>
          </w:tcPr>
          <w:p>
            <w:pPr>
              <w:pStyle w:val="51"/>
              <w:rPr>
                <w:u w:val="none"/>
              </w:rPr>
            </w:pPr>
            <w:r>
              <w:rPr>
                <w:rFonts w:hint="eastAsia"/>
                <w:u w:val="none"/>
              </w:rPr>
              <w:t>已建成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9" w:hRule="atLeast"/>
          <w:jc w:val="center"/>
        </w:trPr>
        <w:tc>
          <w:tcPr>
            <w:tcW w:w="639" w:type="pct"/>
            <w:vMerge w:val="continue"/>
            <w:tcBorders>
              <w:tl2br w:val="nil"/>
              <w:tr2bl w:val="nil"/>
            </w:tcBorders>
            <w:vAlign w:val="center"/>
          </w:tcPr>
          <w:p>
            <w:pPr>
              <w:pStyle w:val="51"/>
              <w:rPr>
                <w:u w:val="none"/>
              </w:rPr>
            </w:pPr>
          </w:p>
        </w:tc>
        <w:tc>
          <w:tcPr>
            <w:tcW w:w="1140" w:type="pct"/>
            <w:tcBorders>
              <w:tl2br w:val="nil"/>
              <w:tr2bl w:val="nil"/>
            </w:tcBorders>
            <w:vAlign w:val="center"/>
          </w:tcPr>
          <w:p>
            <w:pPr>
              <w:pStyle w:val="51"/>
              <w:rPr>
                <w:u w:val="none"/>
              </w:rPr>
            </w:pPr>
            <w:r>
              <w:rPr>
                <w:rFonts w:hint="eastAsia"/>
                <w:u w:val="none"/>
              </w:rPr>
              <w:t>废石堆场</w:t>
            </w:r>
          </w:p>
        </w:tc>
        <w:tc>
          <w:tcPr>
            <w:tcW w:w="2466" w:type="pct"/>
            <w:tcBorders>
              <w:tl2br w:val="nil"/>
              <w:tr2bl w:val="nil"/>
            </w:tcBorders>
            <w:vAlign w:val="center"/>
          </w:tcPr>
          <w:p>
            <w:pPr>
              <w:pStyle w:val="51"/>
              <w:jc w:val="left"/>
              <w:rPr>
                <w:u w:val="none"/>
              </w:rPr>
            </w:pPr>
            <w:r>
              <w:rPr>
                <w:rFonts w:hint="eastAsia"/>
                <w:u w:val="none"/>
              </w:rPr>
              <w:t>废石堆场面积约1125m</w:t>
            </w:r>
            <w:r>
              <w:rPr>
                <w:rFonts w:hint="eastAsia"/>
                <w:u w:val="none"/>
                <w:vertAlign w:val="superscript"/>
              </w:rPr>
              <w:t>2</w:t>
            </w:r>
            <w:r>
              <w:rPr>
                <w:rFonts w:hint="eastAsia"/>
                <w:u w:val="none"/>
              </w:rPr>
              <w:t>，筑有3m高挡石墙，挡石墙外侧连接矿区道路，挡石墙内侧建有集水池，废石堆场淋溶水经集水池收集后，泵入废水处理站处理</w:t>
            </w:r>
          </w:p>
        </w:tc>
        <w:tc>
          <w:tcPr>
            <w:tcW w:w="754" w:type="pct"/>
            <w:tcBorders>
              <w:tl2br w:val="nil"/>
              <w:tr2bl w:val="nil"/>
            </w:tcBorders>
            <w:vAlign w:val="center"/>
          </w:tcPr>
          <w:p>
            <w:pPr>
              <w:pStyle w:val="51"/>
              <w:rPr>
                <w:u w:val="none"/>
              </w:rPr>
            </w:pPr>
            <w:r>
              <w:rPr>
                <w:rFonts w:hint="eastAsia"/>
                <w:u w:val="none"/>
              </w:rPr>
              <w:t>已建成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9" w:hRule="atLeast"/>
          <w:jc w:val="center"/>
        </w:trPr>
        <w:tc>
          <w:tcPr>
            <w:tcW w:w="639" w:type="pct"/>
            <w:vMerge w:val="restart"/>
            <w:tcBorders>
              <w:tl2br w:val="nil"/>
              <w:tr2bl w:val="nil"/>
            </w:tcBorders>
            <w:vAlign w:val="center"/>
          </w:tcPr>
          <w:p>
            <w:pPr>
              <w:pStyle w:val="51"/>
              <w:rPr>
                <w:u w:val="none"/>
              </w:rPr>
            </w:pPr>
            <w:r>
              <w:rPr>
                <w:u w:val="none"/>
              </w:rPr>
              <w:t>辅助工程</w:t>
            </w:r>
          </w:p>
        </w:tc>
        <w:tc>
          <w:tcPr>
            <w:tcW w:w="1140" w:type="pct"/>
            <w:tcBorders>
              <w:tl2br w:val="nil"/>
              <w:tr2bl w:val="nil"/>
            </w:tcBorders>
            <w:vAlign w:val="center"/>
          </w:tcPr>
          <w:p>
            <w:pPr>
              <w:pStyle w:val="51"/>
              <w:rPr>
                <w:u w:val="none"/>
              </w:rPr>
            </w:pPr>
            <w:r>
              <w:rPr>
                <w:u w:val="none"/>
              </w:rPr>
              <w:t>原料仓</w:t>
            </w:r>
          </w:p>
        </w:tc>
        <w:tc>
          <w:tcPr>
            <w:tcW w:w="2466" w:type="pct"/>
            <w:tcBorders>
              <w:tl2br w:val="nil"/>
              <w:tr2bl w:val="nil"/>
            </w:tcBorders>
            <w:vAlign w:val="center"/>
          </w:tcPr>
          <w:p>
            <w:pPr>
              <w:pStyle w:val="51"/>
              <w:jc w:val="left"/>
              <w:rPr>
                <w:u w:val="none"/>
              </w:rPr>
            </w:pPr>
            <w:r>
              <w:rPr>
                <w:u w:val="none"/>
              </w:rPr>
              <w:t>主要用于堆存原矿，面积为20m</w:t>
            </w:r>
            <w:r>
              <w:rPr>
                <w:u w:val="none"/>
                <w:vertAlign w:val="superscript"/>
              </w:rPr>
              <w:t>2</w:t>
            </w:r>
          </w:p>
        </w:tc>
        <w:tc>
          <w:tcPr>
            <w:tcW w:w="754" w:type="pct"/>
            <w:tcBorders>
              <w:tl2br w:val="nil"/>
              <w:tr2bl w:val="nil"/>
            </w:tcBorders>
            <w:vAlign w:val="center"/>
          </w:tcPr>
          <w:p>
            <w:pPr>
              <w:pStyle w:val="51"/>
              <w:rPr>
                <w:u w:val="none"/>
              </w:rPr>
            </w:pPr>
            <w:r>
              <w:rPr>
                <w:rFonts w:hint="eastAsia"/>
                <w:u w:val="none"/>
              </w:rPr>
              <w:t>已建成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9" w:hRule="atLeast"/>
          <w:jc w:val="center"/>
        </w:trPr>
        <w:tc>
          <w:tcPr>
            <w:tcW w:w="639" w:type="pct"/>
            <w:vMerge w:val="continue"/>
            <w:tcBorders>
              <w:tl2br w:val="nil"/>
              <w:tr2bl w:val="nil"/>
            </w:tcBorders>
            <w:vAlign w:val="center"/>
          </w:tcPr>
          <w:p>
            <w:pPr>
              <w:pStyle w:val="51"/>
              <w:rPr>
                <w:u w:val="none"/>
              </w:rPr>
            </w:pPr>
          </w:p>
        </w:tc>
        <w:tc>
          <w:tcPr>
            <w:tcW w:w="1140" w:type="pct"/>
            <w:tcBorders>
              <w:tl2br w:val="nil"/>
              <w:tr2bl w:val="nil"/>
            </w:tcBorders>
            <w:vAlign w:val="center"/>
          </w:tcPr>
          <w:p>
            <w:pPr>
              <w:pStyle w:val="51"/>
              <w:rPr>
                <w:u w:val="none"/>
              </w:rPr>
            </w:pPr>
            <w:r>
              <w:rPr>
                <w:u w:val="none"/>
              </w:rPr>
              <w:t>产品仓库</w:t>
            </w:r>
          </w:p>
        </w:tc>
        <w:tc>
          <w:tcPr>
            <w:tcW w:w="2466" w:type="pct"/>
            <w:tcBorders>
              <w:tl2br w:val="nil"/>
              <w:tr2bl w:val="nil"/>
            </w:tcBorders>
            <w:vAlign w:val="center"/>
          </w:tcPr>
          <w:p>
            <w:pPr>
              <w:pStyle w:val="51"/>
              <w:jc w:val="left"/>
              <w:rPr>
                <w:u w:val="none"/>
              </w:rPr>
            </w:pPr>
            <w:r>
              <w:rPr>
                <w:u w:val="none"/>
              </w:rPr>
              <w:t>主要用于存放产品金精矿，面积为30m</w:t>
            </w:r>
            <w:r>
              <w:rPr>
                <w:u w:val="none"/>
                <w:vertAlign w:val="superscript"/>
              </w:rPr>
              <w:t>2</w:t>
            </w:r>
          </w:p>
        </w:tc>
        <w:tc>
          <w:tcPr>
            <w:tcW w:w="754" w:type="pct"/>
            <w:tcBorders>
              <w:tl2br w:val="nil"/>
              <w:tr2bl w:val="nil"/>
            </w:tcBorders>
            <w:vAlign w:val="center"/>
          </w:tcPr>
          <w:p>
            <w:pPr>
              <w:pStyle w:val="51"/>
              <w:rPr>
                <w:u w:val="none"/>
              </w:rPr>
            </w:pPr>
            <w:r>
              <w:rPr>
                <w:rFonts w:hint="eastAsia"/>
                <w:u w:val="none"/>
              </w:rPr>
              <w:t>已建成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9" w:hRule="atLeast"/>
          <w:jc w:val="center"/>
        </w:trPr>
        <w:tc>
          <w:tcPr>
            <w:tcW w:w="639" w:type="pct"/>
            <w:vMerge w:val="continue"/>
            <w:tcBorders>
              <w:tl2br w:val="nil"/>
              <w:tr2bl w:val="nil"/>
            </w:tcBorders>
            <w:vAlign w:val="center"/>
          </w:tcPr>
          <w:p>
            <w:pPr>
              <w:pStyle w:val="51"/>
              <w:rPr>
                <w:u w:val="none"/>
              </w:rPr>
            </w:pPr>
          </w:p>
        </w:tc>
        <w:tc>
          <w:tcPr>
            <w:tcW w:w="1140" w:type="pct"/>
            <w:tcBorders>
              <w:tl2br w:val="nil"/>
              <w:tr2bl w:val="nil"/>
            </w:tcBorders>
            <w:vAlign w:val="center"/>
          </w:tcPr>
          <w:p>
            <w:pPr>
              <w:pStyle w:val="51"/>
              <w:rPr>
                <w:u w:val="none"/>
              </w:rPr>
            </w:pPr>
            <w:r>
              <w:rPr>
                <w:u w:val="none"/>
              </w:rPr>
              <w:t>材料库</w:t>
            </w:r>
          </w:p>
        </w:tc>
        <w:tc>
          <w:tcPr>
            <w:tcW w:w="2466" w:type="pct"/>
            <w:tcBorders>
              <w:tl2br w:val="nil"/>
              <w:tr2bl w:val="nil"/>
            </w:tcBorders>
            <w:vAlign w:val="center"/>
          </w:tcPr>
          <w:p>
            <w:pPr>
              <w:pStyle w:val="51"/>
              <w:jc w:val="left"/>
              <w:rPr>
                <w:u w:val="none"/>
              </w:rPr>
            </w:pPr>
            <w:r>
              <w:rPr>
                <w:u w:val="none"/>
              </w:rPr>
              <w:t>主要用于存放生产中备用的一些材料设备，面积100m</w:t>
            </w:r>
            <w:r>
              <w:rPr>
                <w:u w:val="none"/>
                <w:vertAlign w:val="superscript"/>
              </w:rPr>
              <w:t>2</w:t>
            </w:r>
          </w:p>
        </w:tc>
        <w:tc>
          <w:tcPr>
            <w:tcW w:w="754" w:type="pct"/>
            <w:tcBorders>
              <w:tl2br w:val="nil"/>
              <w:tr2bl w:val="nil"/>
            </w:tcBorders>
            <w:vAlign w:val="center"/>
          </w:tcPr>
          <w:p>
            <w:pPr>
              <w:pStyle w:val="51"/>
              <w:rPr>
                <w:u w:val="none"/>
              </w:rPr>
            </w:pPr>
            <w:r>
              <w:rPr>
                <w:rFonts w:hint="eastAsia"/>
                <w:u w:val="none"/>
              </w:rPr>
              <w:t>已建成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9" w:hRule="atLeast"/>
          <w:jc w:val="center"/>
        </w:trPr>
        <w:tc>
          <w:tcPr>
            <w:tcW w:w="639" w:type="pct"/>
            <w:vMerge w:val="continue"/>
            <w:tcBorders>
              <w:tl2br w:val="nil"/>
              <w:tr2bl w:val="nil"/>
            </w:tcBorders>
            <w:vAlign w:val="center"/>
          </w:tcPr>
          <w:p>
            <w:pPr>
              <w:pStyle w:val="51"/>
              <w:rPr>
                <w:u w:val="none"/>
              </w:rPr>
            </w:pPr>
          </w:p>
        </w:tc>
        <w:tc>
          <w:tcPr>
            <w:tcW w:w="1140" w:type="pct"/>
            <w:tcBorders>
              <w:tl2br w:val="nil"/>
              <w:tr2bl w:val="nil"/>
            </w:tcBorders>
            <w:vAlign w:val="center"/>
          </w:tcPr>
          <w:p>
            <w:pPr>
              <w:pStyle w:val="51"/>
              <w:rPr>
                <w:u w:val="none"/>
              </w:rPr>
            </w:pPr>
            <w:r>
              <w:rPr>
                <w:u w:val="none"/>
              </w:rPr>
              <w:t>炸药库</w:t>
            </w:r>
          </w:p>
        </w:tc>
        <w:tc>
          <w:tcPr>
            <w:tcW w:w="2466" w:type="pct"/>
            <w:tcBorders>
              <w:tl2br w:val="nil"/>
              <w:tr2bl w:val="nil"/>
            </w:tcBorders>
            <w:vAlign w:val="center"/>
          </w:tcPr>
          <w:p>
            <w:pPr>
              <w:pStyle w:val="51"/>
              <w:jc w:val="left"/>
              <w:rPr>
                <w:u w:val="none"/>
              </w:rPr>
            </w:pPr>
            <w:r>
              <w:rPr>
                <w:u w:val="none"/>
              </w:rPr>
              <w:t>炸药库位于北面山坳中，面积约为60m</w:t>
            </w:r>
            <w:r>
              <w:rPr>
                <w:u w:val="none"/>
                <w:vertAlign w:val="superscript"/>
              </w:rPr>
              <w:t>2</w:t>
            </w:r>
            <w:r>
              <w:rPr>
                <w:u w:val="none"/>
              </w:rPr>
              <w:t>，周边500m范围内无居民区，药品跟设备分开堆放，装有监控设施，有专人负责监管</w:t>
            </w:r>
          </w:p>
        </w:tc>
        <w:tc>
          <w:tcPr>
            <w:tcW w:w="754" w:type="pct"/>
            <w:tcBorders>
              <w:tl2br w:val="nil"/>
              <w:tr2bl w:val="nil"/>
            </w:tcBorders>
            <w:vAlign w:val="center"/>
          </w:tcPr>
          <w:p>
            <w:pPr>
              <w:pStyle w:val="51"/>
              <w:rPr>
                <w:u w:val="none"/>
              </w:rPr>
            </w:pPr>
            <w:r>
              <w:rPr>
                <w:rFonts w:hint="eastAsia"/>
                <w:u w:val="none"/>
              </w:rPr>
              <w:t>已建成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9" w:hRule="atLeast"/>
          <w:jc w:val="center"/>
        </w:trPr>
        <w:tc>
          <w:tcPr>
            <w:tcW w:w="639" w:type="pct"/>
            <w:vMerge w:val="continue"/>
            <w:tcBorders>
              <w:tl2br w:val="nil"/>
              <w:tr2bl w:val="nil"/>
            </w:tcBorders>
            <w:vAlign w:val="center"/>
          </w:tcPr>
          <w:p>
            <w:pPr>
              <w:pStyle w:val="51"/>
              <w:rPr>
                <w:u w:val="none"/>
              </w:rPr>
            </w:pPr>
          </w:p>
        </w:tc>
        <w:tc>
          <w:tcPr>
            <w:tcW w:w="1140" w:type="pct"/>
            <w:tcBorders>
              <w:tl2br w:val="nil"/>
              <w:tr2bl w:val="nil"/>
            </w:tcBorders>
            <w:vAlign w:val="center"/>
          </w:tcPr>
          <w:p>
            <w:pPr>
              <w:pStyle w:val="51"/>
              <w:rPr>
                <w:u w:val="none"/>
              </w:rPr>
            </w:pPr>
            <w:r>
              <w:rPr>
                <w:u w:val="none"/>
              </w:rPr>
              <w:t>生活用房</w:t>
            </w:r>
          </w:p>
        </w:tc>
        <w:tc>
          <w:tcPr>
            <w:tcW w:w="2466" w:type="pct"/>
            <w:tcBorders>
              <w:tl2br w:val="nil"/>
              <w:tr2bl w:val="nil"/>
            </w:tcBorders>
            <w:vAlign w:val="center"/>
          </w:tcPr>
          <w:p>
            <w:pPr>
              <w:pStyle w:val="51"/>
              <w:jc w:val="left"/>
              <w:rPr>
                <w:u w:val="none"/>
              </w:rPr>
            </w:pPr>
            <w:r>
              <w:rPr>
                <w:u w:val="none"/>
              </w:rPr>
              <w:t>企业拥有办公楼(144m</w:t>
            </w:r>
            <w:r>
              <w:rPr>
                <w:u w:val="none"/>
                <w:vertAlign w:val="superscript"/>
              </w:rPr>
              <w:t>2</w:t>
            </w:r>
            <w:r>
              <w:rPr>
                <w:u w:val="none"/>
              </w:rPr>
              <w:t>)及职工宿舍(300m</w:t>
            </w:r>
            <w:r>
              <w:rPr>
                <w:u w:val="none"/>
                <w:vertAlign w:val="superscript"/>
              </w:rPr>
              <w:t>2</w:t>
            </w:r>
            <w:r>
              <w:rPr>
                <w:u w:val="none"/>
              </w:rPr>
              <w:t>)各一栋，均为2层建筑</w:t>
            </w:r>
          </w:p>
        </w:tc>
        <w:tc>
          <w:tcPr>
            <w:tcW w:w="754" w:type="pct"/>
            <w:tcBorders>
              <w:tl2br w:val="nil"/>
              <w:tr2bl w:val="nil"/>
            </w:tcBorders>
            <w:vAlign w:val="center"/>
          </w:tcPr>
          <w:p>
            <w:pPr>
              <w:pStyle w:val="51"/>
              <w:rPr>
                <w:u w:val="none"/>
              </w:rPr>
            </w:pPr>
            <w:r>
              <w:rPr>
                <w:rFonts w:hint="eastAsia"/>
                <w:u w:val="none"/>
              </w:rPr>
              <w:t>已建成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9" w:hRule="atLeast"/>
          <w:jc w:val="center"/>
        </w:trPr>
        <w:tc>
          <w:tcPr>
            <w:tcW w:w="639" w:type="pct"/>
            <w:vMerge w:val="restart"/>
            <w:tcBorders>
              <w:tl2br w:val="nil"/>
              <w:tr2bl w:val="nil"/>
            </w:tcBorders>
            <w:vAlign w:val="center"/>
          </w:tcPr>
          <w:p>
            <w:pPr>
              <w:pStyle w:val="51"/>
              <w:rPr>
                <w:u w:val="none"/>
              </w:rPr>
            </w:pPr>
            <w:r>
              <w:rPr>
                <w:rFonts w:hint="eastAsia"/>
                <w:u w:val="none"/>
              </w:rPr>
              <w:t>公用工程</w:t>
            </w:r>
          </w:p>
        </w:tc>
        <w:tc>
          <w:tcPr>
            <w:tcW w:w="1140" w:type="pct"/>
            <w:tcBorders>
              <w:tl2br w:val="nil"/>
              <w:tr2bl w:val="nil"/>
            </w:tcBorders>
            <w:vAlign w:val="center"/>
          </w:tcPr>
          <w:p>
            <w:pPr>
              <w:pStyle w:val="51"/>
              <w:rPr>
                <w:u w:val="none"/>
                <w:lang w:eastAsia="en-US"/>
              </w:rPr>
            </w:pPr>
            <w:r>
              <w:rPr>
                <w:u w:val="none"/>
              </w:rPr>
              <w:t>给排水</w:t>
            </w:r>
          </w:p>
        </w:tc>
        <w:tc>
          <w:tcPr>
            <w:tcW w:w="2466" w:type="pct"/>
            <w:tcBorders>
              <w:tl2br w:val="nil"/>
              <w:tr2bl w:val="nil"/>
            </w:tcBorders>
            <w:vAlign w:val="center"/>
          </w:tcPr>
          <w:p>
            <w:pPr>
              <w:pStyle w:val="51"/>
              <w:jc w:val="left"/>
              <w:rPr>
                <w:rFonts w:hint="eastAsia" w:eastAsia="宋体"/>
                <w:u w:val="none"/>
                <w:lang w:eastAsia="zh-CN"/>
              </w:rPr>
            </w:pPr>
            <w:r>
              <w:rPr>
                <w:u w:val="none"/>
              </w:rPr>
              <w:t>企业生产用水主要来自矿井涌水，生活用水取自当地</w:t>
            </w:r>
            <w:r>
              <w:rPr>
                <w:rFonts w:hint="eastAsia"/>
                <w:u w:val="none"/>
              </w:rPr>
              <w:t>乡镇自来</w:t>
            </w:r>
            <w:r>
              <w:rPr>
                <w:u w:val="none"/>
              </w:rPr>
              <w:t>水。生活污水经地埋式处理装置处理后排入矿区人工湿地，</w:t>
            </w:r>
            <w:r>
              <w:rPr>
                <w:rFonts w:hint="eastAsia"/>
                <w:u w:val="none"/>
                <w:lang w:val="en-US" w:eastAsia="zh-CN"/>
              </w:rPr>
              <w:t>回用于矿区绿化用水</w:t>
            </w:r>
            <w:r>
              <w:rPr>
                <w:u w:val="none"/>
              </w:rPr>
              <w:t>；生产废水(包括矿井涌水、压滤废水、尾矿库渗水、废石堆场淋溶水等)处理达标后经矿区排水渠排入资江</w:t>
            </w:r>
            <w:r>
              <w:rPr>
                <w:rFonts w:hint="eastAsia" w:eastAsia="宋体"/>
                <w:u w:val="none"/>
                <w:lang w:eastAsia="zh-CN"/>
              </w:rPr>
              <w:t>。</w:t>
            </w:r>
          </w:p>
        </w:tc>
        <w:tc>
          <w:tcPr>
            <w:tcW w:w="754" w:type="pct"/>
            <w:tcBorders>
              <w:tl2br w:val="nil"/>
              <w:tr2bl w:val="nil"/>
            </w:tcBorders>
            <w:vAlign w:val="center"/>
          </w:tcPr>
          <w:p>
            <w:pPr>
              <w:pStyle w:val="51"/>
              <w:rPr>
                <w:u w:val="none"/>
              </w:rPr>
            </w:pPr>
            <w:r>
              <w:rPr>
                <w:rFonts w:hint="eastAsia"/>
                <w:u w:val="none"/>
              </w:rPr>
              <w:t>已建成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9" w:hRule="atLeast"/>
          <w:jc w:val="center"/>
        </w:trPr>
        <w:tc>
          <w:tcPr>
            <w:tcW w:w="639" w:type="pct"/>
            <w:vMerge w:val="continue"/>
            <w:tcBorders>
              <w:tl2br w:val="nil"/>
              <w:tr2bl w:val="nil"/>
            </w:tcBorders>
            <w:vAlign w:val="center"/>
          </w:tcPr>
          <w:p>
            <w:pPr>
              <w:pStyle w:val="51"/>
              <w:rPr>
                <w:u w:val="none"/>
              </w:rPr>
            </w:pPr>
          </w:p>
        </w:tc>
        <w:tc>
          <w:tcPr>
            <w:tcW w:w="1140" w:type="pct"/>
            <w:tcBorders>
              <w:tl2br w:val="nil"/>
              <w:tr2bl w:val="nil"/>
            </w:tcBorders>
            <w:vAlign w:val="center"/>
          </w:tcPr>
          <w:p>
            <w:pPr>
              <w:pStyle w:val="51"/>
              <w:rPr>
                <w:u w:val="none"/>
                <w:lang w:eastAsia="en-US"/>
              </w:rPr>
            </w:pPr>
            <w:r>
              <w:rPr>
                <w:u w:val="none"/>
              </w:rPr>
              <w:t>供电</w:t>
            </w:r>
          </w:p>
        </w:tc>
        <w:tc>
          <w:tcPr>
            <w:tcW w:w="2466" w:type="pct"/>
            <w:tcBorders>
              <w:tl2br w:val="nil"/>
              <w:tr2bl w:val="nil"/>
            </w:tcBorders>
            <w:vAlign w:val="center"/>
          </w:tcPr>
          <w:p>
            <w:pPr>
              <w:pStyle w:val="51"/>
              <w:jc w:val="left"/>
              <w:rPr>
                <w:u w:val="none"/>
              </w:rPr>
            </w:pPr>
            <w:r>
              <w:rPr>
                <w:u w:val="none"/>
              </w:rPr>
              <w:t>矿区供电主要来自马迹塘水电站380伏高压电网，经厂内变压器分别向办公楼、生产车间分路供电</w:t>
            </w:r>
          </w:p>
        </w:tc>
        <w:tc>
          <w:tcPr>
            <w:tcW w:w="754" w:type="pct"/>
            <w:tcBorders>
              <w:tl2br w:val="nil"/>
              <w:tr2bl w:val="nil"/>
            </w:tcBorders>
            <w:vAlign w:val="center"/>
          </w:tcPr>
          <w:p>
            <w:pPr>
              <w:pStyle w:val="51"/>
              <w:rPr>
                <w:u w:val="none"/>
              </w:rPr>
            </w:pPr>
            <w:r>
              <w:rPr>
                <w:rFonts w:hint="eastAsia"/>
                <w:u w:val="none"/>
              </w:rPr>
              <w:t>已建成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9" w:hRule="atLeast"/>
          <w:jc w:val="center"/>
        </w:trPr>
        <w:tc>
          <w:tcPr>
            <w:tcW w:w="639" w:type="pct"/>
            <w:vMerge w:val="restart"/>
            <w:tcBorders>
              <w:tl2br w:val="nil"/>
              <w:tr2bl w:val="nil"/>
            </w:tcBorders>
            <w:vAlign w:val="center"/>
          </w:tcPr>
          <w:p>
            <w:pPr>
              <w:pStyle w:val="51"/>
              <w:rPr>
                <w:u w:val="none"/>
              </w:rPr>
            </w:pPr>
            <w:r>
              <w:rPr>
                <w:rFonts w:hint="eastAsia"/>
                <w:u w:val="none"/>
              </w:rPr>
              <w:t>环保工程</w:t>
            </w:r>
          </w:p>
        </w:tc>
        <w:tc>
          <w:tcPr>
            <w:tcW w:w="1140" w:type="pct"/>
            <w:tcBorders>
              <w:tl2br w:val="nil"/>
              <w:tr2bl w:val="nil"/>
            </w:tcBorders>
            <w:vAlign w:val="center"/>
          </w:tcPr>
          <w:p>
            <w:pPr>
              <w:pStyle w:val="51"/>
              <w:rPr>
                <w:u w:val="none"/>
              </w:rPr>
            </w:pPr>
            <w:r>
              <w:rPr>
                <w:u w:val="none"/>
              </w:rPr>
              <w:t>废水处理</w:t>
            </w:r>
          </w:p>
        </w:tc>
        <w:tc>
          <w:tcPr>
            <w:tcW w:w="2466" w:type="pct"/>
            <w:tcBorders>
              <w:tl2br w:val="nil"/>
              <w:tr2bl w:val="nil"/>
            </w:tcBorders>
            <w:vAlign w:val="center"/>
          </w:tcPr>
          <w:p>
            <w:pPr>
              <w:pStyle w:val="51"/>
              <w:jc w:val="left"/>
              <w:rPr>
                <w:u w:val="none"/>
              </w:rPr>
            </w:pPr>
            <w:r>
              <w:rPr>
                <w:u w:val="none"/>
              </w:rPr>
              <w:t>生产废水：选矿废水、井坑涌水、尾矿库废水、堆场淋滤水、初期雨水经集中收集至沉淀池进行初沉淀后进入混凝反应池，加入絮凝剂进行絮凝沉淀，絮凝沉淀后进入平流沉淀池沉淀处理，处理达到《污水综合排放标准》中一级标准后(其中铊执行《湖南省工业废水铊污染物排放标准》(</w:t>
            </w:r>
            <w:r>
              <w:rPr>
                <w:rFonts w:hint="eastAsia" w:eastAsia="宋体"/>
                <w:u w:val="none"/>
              </w:rPr>
              <w:t>DB43/968-2021</w:t>
            </w:r>
            <w:r>
              <w:rPr>
                <w:u w:val="none"/>
              </w:rPr>
              <w:t>)，锑参考执行《锡、锑、汞工业污染物排放标准》(GB30770-2014)</w:t>
            </w:r>
            <w:r>
              <w:rPr>
                <w:rFonts w:hint="eastAsia" w:eastAsia="宋体"/>
                <w:u w:val="none"/>
                <w:lang w:eastAsia="zh-CN"/>
              </w:rPr>
              <w:t>，</w:t>
            </w:r>
            <w:r>
              <w:rPr>
                <w:rFonts w:hint="eastAsia"/>
                <w:color w:val="000000"/>
                <w:u w:val="none"/>
                <w:lang w:val="en-US" w:eastAsia="zh-CN"/>
              </w:rPr>
              <w:t>砷达到环评</w:t>
            </w:r>
            <w:r>
              <w:rPr>
                <w:rFonts w:hint="eastAsia"/>
                <w:u w:val="none"/>
              </w:rPr>
              <w:t>总量控制指标</w:t>
            </w:r>
            <w:r>
              <w:rPr>
                <w:rFonts w:hint="eastAsia"/>
                <w:u w:val="none"/>
                <w:lang w:val="en-US" w:eastAsia="zh-CN"/>
              </w:rPr>
              <w:t>核算中的0.2</w:t>
            </w:r>
            <w:r>
              <w:t>mg/L</w:t>
            </w:r>
            <w:r>
              <w:rPr>
                <w:rFonts w:hint="eastAsia"/>
                <w:lang w:val="en-US" w:eastAsia="zh-CN"/>
              </w:rPr>
              <w:t>浓度限值要求</w:t>
            </w:r>
            <w:r>
              <w:rPr>
                <w:u w:val="none"/>
              </w:rPr>
              <w:t>，通过专用排水渠排入资江</w:t>
            </w:r>
            <w:r>
              <w:rPr>
                <w:rFonts w:hint="eastAsia" w:eastAsia="宋体"/>
                <w:u w:val="none"/>
                <w:lang w:eastAsia="zh-CN"/>
              </w:rPr>
              <w:t>，</w:t>
            </w:r>
            <w:r>
              <w:rPr>
                <w:u w:val="none"/>
              </w:rPr>
              <w:t>；</w:t>
            </w:r>
          </w:p>
          <w:p>
            <w:pPr>
              <w:pStyle w:val="51"/>
              <w:jc w:val="left"/>
              <w:rPr>
                <w:u w:val="none"/>
              </w:rPr>
            </w:pPr>
            <w:r>
              <w:rPr>
                <w:u w:val="none"/>
              </w:rPr>
              <w:t>生活污水：食堂废水经隔油池预处理后与生活污水一起经由化粪池+一体化设施+人工湿地处理系统处理后</w:t>
            </w:r>
            <w:r>
              <w:rPr>
                <w:rFonts w:hint="eastAsia"/>
                <w:u w:val="none"/>
              </w:rPr>
              <w:t>回用</w:t>
            </w:r>
            <w:r>
              <w:rPr>
                <w:rFonts w:hint="eastAsia"/>
                <w:u w:val="none"/>
                <w:lang w:val="en-US" w:eastAsia="zh-CN"/>
              </w:rPr>
              <w:t>矿区绿化用水</w:t>
            </w:r>
            <w:r>
              <w:rPr>
                <w:u w:val="none"/>
              </w:rPr>
              <w:t>。</w:t>
            </w:r>
          </w:p>
        </w:tc>
        <w:tc>
          <w:tcPr>
            <w:tcW w:w="754" w:type="pct"/>
            <w:tcBorders>
              <w:tl2br w:val="nil"/>
              <w:tr2bl w:val="nil"/>
            </w:tcBorders>
            <w:vAlign w:val="center"/>
          </w:tcPr>
          <w:p>
            <w:pPr>
              <w:pStyle w:val="51"/>
              <w:rPr>
                <w:u w:val="none"/>
              </w:rPr>
            </w:pPr>
            <w:r>
              <w:rPr>
                <w:rFonts w:hint="eastAsia"/>
                <w:u w:val="none"/>
              </w:rPr>
              <w:t>已建成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9" w:hRule="atLeast"/>
          <w:jc w:val="center"/>
        </w:trPr>
        <w:tc>
          <w:tcPr>
            <w:tcW w:w="639" w:type="pct"/>
            <w:vMerge w:val="continue"/>
            <w:tcBorders>
              <w:tl2br w:val="nil"/>
              <w:tr2bl w:val="nil"/>
            </w:tcBorders>
            <w:vAlign w:val="center"/>
          </w:tcPr>
          <w:p>
            <w:pPr>
              <w:pStyle w:val="51"/>
              <w:rPr>
                <w:u w:val="none"/>
              </w:rPr>
            </w:pPr>
          </w:p>
        </w:tc>
        <w:tc>
          <w:tcPr>
            <w:tcW w:w="1140" w:type="pct"/>
            <w:tcBorders>
              <w:tl2br w:val="nil"/>
              <w:tr2bl w:val="nil"/>
            </w:tcBorders>
            <w:vAlign w:val="center"/>
          </w:tcPr>
          <w:p>
            <w:pPr>
              <w:pStyle w:val="51"/>
              <w:rPr>
                <w:u w:val="none"/>
              </w:rPr>
            </w:pPr>
            <w:r>
              <w:rPr>
                <w:u w:val="none"/>
              </w:rPr>
              <w:t>废气处理</w:t>
            </w:r>
          </w:p>
        </w:tc>
        <w:tc>
          <w:tcPr>
            <w:tcW w:w="2466" w:type="pct"/>
            <w:tcBorders>
              <w:tl2br w:val="nil"/>
              <w:tr2bl w:val="nil"/>
            </w:tcBorders>
            <w:vAlign w:val="center"/>
          </w:tcPr>
          <w:p>
            <w:pPr>
              <w:pStyle w:val="51"/>
              <w:jc w:val="left"/>
              <w:rPr>
                <w:u w:val="none"/>
              </w:rPr>
            </w:pPr>
            <w:r>
              <w:rPr>
                <w:u w:val="none"/>
              </w:rPr>
              <w:t>采矿过程采用湿式凿岩，产生的粉尘通过洒水抑尘处理；选矿过程破碎、球磨工序产生的粉尘通过洒水抑尘处理；废石堆场的扬尘采用洒水抑尘处理；保持尾矿库滩面潮湿，减少尾矿库粉尘产生。采矿过程采用湿式凿岩，产生的粉尘通过洒水抑尘处理；</w:t>
            </w:r>
          </w:p>
          <w:p>
            <w:pPr>
              <w:pStyle w:val="51"/>
              <w:jc w:val="left"/>
              <w:rPr>
                <w:u w:val="none"/>
              </w:rPr>
            </w:pPr>
            <w:r>
              <w:rPr>
                <w:u w:val="none"/>
              </w:rPr>
              <w:t>选矿过程筛分、破碎工序产生的粉尘经集气罩收集后采用脉冲式布袋除尘器处理后经车间内无组织排放；</w:t>
            </w:r>
          </w:p>
          <w:p>
            <w:pPr>
              <w:pStyle w:val="51"/>
              <w:jc w:val="left"/>
              <w:rPr>
                <w:u w:val="none"/>
              </w:rPr>
            </w:pPr>
            <w:r>
              <w:rPr>
                <w:u w:val="none"/>
              </w:rPr>
              <w:t>堆场的扬尘采用洒水抑尘处理；</w:t>
            </w:r>
          </w:p>
          <w:p>
            <w:pPr>
              <w:pStyle w:val="51"/>
              <w:jc w:val="left"/>
              <w:rPr>
                <w:u w:val="none"/>
              </w:rPr>
            </w:pPr>
            <w:r>
              <w:rPr>
                <w:u w:val="none"/>
              </w:rPr>
              <w:t>通过洒水降尘减少运输扬尘；保持尾矿库滩面潮湿，减少尾干滩粉尘产生</w:t>
            </w:r>
          </w:p>
        </w:tc>
        <w:tc>
          <w:tcPr>
            <w:tcW w:w="754" w:type="pct"/>
            <w:tcBorders>
              <w:tl2br w:val="nil"/>
              <w:tr2bl w:val="nil"/>
            </w:tcBorders>
            <w:vAlign w:val="center"/>
          </w:tcPr>
          <w:p>
            <w:pPr>
              <w:pStyle w:val="51"/>
              <w:rPr>
                <w:u w:val="none"/>
              </w:rPr>
            </w:pPr>
            <w:r>
              <w:rPr>
                <w:rFonts w:hint="eastAsia"/>
                <w:u w:val="none"/>
              </w:rPr>
              <w:t>已建成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9" w:hRule="atLeast"/>
          <w:jc w:val="center"/>
        </w:trPr>
        <w:tc>
          <w:tcPr>
            <w:tcW w:w="639" w:type="pct"/>
            <w:vMerge w:val="continue"/>
            <w:tcBorders>
              <w:tl2br w:val="nil"/>
              <w:tr2bl w:val="nil"/>
            </w:tcBorders>
            <w:vAlign w:val="center"/>
          </w:tcPr>
          <w:p>
            <w:pPr>
              <w:pStyle w:val="51"/>
              <w:rPr>
                <w:u w:val="none"/>
              </w:rPr>
            </w:pPr>
          </w:p>
        </w:tc>
        <w:tc>
          <w:tcPr>
            <w:tcW w:w="1140" w:type="pct"/>
            <w:tcBorders>
              <w:tl2br w:val="nil"/>
              <w:tr2bl w:val="nil"/>
            </w:tcBorders>
            <w:vAlign w:val="center"/>
          </w:tcPr>
          <w:p>
            <w:pPr>
              <w:pStyle w:val="51"/>
              <w:rPr>
                <w:u w:val="none"/>
              </w:rPr>
            </w:pPr>
            <w:r>
              <w:rPr>
                <w:u w:val="none"/>
              </w:rPr>
              <w:t>固废处置</w:t>
            </w:r>
          </w:p>
        </w:tc>
        <w:tc>
          <w:tcPr>
            <w:tcW w:w="2466" w:type="pct"/>
            <w:tcBorders>
              <w:tl2br w:val="nil"/>
              <w:tr2bl w:val="nil"/>
            </w:tcBorders>
            <w:vAlign w:val="center"/>
          </w:tcPr>
          <w:p>
            <w:pPr>
              <w:pStyle w:val="51"/>
              <w:jc w:val="left"/>
              <w:rPr>
                <w:u w:val="none"/>
              </w:rPr>
            </w:pPr>
            <w:r>
              <w:rPr>
                <w:u w:val="none"/>
              </w:rPr>
              <w:t>矿山开采产生的废石暂存于废石堆场，部分定期回填老采坑，部分资源综合利用；尾矿经压滤处理后干堆至尾矿库；废机油等用密闭容器收集后，暂存于危废暂存间，定时交由资质单位进行处理；废水处理站污泥经干化后运至尾矿库堆存；</w:t>
            </w:r>
          </w:p>
          <w:p>
            <w:pPr>
              <w:pStyle w:val="51"/>
              <w:jc w:val="left"/>
              <w:rPr>
                <w:u w:val="none"/>
              </w:rPr>
            </w:pPr>
            <w:r>
              <w:rPr>
                <w:u w:val="none"/>
              </w:rPr>
              <w:t>生活垃圾统一收集后送往当地垃圾收集池，由环卫部门统一外运处置</w:t>
            </w:r>
          </w:p>
        </w:tc>
        <w:tc>
          <w:tcPr>
            <w:tcW w:w="754" w:type="pct"/>
            <w:tcBorders>
              <w:tl2br w:val="nil"/>
              <w:tr2bl w:val="nil"/>
            </w:tcBorders>
            <w:vAlign w:val="center"/>
          </w:tcPr>
          <w:p>
            <w:pPr>
              <w:pStyle w:val="51"/>
              <w:rPr>
                <w:u w:val="none"/>
              </w:rPr>
            </w:pPr>
            <w:r>
              <w:rPr>
                <w:rFonts w:hint="eastAsia"/>
                <w:u w:val="none"/>
              </w:rPr>
              <w:t>已建成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9" w:hRule="atLeast"/>
          <w:jc w:val="center"/>
        </w:trPr>
        <w:tc>
          <w:tcPr>
            <w:tcW w:w="639" w:type="pct"/>
            <w:vMerge w:val="continue"/>
            <w:tcBorders>
              <w:tl2br w:val="nil"/>
              <w:tr2bl w:val="nil"/>
            </w:tcBorders>
            <w:vAlign w:val="center"/>
          </w:tcPr>
          <w:p>
            <w:pPr>
              <w:pStyle w:val="51"/>
              <w:rPr>
                <w:u w:val="none"/>
              </w:rPr>
            </w:pPr>
          </w:p>
        </w:tc>
        <w:tc>
          <w:tcPr>
            <w:tcW w:w="1140" w:type="pct"/>
            <w:tcBorders>
              <w:tl2br w:val="nil"/>
              <w:tr2bl w:val="nil"/>
            </w:tcBorders>
            <w:vAlign w:val="center"/>
          </w:tcPr>
          <w:p>
            <w:pPr>
              <w:pStyle w:val="51"/>
              <w:rPr>
                <w:u w:val="none"/>
              </w:rPr>
            </w:pPr>
            <w:r>
              <w:rPr>
                <w:u w:val="none"/>
              </w:rPr>
              <w:t>噪声治理</w:t>
            </w:r>
          </w:p>
        </w:tc>
        <w:tc>
          <w:tcPr>
            <w:tcW w:w="2466" w:type="pct"/>
            <w:tcBorders>
              <w:tl2br w:val="nil"/>
              <w:tr2bl w:val="nil"/>
            </w:tcBorders>
            <w:vAlign w:val="center"/>
          </w:tcPr>
          <w:p>
            <w:pPr>
              <w:pStyle w:val="51"/>
              <w:jc w:val="left"/>
              <w:rPr>
                <w:u w:val="none"/>
              </w:rPr>
            </w:pPr>
            <w:r>
              <w:rPr>
                <w:u w:val="none"/>
              </w:rPr>
              <w:t>选用低噪声采选设备，并采用消声、隔声、减震等措施</w:t>
            </w:r>
          </w:p>
        </w:tc>
        <w:tc>
          <w:tcPr>
            <w:tcW w:w="754" w:type="pct"/>
            <w:tcBorders>
              <w:tl2br w:val="nil"/>
              <w:tr2bl w:val="nil"/>
            </w:tcBorders>
            <w:vAlign w:val="center"/>
          </w:tcPr>
          <w:p>
            <w:pPr>
              <w:pStyle w:val="51"/>
              <w:rPr>
                <w:u w:val="none"/>
              </w:rPr>
            </w:pPr>
            <w:r>
              <w:rPr>
                <w:rFonts w:hint="eastAsia"/>
                <w:u w:val="none"/>
              </w:rPr>
              <w:t>已建成</w:t>
            </w:r>
          </w:p>
        </w:tc>
      </w:tr>
    </w:tbl>
    <w:p>
      <w:pPr>
        <w:pStyle w:val="4"/>
        <w:spacing w:line="240" w:lineRule="auto"/>
        <w:jc w:val="both"/>
        <w:rPr>
          <w:szCs w:val="28"/>
          <w:u w:val="none"/>
        </w:rPr>
      </w:pPr>
      <w:r>
        <w:rPr>
          <w:szCs w:val="28"/>
          <w:u w:val="none"/>
        </w:rPr>
        <w:t>2.1.</w:t>
      </w:r>
      <w:r>
        <w:rPr>
          <w:rFonts w:hint="eastAsia"/>
          <w:szCs w:val="28"/>
          <w:u w:val="none"/>
        </w:rPr>
        <w:t>3</w:t>
      </w:r>
      <w:bookmarkEnd w:id="25"/>
      <w:r>
        <w:rPr>
          <w:rFonts w:hint="eastAsia"/>
          <w:color w:val="000000"/>
          <w:u w:val="none"/>
        </w:rPr>
        <w:t>矿区范围、资源储量及服务年限</w:t>
      </w:r>
    </w:p>
    <w:p>
      <w:pPr>
        <w:ind w:firstLine="480"/>
        <w:rPr>
          <w:u w:val="none"/>
        </w:rPr>
      </w:pPr>
      <w:r>
        <w:rPr>
          <w:rFonts w:hint="eastAsia"/>
          <w:u w:val="none"/>
        </w:rPr>
        <w:t>（1）</w:t>
      </w:r>
      <w:r>
        <w:rPr>
          <w:u w:val="none"/>
        </w:rPr>
        <w:t>矿区范围</w:t>
      </w:r>
    </w:p>
    <w:p>
      <w:pPr>
        <w:ind w:firstLine="480"/>
        <w:rPr>
          <w:u w:val="none"/>
        </w:rPr>
      </w:pPr>
      <w:r>
        <w:rPr>
          <w:u w:val="none"/>
        </w:rPr>
        <w:t>本项目矿区平面范围由7个拐点圈定，面积0.14km</w:t>
      </w:r>
      <w:r>
        <w:rPr>
          <w:u w:val="none"/>
          <w:vertAlign w:val="superscript"/>
        </w:rPr>
        <w:t>2</w:t>
      </w:r>
      <w:r>
        <w:rPr>
          <w:u w:val="none"/>
        </w:rPr>
        <w:t>，准采标高：+80~-150m。</w:t>
      </w:r>
    </w:p>
    <w:p>
      <w:pPr>
        <w:spacing w:line="240" w:lineRule="auto"/>
        <w:ind w:firstLine="482"/>
        <w:jc w:val="center"/>
        <w:rPr>
          <w:b/>
          <w:bCs/>
          <w:u w:val="none"/>
        </w:rPr>
      </w:pPr>
      <w:r>
        <w:rPr>
          <w:rFonts w:hint="eastAsia"/>
          <w:b/>
          <w:bCs/>
          <w:u w:val="none"/>
        </w:rPr>
        <w:t>表2.</w:t>
      </w:r>
      <w:r>
        <w:rPr>
          <w:rFonts w:hint="eastAsia"/>
          <w:b/>
          <w:bCs/>
          <w:u w:val="none"/>
          <w:lang w:val="en-US" w:eastAsia="zh-CN"/>
        </w:rPr>
        <w:t>1.3</w:t>
      </w:r>
      <w:r>
        <w:rPr>
          <w:rFonts w:hint="eastAsia"/>
          <w:b/>
          <w:bCs/>
          <w:u w:val="none"/>
        </w:rPr>
        <w:t>-</w:t>
      </w:r>
      <w:r>
        <w:rPr>
          <w:rFonts w:hint="eastAsia"/>
          <w:b/>
          <w:bCs/>
          <w:u w:val="none"/>
          <w:lang w:val="en-US" w:eastAsia="zh-CN"/>
        </w:rPr>
        <w:t>1</w:t>
      </w:r>
      <w:r>
        <w:rPr>
          <w:rFonts w:hint="eastAsia"/>
          <w:b/>
          <w:bCs/>
          <w:u w:val="none"/>
        </w:rPr>
        <w:t>首溪金矿采矿权范围拐点坐标表</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53"/>
        <w:gridCol w:w="1978"/>
        <w:gridCol w:w="2084"/>
        <w:gridCol w:w="1982"/>
        <w:gridCol w:w="20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1" w:type="pct"/>
            <w:vMerge w:val="restar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拐点号</w:t>
            </w:r>
          </w:p>
        </w:tc>
        <w:tc>
          <w:tcPr>
            <w:tcW w:w="2187" w:type="pct"/>
            <w:gridSpan w:val="2"/>
            <w:tcBorders>
              <w:tl2br w:val="nil"/>
              <w:tr2bl w:val="nil"/>
            </w:tcBorders>
            <w:vAlign w:val="center"/>
          </w:tcPr>
          <w:p>
            <w:pPr>
              <w:pStyle w:val="53"/>
              <w:widowControl/>
              <w:spacing w:line="240" w:lineRule="auto"/>
              <w:ind w:firstLine="0" w:firstLineChars="0"/>
              <w:rPr>
                <w:sz w:val="21"/>
                <w:szCs w:val="21"/>
                <w:u w:val="none"/>
                <w:lang w:eastAsia="en-US"/>
              </w:rPr>
            </w:pPr>
            <w:r>
              <w:rPr>
                <w:sz w:val="21"/>
                <w:szCs w:val="21"/>
                <w:u w:val="none"/>
              </w:rPr>
              <w:t>1980西安坐标系</w:t>
            </w:r>
          </w:p>
        </w:tc>
        <w:tc>
          <w:tcPr>
            <w:tcW w:w="2190" w:type="pct"/>
            <w:gridSpan w:val="2"/>
            <w:tcBorders>
              <w:tl2br w:val="nil"/>
              <w:tr2bl w:val="nil"/>
            </w:tcBorders>
            <w:vAlign w:val="center"/>
          </w:tcPr>
          <w:p>
            <w:pPr>
              <w:pStyle w:val="53"/>
              <w:widowControl/>
              <w:spacing w:line="240" w:lineRule="auto"/>
              <w:ind w:firstLine="0" w:firstLineChars="0"/>
              <w:rPr>
                <w:sz w:val="21"/>
                <w:szCs w:val="21"/>
                <w:u w:val="none"/>
                <w:lang w:eastAsia="en-US"/>
              </w:rPr>
            </w:pPr>
            <w:r>
              <w:rPr>
                <w:sz w:val="21"/>
                <w:szCs w:val="21"/>
                <w:u w:val="none"/>
              </w:rPr>
              <w:t>CGCS2000大地坐标系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1" w:type="pct"/>
            <w:vMerge w:val="continue"/>
            <w:tcBorders>
              <w:tl2br w:val="nil"/>
              <w:tr2bl w:val="nil"/>
            </w:tcBorders>
            <w:vAlign w:val="center"/>
          </w:tcPr>
          <w:p>
            <w:pPr>
              <w:pStyle w:val="53"/>
              <w:widowControl/>
              <w:spacing w:line="240" w:lineRule="auto"/>
              <w:ind w:firstLine="0" w:firstLineChars="0"/>
              <w:rPr>
                <w:sz w:val="21"/>
                <w:szCs w:val="21"/>
                <w:u w:val="none"/>
              </w:rPr>
            </w:pPr>
          </w:p>
        </w:tc>
        <w:tc>
          <w:tcPr>
            <w:tcW w:w="1065" w:type="pc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X</w:t>
            </w:r>
          </w:p>
        </w:tc>
        <w:tc>
          <w:tcPr>
            <w:tcW w:w="1122" w:type="pc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Y</w:t>
            </w:r>
          </w:p>
        </w:tc>
        <w:tc>
          <w:tcPr>
            <w:tcW w:w="1067" w:type="pc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X</w:t>
            </w:r>
          </w:p>
        </w:tc>
        <w:tc>
          <w:tcPr>
            <w:tcW w:w="1123" w:type="pc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53" w:type="dxa"/>
            <w:tcBorders>
              <w:tl2br w:val="nil"/>
              <w:tr2bl w:val="nil"/>
            </w:tcBorders>
            <w:vAlign w:val="center"/>
          </w:tcPr>
          <w:p>
            <w:pPr>
              <w:pStyle w:val="25"/>
              <w:widowControl w:val="0"/>
              <w:ind w:left="420" w:hanging="420"/>
              <w:rPr>
                <w:rFonts w:ascii="Times New Roman" w:hAnsi="Times New Roman"/>
                <w:szCs w:val="21"/>
                <w:u w:val="none"/>
                <w:lang w:eastAsia="zh-CN"/>
              </w:rPr>
            </w:pPr>
            <w:r>
              <w:rPr>
                <w:rFonts w:ascii="Times New Roman" w:hAnsi="Times New Roman"/>
                <w:color w:val="000000" w:themeColor="text1"/>
                <w:szCs w:val="21"/>
                <w:u w:val="none"/>
              </w:rPr>
              <w:t>1</w:t>
            </w:r>
          </w:p>
        </w:tc>
        <w:tc>
          <w:tcPr>
            <w:tcW w:w="1065" w:type="pc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3154795.00</w:t>
            </w:r>
          </w:p>
        </w:tc>
        <w:tc>
          <w:tcPr>
            <w:tcW w:w="1122" w:type="pc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37579199.00</w:t>
            </w:r>
          </w:p>
        </w:tc>
        <w:tc>
          <w:tcPr>
            <w:tcW w:w="1067" w:type="pc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3154796.92</w:t>
            </w:r>
          </w:p>
        </w:tc>
        <w:tc>
          <w:tcPr>
            <w:tcW w:w="1123" w:type="pc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37579315.13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53" w:type="dxa"/>
            <w:tcBorders>
              <w:tl2br w:val="nil"/>
              <w:tr2bl w:val="nil"/>
            </w:tcBorders>
            <w:vAlign w:val="center"/>
          </w:tcPr>
          <w:p>
            <w:pPr>
              <w:pStyle w:val="25"/>
              <w:widowControl w:val="0"/>
              <w:ind w:left="420" w:hanging="420"/>
              <w:rPr>
                <w:rFonts w:ascii="Times New Roman" w:hAnsi="Times New Roman"/>
                <w:szCs w:val="21"/>
                <w:u w:val="none"/>
                <w:lang w:eastAsia="zh-CN"/>
              </w:rPr>
            </w:pPr>
            <w:r>
              <w:rPr>
                <w:rFonts w:ascii="Times New Roman" w:hAnsi="Times New Roman"/>
                <w:color w:val="000000" w:themeColor="text1"/>
                <w:szCs w:val="21"/>
                <w:u w:val="none"/>
              </w:rPr>
              <w:t>2</w:t>
            </w:r>
          </w:p>
        </w:tc>
        <w:tc>
          <w:tcPr>
            <w:tcW w:w="1065" w:type="pc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3154795.00</w:t>
            </w:r>
          </w:p>
        </w:tc>
        <w:tc>
          <w:tcPr>
            <w:tcW w:w="1122" w:type="pc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37579659.00</w:t>
            </w:r>
          </w:p>
        </w:tc>
        <w:tc>
          <w:tcPr>
            <w:tcW w:w="1067" w:type="pc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3154796.92</w:t>
            </w:r>
          </w:p>
        </w:tc>
        <w:tc>
          <w:tcPr>
            <w:tcW w:w="1123" w:type="pc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37579775.13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53" w:type="dxa"/>
            <w:tcBorders>
              <w:tl2br w:val="nil"/>
              <w:tr2bl w:val="nil"/>
            </w:tcBorders>
            <w:vAlign w:val="center"/>
          </w:tcPr>
          <w:p>
            <w:pPr>
              <w:pStyle w:val="25"/>
              <w:widowControl w:val="0"/>
              <w:ind w:left="420" w:hanging="420"/>
              <w:rPr>
                <w:rFonts w:ascii="Times New Roman" w:hAnsi="Times New Roman"/>
                <w:szCs w:val="21"/>
                <w:u w:val="none"/>
                <w:lang w:eastAsia="zh-CN"/>
              </w:rPr>
            </w:pPr>
            <w:r>
              <w:rPr>
                <w:rFonts w:ascii="Times New Roman" w:hAnsi="Times New Roman"/>
                <w:color w:val="000000" w:themeColor="text1"/>
                <w:szCs w:val="21"/>
                <w:u w:val="none"/>
              </w:rPr>
              <w:t>3</w:t>
            </w:r>
          </w:p>
        </w:tc>
        <w:tc>
          <w:tcPr>
            <w:tcW w:w="1065" w:type="pc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3154545.00</w:t>
            </w:r>
          </w:p>
        </w:tc>
        <w:tc>
          <w:tcPr>
            <w:tcW w:w="1122" w:type="pc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37579659.00</w:t>
            </w:r>
          </w:p>
        </w:tc>
        <w:tc>
          <w:tcPr>
            <w:tcW w:w="1067" w:type="pc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3154546.92</w:t>
            </w:r>
          </w:p>
        </w:tc>
        <w:tc>
          <w:tcPr>
            <w:tcW w:w="1123" w:type="pc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37579775.13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53" w:type="dxa"/>
            <w:tcBorders>
              <w:tl2br w:val="nil"/>
              <w:tr2bl w:val="nil"/>
            </w:tcBorders>
            <w:vAlign w:val="center"/>
          </w:tcPr>
          <w:p>
            <w:pPr>
              <w:pStyle w:val="25"/>
              <w:widowControl w:val="0"/>
              <w:ind w:left="420" w:hanging="420"/>
              <w:rPr>
                <w:rFonts w:ascii="Times New Roman" w:hAnsi="Times New Roman"/>
                <w:szCs w:val="21"/>
                <w:u w:val="none"/>
                <w:lang w:eastAsia="zh-CN"/>
              </w:rPr>
            </w:pPr>
            <w:r>
              <w:rPr>
                <w:rFonts w:ascii="Times New Roman" w:hAnsi="Times New Roman"/>
                <w:color w:val="000000" w:themeColor="text1"/>
                <w:szCs w:val="21"/>
                <w:u w:val="none"/>
                <w:lang w:eastAsia="zh-CN"/>
              </w:rPr>
              <w:t>4</w:t>
            </w:r>
          </w:p>
        </w:tc>
        <w:tc>
          <w:tcPr>
            <w:tcW w:w="1065" w:type="pc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3154545.00</w:t>
            </w:r>
          </w:p>
        </w:tc>
        <w:tc>
          <w:tcPr>
            <w:tcW w:w="1122" w:type="pc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37579199.00</w:t>
            </w:r>
          </w:p>
        </w:tc>
        <w:tc>
          <w:tcPr>
            <w:tcW w:w="1067" w:type="pc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3154546.92</w:t>
            </w:r>
          </w:p>
        </w:tc>
        <w:tc>
          <w:tcPr>
            <w:tcW w:w="1123" w:type="pc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37579315.13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53" w:type="dxa"/>
            <w:tcBorders>
              <w:tl2br w:val="nil"/>
              <w:tr2bl w:val="nil"/>
            </w:tcBorders>
            <w:vAlign w:val="center"/>
          </w:tcPr>
          <w:p>
            <w:pPr>
              <w:pStyle w:val="25"/>
              <w:widowControl w:val="0"/>
              <w:ind w:left="420" w:hanging="420"/>
              <w:rPr>
                <w:rFonts w:ascii="Times New Roman" w:hAnsi="Times New Roman"/>
                <w:szCs w:val="21"/>
                <w:u w:val="none"/>
                <w:lang w:eastAsia="zh-CN"/>
              </w:rPr>
            </w:pPr>
            <w:r>
              <w:rPr>
                <w:rFonts w:ascii="Times New Roman" w:hAnsi="Times New Roman"/>
                <w:color w:val="000000" w:themeColor="text1"/>
                <w:szCs w:val="21"/>
                <w:u w:val="none"/>
                <w:lang w:eastAsia="zh-CN"/>
              </w:rPr>
              <w:t>5</w:t>
            </w:r>
          </w:p>
        </w:tc>
        <w:tc>
          <w:tcPr>
            <w:tcW w:w="1065" w:type="pc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3154427.00</w:t>
            </w:r>
          </w:p>
        </w:tc>
        <w:tc>
          <w:tcPr>
            <w:tcW w:w="1122" w:type="pc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37579020.00</w:t>
            </w:r>
          </w:p>
        </w:tc>
        <w:tc>
          <w:tcPr>
            <w:tcW w:w="1067" w:type="pc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3154428.92</w:t>
            </w:r>
          </w:p>
        </w:tc>
        <w:tc>
          <w:tcPr>
            <w:tcW w:w="1123" w:type="pc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37579136.13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53" w:type="dxa"/>
            <w:tcBorders>
              <w:tl2br w:val="nil"/>
              <w:tr2bl w:val="nil"/>
            </w:tcBorders>
            <w:vAlign w:val="center"/>
          </w:tcPr>
          <w:p>
            <w:pPr>
              <w:pStyle w:val="25"/>
              <w:widowControl w:val="0"/>
              <w:ind w:left="420" w:hanging="420"/>
              <w:rPr>
                <w:rFonts w:ascii="Times New Roman" w:hAnsi="Times New Roman"/>
                <w:szCs w:val="21"/>
                <w:u w:val="none"/>
                <w:lang w:eastAsia="zh-CN"/>
              </w:rPr>
            </w:pPr>
            <w:r>
              <w:rPr>
                <w:rFonts w:ascii="Times New Roman" w:hAnsi="Times New Roman"/>
                <w:color w:val="000000" w:themeColor="text1"/>
                <w:szCs w:val="21"/>
                <w:u w:val="none"/>
                <w:lang w:eastAsia="zh-CN"/>
              </w:rPr>
              <w:t>6</w:t>
            </w:r>
          </w:p>
        </w:tc>
        <w:tc>
          <w:tcPr>
            <w:tcW w:w="1065" w:type="pc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3154510.00</w:t>
            </w:r>
          </w:p>
        </w:tc>
        <w:tc>
          <w:tcPr>
            <w:tcW w:w="1122" w:type="pc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37578965.00</w:t>
            </w:r>
          </w:p>
        </w:tc>
        <w:tc>
          <w:tcPr>
            <w:tcW w:w="1067" w:type="pc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3154511.92</w:t>
            </w:r>
          </w:p>
        </w:tc>
        <w:tc>
          <w:tcPr>
            <w:tcW w:w="1123" w:type="pc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37579081.13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53" w:type="dxa"/>
            <w:tcBorders>
              <w:tl2br w:val="nil"/>
              <w:tr2bl w:val="nil"/>
            </w:tcBorders>
            <w:vAlign w:val="center"/>
          </w:tcPr>
          <w:p>
            <w:pPr>
              <w:pStyle w:val="25"/>
              <w:widowControl w:val="0"/>
              <w:ind w:left="420" w:hanging="420"/>
              <w:rPr>
                <w:rFonts w:ascii="Times New Roman" w:hAnsi="Times New Roman"/>
                <w:szCs w:val="21"/>
                <w:u w:val="none"/>
                <w:lang w:eastAsia="zh-CN"/>
              </w:rPr>
            </w:pPr>
            <w:r>
              <w:rPr>
                <w:rFonts w:ascii="Times New Roman" w:hAnsi="Times New Roman"/>
                <w:color w:val="000000" w:themeColor="text1"/>
                <w:szCs w:val="21"/>
                <w:u w:val="none"/>
                <w:lang w:eastAsia="zh-CN"/>
              </w:rPr>
              <w:t>7</w:t>
            </w:r>
          </w:p>
        </w:tc>
        <w:tc>
          <w:tcPr>
            <w:tcW w:w="1065" w:type="pc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3154668.00</w:t>
            </w:r>
          </w:p>
        </w:tc>
        <w:tc>
          <w:tcPr>
            <w:tcW w:w="1122" w:type="pc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37579199.00</w:t>
            </w:r>
          </w:p>
        </w:tc>
        <w:tc>
          <w:tcPr>
            <w:tcW w:w="1067" w:type="pc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3154669.92</w:t>
            </w:r>
          </w:p>
        </w:tc>
        <w:tc>
          <w:tcPr>
            <w:tcW w:w="1123" w:type="pct"/>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37579315.13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5"/>
            <w:tcBorders>
              <w:tl2br w:val="nil"/>
              <w:tr2bl w:val="nil"/>
            </w:tcBorders>
            <w:vAlign w:val="center"/>
          </w:tcPr>
          <w:p>
            <w:pPr>
              <w:pStyle w:val="53"/>
              <w:widowControl/>
              <w:spacing w:line="240" w:lineRule="auto"/>
              <w:ind w:firstLine="0" w:firstLineChars="0"/>
              <w:rPr>
                <w:sz w:val="21"/>
                <w:szCs w:val="21"/>
                <w:u w:val="none"/>
              </w:rPr>
            </w:pPr>
            <w:r>
              <w:rPr>
                <w:sz w:val="21"/>
                <w:szCs w:val="21"/>
                <w:u w:val="none"/>
              </w:rPr>
              <w:t>矿山面积0.14km</w:t>
            </w:r>
            <w:r>
              <w:rPr>
                <w:sz w:val="21"/>
                <w:szCs w:val="21"/>
                <w:u w:val="none"/>
                <w:vertAlign w:val="superscript"/>
              </w:rPr>
              <w:t>2</w:t>
            </w:r>
            <w:r>
              <w:rPr>
                <w:sz w:val="21"/>
                <w:szCs w:val="21"/>
                <w:u w:val="none"/>
              </w:rPr>
              <w:t>，开采深度+85m至-150m。</w:t>
            </w:r>
          </w:p>
        </w:tc>
      </w:tr>
    </w:tbl>
    <w:p>
      <w:pPr>
        <w:ind w:firstLine="480"/>
        <w:rPr>
          <w:u w:val="none"/>
        </w:rPr>
      </w:pPr>
      <w:r>
        <w:rPr>
          <w:rFonts w:hint="eastAsia"/>
          <w:u w:val="none"/>
        </w:rPr>
        <w:t>（2）</w:t>
      </w:r>
      <w:r>
        <w:rPr>
          <w:u w:val="none"/>
        </w:rPr>
        <w:t>储量和服务年限</w:t>
      </w:r>
    </w:p>
    <w:p>
      <w:pPr>
        <w:ind w:firstLine="480"/>
        <w:rPr>
          <w:u w:val="none"/>
        </w:rPr>
      </w:pPr>
      <w:r>
        <w:rPr>
          <w:u w:val="none"/>
        </w:rPr>
        <w:t>《湖南省桃江县大栗港矿区首溪金矿资源储量核实报告》(湘国土资储备字[2018]146号)备案的矿产资源储量为：截至2018年6月底止，矿山保有资源储量(122b+333+333低)矿石量84703t，金金属量Au308Kg；其中：基础储量(122b)矿石量41778t，金金属量Au138Kg；资源量(333)矿石量36855t，金金属量Au159Kg，(333低)矿石量6070t，金金属量Au11Kg。矿山可采储量6.4万t。矿山采矿设计综合贫化率为12﹪、损失率为9﹪。矿山服务年限＝6.4÷〔3.0×(1-12﹪)〕=2.4a。</w:t>
      </w:r>
    </w:p>
    <w:p>
      <w:pPr>
        <w:pStyle w:val="4"/>
        <w:rPr>
          <w:u w:val="none"/>
        </w:rPr>
      </w:pPr>
      <w:r>
        <w:rPr>
          <w:rFonts w:hint="eastAsia"/>
          <w:u w:val="none"/>
        </w:rPr>
        <w:t>2.1.4原矿成分分析</w:t>
      </w:r>
    </w:p>
    <w:p>
      <w:pPr>
        <w:ind w:firstLine="480"/>
        <w:rPr>
          <w:u w:val="none"/>
        </w:rPr>
      </w:pPr>
      <w:r>
        <w:rPr>
          <w:rFonts w:hint="eastAsia"/>
          <w:u w:val="none"/>
        </w:rPr>
        <w:t>（1）</w:t>
      </w:r>
      <w:r>
        <w:rPr>
          <w:u w:val="none"/>
        </w:rPr>
        <w:t>矿石物质组成</w:t>
      </w:r>
    </w:p>
    <w:p>
      <w:pPr>
        <w:ind w:firstLine="480"/>
        <w:rPr>
          <w:u w:val="none"/>
        </w:rPr>
      </w:pPr>
      <w:r>
        <w:rPr>
          <w:u w:val="none"/>
        </w:rPr>
        <w:t>矿石中金属矿物主要有自然金、褐铁矿、赤铁矿、黄铁矿及少量毒砂等；脉石矿物有石英、绢云母、方解石、绿泥石等。</w:t>
      </w:r>
    </w:p>
    <w:p>
      <w:pPr>
        <w:ind w:firstLine="480"/>
        <w:rPr>
          <w:u w:val="none"/>
        </w:rPr>
      </w:pPr>
      <w:r>
        <w:rPr>
          <w:rFonts w:hint="eastAsia"/>
          <w:u w:val="none"/>
        </w:rPr>
        <w:t>（2）</w:t>
      </w:r>
      <w:r>
        <w:rPr>
          <w:u w:val="none"/>
        </w:rPr>
        <w:t>矿石结构、构造</w:t>
      </w:r>
    </w:p>
    <w:p>
      <w:pPr>
        <w:ind w:firstLine="480"/>
        <w:rPr>
          <w:u w:val="none"/>
        </w:rPr>
      </w:pPr>
      <w:r>
        <w:rPr>
          <w:rFonts w:hint="eastAsia"/>
          <w:u w:val="none"/>
        </w:rPr>
        <w:t>①</w:t>
      </w:r>
      <w:r>
        <w:rPr>
          <w:u w:val="none"/>
        </w:rPr>
        <w:t>矿石结构：主要有变余碎屑结构、粒状结构、微晶细晶结构、鳞片变晶结构等。</w:t>
      </w:r>
      <w:r>
        <w:rPr>
          <w:rFonts w:hint="eastAsia"/>
          <w:u w:val="none"/>
        </w:rPr>
        <w:t>②</w:t>
      </w:r>
      <w:r>
        <w:rPr>
          <w:u w:val="none"/>
        </w:rPr>
        <w:t>矿石构造：主要有块状构造、镶嵌构造、角砾状构造、碎裂构造、千枚状构造</w:t>
      </w:r>
    </w:p>
    <w:p>
      <w:pPr>
        <w:ind w:firstLine="480"/>
        <w:rPr>
          <w:u w:val="none"/>
        </w:rPr>
      </w:pPr>
      <w:r>
        <w:rPr>
          <w:rFonts w:hint="eastAsia"/>
          <w:u w:val="none"/>
        </w:rPr>
        <w:t>②</w:t>
      </w:r>
      <w:r>
        <w:rPr>
          <w:u w:val="none"/>
        </w:rPr>
        <w:t>矿石化学成分</w:t>
      </w:r>
    </w:p>
    <w:p>
      <w:pPr>
        <w:ind w:firstLine="480"/>
        <w:rPr>
          <w:u w:val="none"/>
        </w:rPr>
      </w:pPr>
      <w:r>
        <w:rPr>
          <w:u w:val="none"/>
        </w:rPr>
        <w:t>首溪金矿</w:t>
      </w:r>
      <w:r>
        <w:rPr>
          <w:rFonts w:hint="eastAsia"/>
          <w:u w:val="none"/>
        </w:rPr>
        <w:t>主要</w:t>
      </w:r>
      <w:r>
        <w:rPr>
          <w:u w:val="none"/>
        </w:rPr>
        <w:t>属于钾长石化石英脉型金矿，矿石化学成份简单，最主要的化学组分是SiO</w:t>
      </w:r>
      <w:r>
        <w:rPr>
          <w:u w:val="none"/>
          <w:vertAlign w:val="subscript"/>
        </w:rPr>
        <w:t>2</w:t>
      </w:r>
      <w:r>
        <w:rPr>
          <w:u w:val="none"/>
        </w:rPr>
        <w:t>，其次为Al</w:t>
      </w:r>
      <w:r>
        <w:rPr>
          <w:u w:val="none"/>
          <w:vertAlign w:val="subscript"/>
        </w:rPr>
        <w:t>2</w:t>
      </w:r>
      <w:r>
        <w:rPr>
          <w:u w:val="none"/>
        </w:rPr>
        <w:t>O</w:t>
      </w:r>
      <w:r>
        <w:rPr>
          <w:u w:val="none"/>
          <w:vertAlign w:val="subscript"/>
        </w:rPr>
        <w:t>3</w:t>
      </w:r>
      <w:r>
        <w:rPr>
          <w:u w:val="none"/>
        </w:rPr>
        <w:t>、Fe、CaO、MgO、K</w:t>
      </w:r>
      <w:r>
        <w:rPr>
          <w:u w:val="none"/>
          <w:vertAlign w:val="subscript"/>
        </w:rPr>
        <w:t>2</w:t>
      </w:r>
      <w:r>
        <w:rPr>
          <w:u w:val="none"/>
        </w:rPr>
        <w:t>O、Na</w:t>
      </w:r>
      <w:r>
        <w:rPr>
          <w:u w:val="none"/>
          <w:vertAlign w:val="subscript"/>
        </w:rPr>
        <w:t>2</w:t>
      </w:r>
      <w:r>
        <w:rPr>
          <w:u w:val="none"/>
        </w:rPr>
        <w:t>O以及S、As等；有价组分是金；有害元素As的含量相对较高。</w:t>
      </w:r>
    </w:p>
    <w:p>
      <w:pPr>
        <w:ind w:firstLine="480"/>
        <w:rPr>
          <w:u w:val="none"/>
        </w:rPr>
      </w:pPr>
      <w:r>
        <w:rPr>
          <w:rFonts w:hint="eastAsia"/>
          <w:u w:val="none"/>
        </w:rPr>
        <w:t>引用《桃江县湘域矿业有限公司首溪金矿扩建项目环境影响报告书》中矿山矿石成分</w:t>
      </w:r>
      <w:r>
        <w:rPr>
          <w:u w:val="none"/>
        </w:rPr>
        <w:t>分析</w:t>
      </w:r>
      <w:r>
        <w:rPr>
          <w:rFonts w:hint="eastAsia"/>
          <w:u w:val="none"/>
        </w:rPr>
        <w:t>数据，详</w:t>
      </w:r>
      <w:r>
        <w:rPr>
          <w:u w:val="none"/>
        </w:rPr>
        <w:t>见表</w:t>
      </w:r>
      <w:r>
        <w:rPr>
          <w:rFonts w:hint="eastAsia"/>
          <w:u w:val="none"/>
        </w:rPr>
        <w:t>2.1.4-1</w:t>
      </w:r>
      <w:r>
        <w:rPr>
          <w:u w:val="none"/>
        </w:rPr>
        <w:t>。</w:t>
      </w:r>
    </w:p>
    <w:p>
      <w:pPr>
        <w:pStyle w:val="102"/>
        <w:rPr>
          <w:rFonts w:ascii="Times New Roman" w:hAnsi="Times New Roman" w:eastAsia="宋体"/>
          <w:b/>
          <w:bCs/>
          <w:kern w:val="0"/>
          <w:sz w:val="24"/>
          <w:szCs w:val="24"/>
          <w:u w:val="none"/>
        </w:rPr>
      </w:pPr>
      <w:bookmarkStart w:id="26" w:name="_Toc14374"/>
      <w:r>
        <w:rPr>
          <w:rFonts w:hint="eastAsia" w:ascii="Times New Roman" w:hAnsi="Times New Roman" w:eastAsia="宋体"/>
          <w:b/>
          <w:bCs/>
          <w:kern w:val="0"/>
          <w:sz w:val="24"/>
          <w:szCs w:val="24"/>
          <w:u w:val="none"/>
        </w:rPr>
        <w:t>表2.1.4-1矿样多元素分析结果</w:t>
      </w:r>
      <w:bookmarkEnd w:id="26"/>
    </w:p>
    <w:tbl>
      <w:tblPr>
        <w:tblStyle w:val="3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15"/>
        <w:gridCol w:w="907"/>
        <w:gridCol w:w="907"/>
        <w:gridCol w:w="910"/>
        <w:gridCol w:w="907"/>
        <w:gridCol w:w="910"/>
        <w:gridCol w:w="907"/>
        <w:gridCol w:w="908"/>
        <w:gridCol w:w="907"/>
        <w:gridCol w:w="9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601" w:type="pct"/>
            <w:vAlign w:val="center"/>
          </w:tcPr>
          <w:p>
            <w:pPr>
              <w:pStyle w:val="51"/>
              <w:rPr>
                <w:u w:val="none"/>
              </w:rPr>
            </w:pPr>
            <w:r>
              <w:rPr>
                <w:u w:val="none"/>
              </w:rPr>
              <w:t>名称</w:t>
            </w:r>
          </w:p>
        </w:tc>
        <w:tc>
          <w:tcPr>
            <w:tcW w:w="488" w:type="pct"/>
            <w:vAlign w:val="center"/>
          </w:tcPr>
          <w:p>
            <w:pPr>
              <w:pStyle w:val="51"/>
              <w:rPr>
                <w:u w:val="none"/>
              </w:rPr>
            </w:pPr>
            <w:r>
              <w:rPr>
                <w:u w:val="none"/>
              </w:rPr>
              <w:t>Au</w:t>
            </w:r>
          </w:p>
        </w:tc>
        <w:tc>
          <w:tcPr>
            <w:tcW w:w="488" w:type="pct"/>
            <w:vAlign w:val="center"/>
          </w:tcPr>
          <w:p>
            <w:pPr>
              <w:pStyle w:val="51"/>
              <w:rPr>
                <w:u w:val="none"/>
              </w:rPr>
            </w:pPr>
            <w:r>
              <w:rPr>
                <w:rFonts w:hint="eastAsia"/>
                <w:u w:val="none"/>
              </w:rPr>
              <w:t>Al</w:t>
            </w:r>
            <w:r>
              <w:rPr>
                <w:u w:val="none"/>
                <w:vertAlign w:val="subscript"/>
              </w:rPr>
              <w:t>2</w:t>
            </w:r>
            <w:r>
              <w:rPr>
                <w:rFonts w:hint="eastAsia"/>
                <w:u w:val="none"/>
              </w:rPr>
              <w:t>O</w:t>
            </w:r>
            <w:r>
              <w:rPr>
                <w:u w:val="none"/>
                <w:vertAlign w:val="subscript"/>
              </w:rPr>
              <w:t>3</w:t>
            </w:r>
          </w:p>
        </w:tc>
        <w:tc>
          <w:tcPr>
            <w:tcW w:w="490" w:type="pct"/>
            <w:vAlign w:val="center"/>
          </w:tcPr>
          <w:p>
            <w:pPr>
              <w:pStyle w:val="51"/>
              <w:rPr>
                <w:u w:val="none"/>
              </w:rPr>
            </w:pPr>
            <w:r>
              <w:rPr>
                <w:u w:val="none"/>
              </w:rPr>
              <w:t>SiO</w:t>
            </w:r>
            <w:r>
              <w:rPr>
                <w:u w:val="none"/>
                <w:vertAlign w:val="subscript"/>
              </w:rPr>
              <w:t>2</w:t>
            </w:r>
          </w:p>
        </w:tc>
        <w:tc>
          <w:tcPr>
            <w:tcW w:w="488" w:type="pct"/>
            <w:vAlign w:val="center"/>
          </w:tcPr>
          <w:p>
            <w:pPr>
              <w:pStyle w:val="51"/>
              <w:rPr>
                <w:u w:val="none"/>
              </w:rPr>
            </w:pPr>
            <w:r>
              <w:rPr>
                <w:rFonts w:hint="eastAsia"/>
                <w:u w:val="none"/>
              </w:rPr>
              <w:t>K</w:t>
            </w:r>
            <w:r>
              <w:rPr>
                <w:u w:val="none"/>
                <w:vertAlign w:val="subscript"/>
              </w:rPr>
              <w:t>2</w:t>
            </w:r>
            <w:r>
              <w:rPr>
                <w:rFonts w:hint="eastAsia"/>
                <w:u w:val="none"/>
              </w:rPr>
              <w:t>O</w:t>
            </w:r>
          </w:p>
        </w:tc>
        <w:tc>
          <w:tcPr>
            <w:tcW w:w="490" w:type="pct"/>
            <w:vAlign w:val="center"/>
          </w:tcPr>
          <w:p>
            <w:pPr>
              <w:pStyle w:val="51"/>
              <w:rPr>
                <w:u w:val="none"/>
              </w:rPr>
            </w:pPr>
            <w:r>
              <w:rPr>
                <w:rFonts w:hint="eastAsia"/>
                <w:u w:val="none"/>
              </w:rPr>
              <w:t>CaO</w:t>
            </w:r>
          </w:p>
        </w:tc>
        <w:tc>
          <w:tcPr>
            <w:tcW w:w="488" w:type="pct"/>
            <w:vAlign w:val="center"/>
          </w:tcPr>
          <w:p>
            <w:pPr>
              <w:pStyle w:val="51"/>
              <w:rPr>
                <w:u w:val="none"/>
              </w:rPr>
            </w:pPr>
            <w:r>
              <w:rPr>
                <w:rFonts w:hint="eastAsia"/>
                <w:u w:val="none"/>
              </w:rPr>
              <w:t>Mg</w:t>
            </w:r>
          </w:p>
        </w:tc>
        <w:tc>
          <w:tcPr>
            <w:tcW w:w="489" w:type="pct"/>
            <w:vAlign w:val="center"/>
          </w:tcPr>
          <w:p>
            <w:pPr>
              <w:pStyle w:val="51"/>
              <w:rPr>
                <w:u w:val="none"/>
              </w:rPr>
            </w:pPr>
            <w:r>
              <w:rPr>
                <w:rFonts w:hint="eastAsia"/>
                <w:u w:val="none"/>
              </w:rPr>
              <w:t>Fe</w:t>
            </w:r>
          </w:p>
        </w:tc>
        <w:tc>
          <w:tcPr>
            <w:tcW w:w="488" w:type="pct"/>
            <w:tcBorders>
              <w:right w:val="single" w:color="auto" w:sz="4" w:space="0"/>
            </w:tcBorders>
            <w:vAlign w:val="center"/>
          </w:tcPr>
          <w:p>
            <w:pPr>
              <w:pStyle w:val="51"/>
              <w:rPr>
                <w:u w:val="none"/>
              </w:rPr>
            </w:pPr>
            <w:r>
              <w:rPr>
                <w:u w:val="none"/>
              </w:rPr>
              <w:t>S</w:t>
            </w:r>
          </w:p>
        </w:tc>
        <w:tc>
          <w:tcPr>
            <w:tcW w:w="489" w:type="pct"/>
            <w:tcBorders>
              <w:left w:val="single" w:color="auto" w:sz="4" w:space="0"/>
            </w:tcBorders>
            <w:vAlign w:val="center"/>
          </w:tcPr>
          <w:p>
            <w:pPr>
              <w:pStyle w:val="51"/>
              <w:rPr>
                <w:u w:val="none"/>
              </w:rPr>
            </w:pPr>
            <w:r>
              <w:rPr>
                <w:u w:val="none"/>
              </w:rPr>
              <w:t>As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601" w:type="pct"/>
            <w:vAlign w:val="center"/>
          </w:tcPr>
          <w:p>
            <w:pPr>
              <w:pStyle w:val="51"/>
              <w:rPr>
                <w:u w:val="none"/>
              </w:rPr>
            </w:pPr>
            <w:r>
              <w:rPr>
                <w:u w:val="none"/>
              </w:rPr>
              <w:t>单位</w:t>
            </w:r>
          </w:p>
        </w:tc>
        <w:tc>
          <w:tcPr>
            <w:tcW w:w="488" w:type="pct"/>
            <w:vAlign w:val="center"/>
          </w:tcPr>
          <w:p>
            <w:pPr>
              <w:pStyle w:val="51"/>
              <w:rPr>
                <w:u w:val="none"/>
              </w:rPr>
            </w:pPr>
            <w:r>
              <w:rPr>
                <w:u w:val="none"/>
              </w:rPr>
              <w:t>g/t</w:t>
            </w:r>
          </w:p>
        </w:tc>
        <w:tc>
          <w:tcPr>
            <w:tcW w:w="488" w:type="pct"/>
            <w:vAlign w:val="center"/>
          </w:tcPr>
          <w:p>
            <w:pPr>
              <w:pStyle w:val="51"/>
              <w:rPr>
                <w:u w:val="none"/>
              </w:rPr>
            </w:pPr>
            <w:r>
              <w:rPr>
                <w:u w:val="none"/>
              </w:rPr>
              <w:t>%</w:t>
            </w:r>
          </w:p>
        </w:tc>
        <w:tc>
          <w:tcPr>
            <w:tcW w:w="490" w:type="pct"/>
            <w:vAlign w:val="center"/>
          </w:tcPr>
          <w:p>
            <w:pPr>
              <w:pStyle w:val="51"/>
              <w:rPr>
                <w:u w:val="none"/>
              </w:rPr>
            </w:pPr>
            <w:r>
              <w:rPr>
                <w:u w:val="none"/>
              </w:rPr>
              <w:t>%</w:t>
            </w:r>
          </w:p>
        </w:tc>
        <w:tc>
          <w:tcPr>
            <w:tcW w:w="488" w:type="pct"/>
            <w:vAlign w:val="center"/>
          </w:tcPr>
          <w:p>
            <w:pPr>
              <w:pStyle w:val="51"/>
              <w:rPr>
                <w:u w:val="none"/>
              </w:rPr>
            </w:pPr>
            <w:r>
              <w:rPr>
                <w:u w:val="none"/>
              </w:rPr>
              <w:t>%</w:t>
            </w:r>
          </w:p>
        </w:tc>
        <w:tc>
          <w:tcPr>
            <w:tcW w:w="490" w:type="pct"/>
            <w:vAlign w:val="center"/>
          </w:tcPr>
          <w:p>
            <w:pPr>
              <w:pStyle w:val="51"/>
              <w:rPr>
                <w:u w:val="none"/>
              </w:rPr>
            </w:pPr>
            <w:r>
              <w:rPr>
                <w:u w:val="none"/>
              </w:rPr>
              <w:t>%</w:t>
            </w:r>
          </w:p>
        </w:tc>
        <w:tc>
          <w:tcPr>
            <w:tcW w:w="488" w:type="pct"/>
            <w:vAlign w:val="center"/>
          </w:tcPr>
          <w:p>
            <w:pPr>
              <w:pStyle w:val="51"/>
              <w:rPr>
                <w:u w:val="none"/>
              </w:rPr>
            </w:pPr>
            <w:r>
              <w:rPr>
                <w:u w:val="none"/>
              </w:rPr>
              <w:t>%</w:t>
            </w:r>
          </w:p>
        </w:tc>
        <w:tc>
          <w:tcPr>
            <w:tcW w:w="489" w:type="pct"/>
            <w:vAlign w:val="center"/>
          </w:tcPr>
          <w:p>
            <w:pPr>
              <w:pStyle w:val="51"/>
              <w:rPr>
                <w:u w:val="none"/>
              </w:rPr>
            </w:pPr>
            <w:r>
              <w:rPr>
                <w:u w:val="none"/>
              </w:rPr>
              <w:t>%</w:t>
            </w:r>
          </w:p>
        </w:tc>
        <w:tc>
          <w:tcPr>
            <w:tcW w:w="488" w:type="pct"/>
            <w:tcBorders>
              <w:right w:val="single" w:color="auto" w:sz="4" w:space="0"/>
            </w:tcBorders>
            <w:vAlign w:val="center"/>
          </w:tcPr>
          <w:p>
            <w:pPr>
              <w:pStyle w:val="51"/>
              <w:rPr>
                <w:u w:val="none"/>
              </w:rPr>
            </w:pPr>
            <w:r>
              <w:rPr>
                <w:u w:val="none"/>
              </w:rPr>
              <w:t>%</w:t>
            </w:r>
          </w:p>
        </w:tc>
        <w:tc>
          <w:tcPr>
            <w:tcW w:w="489" w:type="pct"/>
            <w:tcBorders>
              <w:left w:val="single" w:color="auto" w:sz="4" w:space="0"/>
            </w:tcBorders>
            <w:vAlign w:val="center"/>
          </w:tcPr>
          <w:p>
            <w:pPr>
              <w:pStyle w:val="51"/>
              <w:rPr>
                <w:u w:val="none"/>
              </w:rPr>
            </w:pPr>
            <w:r>
              <w:rPr>
                <w:rFonts w:hint="eastAsia"/>
                <w:u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8" w:hRule="atLeast"/>
          <w:jc w:val="center"/>
        </w:trPr>
        <w:tc>
          <w:tcPr>
            <w:tcW w:w="601" w:type="pct"/>
            <w:vAlign w:val="center"/>
          </w:tcPr>
          <w:p>
            <w:pPr>
              <w:pStyle w:val="51"/>
              <w:rPr>
                <w:u w:val="none"/>
              </w:rPr>
            </w:pPr>
            <w:r>
              <w:rPr>
                <w:u w:val="none"/>
              </w:rPr>
              <w:t>含量</w:t>
            </w:r>
          </w:p>
        </w:tc>
        <w:tc>
          <w:tcPr>
            <w:tcW w:w="488" w:type="pct"/>
            <w:vAlign w:val="center"/>
          </w:tcPr>
          <w:p>
            <w:pPr>
              <w:pStyle w:val="51"/>
              <w:rPr>
                <w:u w:val="none"/>
              </w:rPr>
            </w:pPr>
            <w:r>
              <w:rPr>
                <w:u w:val="none"/>
              </w:rPr>
              <w:t>3.8</w:t>
            </w:r>
          </w:p>
        </w:tc>
        <w:tc>
          <w:tcPr>
            <w:tcW w:w="488" w:type="pct"/>
            <w:vAlign w:val="center"/>
          </w:tcPr>
          <w:p>
            <w:pPr>
              <w:pStyle w:val="51"/>
              <w:rPr>
                <w:u w:val="none"/>
              </w:rPr>
            </w:pPr>
            <w:r>
              <w:rPr>
                <w:rFonts w:hint="eastAsia"/>
                <w:u w:val="none"/>
              </w:rPr>
              <w:t>1</w:t>
            </w:r>
            <w:r>
              <w:rPr>
                <w:u w:val="none"/>
              </w:rPr>
              <w:t>6.8</w:t>
            </w:r>
          </w:p>
        </w:tc>
        <w:tc>
          <w:tcPr>
            <w:tcW w:w="490" w:type="pct"/>
            <w:vAlign w:val="center"/>
          </w:tcPr>
          <w:p>
            <w:pPr>
              <w:pStyle w:val="51"/>
              <w:rPr>
                <w:u w:val="none"/>
              </w:rPr>
            </w:pPr>
            <w:r>
              <w:rPr>
                <w:u w:val="none"/>
              </w:rPr>
              <w:t>69.62</w:t>
            </w:r>
          </w:p>
        </w:tc>
        <w:tc>
          <w:tcPr>
            <w:tcW w:w="488" w:type="pct"/>
            <w:vAlign w:val="center"/>
          </w:tcPr>
          <w:p>
            <w:pPr>
              <w:pStyle w:val="51"/>
              <w:rPr>
                <w:u w:val="none"/>
              </w:rPr>
            </w:pPr>
            <w:r>
              <w:rPr>
                <w:rFonts w:hint="eastAsia"/>
                <w:u w:val="none"/>
              </w:rPr>
              <w:t>4</w:t>
            </w:r>
            <w:r>
              <w:rPr>
                <w:u w:val="none"/>
              </w:rPr>
              <w:t>.07</w:t>
            </w:r>
          </w:p>
        </w:tc>
        <w:tc>
          <w:tcPr>
            <w:tcW w:w="490" w:type="pct"/>
            <w:vAlign w:val="center"/>
          </w:tcPr>
          <w:p>
            <w:pPr>
              <w:pStyle w:val="51"/>
              <w:rPr>
                <w:u w:val="none"/>
              </w:rPr>
            </w:pPr>
            <w:r>
              <w:rPr>
                <w:rFonts w:hint="eastAsia"/>
                <w:u w:val="none"/>
              </w:rPr>
              <w:t>3</w:t>
            </w:r>
            <w:r>
              <w:rPr>
                <w:u w:val="none"/>
              </w:rPr>
              <w:t>.13</w:t>
            </w:r>
          </w:p>
        </w:tc>
        <w:tc>
          <w:tcPr>
            <w:tcW w:w="488" w:type="pct"/>
            <w:vAlign w:val="center"/>
          </w:tcPr>
          <w:p>
            <w:pPr>
              <w:pStyle w:val="51"/>
              <w:rPr>
                <w:u w:val="none"/>
              </w:rPr>
            </w:pPr>
            <w:r>
              <w:rPr>
                <w:rFonts w:hint="eastAsia"/>
                <w:u w:val="none"/>
              </w:rPr>
              <w:t>0</w:t>
            </w:r>
            <w:r>
              <w:rPr>
                <w:u w:val="none"/>
              </w:rPr>
              <w:t>.13</w:t>
            </w:r>
          </w:p>
        </w:tc>
        <w:tc>
          <w:tcPr>
            <w:tcW w:w="489" w:type="pct"/>
            <w:vAlign w:val="center"/>
          </w:tcPr>
          <w:p>
            <w:pPr>
              <w:pStyle w:val="51"/>
              <w:rPr>
                <w:u w:val="none"/>
              </w:rPr>
            </w:pPr>
            <w:r>
              <w:rPr>
                <w:rFonts w:hint="eastAsia"/>
                <w:u w:val="none"/>
              </w:rPr>
              <w:t>0</w:t>
            </w:r>
            <w:r>
              <w:rPr>
                <w:u w:val="none"/>
              </w:rPr>
              <w:t>.32</w:t>
            </w:r>
          </w:p>
        </w:tc>
        <w:tc>
          <w:tcPr>
            <w:tcW w:w="488" w:type="pct"/>
            <w:tcBorders>
              <w:right w:val="single" w:color="auto" w:sz="4" w:space="0"/>
            </w:tcBorders>
            <w:vAlign w:val="center"/>
          </w:tcPr>
          <w:p>
            <w:pPr>
              <w:pStyle w:val="51"/>
              <w:rPr>
                <w:u w:val="none"/>
              </w:rPr>
            </w:pPr>
            <w:r>
              <w:rPr>
                <w:u w:val="none"/>
              </w:rPr>
              <w:t>0.87</w:t>
            </w:r>
          </w:p>
        </w:tc>
        <w:tc>
          <w:tcPr>
            <w:tcW w:w="489" w:type="pct"/>
            <w:tcBorders>
              <w:left w:val="single" w:color="auto" w:sz="4" w:space="0"/>
            </w:tcBorders>
            <w:vAlign w:val="center"/>
          </w:tcPr>
          <w:p>
            <w:pPr>
              <w:pStyle w:val="51"/>
              <w:rPr>
                <w:u w:val="none"/>
              </w:rPr>
            </w:pPr>
            <w:r>
              <w:rPr>
                <w:u w:val="none"/>
              </w:rPr>
              <w:t>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8" w:hRule="atLeast"/>
          <w:jc w:val="center"/>
        </w:trPr>
        <w:tc>
          <w:tcPr>
            <w:tcW w:w="601" w:type="pct"/>
            <w:vAlign w:val="center"/>
          </w:tcPr>
          <w:p>
            <w:pPr>
              <w:pStyle w:val="51"/>
              <w:rPr>
                <w:u w:val="none"/>
              </w:rPr>
            </w:pPr>
            <w:r>
              <w:rPr>
                <w:u w:val="none"/>
              </w:rPr>
              <w:t>名称</w:t>
            </w:r>
          </w:p>
        </w:tc>
        <w:tc>
          <w:tcPr>
            <w:tcW w:w="488" w:type="pct"/>
            <w:vAlign w:val="center"/>
          </w:tcPr>
          <w:p>
            <w:pPr>
              <w:pStyle w:val="51"/>
              <w:rPr>
                <w:u w:val="none"/>
              </w:rPr>
            </w:pPr>
            <w:r>
              <w:rPr>
                <w:rFonts w:hint="eastAsia"/>
                <w:u w:val="none"/>
              </w:rPr>
              <w:t>Tl</w:t>
            </w:r>
          </w:p>
        </w:tc>
        <w:tc>
          <w:tcPr>
            <w:tcW w:w="488" w:type="pct"/>
            <w:vAlign w:val="center"/>
          </w:tcPr>
          <w:p>
            <w:pPr>
              <w:pStyle w:val="51"/>
              <w:rPr>
                <w:u w:val="none"/>
              </w:rPr>
            </w:pPr>
            <w:r>
              <w:rPr>
                <w:rFonts w:hint="eastAsia"/>
                <w:u w:val="none"/>
              </w:rPr>
              <w:t>Sb</w:t>
            </w:r>
          </w:p>
        </w:tc>
        <w:tc>
          <w:tcPr>
            <w:tcW w:w="490" w:type="pct"/>
            <w:vAlign w:val="center"/>
          </w:tcPr>
          <w:p>
            <w:pPr>
              <w:pStyle w:val="51"/>
              <w:rPr>
                <w:u w:val="none"/>
              </w:rPr>
            </w:pPr>
            <w:r>
              <w:rPr>
                <w:u w:val="none"/>
              </w:rPr>
              <w:t>Cr</w:t>
            </w:r>
          </w:p>
        </w:tc>
        <w:tc>
          <w:tcPr>
            <w:tcW w:w="488" w:type="pct"/>
            <w:vAlign w:val="center"/>
          </w:tcPr>
          <w:p>
            <w:pPr>
              <w:pStyle w:val="51"/>
              <w:rPr>
                <w:u w:val="none"/>
              </w:rPr>
            </w:pPr>
            <w:r>
              <w:rPr>
                <w:u w:val="none"/>
              </w:rPr>
              <w:t>Pb</w:t>
            </w:r>
          </w:p>
        </w:tc>
        <w:tc>
          <w:tcPr>
            <w:tcW w:w="490" w:type="pct"/>
            <w:vAlign w:val="center"/>
          </w:tcPr>
          <w:p>
            <w:pPr>
              <w:pStyle w:val="51"/>
              <w:rPr>
                <w:u w:val="none"/>
              </w:rPr>
            </w:pPr>
            <w:r>
              <w:rPr>
                <w:u w:val="none"/>
              </w:rPr>
              <w:t>Cu</w:t>
            </w:r>
          </w:p>
        </w:tc>
        <w:tc>
          <w:tcPr>
            <w:tcW w:w="488" w:type="pct"/>
            <w:vAlign w:val="center"/>
          </w:tcPr>
          <w:p>
            <w:pPr>
              <w:pStyle w:val="51"/>
              <w:rPr>
                <w:u w:val="none"/>
              </w:rPr>
            </w:pPr>
            <w:r>
              <w:rPr>
                <w:u w:val="none"/>
              </w:rPr>
              <w:t>Hg</w:t>
            </w:r>
          </w:p>
        </w:tc>
        <w:tc>
          <w:tcPr>
            <w:tcW w:w="489" w:type="pct"/>
            <w:vAlign w:val="center"/>
          </w:tcPr>
          <w:p>
            <w:pPr>
              <w:pStyle w:val="51"/>
              <w:rPr>
                <w:u w:val="none"/>
              </w:rPr>
            </w:pPr>
            <w:r>
              <w:rPr>
                <w:u w:val="none"/>
              </w:rPr>
              <w:t>Cd</w:t>
            </w:r>
          </w:p>
        </w:tc>
        <w:tc>
          <w:tcPr>
            <w:tcW w:w="488" w:type="pct"/>
            <w:tcBorders>
              <w:right w:val="single" w:color="auto" w:sz="4" w:space="0"/>
            </w:tcBorders>
            <w:vAlign w:val="center"/>
          </w:tcPr>
          <w:p>
            <w:pPr>
              <w:pStyle w:val="51"/>
              <w:rPr>
                <w:u w:val="none"/>
              </w:rPr>
            </w:pPr>
            <w:r>
              <w:rPr>
                <w:u w:val="none"/>
              </w:rPr>
              <w:t>Zn</w:t>
            </w:r>
          </w:p>
        </w:tc>
        <w:tc>
          <w:tcPr>
            <w:tcW w:w="489" w:type="pct"/>
            <w:tcBorders>
              <w:left w:val="single" w:color="auto" w:sz="4" w:space="0"/>
            </w:tcBorders>
            <w:vAlign w:val="center"/>
          </w:tcPr>
          <w:p>
            <w:pPr>
              <w:pStyle w:val="51"/>
              <w:rPr>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8" w:hRule="atLeast"/>
          <w:jc w:val="center"/>
        </w:trPr>
        <w:tc>
          <w:tcPr>
            <w:tcW w:w="601" w:type="pct"/>
            <w:vAlign w:val="center"/>
          </w:tcPr>
          <w:p>
            <w:pPr>
              <w:pStyle w:val="51"/>
              <w:rPr>
                <w:u w:val="none"/>
              </w:rPr>
            </w:pPr>
            <w:r>
              <w:rPr>
                <w:u w:val="none"/>
              </w:rPr>
              <w:t>单位</w:t>
            </w:r>
          </w:p>
        </w:tc>
        <w:tc>
          <w:tcPr>
            <w:tcW w:w="488" w:type="pct"/>
            <w:vAlign w:val="center"/>
          </w:tcPr>
          <w:p>
            <w:pPr>
              <w:pStyle w:val="51"/>
              <w:rPr>
                <w:u w:val="none"/>
              </w:rPr>
            </w:pPr>
            <w:r>
              <w:rPr>
                <w:rFonts w:hint="eastAsia"/>
                <w:u w:val="none"/>
              </w:rPr>
              <w:t>1</w:t>
            </w:r>
            <w:r>
              <w:rPr>
                <w:u w:val="none"/>
              </w:rPr>
              <w:t>0</w:t>
            </w:r>
            <w:r>
              <w:rPr>
                <w:rFonts w:hint="eastAsia"/>
                <w:u w:val="none"/>
                <w:vertAlign w:val="superscript"/>
              </w:rPr>
              <w:t>-6</w:t>
            </w:r>
          </w:p>
        </w:tc>
        <w:tc>
          <w:tcPr>
            <w:tcW w:w="488" w:type="pct"/>
            <w:vAlign w:val="center"/>
          </w:tcPr>
          <w:p>
            <w:pPr>
              <w:pStyle w:val="51"/>
              <w:rPr>
                <w:u w:val="none"/>
              </w:rPr>
            </w:pPr>
            <w:r>
              <w:rPr>
                <w:rFonts w:hint="eastAsia"/>
                <w:u w:val="none"/>
              </w:rPr>
              <w:t>%</w:t>
            </w:r>
          </w:p>
        </w:tc>
        <w:tc>
          <w:tcPr>
            <w:tcW w:w="490" w:type="pct"/>
            <w:vAlign w:val="center"/>
          </w:tcPr>
          <w:p>
            <w:pPr>
              <w:pStyle w:val="51"/>
              <w:rPr>
                <w:u w:val="none"/>
              </w:rPr>
            </w:pPr>
            <w:r>
              <w:rPr>
                <w:u w:val="none"/>
              </w:rPr>
              <w:t>g/t</w:t>
            </w:r>
          </w:p>
        </w:tc>
        <w:tc>
          <w:tcPr>
            <w:tcW w:w="488" w:type="pct"/>
            <w:vAlign w:val="center"/>
          </w:tcPr>
          <w:p>
            <w:pPr>
              <w:pStyle w:val="51"/>
              <w:rPr>
                <w:u w:val="none"/>
              </w:rPr>
            </w:pPr>
            <w:r>
              <w:rPr>
                <w:u w:val="none"/>
              </w:rPr>
              <w:t>g/t</w:t>
            </w:r>
          </w:p>
        </w:tc>
        <w:tc>
          <w:tcPr>
            <w:tcW w:w="490" w:type="pct"/>
            <w:vAlign w:val="center"/>
          </w:tcPr>
          <w:p>
            <w:pPr>
              <w:pStyle w:val="51"/>
              <w:rPr>
                <w:u w:val="none"/>
              </w:rPr>
            </w:pPr>
            <w:r>
              <w:rPr>
                <w:u w:val="none"/>
              </w:rPr>
              <w:t>g/t</w:t>
            </w:r>
          </w:p>
        </w:tc>
        <w:tc>
          <w:tcPr>
            <w:tcW w:w="488" w:type="pct"/>
            <w:vAlign w:val="center"/>
          </w:tcPr>
          <w:p>
            <w:pPr>
              <w:pStyle w:val="51"/>
              <w:rPr>
                <w:u w:val="none"/>
              </w:rPr>
            </w:pPr>
            <w:r>
              <w:rPr>
                <w:u w:val="none"/>
              </w:rPr>
              <w:t>g/t</w:t>
            </w:r>
          </w:p>
        </w:tc>
        <w:tc>
          <w:tcPr>
            <w:tcW w:w="489" w:type="pct"/>
            <w:vAlign w:val="center"/>
          </w:tcPr>
          <w:p>
            <w:pPr>
              <w:pStyle w:val="51"/>
              <w:rPr>
                <w:u w:val="none"/>
              </w:rPr>
            </w:pPr>
            <w:r>
              <w:rPr>
                <w:u w:val="none"/>
              </w:rPr>
              <w:t>g/t</w:t>
            </w:r>
          </w:p>
        </w:tc>
        <w:tc>
          <w:tcPr>
            <w:tcW w:w="488" w:type="pct"/>
            <w:tcBorders>
              <w:right w:val="single" w:color="auto" w:sz="4" w:space="0"/>
            </w:tcBorders>
            <w:vAlign w:val="center"/>
          </w:tcPr>
          <w:p>
            <w:pPr>
              <w:pStyle w:val="51"/>
              <w:rPr>
                <w:u w:val="none"/>
              </w:rPr>
            </w:pPr>
            <w:r>
              <w:rPr>
                <w:u w:val="none"/>
              </w:rPr>
              <w:t>g/t</w:t>
            </w:r>
          </w:p>
        </w:tc>
        <w:tc>
          <w:tcPr>
            <w:tcW w:w="489" w:type="pct"/>
            <w:tcBorders>
              <w:left w:val="single" w:color="auto" w:sz="4" w:space="0"/>
            </w:tcBorders>
            <w:vAlign w:val="center"/>
          </w:tcPr>
          <w:p>
            <w:pPr>
              <w:pStyle w:val="51"/>
              <w:rPr>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8" w:hRule="atLeast"/>
          <w:jc w:val="center"/>
        </w:trPr>
        <w:tc>
          <w:tcPr>
            <w:tcW w:w="601" w:type="pct"/>
            <w:vAlign w:val="center"/>
          </w:tcPr>
          <w:p>
            <w:pPr>
              <w:pStyle w:val="51"/>
              <w:rPr>
                <w:u w:val="none"/>
              </w:rPr>
            </w:pPr>
            <w:r>
              <w:rPr>
                <w:u w:val="none"/>
              </w:rPr>
              <w:t>含量</w:t>
            </w:r>
          </w:p>
        </w:tc>
        <w:tc>
          <w:tcPr>
            <w:tcW w:w="488" w:type="pct"/>
            <w:vAlign w:val="center"/>
          </w:tcPr>
          <w:p>
            <w:pPr>
              <w:pStyle w:val="51"/>
              <w:rPr>
                <w:u w:val="none"/>
              </w:rPr>
            </w:pPr>
            <w:r>
              <w:rPr>
                <w:rFonts w:hint="eastAsia"/>
                <w:u w:val="none"/>
              </w:rPr>
              <w:t>0</w:t>
            </w:r>
            <w:r>
              <w:rPr>
                <w:u w:val="none"/>
              </w:rPr>
              <w:t>.31</w:t>
            </w:r>
          </w:p>
        </w:tc>
        <w:tc>
          <w:tcPr>
            <w:tcW w:w="488" w:type="pct"/>
            <w:vAlign w:val="center"/>
          </w:tcPr>
          <w:p>
            <w:pPr>
              <w:pStyle w:val="51"/>
              <w:rPr>
                <w:u w:val="none"/>
              </w:rPr>
            </w:pPr>
            <w:r>
              <w:rPr>
                <w:rFonts w:hint="eastAsia"/>
                <w:u w:val="none"/>
              </w:rPr>
              <w:t>0</w:t>
            </w:r>
            <w:r>
              <w:rPr>
                <w:u w:val="none"/>
              </w:rPr>
              <w:t>.0049</w:t>
            </w:r>
          </w:p>
        </w:tc>
        <w:tc>
          <w:tcPr>
            <w:tcW w:w="490" w:type="pct"/>
            <w:vAlign w:val="center"/>
          </w:tcPr>
          <w:p>
            <w:pPr>
              <w:pStyle w:val="51"/>
              <w:rPr>
                <w:u w:val="none"/>
              </w:rPr>
            </w:pPr>
            <w:r>
              <w:rPr>
                <w:u w:val="none"/>
              </w:rPr>
              <w:t>20.1</w:t>
            </w:r>
          </w:p>
        </w:tc>
        <w:tc>
          <w:tcPr>
            <w:tcW w:w="488" w:type="pct"/>
            <w:vAlign w:val="center"/>
          </w:tcPr>
          <w:p>
            <w:pPr>
              <w:pStyle w:val="51"/>
              <w:rPr>
                <w:u w:val="none"/>
              </w:rPr>
            </w:pPr>
            <w:r>
              <w:rPr>
                <w:u w:val="none"/>
              </w:rPr>
              <w:t>31.7</w:t>
            </w:r>
          </w:p>
        </w:tc>
        <w:tc>
          <w:tcPr>
            <w:tcW w:w="490" w:type="pct"/>
            <w:vAlign w:val="center"/>
          </w:tcPr>
          <w:p>
            <w:pPr>
              <w:pStyle w:val="51"/>
              <w:rPr>
                <w:u w:val="none"/>
              </w:rPr>
            </w:pPr>
            <w:r>
              <w:rPr>
                <w:u w:val="none"/>
              </w:rPr>
              <w:t>11</w:t>
            </w:r>
          </w:p>
        </w:tc>
        <w:tc>
          <w:tcPr>
            <w:tcW w:w="488" w:type="pct"/>
            <w:vAlign w:val="center"/>
          </w:tcPr>
          <w:p>
            <w:pPr>
              <w:pStyle w:val="51"/>
              <w:rPr>
                <w:u w:val="none"/>
              </w:rPr>
            </w:pPr>
            <w:r>
              <w:rPr>
                <w:u w:val="none"/>
              </w:rPr>
              <w:t>0.035</w:t>
            </w:r>
          </w:p>
        </w:tc>
        <w:tc>
          <w:tcPr>
            <w:tcW w:w="489" w:type="pct"/>
            <w:vAlign w:val="center"/>
          </w:tcPr>
          <w:p>
            <w:pPr>
              <w:pStyle w:val="51"/>
              <w:rPr>
                <w:u w:val="none"/>
              </w:rPr>
            </w:pPr>
            <w:r>
              <w:rPr>
                <w:u w:val="none"/>
              </w:rPr>
              <w:t>0.087</w:t>
            </w:r>
          </w:p>
        </w:tc>
        <w:tc>
          <w:tcPr>
            <w:tcW w:w="488" w:type="pct"/>
            <w:tcBorders>
              <w:right w:val="single" w:color="auto" w:sz="4" w:space="0"/>
            </w:tcBorders>
            <w:vAlign w:val="center"/>
          </w:tcPr>
          <w:p>
            <w:pPr>
              <w:pStyle w:val="51"/>
              <w:rPr>
                <w:u w:val="none"/>
              </w:rPr>
            </w:pPr>
            <w:r>
              <w:rPr>
                <w:u w:val="none"/>
              </w:rPr>
              <w:t>17.6</w:t>
            </w:r>
          </w:p>
        </w:tc>
        <w:tc>
          <w:tcPr>
            <w:tcW w:w="489" w:type="pct"/>
            <w:tcBorders>
              <w:left w:val="single" w:color="auto" w:sz="4" w:space="0"/>
            </w:tcBorders>
            <w:vAlign w:val="center"/>
          </w:tcPr>
          <w:p>
            <w:pPr>
              <w:pStyle w:val="51"/>
              <w:rPr>
                <w:u w:val="none"/>
              </w:rPr>
            </w:pPr>
          </w:p>
        </w:tc>
      </w:tr>
    </w:tbl>
    <w:p>
      <w:pPr>
        <w:pStyle w:val="4"/>
        <w:spacing w:line="240" w:lineRule="auto"/>
        <w:jc w:val="both"/>
        <w:rPr>
          <w:color w:val="000000"/>
          <w:u w:val="none"/>
        </w:rPr>
      </w:pPr>
      <w:r>
        <w:rPr>
          <w:rFonts w:hint="eastAsia"/>
          <w:color w:val="000000"/>
          <w:u w:val="none"/>
        </w:rPr>
        <w:t>2.1.5项目总平面布置</w:t>
      </w:r>
    </w:p>
    <w:p>
      <w:pPr>
        <w:ind w:firstLine="480"/>
        <w:rPr>
          <w:u w:val="none"/>
        </w:rPr>
      </w:pPr>
      <w:r>
        <w:rPr>
          <w:u w:val="none"/>
        </w:rPr>
        <w:t>矿区主要由采矿工业场地、矿部生活办公区等设施组成。项目选矿区包括破碎车间、球磨车间、浮选车间、精矿浓密车间、尾矿压滤车间。企业炸药库位于北面山坳中，面积约为60m</w:t>
      </w:r>
      <w:r>
        <w:rPr>
          <w:u w:val="none"/>
          <w:vertAlign w:val="superscript"/>
        </w:rPr>
        <w:t>2</w:t>
      </w:r>
      <w:r>
        <w:rPr>
          <w:u w:val="none"/>
        </w:rPr>
        <w:t>，周边500m范围内无居民区，药品跟设备分开堆放，装有监控设施。</w:t>
      </w:r>
    </w:p>
    <w:p>
      <w:pPr>
        <w:pStyle w:val="4"/>
        <w:spacing w:line="240" w:lineRule="auto"/>
        <w:rPr>
          <w:u w:val="none"/>
        </w:rPr>
      </w:pPr>
      <w:r>
        <w:rPr>
          <w:u w:val="none"/>
        </w:rPr>
        <w:t>2.</w:t>
      </w:r>
      <w:r>
        <w:rPr>
          <w:rFonts w:hint="eastAsia"/>
          <w:u w:val="none"/>
        </w:rPr>
        <w:t>1.6</w:t>
      </w:r>
      <w:r>
        <w:rPr>
          <w:u w:val="none"/>
        </w:rPr>
        <w:t>主要原辅材料</w:t>
      </w:r>
    </w:p>
    <w:p>
      <w:pPr>
        <w:ind w:firstLine="480"/>
        <w:rPr>
          <w:u w:val="none"/>
        </w:rPr>
      </w:pPr>
      <w:r>
        <w:rPr>
          <w:u w:val="none"/>
        </w:rPr>
        <w:t>项目辅助材料消耗情况见下表。</w:t>
      </w:r>
    </w:p>
    <w:p>
      <w:pPr>
        <w:spacing w:line="240" w:lineRule="auto"/>
        <w:ind w:firstLine="482"/>
        <w:jc w:val="center"/>
        <w:rPr>
          <w:b/>
          <w:bCs/>
          <w:u w:val="none"/>
        </w:rPr>
      </w:pPr>
      <w:r>
        <w:rPr>
          <w:rFonts w:hint="eastAsia"/>
          <w:b/>
          <w:bCs/>
          <w:u w:val="none"/>
        </w:rPr>
        <w:t>表2.1.6-1项目采矿主要生产辅助材料消耗情况</w:t>
      </w:r>
    </w:p>
    <w:tbl>
      <w:tblPr>
        <w:tblStyle w:val="50"/>
        <w:tblW w:w="4998"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1956"/>
        <w:gridCol w:w="1445"/>
        <w:gridCol w:w="1518"/>
        <w:gridCol w:w="1518"/>
        <w:gridCol w:w="1345"/>
        <w:gridCol w:w="1314"/>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075" w:type="pct"/>
            <w:tcBorders>
              <w:tl2br w:val="nil"/>
              <w:tr2bl w:val="nil"/>
            </w:tcBorders>
            <w:vAlign w:val="center"/>
          </w:tcPr>
          <w:p>
            <w:pPr>
              <w:pStyle w:val="51"/>
              <w:rPr>
                <w:szCs w:val="21"/>
                <w:u w:val="none"/>
              </w:rPr>
            </w:pPr>
            <w:r>
              <w:rPr>
                <w:szCs w:val="21"/>
                <w:u w:val="none"/>
              </w:rPr>
              <w:t>材料名称</w:t>
            </w:r>
          </w:p>
        </w:tc>
        <w:tc>
          <w:tcPr>
            <w:tcW w:w="794" w:type="pct"/>
            <w:tcBorders>
              <w:tl2br w:val="nil"/>
              <w:tr2bl w:val="nil"/>
            </w:tcBorders>
            <w:vAlign w:val="center"/>
          </w:tcPr>
          <w:p>
            <w:pPr>
              <w:pStyle w:val="51"/>
              <w:rPr>
                <w:szCs w:val="21"/>
                <w:u w:val="none"/>
              </w:rPr>
            </w:pPr>
            <w:r>
              <w:rPr>
                <w:szCs w:val="21"/>
                <w:u w:val="none"/>
              </w:rPr>
              <w:t>环评设计年耗</w:t>
            </w:r>
          </w:p>
        </w:tc>
        <w:tc>
          <w:tcPr>
            <w:tcW w:w="834" w:type="pct"/>
            <w:tcBorders>
              <w:tl2br w:val="nil"/>
              <w:tr2bl w:val="nil"/>
            </w:tcBorders>
            <w:vAlign w:val="center"/>
          </w:tcPr>
          <w:p>
            <w:pPr>
              <w:pStyle w:val="51"/>
              <w:rPr>
                <w:szCs w:val="21"/>
                <w:u w:val="none"/>
              </w:rPr>
            </w:pPr>
            <w:r>
              <w:rPr>
                <w:szCs w:val="21"/>
                <w:u w:val="none"/>
              </w:rPr>
              <w:t>实际年耗</w:t>
            </w:r>
          </w:p>
        </w:tc>
        <w:tc>
          <w:tcPr>
            <w:tcW w:w="834" w:type="pct"/>
            <w:tcBorders>
              <w:tl2br w:val="nil"/>
              <w:tr2bl w:val="nil"/>
            </w:tcBorders>
            <w:vAlign w:val="center"/>
          </w:tcPr>
          <w:p>
            <w:pPr>
              <w:pStyle w:val="51"/>
              <w:rPr>
                <w:szCs w:val="21"/>
                <w:u w:val="none"/>
              </w:rPr>
            </w:pPr>
            <w:r>
              <w:rPr>
                <w:szCs w:val="21"/>
                <w:u w:val="none"/>
              </w:rPr>
              <w:t>最大存储量</w:t>
            </w:r>
          </w:p>
        </w:tc>
        <w:tc>
          <w:tcPr>
            <w:tcW w:w="739" w:type="pct"/>
            <w:tcBorders>
              <w:tl2br w:val="nil"/>
              <w:tr2bl w:val="nil"/>
            </w:tcBorders>
            <w:vAlign w:val="center"/>
          </w:tcPr>
          <w:p>
            <w:pPr>
              <w:pStyle w:val="51"/>
              <w:rPr>
                <w:szCs w:val="21"/>
                <w:u w:val="none"/>
              </w:rPr>
            </w:pPr>
            <w:r>
              <w:rPr>
                <w:szCs w:val="21"/>
                <w:u w:val="none"/>
              </w:rPr>
              <w:t>包装方式</w:t>
            </w:r>
          </w:p>
        </w:tc>
        <w:tc>
          <w:tcPr>
            <w:tcW w:w="722" w:type="pct"/>
            <w:tcBorders>
              <w:tl2br w:val="nil"/>
              <w:tr2bl w:val="nil"/>
            </w:tcBorders>
            <w:vAlign w:val="center"/>
          </w:tcPr>
          <w:p>
            <w:pPr>
              <w:pStyle w:val="51"/>
              <w:rPr>
                <w:szCs w:val="21"/>
                <w:u w:val="none"/>
              </w:rPr>
            </w:pPr>
            <w:r>
              <w:rPr>
                <w:szCs w:val="21"/>
                <w:u w:val="none"/>
              </w:rPr>
              <w:t>存储位置</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075" w:type="pct"/>
            <w:tcBorders>
              <w:tl2br w:val="nil"/>
              <w:tr2bl w:val="nil"/>
            </w:tcBorders>
            <w:vAlign w:val="center"/>
          </w:tcPr>
          <w:p>
            <w:pPr>
              <w:pStyle w:val="51"/>
              <w:rPr>
                <w:szCs w:val="21"/>
                <w:u w:val="none"/>
              </w:rPr>
            </w:pPr>
            <w:r>
              <w:rPr>
                <w:szCs w:val="21"/>
                <w:u w:val="none"/>
              </w:rPr>
              <w:t>炸药</w:t>
            </w:r>
          </w:p>
        </w:tc>
        <w:tc>
          <w:tcPr>
            <w:tcW w:w="794" w:type="pct"/>
            <w:tcBorders>
              <w:tl2br w:val="nil"/>
              <w:tr2bl w:val="nil"/>
            </w:tcBorders>
            <w:vAlign w:val="center"/>
          </w:tcPr>
          <w:p>
            <w:pPr>
              <w:pStyle w:val="51"/>
              <w:rPr>
                <w:szCs w:val="21"/>
                <w:u w:val="none"/>
              </w:rPr>
            </w:pPr>
            <w:r>
              <w:rPr>
                <w:szCs w:val="21"/>
                <w:u w:val="none"/>
              </w:rPr>
              <w:t>12t</w:t>
            </w:r>
          </w:p>
        </w:tc>
        <w:tc>
          <w:tcPr>
            <w:tcW w:w="834" w:type="pct"/>
            <w:tcBorders>
              <w:tl2br w:val="nil"/>
              <w:tr2bl w:val="nil"/>
            </w:tcBorders>
            <w:vAlign w:val="center"/>
          </w:tcPr>
          <w:p>
            <w:pPr>
              <w:pStyle w:val="51"/>
              <w:rPr>
                <w:szCs w:val="21"/>
                <w:u w:val="none"/>
              </w:rPr>
            </w:pPr>
            <w:r>
              <w:rPr>
                <w:szCs w:val="21"/>
                <w:u w:val="none"/>
              </w:rPr>
              <w:t>12t</w:t>
            </w:r>
          </w:p>
        </w:tc>
        <w:tc>
          <w:tcPr>
            <w:tcW w:w="834" w:type="pct"/>
            <w:tcBorders>
              <w:tl2br w:val="nil"/>
              <w:tr2bl w:val="nil"/>
            </w:tcBorders>
            <w:vAlign w:val="center"/>
          </w:tcPr>
          <w:p>
            <w:pPr>
              <w:pStyle w:val="51"/>
              <w:rPr>
                <w:szCs w:val="21"/>
                <w:u w:val="none"/>
              </w:rPr>
            </w:pPr>
            <w:r>
              <w:rPr>
                <w:szCs w:val="21"/>
                <w:u w:val="none"/>
              </w:rPr>
              <w:t>3.0t</w:t>
            </w:r>
          </w:p>
        </w:tc>
        <w:tc>
          <w:tcPr>
            <w:tcW w:w="739" w:type="pct"/>
            <w:vMerge w:val="restart"/>
            <w:tcBorders>
              <w:tl2br w:val="nil"/>
              <w:tr2bl w:val="nil"/>
            </w:tcBorders>
            <w:vAlign w:val="center"/>
          </w:tcPr>
          <w:p>
            <w:pPr>
              <w:pStyle w:val="51"/>
              <w:rPr>
                <w:szCs w:val="21"/>
                <w:u w:val="none"/>
              </w:rPr>
            </w:pPr>
            <w:r>
              <w:rPr>
                <w:szCs w:val="21"/>
                <w:u w:val="none"/>
              </w:rPr>
              <w:t>纸箱</w:t>
            </w:r>
          </w:p>
        </w:tc>
        <w:tc>
          <w:tcPr>
            <w:tcW w:w="722" w:type="pct"/>
            <w:vMerge w:val="restart"/>
            <w:tcBorders>
              <w:tl2br w:val="nil"/>
              <w:tr2bl w:val="nil"/>
            </w:tcBorders>
            <w:vAlign w:val="center"/>
          </w:tcPr>
          <w:p>
            <w:pPr>
              <w:pStyle w:val="51"/>
              <w:rPr>
                <w:szCs w:val="21"/>
                <w:u w:val="none"/>
              </w:rPr>
            </w:pPr>
            <w:r>
              <w:rPr>
                <w:szCs w:val="21"/>
                <w:u w:val="none"/>
              </w:rPr>
              <w:t>炸药库</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75" w:type="pct"/>
            <w:tcBorders>
              <w:tl2br w:val="nil"/>
              <w:tr2bl w:val="nil"/>
            </w:tcBorders>
            <w:vAlign w:val="center"/>
          </w:tcPr>
          <w:p>
            <w:pPr>
              <w:pStyle w:val="51"/>
              <w:rPr>
                <w:szCs w:val="21"/>
                <w:u w:val="none"/>
              </w:rPr>
            </w:pPr>
            <w:r>
              <w:rPr>
                <w:szCs w:val="21"/>
                <w:u w:val="none"/>
              </w:rPr>
              <w:t>雷管</w:t>
            </w:r>
          </w:p>
        </w:tc>
        <w:tc>
          <w:tcPr>
            <w:tcW w:w="794" w:type="pct"/>
            <w:tcBorders>
              <w:tl2br w:val="nil"/>
              <w:tr2bl w:val="nil"/>
            </w:tcBorders>
            <w:vAlign w:val="center"/>
          </w:tcPr>
          <w:p>
            <w:pPr>
              <w:pStyle w:val="51"/>
              <w:rPr>
                <w:szCs w:val="21"/>
                <w:u w:val="none"/>
              </w:rPr>
            </w:pPr>
            <w:r>
              <w:rPr>
                <w:szCs w:val="21"/>
                <w:u w:val="none"/>
              </w:rPr>
              <w:t>2000个</w:t>
            </w:r>
          </w:p>
        </w:tc>
        <w:tc>
          <w:tcPr>
            <w:tcW w:w="834" w:type="pct"/>
            <w:tcBorders>
              <w:tl2br w:val="nil"/>
              <w:tr2bl w:val="nil"/>
            </w:tcBorders>
            <w:vAlign w:val="center"/>
          </w:tcPr>
          <w:p>
            <w:pPr>
              <w:pStyle w:val="51"/>
              <w:rPr>
                <w:szCs w:val="21"/>
                <w:u w:val="none"/>
              </w:rPr>
            </w:pPr>
            <w:r>
              <w:rPr>
                <w:szCs w:val="21"/>
                <w:u w:val="none"/>
              </w:rPr>
              <w:t>2000个</w:t>
            </w:r>
          </w:p>
        </w:tc>
        <w:tc>
          <w:tcPr>
            <w:tcW w:w="834" w:type="pct"/>
            <w:tcBorders>
              <w:tl2br w:val="nil"/>
              <w:tr2bl w:val="nil"/>
            </w:tcBorders>
            <w:vAlign w:val="center"/>
          </w:tcPr>
          <w:p>
            <w:pPr>
              <w:pStyle w:val="51"/>
              <w:rPr>
                <w:szCs w:val="21"/>
                <w:u w:val="none"/>
              </w:rPr>
            </w:pPr>
            <w:r>
              <w:rPr>
                <w:szCs w:val="21"/>
                <w:u w:val="none"/>
              </w:rPr>
              <w:t>500个</w:t>
            </w:r>
          </w:p>
        </w:tc>
        <w:tc>
          <w:tcPr>
            <w:tcW w:w="739" w:type="pct"/>
            <w:vMerge w:val="continue"/>
            <w:tcBorders>
              <w:tl2br w:val="nil"/>
              <w:tr2bl w:val="nil"/>
            </w:tcBorders>
            <w:vAlign w:val="center"/>
          </w:tcPr>
          <w:p>
            <w:pPr>
              <w:pStyle w:val="51"/>
              <w:rPr>
                <w:szCs w:val="21"/>
                <w:u w:val="none"/>
              </w:rPr>
            </w:pPr>
          </w:p>
        </w:tc>
        <w:tc>
          <w:tcPr>
            <w:tcW w:w="722" w:type="pct"/>
            <w:vMerge w:val="continue"/>
            <w:tcBorders>
              <w:tl2br w:val="nil"/>
              <w:tr2bl w:val="nil"/>
            </w:tcBorders>
            <w:vAlign w:val="center"/>
          </w:tcPr>
          <w:p>
            <w:pPr>
              <w:pStyle w:val="51"/>
              <w:rPr>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075" w:type="pct"/>
            <w:tcBorders>
              <w:tl2br w:val="nil"/>
              <w:tr2bl w:val="nil"/>
            </w:tcBorders>
            <w:vAlign w:val="center"/>
          </w:tcPr>
          <w:p>
            <w:pPr>
              <w:pStyle w:val="51"/>
              <w:rPr>
                <w:szCs w:val="21"/>
                <w:u w:val="none"/>
              </w:rPr>
            </w:pPr>
            <w:r>
              <w:rPr>
                <w:szCs w:val="21"/>
                <w:u w:val="none"/>
              </w:rPr>
              <w:t>导火线</w:t>
            </w:r>
          </w:p>
        </w:tc>
        <w:tc>
          <w:tcPr>
            <w:tcW w:w="794" w:type="pct"/>
            <w:tcBorders>
              <w:tl2br w:val="nil"/>
              <w:tr2bl w:val="nil"/>
            </w:tcBorders>
            <w:vAlign w:val="center"/>
          </w:tcPr>
          <w:p>
            <w:pPr>
              <w:pStyle w:val="51"/>
              <w:rPr>
                <w:szCs w:val="21"/>
                <w:u w:val="none"/>
              </w:rPr>
            </w:pPr>
            <w:r>
              <w:rPr>
                <w:szCs w:val="21"/>
                <w:u w:val="none"/>
              </w:rPr>
              <w:t>800m</w:t>
            </w:r>
          </w:p>
        </w:tc>
        <w:tc>
          <w:tcPr>
            <w:tcW w:w="834" w:type="pct"/>
            <w:tcBorders>
              <w:tl2br w:val="nil"/>
              <w:tr2bl w:val="nil"/>
            </w:tcBorders>
            <w:vAlign w:val="center"/>
          </w:tcPr>
          <w:p>
            <w:pPr>
              <w:pStyle w:val="51"/>
              <w:rPr>
                <w:szCs w:val="21"/>
                <w:u w:val="none"/>
              </w:rPr>
            </w:pPr>
            <w:r>
              <w:rPr>
                <w:szCs w:val="21"/>
                <w:u w:val="none"/>
              </w:rPr>
              <w:t>800m</w:t>
            </w:r>
          </w:p>
        </w:tc>
        <w:tc>
          <w:tcPr>
            <w:tcW w:w="834" w:type="pct"/>
            <w:tcBorders>
              <w:tl2br w:val="nil"/>
              <w:tr2bl w:val="nil"/>
            </w:tcBorders>
            <w:vAlign w:val="center"/>
          </w:tcPr>
          <w:p>
            <w:pPr>
              <w:pStyle w:val="51"/>
              <w:rPr>
                <w:szCs w:val="21"/>
                <w:u w:val="none"/>
              </w:rPr>
            </w:pPr>
            <w:r>
              <w:rPr>
                <w:szCs w:val="21"/>
                <w:u w:val="none"/>
              </w:rPr>
              <w:t>200m</w:t>
            </w:r>
          </w:p>
        </w:tc>
        <w:tc>
          <w:tcPr>
            <w:tcW w:w="739" w:type="pct"/>
            <w:vMerge w:val="continue"/>
            <w:tcBorders>
              <w:tl2br w:val="nil"/>
              <w:tr2bl w:val="nil"/>
            </w:tcBorders>
            <w:vAlign w:val="center"/>
          </w:tcPr>
          <w:p>
            <w:pPr>
              <w:pStyle w:val="51"/>
              <w:rPr>
                <w:szCs w:val="21"/>
                <w:u w:val="none"/>
              </w:rPr>
            </w:pPr>
          </w:p>
        </w:tc>
        <w:tc>
          <w:tcPr>
            <w:tcW w:w="722" w:type="pct"/>
            <w:vMerge w:val="continue"/>
            <w:tcBorders>
              <w:tl2br w:val="nil"/>
              <w:tr2bl w:val="nil"/>
            </w:tcBorders>
            <w:vAlign w:val="center"/>
          </w:tcPr>
          <w:p>
            <w:pPr>
              <w:pStyle w:val="51"/>
              <w:rPr>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075" w:type="pct"/>
            <w:tcBorders>
              <w:tl2br w:val="nil"/>
              <w:tr2bl w:val="nil"/>
            </w:tcBorders>
            <w:vAlign w:val="center"/>
          </w:tcPr>
          <w:p>
            <w:pPr>
              <w:pStyle w:val="51"/>
              <w:rPr>
                <w:szCs w:val="21"/>
                <w:u w:val="none"/>
              </w:rPr>
            </w:pPr>
            <w:r>
              <w:rPr>
                <w:szCs w:val="21"/>
                <w:u w:val="none"/>
              </w:rPr>
              <w:t>导爆管</w:t>
            </w:r>
          </w:p>
        </w:tc>
        <w:tc>
          <w:tcPr>
            <w:tcW w:w="794" w:type="pct"/>
            <w:tcBorders>
              <w:tl2br w:val="nil"/>
              <w:tr2bl w:val="nil"/>
            </w:tcBorders>
            <w:vAlign w:val="center"/>
          </w:tcPr>
          <w:p>
            <w:pPr>
              <w:pStyle w:val="51"/>
              <w:rPr>
                <w:szCs w:val="21"/>
                <w:u w:val="none"/>
              </w:rPr>
            </w:pPr>
            <w:r>
              <w:rPr>
                <w:szCs w:val="21"/>
                <w:u w:val="none"/>
              </w:rPr>
              <w:t>140m</w:t>
            </w:r>
          </w:p>
        </w:tc>
        <w:tc>
          <w:tcPr>
            <w:tcW w:w="834" w:type="pct"/>
            <w:tcBorders>
              <w:tl2br w:val="nil"/>
              <w:tr2bl w:val="nil"/>
            </w:tcBorders>
            <w:vAlign w:val="center"/>
          </w:tcPr>
          <w:p>
            <w:pPr>
              <w:pStyle w:val="51"/>
              <w:rPr>
                <w:szCs w:val="21"/>
                <w:u w:val="none"/>
              </w:rPr>
            </w:pPr>
            <w:r>
              <w:rPr>
                <w:szCs w:val="21"/>
                <w:u w:val="none"/>
              </w:rPr>
              <w:t>140m</w:t>
            </w:r>
          </w:p>
        </w:tc>
        <w:tc>
          <w:tcPr>
            <w:tcW w:w="834" w:type="pct"/>
            <w:tcBorders>
              <w:tl2br w:val="nil"/>
              <w:tr2bl w:val="nil"/>
            </w:tcBorders>
            <w:vAlign w:val="center"/>
          </w:tcPr>
          <w:p>
            <w:pPr>
              <w:pStyle w:val="51"/>
              <w:rPr>
                <w:szCs w:val="21"/>
                <w:u w:val="none"/>
              </w:rPr>
            </w:pPr>
            <w:r>
              <w:rPr>
                <w:szCs w:val="21"/>
                <w:u w:val="none"/>
              </w:rPr>
              <w:t>30m</w:t>
            </w:r>
          </w:p>
        </w:tc>
        <w:tc>
          <w:tcPr>
            <w:tcW w:w="739" w:type="pct"/>
            <w:vMerge w:val="continue"/>
            <w:tcBorders>
              <w:tl2br w:val="nil"/>
              <w:tr2bl w:val="nil"/>
            </w:tcBorders>
            <w:vAlign w:val="center"/>
          </w:tcPr>
          <w:p>
            <w:pPr>
              <w:pStyle w:val="51"/>
              <w:rPr>
                <w:szCs w:val="21"/>
                <w:u w:val="none"/>
              </w:rPr>
            </w:pPr>
          </w:p>
        </w:tc>
        <w:tc>
          <w:tcPr>
            <w:tcW w:w="722" w:type="pct"/>
            <w:vMerge w:val="continue"/>
            <w:tcBorders>
              <w:tl2br w:val="nil"/>
              <w:tr2bl w:val="nil"/>
            </w:tcBorders>
            <w:vAlign w:val="center"/>
          </w:tcPr>
          <w:p>
            <w:pPr>
              <w:pStyle w:val="51"/>
              <w:rPr>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75" w:type="pct"/>
            <w:tcBorders>
              <w:tl2br w:val="nil"/>
              <w:tr2bl w:val="nil"/>
            </w:tcBorders>
            <w:vAlign w:val="center"/>
          </w:tcPr>
          <w:p>
            <w:pPr>
              <w:pStyle w:val="51"/>
              <w:rPr>
                <w:szCs w:val="21"/>
                <w:u w:val="none"/>
              </w:rPr>
            </w:pPr>
            <w:r>
              <w:rPr>
                <w:szCs w:val="21"/>
                <w:u w:val="none"/>
              </w:rPr>
              <w:t>钎子纲</w:t>
            </w:r>
          </w:p>
        </w:tc>
        <w:tc>
          <w:tcPr>
            <w:tcW w:w="794" w:type="pct"/>
            <w:tcBorders>
              <w:tl2br w:val="nil"/>
              <w:tr2bl w:val="nil"/>
            </w:tcBorders>
            <w:vAlign w:val="center"/>
          </w:tcPr>
          <w:p>
            <w:pPr>
              <w:pStyle w:val="51"/>
              <w:rPr>
                <w:szCs w:val="21"/>
                <w:u w:val="none"/>
              </w:rPr>
            </w:pPr>
            <w:r>
              <w:rPr>
                <w:szCs w:val="21"/>
                <w:u w:val="none"/>
              </w:rPr>
              <w:t>160kg</w:t>
            </w:r>
          </w:p>
        </w:tc>
        <w:tc>
          <w:tcPr>
            <w:tcW w:w="834" w:type="pct"/>
            <w:tcBorders>
              <w:tl2br w:val="nil"/>
              <w:tr2bl w:val="nil"/>
            </w:tcBorders>
            <w:vAlign w:val="center"/>
          </w:tcPr>
          <w:p>
            <w:pPr>
              <w:pStyle w:val="51"/>
              <w:rPr>
                <w:szCs w:val="21"/>
                <w:u w:val="none"/>
              </w:rPr>
            </w:pPr>
            <w:r>
              <w:rPr>
                <w:szCs w:val="21"/>
                <w:u w:val="none"/>
              </w:rPr>
              <w:t>160kg</w:t>
            </w:r>
          </w:p>
        </w:tc>
        <w:tc>
          <w:tcPr>
            <w:tcW w:w="834" w:type="pct"/>
            <w:tcBorders>
              <w:tl2br w:val="nil"/>
              <w:tr2bl w:val="nil"/>
            </w:tcBorders>
            <w:vAlign w:val="center"/>
          </w:tcPr>
          <w:p>
            <w:pPr>
              <w:pStyle w:val="51"/>
              <w:rPr>
                <w:szCs w:val="21"/>
                <w:u w:val="none"/>
              </w:rPr>
            </w:pPr>
            <w:r>
              <w:rPr>
                <w:szCs w:val="21"/>
                <w:u w:val="none"/>
              </w:rPr>
              <w:t>40kg</w:t>
            </w:r>
          </w:p>
        </w:tc>
        <w:tc>
          <w:tcPr>
            <w:tcW w:w="739" w:type="pct"/>
            <w:vMerge w:val="continue"/>
            <w:tcBorders>
              <w:tl2br w:val="nil"/>
              <w:tr2bl w:val="nil"/>
            </w:tcBorders>
            <w:vAlign w:val="center"/>
          </w:tcPr>
          <w:p>
            <w:pPr>
              <w:pStyle w:val="51"/>
              <w:rPr>
                <w:szCs w:val="21"/>
                <w:u w:val="none"/>
              </w:rPr>
            </w:pPr>
          </w:p>
        </w:tc>
        <w:tc>
          <w:tcPr>
            <w:tcW w:w="722" w:type="pct"/>
            <w:vMerge w:val="continue"/>
            <w:tcBorders>
              <w:tl2br w:val="nil"/>
              <w:tr2bl w:val="nil"/>
            </w:tcBorders>
            <w:vAlign w:val="center"/>
          </w:tcPr>
          <w:p>
            <w:pPr>
              <w:pStyle w:val="51"/>
              <w:rPr>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1075" w:type="pct"/>
            <w:tcBorders>
              <w:tl2br w:val="nil"/>
              <w:tr2bl w:val="nil"/>
            </w:tcBorders>
            <w:vAlign w:val="center"/>
          </w:tcPr>
          <w:p>
            <w:pPr>
              <w:pStyle w:val="51"/>
              <w:rPr>
                <w:szCs w:val="21"/>
                <w:u w:val="none"/>
              </w:rPr>
            </w:pPr>
            <w:r>
              <w:rPr>
                <w:szCs w:val="21"/>
                <w:u w:val="none"/>
              </w:rPr>
              <w:t>坑木</w:t>
            </w:r>
          </w:p>
        </w:tc>
        <w:tc>
          <w:tcPr>
            <w:tcW w:w="794" w:type="pct"/>
            <w:tcBorders>
              <w:tl2br w:val="nil"/>
              <w:tr2bl w:val="nil"/>
            </w:tcBorders>
            <w:vAlign w:val="center"/>
          </w:tcPr>
          <w:p>
            <w:pPr>
              <w:pStyle w:val="51"/>
              <w:rPr>
                <w:szCs w:val="21"/>
                <w:u w:val="none"/>
              </w:rPr>
            </w:pPr>
            <w:r>
              <w:rPr>
                <w:szCs w:val="21"/>
                <w:u w:val="none"/>
              </w:rPr>
              <w:t>1600m</w:t>
            </w:r>
          </w:p>
        </w:tc>
        <w:tc>
          <w:tcPr>
            <w:tcW w:w="834" w:type="pct"/>
            <w:tcBorders>
              <w:tl2br w:val="nil"/>
              <w:tr2bl w:val="nil"/>
            </w:tcBorders>
            <w:vAlign w:val="center"/>
          </w:tcPr>
          <w:p>
            <w:pPr>
              <w:pStyle w:val="51"/>
              <w:rPr>
                <w:szCs w:val="21"/>
                <w:u w:val="none"/>
              </w:rPr>
            </w:pPr>
            <w:r>
              <w:rPr>
                <w:szCs w:val="21"/>
                <w:u w:val="none"/>
              </w:rPr>
              <w:t>1600m</w:t>
            </w:r>
          </w:p>
        </w:tc>
        <w:tc>
          <w:tcPr>
            <w:tcW w:w="834" w:type="pct"/>
            <w:tcBorders>
              <w:tl2br w:val="nil"/>
              <w:tr2bl w:val="nil"/>
            </w:tcBorders>
            <w:vAlign w:val="center"/>
          </w:tcPr>
          <w:p>
            <w:pPr>
              <w:pStyle w:val="51"/>
              <w:rPr>
                <w:szCs w:val="21"/>
                <w:u w:val="none"/>
              </w:rPr>
            </w:pPr>
            <w:r>
              <w:rPr>
                <w:szCs w:val="21"/>
                <w:u w:val="none"/>
              </w:rPr>
              <w:t>400m3</w:t>
            </w:r>
          </w:p>
        </w:tc>
        <w:tc>
          <w:tcPr>
            <w:tcW w:w="739" w:type="pct"/>
            <w:vMerge w:val="continue"/>
            <w:tcBorders>
              <w:tl2br w:val="nil"/>
              <w:tr2bl w:val="nil"/>
            </w:tcBorders>
            <w:vAlign w:val="center"/>
          </w:tcPr>
          <w:p>
            <w:pPr>
              <w:pStyle w:val="51"/>
              <w:rPr>
                <w:szCs w:val="21"/>
                <w:u w:val="none"/>
              </w:rPr>
            </w:pPr>
          </w:p>
        </w:tc>
        <w:tc>
          <w:tcPr>
            <w:tcW w:w="722" w:type="pct"/>
            <w:vMerge w:val="continue"/>
            <w:tcBorders>
              <w:tl2br w:val="nil"/>
              <w:tr2bl w:val="nil"/>
            </w:tcBorders>
            <w:vAlign w:val="center"/>
          </w:tcPr>
          <w:p>
            <w:pPr>
              <w:pStyle w:val="51"/>
              <w:rPr>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075" w:type="pct"/>
            <w:tcBorders>
              <w:tl2br w:val="nil"/>
              <w:tr2bl w:val="nil"/>
            </w:tcBorders>
            <w:vAlign w:val="center"/>
          </w:tcPr>
          <w:p>
            <w:pPr>
              <w:pStyle w:val="51"/>
              <w:rPr>
                <w:szCs w:val="21"/>
                <w:u w:val="none"/>
              </w:rPr>
            </w:pPr>
            <w:r>
              <w:rPr>
                <w:szCs w:val="21"/>
                <w:u w:val="none"/>
              </w:rPr>
              <w:t>柴油</w:t>
            </w:r>
          </w:p>
        </w:tc>
        <w:tc>
          <w:tcPr>
            <w:tcW w:w="794" w:type="pct"/>
            <w:tcBorders>
              <w:tl2br w:val="nil"/>
              <w:tr2bl w:val="nil"/>
            </w:tcBorders>
            <w:vAlign w:val="center"/>
          </w:tcPr>
          <w:p>
            <w:pPr>
              <w:pStyle w:val="51"/>
              <w:rPr>
                <w:szCs w:val="21"/>
                <w:u w:val="none"/>
              </w:rPr>
            </w:pPr>
            <w:r>
              <w:rPr>
                <w:szCs w:val="21"/>
                <w:u w:val="none"/>
              </w:rPr>
              <w:t>3t</w:t>
            </w:r>
          </w:p>
        </w:tc>
        <w:tc>
          <w:tcPr>
            <w:tcW w:w="834" w:type="pct"/>
            <w:tcBorders>
              <w:tl2br w:val="nil"/>
              <w:tr2bl w:val="nil"/>
            </w:tcBorders>
            <w:vAlign w:val="center"/>
          </w:tcPr>
          <w:p>
            <w:pPr>
              <w:pStyle w:val="51"/>
              <w:rPr>
                <w:szCs w:val="21"/>
                <w:u w:val="none"/>
              </w:rPr>
            </w:pPr>
            <w:r>
              <w:rPr>
                <w:szCs w:val="21"/>
                <w:u w:val="none"/>
              </w:rPr>
              <w:t>3t</w:t>
            </w:r>
          </w:p>
        </w:tc>
        <w:tc>
          <w:tcPr>
            <w:tcW w:w="834" w:type="pct"/>
            <w:tcBorders>
              <w:tl2br w:val="nil"/>
              <w:tr2bl w:val="nil"/>
            </w:tcBorders>
            <w:vAlign w:val="center"/>
          </w:tcPr>
          <w:p>
            <w:pPr>
              <w:pStyle w:val="51"/>
              <w:rPr>
                <w:szCs w:val="21"/>
                <w:u w:val="none"/>
              </w:rPr>
            </w:pPr>
            <w:r>
              <w:rPr>
                <w:szCs w:val="21"/>
                <w:u w:val="none"/>
              </w:rPr>
              <w:t>0.2t</w:t>
            </w:r>
          </w:p>
        </w:tc>
        <w:tc>
          <w:tcPr>
            <w:tcW w:w="739" w:type="pct"/>
            <w:tcBorders>
              <w:tl2br w:val="nil"/>
              <w:tr2bl w:val="nil"/>
            </w:tcBorders>
            <w:vAlign w:val="center"/>
          </w:tcPr>
          <w:p>
            <w:pPr>
              <w:pStyle w:val="51"/>
              <w:rPr>
                <w:szCs w:val="21"/>
                <w:u w:val="none"/>
              </w:rPr>
            </w:pPr>
            <w:r>
              <w:rPr>
                <w:szCs w:val="21"/>
                <w:u w:val="none"/>
              </w:rPr>
              <w:t>桶装</w:t>
            </w:r>
          </w:p>
        </w:tc>
        <w:tc>
          <w:tcPr>
            <w:tcW w:w="722" w:type="pct"/>
            <w:tcBorders>
              <w:tl2br w:val="nil"/>
              <w:tr2bl w:val="nil"/>
            </w:tcBorders>
            <w:vAlign w:val="center"/>
          </w:tcPr>
          <w:p>
            <w:pPr>
              <w:pStyle w:val="51"/>
              <w:rPr>
                <w:szCs w:val="21"/>
                <w:u w:val="none"/>
              </w:rPr>
            </w:pPr>
            <w:r>
              <w:rPr>
                <w:szCs w:val="21"/>
                <w:u w:val="none"/>
              </w:rPr>
              <w:t>材料库</w:t>
            </w:r>
          </w:p>
        </w:tc>
      </w:tr>
    </w:tbl>
    <w:p>
      <w:pPr>
        <w:spacing w:line="240" w:lineRule="auto"/>
        <w:ind w:firstLine="482"/>
        <w:jc w:val="center"/>
        <w:rPr>
          <w:b/>
          <w:bCs/>
          <w:u w:val="none"/>
        </w:rPr>
      </w:pPr>
      <w:r>
        <w:rPr>
          <w:rFonts w:hint="eastAsia"/>
          <w:b/>
          <w:bCs/>
          <w:u w:val="none"/>
        </w:rPr>
        <w:t>表2.1.6-2项目选矿主要生产辅助材料消耗情况</w:t>
      </w:r>
    </w:p>
    <w:tbl>
      <w:tblPr>
        <w:tblStyle w:val="50"/>
        <w:tblW w:w="4998"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999"/>
        <w:gridCol w:w="755"/>
        <w:gridCol w:w="1362"/>
        <w:gridCol w:w="1358"/>
        <w:gridCol w:w="1607"/>
        <w:gridCol w:w="1129"/>
        <w:gridCol w:w="1886"/>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54" w:hRule="atLeast"/>
          <w:tblHeader/>
        </w:trPr>
        <w:tc>
          <w:tcPr>
            <w:tcW w:w="549" w:type="pct"/>
            <w:tcBorders>
              <w:tl2br w:val="nil"/>
              <w:tr2bl w:val="nil"/>
            </w:tcBorders>
            <w:vAlign w:val="center"/>
          </w:tcPr>
          <w:p>
            <w:pPr>
              <w:pStyle w:val="51"/>
              <w:rPr>
                <w:szCs w:val="21"/>
                <w:u w:val="none"/>
              </w:rPr>
            </w:pPr>
            <w:r>
              <w:rPr>
                <w:szCs w:val="21"/>
                <w:u w:val="none"/>
              </w:rPr>
              <w:t>材料名称</w:t>
            </w:r>
          </w:p>
        </w:tc>
        <w:tc>
          <w:tcPr>
            <w:tcW w:w="415" w:type="pct"/>
            <w:tcBorders>
              <w:tl2br w:val="nil"/>
              <w:tr2bl w:val="nil"/>
            </w:tcBorders>
            <w:vAlign w:val="center"/>
          </w:tcPr>
          <w:p>
            <w:pPr>
              <w:pStyle w:val="51"/>
              <w:rPr>
                <w:szCs w:val="21"/>
                <w:u w:val="none"/>
              </w:rPr>
            </w:pPr>
            <w:r>
              <w:rPr>
                <w:szCs w:val="21"/>
                <w:u w:val="none"/>
              </w:rPr>
              <w:t>年耗(t)</w:t>
            </w:r>
          </w:p>
        </w:tc>
        <w:tc>
          <w:tcPr>
            <w:tcW w:w="748" w:type="pct"/>
            <w:tcBorders>
              <w:tl2br w:val="nil"/>
              <w:tr2bl w:val="nil"/>
            </w:tcBorders>
            <w:vAlign w:val="center"/>
          </w:tcPr>
          <w:p>
            <w:pPr>
              <w:pStyle w:val="51"/>
              <w:rPr>
                <w:szCs w:val="21"/>
                <w:u w:val="none"/>
              </w:rPr>
            </w:pPr>
            <w:r>
              <w:rPr>
                <w:szCs w:val="21"/>
                <w:u w:val="none"/>
              </w:rPr>
              <w:t>实际年耗(t)</w:t>
            </w:r>
          </w:p>
        </w:tc>
        <w:tc>
          <w:tcPr>
            <w:tcW w:w="746" w:type="pct"/>
            <w:tcBorders>
              <w:tl2br w:val="nil"/>
              <w:tr2bl w:val="nil"/>
            </w:tcBorders>
            <w:vAlign w:val="center"/>
          </w:tcPr>
          <w:p>
            <w:pPr>
              <w:pStyle w:val="51"/>
              <w:rPr>
                <w:szCs w:val="21"/>
                <w:u w:val="none"/>
              </w:rPr>
            </w:pPr>
            <w:r>
              <w:rPr>
                <w:szCs w:val="21"/>
                <w:u w:val="none"/>
              </w:rPr>
              <w:t>最大储量</w:t>
            </w:r>
          </w:p>
        </w:tc>
        <w:tc>
          <w:tcPr>
            <w:tcW w:w="883" w:type="pct"/>
            <w:tcBorders>
              <w:tl2br w:val="nil"/>
              <w:tr2bl w:val="nil"/>
            </w:tcBorders>
            <w:vAlign w:val="center"/>
          </w:tcPr>
          <w:p>
            <w:pPr>
              <w:pStyle w:val="51"/>
              <w:rPr>
                <w:szCs w:val="21"/>
                <w:u w:val="none"/>
              </w:rPr>
            </w:pPr>
            <w:r>
              <w:rPr>
                <w:szCs w:val="21"/>
                <w:u w:val="none"/>
              </w:rPr>
              <w:t>包装方式</w:t>
            </w:r>
          </w:p>
        </w:tc>
        <w:tc>
          <w:tcPr>
            <w:tcW w:w="620" w:type="pct"/>
            <w:tcBorders>
              <w:tl2br w:val="nil"/>
              <w:tr2bl w:val="nil"/>
            </w:tcBorders>
            <w:vAlign w:val="center"/>
          </w:tcPr>
          <w:p>
            <w:pPr>
              <w:pStyle w:val="51"/>
              <w:rPr>
                <w:szCs w:val="21"/>
                <w:u w:val="none"/>
              </w:rPr>
            </w:pPr>
            <w:r>
              <w:rPr>
                <w:szCs w:val="21"/>
                <w:u w:val="none"/>
              </w:rPr>
              <w:t>存贮位置</w:t>
            </w:r>
          </w:p>
        </w:tc>
        <w:tc>
          <w:tcPr>
            <w:tcW w:w="1036" w:type="pct"/>
            <w:tcBorders>
              <w:tl2br w:val="nil"/>
              <w:tr2bl w:val="nil"/>
            </w:tcBorders>
            <w:vAlign w:val="center"/>
          </w:tcPr>
          <w:p>
            <w:pPr>
              <w:pStyle w:val="51"/>
              <w:rPr>
                <w:szCs w:val="21"/>
                <w:u w:val="none"/>
              </w:rPr>
            </w:pPr>
            <w:r>
              <w:rPr>
                <w:szCs w:val="21"/>
                <w:u w:val="none"/>
              </w:rPr>
              <w:t>备注</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49" w:type="pct"/>
            <w:tcBorders>
              <w:tl2br w:val="nil"/>
              <w:tr2bl w:val="nil"/>
            </w:tcBorders>
            <w:vAlign w:val="center"/>
          </w:tcPr>
          <w:p>
            <w:pPr>
              <w:pStyle w:val="51"/>
              <w:rPr>
                <w:szCs w:val="21"/>
                <w:u w:val="none"/>
              </w:rPr>
            </w:pPr>
            <w:r>
              <w:rPr>
                <w:szCs w:val="21"/>
                <w:u w:val="none"/>
              </w:rPr>
              <w:t>硫酸铜</w:t>
            </w:r>
          </w:p>
        </w:tc>
        <w:tc>
          <w:tcPr>
            <w:tcW w:w="415" w:type="pct"/>
            <w:tcBorders>
              <w:tl2br w:val="nil"/>
              <w:tr2bl w:val="nil"/>
            </w:tcBorders>
            <w:vAlign w:val="center"/>
          </w:tcPr>
          <w:p>
            <w:pPr>
              <w:pStyle w:val="51"/>
              <w:rPr>
                <w:szCs w:val="21"/>
                <w:u w:val="none"/>
              </w:rPr>
            </w:pPr>
            <w:r>
              <w:rPr>
                <w:szCs w:val="21"/>
                <w:u w:val="none"/>
              </w:rPr>
              <w:t>9.75</w:t>
            </w:r>
          </w:p>
        </w:tc>
        <w:tc>
          <w:tcPr>
            <w:tcW w:w="748" w:type="pct"/>
            <w:tcBorders>
              <w:tl2br w:val="nil"/>
              <w:tr2bl w:val="nil"/>
            </w:tcBorders>
            <w:vAlign w:val="center"/>
          </w:tcPr>
          <w:p>
            <w:pPr>
              <w:pStyle w:val="51"/>
              <w:rPr>
                <w:szCs w:val="21"/>
                <w:u w:val="none"/>
              </w:rPr>
            </w:pPr>
            <w:r>
              <w:rPr>
                <w:szCs w:val="21"/>
                <w:u w:val="none"/>
              </w:rPr>
              <w:t>9.75</w:t>
            </w:r>
          </w:p>
        </w:tc>
        <w:tc>
          <w:tcPr>
            <w:tcW w:w="746" w:type="pct"/>
            <w:tcBorders>
              <w:tl2br w:val="nil"/>
              <w:tr2bl w:val="nil"/>
            </w:tcBorders>
            <w:vAlign w:val="center"/>
          </w:tcPr>
          <w:p>
            <w:pPr>
              <w:pStyle w:val="51"/>
              <w:rPr>
                <w:szCs w:val="21"/>
                <w:u w:val="none"/>
              </w:rPr>
            </w:pPr>
            <w:r>
              <w:rPr>
                <w:szCs w:val="21"/>
                <w:u w:val="none"/>
              </w:rPr>
              <w:t>2.0t</w:t>
            </w:r>
          </w:p>
        </w:tc>
        <w:tc>
          <w:tcPr>
            <w:tcW w:w="883" w:type="pct"/>
            <w:tcBorders>
              <w:tl2br w:val="nil"/>
              <w:tr2bl w:val="nil"/>
            </w:tcBorders>
            <w:vAlign w:val="center"/>
          </w:tcPr>
          <w:p>
            <w:pPr>
              <w:pStyle w:val="51"/>
              <w:rPr>
                <w:szCs w:val="21"/>
                <w:u w:val="none"/>
              </w:rPr>
            </w:pPr>
            <w:r>
              <w:rPr>
                <w:szCs w:val="21"/>
                <w:u w:val="none"/>
              </w:rPr>
              <w:t>塑料编织袋</w:t>
            </w:r>
          </w:p>
        </w:tc>
        <w:tc>
          <w:tcPr>
            <w:tcW w:w="620" w:type="pct"/>
            <w:vMerge w:val="restart"/>
            <w:tcBorders>
              <w:tl2br w:val="nil"/>
              <w:tr2bl w:val="nil"/>
            </w:tcBorders>
            <w:vAlign w:val="center"/>
          </w:tcPr>
          <w:p>
            <w:pPr>
              <w:pStyle w:val="51"/>
              <w:rPr>
                <w:szCs w:val="21"/>
                <w:u w:val="none"/>
              </w:rPr>
            </w:pPr>
            <w:r>
              <w:rPr>
                <w:szCs w:val="21"/>
                <w:u w:val="none"/>
              </w:rPr>
              <w:t>浮选车间化学品存储区</w:t>
            </w:r>
          </w:p>
        </w:tc>
        <w:tc>
          <w:tcPr>
            <w:tcW w:w="1036" w:type="pct"/>
            <w:tcBorders>
              <w:tl2br w:val="nil"/>
              <w:tr2bl w:val="nil"/>
            </w:tcBorders>
            <w:vAlign w:val="center"/>
          </w:tcPr>
          <w:p>
            <w:pPr>
              <w:pStyle w:val="51"/>
              <w:rPr>
                <w:szCs w:val="21"/>
                <w:u w:val="none"/>
              </w:rPr>
            </w:pPr>
            <w:r>
              <w:rPr>
                <w:szCs w:val="21"/>
                <w:u w:val="none"/>
              </w:rPr>
              <w:t>固态</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549" w:type="pct"/>
            <w:tcBorders>
              <w:tl2br w:val="nil"/>
              <w:tr2bl w:val="nil"/>
            </w:tcBorders>
            <w:vAlign w:val="center"/>
          </w:tcPr>
          <w:p>
            <w:pPr>
              <w:pStyle w:val="51"/>
              <w:rPr>
                <w:szCs w:val="21"/>
                <w:u w:val="none"/>
              </w:rPr>
            </w:pPr>
            <w:r>
              <w:rPr>
                <w:szCs w:val="21"/>
                <w:u w:val="none"/>
              </w:rPr>
              <w:t>二号油</w:t>
            </w:r>
          </w:p>
        </w:tc>
        <w:tc>
          <w:tcPr>
            <w:tcW w:w="415" w:type="pct"/>
            <w:tcBorders>
              <w:tl2br w:val="nil"/>
              <w:tr2bl w:val="nil"/>
            </w:tcBorders>
            <w:vAlign w:val="center"/>
          </w:tcPr>
          <w:p>
            <w:pPr>
              <w:pStyle w:val="51"/>
              <w:rPr>
                <w:szCs w:val="21"/>
                <w:u w:val="none"/>
              </w:rPr>
            </w:pPr>
            <w:r>
              <w:rPr>
                <w:szCs w:val="21"/>
                <w:u w:val="none"/>
              </w:rPr>
              <w:t>0.75</w:t>
            </w:r>
          </w:p>
        </w:tc>
        <w:tc>
          <w:tcPr>
            <w:tcW w:w="748" w:type="pct"/>
            <w:tcBorders>
              <w:tl2br w:val="nil"/>
              <w:tr2bl w:val="nil"/>
            </w:tcBorders>
            <w:vAlign w:val="center"/>
          </w:tcPr>
          <w:p>
            <w:pPr>
              <w:pStyle w:val="51"/>
              <w:rPr>
                <w:szCs w:val="21"/>
                <w:u w:val="none"/>
              </w:rPr>
            </w:pPr>
            <w:r>
              <w:rPr>
                <w:szCs w:val="21"/>
                <w:u w:val="none"/>
              </w:rPr>
              <w:t>0.75</w:t>
            </w:r>
          </w:p>
        </w:tc>
        <w:tc>
          <w:tcPr>
            <w:tcW w:w="746" w:type="pct"/>
            <w:tcBorders>
              <w:tl2br w:val="nil"/>
              <w:tr2bl w:val="nil"/>
            </w:tcBorders>
            <w:vAlign w:val="center"/>
          </w:tcPr>
          <w:p>
            <w:pPr>
              <w:pStyle w:val="51"/>
              <w:rPr>
                <w:szCs w:val="21"/>
                <w:u w:val="none"/>
              </w:rPr>
            </w:pPr>
            <w:r>
              <w:rPr>
                <w:szCs w:val="21"/>
                <w:u w:val="none"/>
              </w:rPr>
              <w:t>0.6t</w:t>
            </w:r>
          </w:p>
        </w:tc>
        <w:tc>
          <w:tcPr>
            <w:tcW w:w="883" w:type="pct"/>
            <w:tcBorders>
              <w:tl2br w:val="nil"/>
              <w:tr2bl w:val="nil"/>
            </w:tcBorders>
            <w:vAlign w:val="center"/>
          </w:tcPr>
          <w:p>
            <w:pPr>
              <w:pStyle w:val="51"/>
              <w:rPr>
                <w:szCs w:val="21"/>
                <w:u w:val="none"/>
              </w:rPr>
            </w:pPr>
            <w:r>
              <w:rPr>
                <w:szCs w:val="21"/>
                <w:u w:val="none"/>
              </w:rPr>
              <w:t>桶装</w:t>
            </w:r>
          </w:p>
        </w:tc>
        <w:tc>
          <w:tcPr>
            <w:tcW w:w="620" w:type="pct"/>
            <w:vMerge w:val="continue"/>
            <w:tcBorders>
              <w:tl2br w:val="nil"/>
              <w:tr2bl w:val="nil"/>
            </w:tcBorders>
            <w:vAlign w:val="center"/>
          </w:tcPr>
          <w:p>
            <w:pPr>
              <w:pStyle w:val="51"/>
              <w:rPr>
                <w:szCs w:val="21"/>
                <w:u w:val="none"/>
              </w:rPr>
            </w:pPr>
          </w:p>
        </w:tc>
        <w:tc>
          <w:tcPr>
            <w:tcW w:w="1036" w:type="pct"/>
            <w:tcBorders>
              <w:tl2br w:val="nil"/>
              <w:tr2bl w:val="nil"/>
            </w:tcBorders>
            <w:vAlign w:val="center"/>
          </w:tcPr>
          <w:p>
            <w:pPr>
              <w:pStyle w:val="51"/>
              <w:rPr>
                <w:szCs w:val="21"/>
                <w:u w:val="none"/>
              </w:rPr>
            </w:pPr>
            <w:r>
              <w:rPr>
                <w:szCs w:val="21"/>
                <w:u w:val="none"/>
              </w:rPr>
              <w:t>液态，一</w:t>
            </w:r>
            <w:r>
              <w:rPr>
                <w:u w:val="none"/>
              </w:rPr>
              <w:fldChar w:fldCharType="begin"/>
            </w:r>
            <w:r>
              <w:rPr>
                <w:u w:val="none"/>
              </w:rPr>
              <w:instrText xml:space="preserve"> HYPERLINK "http://www.so.com/s?q=%E7%83%83%E5%9F%BA&amp;ie=utf-8&amp;src=wenda_link" </w:instrText>
            </w:r>
            <w:r>
              <w:rPr>
                <w:u w:val="none"/>
              </w:rPr>
              <w:fldChar w:fldCharType="separate"/>
            </w:r>
            <w:r>
              <w:rPr>
                <w:szCs w:val="21"/>
                <w:u w:val="none"/>
              </w:rPr>
              <w:t>般为烃</w:t>
            </w:r>
            <w:r>
              <w:rPr>
                <w:szCs w:val="21"/>
                <w:u w:val="none"/>
              </w:rPr>
              <w:fldChar w:fldCharType="end"/>
            </w:r>
            <w:r>
              <w:rPr>
                <w:u w:val="none"/>
              </w:rPr>
              <w:fldChar w:fldCharType="begin"/>
            </w:r>
            <w:r>
              <w:rPr>
                <w:u w:val="none"/>
              </w:rPr>
              <w:instrText xml:space="preserve"> HYPERLINK "http://www.so.com/s?q=%E7%83%83%E5%9F%BA&amp;ie=utf-8&amp;src=wenda_link" </w:instrText>
            </w:r>
            <w:r>
              <w:rPr>
                <w:u w:val="none"/>
              </w:rPr>
              <w:fldChar w:fldCharType="separate"/>
            </w:r>
            <w:r>
              <w:rPr>
                <w:szCs w:val="21"/>
                <w:u w:val="none"/>
              </w:rPr>
              <w:t>基黄</w:t>
            </w:r>
            <w:r>
              <w:rPr>
                <w:szCs w:val="21"/>
                <w:u w:val="none"/>
              </w:rPr>
              <w:fldChar w:fldCharType="end"/>
            </w:r>
            <w:r>
              <w:rPr>
                <w:szCs w:val="21"/>
                <w:u w:val="none"/>
              </w:rPr>
              <w:t>原酸盐或烃基二硫代碳</w:t>
            </w:r>
          </w:p>
          <w:p>
            <w:pPr>
              <w:pStyle w:val="51"/>
              <w:rPr>
                <w:szCs w:val="21"/>
                <w:u w:val="none"/>
              </w:rPr>
            </w:pPr>
            <w:r>
              <w:rPr>
                <w:szCs w:val="21"/>
                <w:u w:val="none"/>
              </w:rPr>
              <w:t>酸盐</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549" w:type="pct"/>
            <w:tcBorders>
              <w:tl2br w:val="nil"/>
              <w:tr2bl w:val="nil"/>
            </w:tcBorders>
            <w:vAlign w:val="center"/>
          </w:tcPr>
          <w:p>
            <w:pPr>
              <w:pStyle w:val="51"/>
              <w:rPr>
                <w:szCs w:val="21"/>
                <w:u w:val="none"/>
              </w:rPr>
            </w:pPr>
            <w:r>
              <w:rPr>
                <w:szCs w:val="21"/>
                <w:u w:val="none"/>
              </w:rPr>
              <w:t>丁钠黑药</w:t>
            </w:r>
          </w:p>
        </w:tc>
        <w:tc>
          <w:tcPr>
            <w:tcW w:w="415" w:type="pct"/>
            <w:tcBorders>
              <w:tl2br w:val="nil"/>
              <w:tr2bl w:val="nil"/>
            </w:tcBorders>
            <w:vAlign w:val="center"/>
          </w:tcPr>
          <w:p>
            <w:pPr>
              <w:pStyle w:val="51"/>
              <w:rPr>
                <w:szCs w:val="21"/>
                <w:u w:val="none"/>
              </w:rPr>
            </w:pPr>
            <w:r>
              <w:rPr>
                <w:szCs w:val="21"/>
                <w:u w:val="none"/>
              </w:rPr>
              <w:t>4.5</w:t>
            </w:r>
          </w:p>
        </w:tc>
        <w:tc>
          <w:tcPr>
            <w:tcW w:w="748" w:type="pct"/>
            <w:tcBorders>
              <w:tl2br w:val="nil"/>
              <w:tr2bl w:val="nil"/>
            </w:tcBorders>
            <w:vAlign w:val="center"/>
          </w:tcPr>
          <w:p>
            <w:pPr>
              <w:pStyle w:val="51"/>
              <w:rPr>
                <w:szCs w:val="21"/>
                <w:u w:val="none"/>
              </w:rPr>
            </w:pPr>
            <w:r>
              <w:rPr>
                <w:szCs w:val="21"/>
                <w:u w:val="none"/>
              </w:rPr>
              <w:t>4.5</w:t>
            </w:r>
          </w:p>
        </w:tc>
        <w:tc>
          <w:tcPr>
            <w:tcW w:w="746" w:type="pct"/>
            <w:tcBorders>
              <w:tl2br w:val="nil"/>
              <w:tr2bl w:val="nil"/>
            </w:tcBorders>
            <w:vAlign w:val="center"/>
          </w:tcPr>
          <w:p>
            <w:pPr>
              <w:pStyle w:val="51"/>
              <w:rPr>
                <w:szCs w:val="21"/>
                <w:u w:val="none"/>
              </w:rPr>
            </w:pPr>
            <w:r>
              <w:rPr>
                <w:szCs w:val="21"/>
                <w:u w:val="none"/>
              </w:rPr>
              <w:t>2t</w:t>
            </w:r>
          </w:p>
        </w:tc>
        <w:tc>
          <w:tcPr>
            <w:tcW w:w="883" w:type="pct"/>
            <w:vMerge w:val="restart"/>
            <w:tcBorders>
              <w:tl2br w:val="nil"/>
              <w:tr2bl w:val="nil"/>
            </w:tcBorders>
            <w:vAlign w:val="center"/>
          </w:tcPr>
          <w:p>
            <w:pPr>
              <w:pStyle w:val="51"/>
              <w:rPr>
                <w:szCs w:val="21"/>
                <w:u w:val="none"/>
              </w:rPr>
            </w:pPr>
            <w:r>
              <w:rPr>
                <w:szCs w:val="21"/>
                <w:u w:val="none"/>
              </w:rPr>
              <w:t>塑料编织袋</w:t>
            </w:r>
          </w:p>
        </w:tc>
        <w:tc>
          <w:tcPr>
            <w:tcW w:w="620" w:type="pct"/>
            <w:vMerge w:val="continue"/>
            <w:tcBorders>
              <w:tl2br w:val="nil"/>
              <w:tr2bl w:val="nil"/>
            </w:tcBorders>
            <w:vAlign w:val="center"/>
          </w:tcPr>
          <w:p>
            <w:pPr>
              <w:pStyle w:val="51"/>
              <w:rPr>
                <w:szCs w:val="21"/>
                <w:u w:val="none"/>
              </w:rPr>
            </w:pPr>
          </w:p>
        </w:tc>
        <w:tc>
          <w:tcPr>
            <w:tcW w:w="1036" w:type="pct"/>
            <w:tcBorders>
              <w:tl2br w:val="nil"/>
              <w:tr2bl w:val="nil"/>
            </w:tcBorders>
            <w:vAlign w:val="center"/>
          </w:tcPr>
          <w:p>
            <w:pPr>
              <w:pStyle w:val="51"/>
              <w:rPr>
                <w:szCs w:val="21"/>
                <w:u w:val="none"/>
              </w:rPr>
            </w:pPr>
            <w:r>
              <w:rPr>
                <w:szCs w:val="21"/>
                <w:u w:val="none"/>
              </w:rPr>
              <w:t>固态，成分为二丁基二硫代磷酸铵</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549" w:type="pct"/>
            <w:tcBorders>
              <w:tl2br w:val="nil"/>
              <w:tr2bl w:val="nil"/>
            </w:tcBorders>
            <w:vAlign w:val="center"/>
          </w:tcPr>
          <w:p>
            <w:pPr>
              <w:pStyle w:val="51"/>
              <w:rPr>
                <w:szCs w:val="21"/>
                <w:u w:val="none"/>
              </w:rPr>
            </w:pPr>
            <w:r>
              <w:rPr>
                <w:szCs w:val="21"/>
                <w:u w:val="none"/>
              </w:rPr>
              <w:t>混合黄药</w:t>
            </w:r>
          </w:p>
        </w:tc>
        <w:tc>
          <w:tcPr>
            <w:tcW w:w="415" w:type="pct"/>
            <w:tcBorders>
              <w:tl2br w:val="nil"/>
              <w:tr2bl w:val="nil"/>
            </w:tcBorders>
            <w:vAlign w:val="center"/>
          </w:tcPr>
          <w:p>
            <w:pPr>
              <w:pStyle w:val="51"/>
              <w:rPr>
                <w:szCs w:val="21"/>
                <w:u w:val="none"/>
              </w:rPr>
            </w:pPr>
            <w:r>
              <w:rPr>
                <w:szCs w:val="21"/>
                <w:u w:val="none"/>
              </w:rPr>
              <w:t>33</w:t>
            </w:r>
          </w:p>
        </w:tc>
        <w:tc>
          <w:tcPr>
            <w:tcW w:w="748" w:type="pct"/>
            <w:tcBorders>
              <w:tl2br w:val="nil"/>
              <w:tr2bl w:val="nil"/>
            </w:tcBorders>
            <w:vAlign w:val="center"/>
          </w:tcPr>
          <w:p>
            <w:pPr>
              <w:pStyle w:val="51"/>
              <w:rPr>
                <w:szCs w:val="21"/>
                <w:u w:val="none"/>
              </w:rPr>
            </w:pPr>
            <w:r>
              <w:rPr>
                <w:szCs w:val="21"/>
                <w:u w:val="none"/>
              </w:rPr>
              <w:t>33</w:t>
            </w:r>
          </w:p>
        </w:tc>
        <w:tc>
          <w:tcPr>
            <w:tcW w:w="746" w:type="pct"/>
            <w:tcBorders>
              <w:tl2br w:val="nil"/>
              <w:tr2bl w:val="nil"/>
            </w:tcBorders>
            <w:vAlign w:val="center"/>
          </w:tcPr>
          <w:p>
            <w:pPr>
              <w:pStyle w:val="51"/>
              <w:rPr>
                <w:szCs w:val="21"/>
                <w:u w:val="none"/>
              </w:rPr>
            </w:pPr>
            <w:r>
              <w:rPr>
                <w:szCs w:val="21"/>
                <w:u w:val="none"/>
              </w:rPr>
              <w:t>4t</w:t>
            </w:r>
          </w:p>
        </w:tc>
        <w:tc>
          <w:tcPr>
            <w:tcW w:w="883" w:type="pct"/>
            <w:vMerge w:val="continue"/>
            <w:tcBorders>
              <w:tl2br w:val="nil"/>
              <w:tr2bl w:val="nil"/>
            </w:tcBorders>
            <w:vAlign w:val="center"/>
          </w:tcPr>
          <w:p>
            <w:pPr>
              <w:pStyle w:val="51"/>
              <w:rPr>
                <w:szCs w:val="21"/>
                <w:u w:val="none"/>
              </w:rPr>
            </w:pPr>
          </w:p>
        </w:tc>
        <w:tc>
          <w:tcPr>
            <w:tcW w:w="620" w:type="pct"/>
            <w:vMerge w:val="continue"/>
            <w:tcBorders>
              <w:tl2br w:val="nil"/>
              <w:tr2bl w:val="nil"/>
            </w:tcBorders>
            <w:vAlign w:val="center"/>
          </w:tcPr>
          <w:p>
            <w:pPr>
              <w:pStyle w:val="51"/>
              <w:rPr>
                <w:szCs w:val="21"/>
                <w:u w:val="none"/>
              </w:rPr>
            </w:pPr>
          </w:p>
        </w:tc>
        <w:tc>
          <w:tcPr>
            <w:tcW w:w="1036" w:type="pct"/>
            <w:tcBorders>
              <w:tl2br w:val="nil"/>
              <w:tr2bl w:val="nil"/>
            </w:tcBorders>
            <w:vAlign w:val="center"/>
          </w:tcPr>
          <w:p>
            <w:pPr>
              <w:pStyle w:val="51"/>
              <w:rPr>
                <w:szCs w:val="21"/>
                <w:u w:val="none"/>
              </w:rPr>
            </w:pPr>
            <w:r>
              <w:rPr>
                <w:szCs w:val="21"/>
                <w:u w:val="none"/>
              </w:rPr>
              <w:t>固态，成分为乙、丁基黄原酸钠</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549" w:type="pct"/>
            <w:tcBorders>
              <w:tl2br w:val="nil"/>
              <w:tr2bl w:val="nil"/>
            </w:tcBorders>
            <w:vAlign w:val="center"/>
          </w:tcPr>
          <w:p>
            <w:pPr>
              <w:pStyle w:val="51"/>
              <w:rPr>
                <w:szCs w:val="21"/>
                <w:u w:val="none"/>
              </w:rPr>
            </w:pPr>
            <w:r>
              <w:rPr>
                <w:szCs w:val="21"/>
                <w:u w:val="none"/>
              </w:rPr>
              <w:t>碳酸钠</w:t>
            </w:r>
          </w:p>
        </w:tc>
        <w:tc>
          <w:tcPr>
            <w:tcW w:w="415" w:type="pct"/>
            <w:tcBorders>
              <w:tl2br w:val="nil"/>
              <w:tr2bl w:val="nil"/>
            </w:tcBorders>
            <w:vAlign w:val="center"/>
          </w:tcPr>
          <w:p>
            <w:pPr>
              <w:pStyle w:val="51"/>
              <w:rPr>
                <w:szCs w:val="21"/>
                <w:u w:val="none"/>
              </w:rPr>
            </w:pPr>
            <w:r>
              <w:rPr>
                <w:szCs w:val="21"/>
                <w:u w:val="none"/>
              </w:rPr>
              <w:t>37.5</w:t>
            </w:r>
          </w:p>
        </w:tc>
        <w:tc>
          <w:tcPr>
            <w:tcW w:w="748" w:type="pct"/>
            <w:tcBorders>
              <w:tl2br w:val="nil"/>
              <w:tr2bl w:val="nil"/>
            </w:tcBorders>
            <w:vAlign w:val="center"/>
          </w:tcPr>
          <w:p>
            <w:pPr>
              <w:pStyle w:val="51"/>
              <w:rPr>
                <w:szCs w:val="21"/>
                <w:u w:val="none"/>
              </w:rPr>
            </w:pPr>
            <w:r>
              <w:rPr>
                <w:szCs w:val="21"/>
                <w:u w:val="none"/>
              </w:rPr>
              <w:t>37.5</w:t>
            </w:r>
          </w:p>
        </w:tc>
        <w:tc>
          <w:tcPr>
            <w:tcW w:w="746" w:type="pct"/>
            <w:tcBorders>
              <w:tl2br w:val="nil"/>
              <w:tr2bl w:val="nil"/>
            </w:tcBorders>
            <w:vAlign w:val="center"/>
          </w:tcPr>
          <w:p>
            <w:pPr>
              <w:pStyle w:val="51"/>
              <w:rPr>
                <w:szCs w:val="21"/>
                <w:u w:val="none"/>
              </w:rPr>
            </w:pPr>
            <w:r>
              <w:rPr>
                <w:szCs w:val="21"/>
                <w:u w:val="none"/>
              </w:rPr>
              <w:t>4t</w:t>
            </w:r>
          </w:p>
        </w:tc>
        <w:tc>
          <w:tcPr>
            <w:tcW w:w="883" w:type="pct"/>
            <w:vMerge w:val="continue"/>
            <w:tcBorders>
              <w:tl2br w:val="nil"/>
              <w:tr2bl w:val="nil"/>
            </w:tcBorders>
            <w:vAlign w:val="center"/>
          </w:tcPr>
          <w:p>
            <w:pPr>
              <w:pStyle w:val="51"/>
              <w:rPr>
                <w:szCs w:val="21"/>
                <w:u w:val="none"/>
              </w:rPr>
            </w:pPr>
          </w:p>
        </w:tc>
        <w:tc>
          <w:tcPr>
            <w:tcW w:w="620" w:type="pct"/>
            <w:vMerge w:val="continue"/>
            <w:tcBorders>
              <w:tl2br w:val="nil"/>
              <w:tr2bl w:val="nil"/>
            </w:tcBorders>
            <w:vAlign w:val="center"/>
          </w:tcPr>
          <w:p>
            <w:pPr>
              <w:pStyle w:val="51"/>
              <w:rPr>
                <w:szCs w:val="21"/>
                <w:u w:val="none"/>
              </w:rPr>
            </w:pPr>
          </w:p>
        </w:tc>
        <w:tc>
          <w:tcPr>
            <w:tcW w:w="1036" w:type="pct"/>
            <w:tcBorders>
              <w:tl2br w:val="nil"/>
              <w:tr2bl w:val="nil"/>
            </w:tcBorders>
            <w:vAlign w:val="center"/>
          </w:tcPr>
          <w:p>
            <w:pPr>
              <w:pStyle w:val="51"/>
              <w:rPr>
                <w:szCs w:val="21"/>
                <w:u w:val="none"/>
              </w:rPr>
            </w:pPr>
            <w:r>
              <w:rPr>
                <w:szCs w:val="21"/>
                <w:u w:val="none"/>
              </w:rPr>
              <w:t>固态</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49" w:type="pct"/>
            <w:tcBorders>
              <w:tl2br w:val="nil"/>
              <w:tr2bl w:val="nil"/>
            </w:tcBorders>
            <w:vAlign w:val="center"/>
          </w:tcPr>
          <w:p>
            <w:pPr>
              <w:pStyle w:val="51"/>
              <w:rPr>
                <w:szCs w:val="21"/>
                <w:u w:val="none"/>
              </w:rPr>
            </w:pPr>
            <w:r>
              <w:rPr>
                <w:szCs w:val="21"/>
                <w:u w:val="none"/>
              </w:rPr>
              <w:t>硫酸亚铁</w:t>
            </w:r>
          </w:p>
        </w:tc>
        <w:tc>
          <w:tcPr>
            <w:tcW w:w="415" w:type="pct"/>
            <w:tcBorders>
              <w:tl2br w:val="nil"/>
              <w:tr2bl w:val="nil"/>
            </w:tcBorders>
            <w:vAlign w:val="center"/>
          </w:tcPr>
          <w:p>
            <w:pPr>
              <w:pStyle w:val="51"/>
              <w:rPr>
                <w:szCs w:val="21"/>
                <w:u w:val="none"/>
              </w:rPr>
            </w:pPr>
            <w:r>
              <w:rPr>
                <w:szCs w:val="21"/>
                <w:u w:val="none"/>
              </w:rPr>
              <w:t>18.75</w:t>
            </w:r>
          </w:p>
        </w:tc>
        <w:tc>
          <w:tcPr>
            <w:tcW w:w="748" w:type="pct"/>
            <w:tcBorders>
              <w:tl2br w:val="nil"/>
              <w:tr2bl w:val="nil"/>
            </w:tcBorders>
            <w:vAlign w:val="center"/>
          </w:tcPr>
          <w:p>
            <w:pPr>
              <w:pStyle w:val="51"/>
              <w:rPr>
                <w:szCs w:val="21"/>
                <w:u w:val="none"/>
              </w:rPr>
            </w:pPr>
            <w:r>
              <w:rPr>
                <w:szCs w:val="21"/>
                <w:u w:val="none"/>
              </w:rPr>
              <w:t>18.75</w:t>
            </w:r>
          </w:p>
        </w:tc>
        <w:tc>
          <w:tcPr>
            <w:tcW w:w="746" w:type="pct"/>
            <w:tcBorders>
              <w:tl2br w:val="nil"/>
              <w:tr2bl w:val="nil"/>
            </w:tcBorders>
            <w:vAlign w:val="center"/>
          </w:tcPr>
          <w:p>
            <w:pPr>
              <w:pStyle w:val="51"/>
              <w:rPr>
                <w:szCs w:val="21"/>
                <w:u w:val="none"/>
              </w:rPr>
            </w:pPr>
            <w:r>
              <w:rPr>
                <w:szCs w:val="21"/>
                <w:u w:val="none"/>
              </w:rPr>
              <w:t>3t</w:t>
            </w:r>
          </w:p>
        </w:tc>
        <w:tc>
          <w:tcPr>
            <w:tcW w:w="883" w:type="pct"/>
            <w:vMerge w:val="continue"/>
            <w:tcBorders>
              <w:tl2br w:val="nil"/>
              <w:tr2bl w:val="nil"/>
            </w:tcBorders>
            <w:vAlign w:val="center"/>
          </w:tcPr>
          <w:p>
            <w:pPr>
              <w:pStyle w:val="51"/>
              <w:rPr>
                <w:szCs w:val="21"/>
                <w:u w:val="none"/>
              </w:rPr>
            </w:pPr>
          </w:p>
        </w:tc>
        <w:tc>
          <w:tcPr>
            <w:tcW w:w="620" w:type="pct"/>
            <w:vMerge w:val="restart"/>
            <w:tcBorders>
              <w:tl2br w:val="nil"/>
              <w:tr2bl w:val="nil"/>
            </w:tcBorders>
            <w:vAlign w:val="center"/>
          </w:tcPr>
          <w:p>
            <w:pPr>
              <w:pStyle w:val="51"/>
              <w:rPr>
                <w:szCs w:val="21"/>
                <w:u w:val="none"/>
              </w:rPr>
            </w:pPr>
            <w:r>
              <w:rPr>
                <w:szCs w:val="21"/>
                <w:u w:val="none"/>
              </w:rPr>
              <w:t>污水处理设施</w:t>
            </w:r>
          </w:p>
        </w:tc>
        <w:tc>
          <w:tcPr>
            <w:tcW w:w="1036" w:type="pct"/>
            <w:tcBorders>
              <w:tl2br w:val="nil"/>
              <w:tr2bl w:val="nil"/>
            </w:tcBorders>
            <w:vAlign w:val="center"/>
          </w:tcPr>
          <w:p>
            <w:pPr>
              <w:pStyle w:val="51"/>
              <w:rPr>
                <w:szCs w:val="21"/>
                <w:u w:val="none"/>
              </w:rPr>
            </w:pPr>
            <w:r>
              <w:rPr>
                <w:szCs w:val="21"/>
                <w:u w:val="none"/>
              </w:rPr>
              <w:t>固态</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49" w:type="pct"/>
            <w:tcBorders>
              <w:tl2br w:val="nil"/>
              <w:tr2bl w:val="nil"/>
            </w:tcBorders>
            <w:vAlign w:val="center"/>
          </w:tcPr>
          <w:p>
            <w:pPr>
              <w:pStyle w:val="51"/>
              <w:rPr>
                <w:szCs w:val="21"/>
                <w:u w:val="none"/>
              </w:rPr>
            </w:pPr>
            <w:r>
              <w:rPr>
                <w:szCs w:val="21"/>
                <w:u w:val="none"/>
              </w:rPr>
              <w:t>絮凝剂</w:t>
            </w:r>
          </w:p>
        </w:tc>
        <w:tc>
          <w:tcPr>
            <w:tcW w:w="415" w:type="pct"/>
            <w:tcBorders>
              <w:tl2br w:val="nil"/>
              <w:tr2bl w:val="nil"/>
            </w:tcBorders>
            <w:vAlign w:val="center"/>
          </w:tcPr>
          <w:p>
            <w:pPr>
              <w:pStyle w:val="51"/>
              <w:rPr>
                <w:szCs w:val="21"/>
                <w:u w:val="none"/>
              </w:rPr>
            </w:pPr>
            <w:r>
              <w:rPr>
                <w:szCs w:val="21"/>
                <w:u w:val="none"/>
              </w:rPr>
              <w:t>11.25</w:t>
            </w:r>
          </w:p>
        </w:tc>
        <w:tc>
          <w:tcPr>
            <w:tcW w:w="748" w:type="pct"/>
            <w:tcBorders>
              <w:tl2br w:val="nil"/>
              <w:tr2bl w:val="nil"/>
            </w:tcBorders>
            <w:vAlign w:val="center"/>
          </w:tcPr>
          <w:p>
            <w:pPr>
              <w:pStyle w:val="51"/>
              <w:rPr>
                <w:szCs w:val="21"/>
                <w:u w:val="none"/>
              </w:rPr>
            </w:pPr>
            <w:r>
              <w:rPr>
                <w:szCs w:val="21"/>
                <w:u w:val="none"/>
              </w:rPr>
              <w:t>11.25</w:t>
            </w:r>
          </w:p>
        </w:tc>
        <w:tc>
          <w:tcPr>
            <w:tcW w:w="746" w:type="pct"/>
            <w:tcBorders>
              <w:tl2br w:val="nil"/>
              <w:tr2bl w:val="nil"/>
            </w:tcBorders>
            <w:vAlign w:val="center"/>
          </w:tcPr>
          <w:p>
            <w:pPr>
              <w:pStyle w:val="51"/>
              <w:rPr>
                <w:szCs w:val="21"/>
                <w:u w:val="none"/>
              </w:rPr>
            </w:pPr>
            <w:r>
              <w:rPr>
                <w:szCs w:val="21"/>
                <w:u w:val="none"/>
              </w:rPr>
              <w:t>1.5t</w:t>
            </w:r>
          </w:p>
        </w:tc>
        <w:tc>
          <w:tcPr>
            <w:tcW w:w="883" w:type="pct"/>
            <w:vMerge w:val="continue"/>
            <w:tcBorders>
              <w:tl2br w:val="nil"/>
              <w:tr2bl w:val="nil"/>
            </w:tcBorders>
            <w:vAlign w:val="center"/>
          </w:tcPr>
          <w:p>
            <w:pPr>
              <w:pStyle w:val="51"/>
              <w:rPr>
                <w:szCs w:val="21"/>
                <w:u w:val="none"/>
              </w:rPr>
            </w:pPr>
          </w:p>
        </w:tc>
        <w:tc>
          <w:tcPr>
            <w:tcW w:w="620" w:type="pct"/>
            <w:vMerge w:val="continue"/>
            <w:tcBorders>
              <w:tl2br w:val="nil"/>
              <w:tr2bl w:val="nil"/>
            </w:tcBorders>
            <w:vAlign w:val="center"/>
          </w:tcPr>
          <w:p>
            <w:pPr>
              <w:pStyle w:val="51"/>
              <w:rPr>
                <w:szCs w:val="21"/>
                <w:u w:val="none"/>
              </w:rPr>
            </w:pPr>
          </w:p>
        </w:tc>
        <w:tc>
          <w:tcPr>
            <w:tcW w:w="1036" w:type="pct"/>
            <w:tcBorders>
              <w:tl2br w:val="nil"/>
              <w:tr2bl w:val="nil"/>
            </w:tcBorders>
            <w:vAlign w:val="center"/>
          </w:tcPr>
          <w:p>
            <w:pPr>
              <w:pStyle w:val="51"/>
              <w:rPr>
                <w:szCs w:val="21"/>
                <w:u w:val="none"/>
              </w:rPr>
            </w:pPr>
            <w:r>
              <w:rPr>
                <w:szCs w:val="21"/>
                <w:u w:val="none"/>
              </w:rPr>
              <w:t>固态</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49" w:type="pct"/>
            <w:tcBorders>
              <w:tl2br w:val="nil"/>
              <w:tr2bl w:val="nil"/>
            </w:tcBorders>
            <w:vAlign w:val="center"/>
          </w:tcPr>
          <w:p>
            <w:pPr>
              <w:pStyle w:val="51"/>
              <w:rPr>
                <w:szCs w:val="21"/>
                <w:u w:val="none"/>
              </w:rPr>
            </w:pPr>
            <w:r>
              <w:rPr>
                <w:szCs w:val="21"/>
                <w:u w:val="none"/>
              </w:rPr>
              <w:t>聚氯化铝</w:t>
            </w:r>
          </w:p>
        </w:tc>
        <w:tc>
          <w:tcPr>
            <w:tcW w:w="415" w:type="pct"/>
            <w:tcBorders>
              <w:tl2br w:val="nil"/>
              <w:tr2bl w:val="nil"/>
            </w:tcBorders>
            <w:vAlign w:val="center"/>
          </w:tcPr>
          <w:p>
            <w:pPr>
              <w:pStyle w:val="51"/>
              <w:rPr>
                <w:szCs w:val="21"/>
                <w:u w:val="none"/>
              </w:rPr>
            </w:pPr>
            <w:r>
              <w:rPr>
                <w:szCs w:val="21"/>
                <w:u w:val="none"/>
              </w:rPr>
              <w:t>9</w:t>
            </w:r>
          </w:p>
        </w:tc>
        <w:tc>
          <w:tcPr>
            <w:tcW w:w="748" w:type="pct"/>
            <w:tcBorders>
              <w:tl2br w:val="nil"/>
              <w:tr2bl w:val="nil"/>
            </w:tcBorders>
            <w:vAlign w:val="center"/>
          </w:tcPr>
          <w:p>
            <w:pPr>
              <w:pStyle w:val="51"/>
              <w:rPr>
                <w:szCs w:val="21"/>
                <w:u w:val="none"/>
              </w:rPr>
            </w:pPr>
            <w:r>
              <w:rPr>
                <w:szCs w:val="21"/>
                <w:u w:val="none"/>
              </w:rPr>
              <w:t>9</w:t>
            </w:r>
          </w:p>
        </w:tc>
        <w:tc>
          <w:tcPr>
            <w:tcW w:w="746" w:type="pct"/>
            <w:tcBorders>
              <w:tl2br w:val="nil"/>
              <w:tr2bl w:val="nil"/>
            </w:tcBorders>
            <w:vAlign w:val="center"/>
          </w:tcPr>
          <w:p>
            <w:pPr>
              <w:pStyle w:val="51"/>
              <w:rPr>
                <w:szCs w:val="21"/>
                <w:u w:val="none"/>
              </w:rPr>
            </w:pPr>
            <w:r>
              <w:rPr>
                <w:szCs w:val="21"/>
                <w:u w:val="none"/>
              </w:rPr>
              <w:t>2t</w:t>
            </w:r>
          </w:p>
        </w:tc>
        <w:tc>
          <w:tcPr>
            <w:tcW w:w="883" w:type="pct"/>
            <w:vMerge w:val="continue"/>
            <w:tcBorders>
              <w:tl2br w:val="nil"/>
              <w:tr2bl w:val="nil"/>
            </w:tcBorders>
            <w:vAlign w:val="center"/>
          </w:tcPr>
          <w:p>
            <w:pPr>
              <w:pStyle w:val="51"/>
              <w:rPr>
                <w:szCs w:val="21"/>
                <w:u w:val="none"/>
              </w:rPr>
            </w:pPr>
          </w:p>
        </w:tc>
        <w:tc>
          <w:tcPr>
            <w:tcW w:w="620" w:type="pct"/>
            <w:vMerge w:val="continue"/>
            <w:tcBorders>
              <w:tl2br w:val="nil"/>
              <w:tr2bl w:val="nil"/>
            </w:tcBorders>
            <w:vAlign w:val="center"/>
          </w:tcPr>
          <w:p>
            <w:pPr>
              <w:pStyle w:val="51"/>
              <w:rPr>
                <w:szCs w:val="21"/>
                <w:u w:val="none"/>
              </w:rPr>
            </w:pPr>
          </w:p>
        </w:tc>
        <w:tc>
          <w:tcPr>
            <w:tcW w:w="1036" w:type="pct"/>
            <w:tcBorders>
              <w:tl2br w:val="nil"/>
              <w:tr2bl w:val="nil"/>
            </w:tcBorders>
            <w:vAlign w:val="center"/>
          </w:tcPr>
          <w:p>
            <w:pPr>
              <w:pStyle w:val="51"/>
              <w:rPr>
                <w:szCs w:val="21"/>
                <w:u w:val="none"/>
              </w:rPr>
            </w:pPr>
            <w:r>
              <w:rPr>
                <w:szCs w:val="21"/>
                <w:u w:val="none"/>
              </w:rPr>
              <w:t>固态</w:t>
            </w:r>
          </w:p>
        </w:tc>
      </w:tr>
    </w:tbl>
    <w:p>
      <w:pPr>
        <w:pStyle w:val="4"/>
        <w:spacing w:line="240" w:lineRule="auto"/>
        <w:rPr>
          <w:u w:val="none"/>
        </w:rPr>
      </w:pPr>
      <w:r>
        <w:rPr>
          <w:rFonts w:hint="eastAsia"/>
          <w:u w:val="none"/>
        </w:rPr>
        <w:t>2.1.7</w:t>
      </w:r>
      <w:r>
        <w:rPr>
          <w:u w:val="none"/>
        </w:rPr>
        <w:t>主要生产设备</w:t>
      </w:r>
    </w:p>
    <w:p>
      <w:pPr>
        <w:ind w:firstLine="480"/>
        <w:rPr>
          <w:u w:val="none"/>
        </w:rPr>
      </w:pPr>
      <w:r>
        <w:rPr>
          <w:u w:val="none"/>
        </w:rPr>
        <w:t>企业主要设备情况见下表</w:t>
      </w:r>
      <w:r>
        <w:rPr>
          <w:rFonts w:hint="eastAsia"/>
          <w:u w:val="none"/>
        </w:rPr>
        <w:t>。</w:t>
      </w:r>
    </w:p>
    <w:p>
      <w:pPr>
        <w:spacing w:line="240" w:lineRule="auto"/>
        <w:ind w:firstLine="482"/>
        <w:jc w:val="center"/>
        <w:rPr>
          <w:b/>
          <w:bCs/>
          <w:u w:val="none"/>
        </w:rPr>
      </w:pPr>
      <w:r>
        <w:rPr>
          <w:rFonts w:hint="eastAsia"/>
          <w:b/>
          <w:bCs/>
          <w:u w:val="none"/>
        </w:rPr>
        <w:t>表2.1.7-1采矿和选矿主要设备一览表</w:t>
      </w:r>
    </w:p>
    <w:tbl>
      <w:tblPr>
        <w:tblStyle w:val="50"/>
        <w:tblW w:w="5011"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5816"/>
        <w:gridCol w:w="1841"/>
        <w:gridCol w:w="1463"/>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0" w:hRule="atLeast"/>
          <w:tblHeader/>
        </w:trPr>
        <w:tc>
          <w:tcPr>
            <w:tcW w:w="3188" w:type="pct"/>
            <w:tcBorders>
              <w:tl2br w:val="nil"/>
              <w:tr2bl w:val="nil"/>
            </w:tcBorders>
            <w:vAlign w:val="center"/>
          </w:tcPr>
          <w:p>
            <w:pPr>
              <w:pStyle w:val="51"/>
              <w:rPr>
                <w:szCs w:val="21"/>
                <w:u w:val="none"/>
              </w:rPr>
            </w:pPr>
            <w:r>
              <w:rPr>
                <w:szCs w:val="21"/>
                <w:u w:val="none"/>
              </w:rPr>
              <w:t>名称</w:t>
            </w:r>
          </w:p>
        </w:tc>
        <w:tc>
          <w:tcPr>
            <w:tcW w:w="1009" w:type="pct"/>
            <w:tcBorders>
              <w:tl2br w:val="nil"/>
              <w:tr2bl w:val="nil"/>
            </w:tcBorders>
            <w:vAlign w:val="center"/>
          </w:tcPr>
          <w:p>
            <w:pPr>
              <w:pStyle w:val="51"/>
              <w:rPr>
                <w:szCs w:val="21"/>
                <w:u w:val="none"/>
              </w:rPr>
            </w:pPr>
            <w:r>
              <w:rPr>
                <w:szCs w:val="21"/>
                <w:u w:val="none"/>
              </w:rPr>
              <w:t>数量(台/套)</w:t>
            </w:r>
          </w:p>
        </w:tc>
        <w:tc>
          <w:tcPr>
            <w:tcW w:w="802" w:type="pct"/>
            <w:tcBorders>
              <w:tl2br w:val="nil"/>
              <w:tr2bl w:val="nil"/>
            </w:tcBorders>
            <w:vAlign w:val="center"/>
          </w:tcPr>
          <w:p>
            <w:pPr>
              <w:pStyle w:val="51"/>
              <w:rPr>
                <w:szCs w:val="21"/>
                <w:u w:val="none"/>
              </w:rPr>
            </w:pPr>
            <w:r>
              <w:rPr>
                <w:szCs w:val="21"/>
                <w:u w:val="none"/>
              </w:rPr>
              <w:t>备注</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3188" w:type="pct"/>
            <w:tcBorders>
              <w:tl2br w:val="nil"/>
              <w:tr2bl w:val="nil"/>
            </w:tcBorders>
            <w:vAlign w:val="center"/>
          </w:tcPr>
          <w:p>
            <w:pPr>
              <w:pStyle w:val="51"/>
              <w:rPr>
                <w:szCs w:val="21"/>
                <w:u w:val="none"/>
              </w:rPr>
            </w:pPr>
            <w:r>
              <w:rPr>
                <w:szCs w:val="21"/>
                <w:u w:val="none"/>
              </w:rPr>
              <w:t>Φ1.6m卷筒直径</w:t>
            </w:r>
          </w:p>
        </w:tc>
        <w:tc>
          <w:tcPr>
            <w:tcW w:w="1009" w:type="pct"/>
            <w:tcBorders>
              <w:tl2br w:val="nil"/>
              <w:tr2bl w:val="nil"/>
            </w:tcBorders>
            <w:vAlign w:val="center"/>
          </w:tcPr>
          <w:p>
            <w:pPr>
              <w:pStyle w:val="51"/>
              <w:rPr>
                <w:szCs w:val="21"/>
                <w:u w:val="none"/>
              </w:rPr>
            </w:pPr>
            <w:r>
              <w:rPr>
                <w:szCs w:val="21"/>
                <w:u w:val="none"/>
              </w:rPr>
              <w:t>1</w:t>
            </w:r>
          </w:p>
        </w:tc>
        <w:tc>
          <w:tcPr>
            <w:tcW w:w="802" w:type="pct"/>
            <w:tcBorders>
              <w:tl2br w:val="nil"/>
              <w:tr2bl w:val="nil"/>
            </w:tcBorders>
            <w:vAlign w:val="center"/>
          </w:tcPr>
          <w:p>
            <w:pPr>
              <w:pStyle w:val="51"/>
              <w:rPr>
                <w:rFonts w:eastAsia="宋体"/>
                <w:szCs w:val="21"/>
                <w:u w:val="none"/>
              </w:rPr>
            </w:pPr>
            <w:r>
              <w:rPr>
                <w:rFonts w:hint="eastAsia" w:eastAsia="宋体"/>
                <w:szCs w:val="21"/>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3188" w:type="pct"/>
            <w:tcBorders>
              <w:tl2br w:val="nil"/>
              <w:tr2bl w:val="nil"/>
            </w:tcBorders>
            <w:vAlign w:val="center"/>
          </w:tcPr>
          <w:p>
            <w:pPr>
              <w:pStyle w:val="51"/>
              <w:rPr>
                <w:szCs w:val="21"/>
                <w:u w:val="none"/>
              </w:rPr>
            </w:pPr>
            <w:r>
              <w:rPr>
                <w:szCs w:val="21"/>
                <w:u w:val="none"/>
              </w:rPr>
              <w:t>1.2m卷筒宽度</w:t>
            </w:r>
          </w:p>
        </w:tc>
        <w:tc>
          <w:tcPr>
            <w:tcW w:w="1009" w:type="pct"/>
            <w:tcBorders>
              <w:tl2br w:val="nil"/>
              <w:tr2bl w:val="nil"/>
            </w:tcBorders>
            <w:vAlign w:val="center"/>
          </w:tcPr>
          <w:p>
            <w:pPr>
              <w:pStyle w:val="51"/>
              <w:rPr>
                <w:szCs w:val="21"/>
                <w:u w:val="none"/>
              </w:rPr>
            </w:pPr>
            <w:r>
              <w:rPr>
                <w:szCs w:val="21"/>
                <w:u w:val="none"/>
              </w:rPr>
              <w:t>1</w:t>
            </w:r>
          </w:p>
        </w:tc>
        <w:tc>
          <w:tcPr>
            <w:tcW w:w="802"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188" w:type="pct"/>
            <w:tcBorders>
              <w:tl2br w:val="nil"/>
              <w:tr2bl w:val="nil"/>
            </w:tcBorders>
            <w:vAlign w:val="center"/>
          </w:tcPr>
          <w:p>
            <w:pPr>
              <w:pStyle w:val="51"/>
              <w:rPr>
                <w:szCs w:val="21"/>
                <w:u w:val="none"/>
              </w:rPr>
            </w:pPr>
            <w:r>
              <w:rPr>
                <w:szCs w:val="21"/>
                <w:u w:val="none"/>
              </w:rPr>
              <w:t>155KW电机</w:t>
            </w:r>
          </w:p>
        </w:tc>
        <w:tc>
          <w:tcPr>
            <w:tcW w:w="1009" w:type="pct"/>
            <w:tcBorders>
              <w:tl2br w:val="nil"/>
              <w:tr2bl w:val="nil"/>
            </w:tcBorders>
            <w:vAlign w:val="center"/>
          </w:tcPr>
          <w:p>
            <w:pPr>
              <w:pStyle w:val="51"/>
              <w:rPr>
                <w:szCs w:val="21"/>
                <w:u w:val="none"/>
              </w:rPr>
            </w:pPr>
            <w:r>
              <w:rPr>
                <w:szCs w:val="21"/>
                <w:u w:val="none"/>
              </w:rPr>
              <w:t>1</w:t>
            </w:r>
          </w:p>
        </w:tc>
        <w:tc>
          <w:tcPr>
            <w:tcW w:w="802"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3188" w:type="pct"/>
            <w:tcBorders>
              <w:tl2br w:val="nil"/>
              <w:tr2bl w:val="nil"/>
            </w:tcBorders>
            <w:vAlign w:val="center"/>
          </w:tcPr>
          <w:p>
            <w:pPr>
              <w:pStyle w:val="51"/>
              <w:rPr>
                <w:szCs w:val="21"/>
                <w:u w:val="none"/>
              </w:rPr>
            </w:pPr>
            <w:r>
              <w:rPr>
                <w:szCs w:val="21"/>
                <w:u w:val="none"/>
              </w:rPr>
              <w:t>YJGG-18-1罐笼</w:t>
            </w:r>
          </w:p>
        </w:tc>
        <w:tc>
          <w:tcPr>
            <w:tcW w:w="1009" w:type="pct"/>
            <w:tcBorders>
              <w:tl2br w:val="nil"/>
              <w:tr2bl w:val="nil"/>
            </w:tcBorders>
            <w:vAlign w:val="center"/>
          </w:tcPr>
          <w:p>
            <w:pPr>
              <w:pStyle w:val="51"/>
              <w:rPr>
                <w:szCs w:val="21"/>
                <w:u w:val="none"/>
              </w:rPr>
            </w:pPr>
            <w:r>
              <w:rPr>
                <w:szCs w:val="21"/>
                <w:u w:val="none"/>
              </w:rPr>
              <w:t>1</w:t>
            </w:r>
          </w:p>
        </w:tc>
        <w:tc>
          <w:tcPr>
            <w:tcW w:w="802"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3188" w:type="pct"/>
            <w:tcBorders>
              <w:tl2br w:val="nil"/>
              <w:tr2bl w:val="nil"/>
            </w:tcBorders>
            <w:vAlign w:val="center"/>
          </w:tcPr>
          <w:p>
            <w:pPr>
              <w:pStyle w:val="51"/>
              <w:rPr>
                <w:szCs w:val="21"/>
                <w:u w:val="none"/>
              </w:rPr>
            </w:pPr>
            <w:r>
              <w:rPr>
                <w:szCs w:val="21"/>
                <w:u w:val="none"/>
              </w:rPr>
              <w:t>BF系列防坠器</w:t>
            </w:r>
          </w:p>
        </w:tc>
        <w:tc>
          <w:tcPr>
            <w:tcW w:w="1009" w:type="pct"/>
            <w:tcBorders>
              <w:tl2br w:val="nil"/>
              <w:tr2bl w:val="nil"/>
            </w:tcBorders>
            <w:vAlign w:val="center"/>
          </w:tcPr>
          <w:p>
            <w:pPr>
              <w:pStyle w:val="51"/>
              <w:rPr>
                <w:szCs w:val="21"/>
                <w:u w:val="none"/>
              </w:rPr>
            </w:pPr>
          </w:p>
        </w:tc>
        <w:tc>
          <w:tcPr>
            <w:tcW w:w="802"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3188" w:type="pct"/>
            <w:tcBorders>
              <w:tl2br w:val="nil"/>
              <w:tr2bl w:val="nil"/>
            </w:tcBorders>
            <w:vAlign w:val="center"/>
          </w:tcPr>
          <w:p>
            <w:pPr>
              <w:pStyle w:val="51"/>
              <w:rPr>
                <w:szCs w:val="21"/>
                <w:u w:val="none"/>
              </w:rPr>
            </w:pPr>
            <w:r>
              <w:rPr>
                <w:szCs w:val="21"/>
                <w:u w:val="none"/>
              </w:rPr>
              <w:t>Φ26mm钢丝绳</w:t>
            </w:r>
          </w:p>
        </w:tc>
        <w:tc>
          <w:tcPr>
            <w:tcW w:w="1009" w:type="pct"/>
            <w:tcBorders>
              <w:tl2br w:val="nil"/>
              <w:tr2bl w:val="nil"/>
            </w:tcBorders>
            <w:vAlign w:val="center"/>
          </w:tcPr>
          <w:p>
            <w:pPr>
              <w:pStyle w:val="51"/>
              <w:rPr>
                <w:szCs w:val="21"/>
                <w:u w:val="none"/>
              </w:rPr>
            </w:pPr>
          </w:p>
        </w:tc>
        <w:tc>
          <w:tcPr>
            <w:tcW w:w="802"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3188" w:type="pct"/>
            <w:tcBorders>
              <w:tl2br w:val="nil"/>
              <w:tr2bl w:val="nil"/>
            </w:tcBorders>
            <w:vAlign w:val="center"/>
          </w:tcPr>
          <w:p>
            <w:pPr>
              <w:pStyle w:val="51"/>
              <w:rPr>
                <w:szCs w:val="21"/>
                <w:u w:val="none"/>
              </w:rPr>
            </w:pPr>
            <w:r>
              <w:rPr>
                <w:szCs w:val="21"/>
                <w:u w:val="none"/>
              </w:rPr>
              <w:t>12m井架高度</w:t>
            </w:r>
          </w:p>
        </w:tc>
        <w:tc>
          <w:tcPr>
            <w:tcW w:w="1009" w:type="pct"/>
            <w:tcBorders>
              <w:tl2br w:val="nil"/>
              <w:tr2bl w:val="nil"/>
            </w:tcBorders>
            <w:vAlign w:val="center"/>
          </w:tcPr>
          <w:p>
            <w:pPr>
              <w:pStyle w:val="51"/>
              <w:rPr>
                <w:szCs w:val="21"/>
                <w:u w:val="none"/>
              </w:rPr>
            </w:pPr>
            <w:r>
              <w:rPr>
                <w:szCs w:val="21"/>
                <w:u w:val="none"/>
              </w:rPr>
              <w:t>1</w:t>
            </w:r>
          </w:p>
        </w:tc>
        <w:tc>
          <w:tcPr>
            <w:tcW w:w="802"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3188" w:type="pct"/>
            <w:tcBorders>
              <w:tl2br w:val="nil"/>
              <w:tr2bl w:val="nil"/>
            </w:tcBorders>
            <w:vAlign w:val="center"/>
          </w:tcPr>
          <w:p>
            <w:pPr>
              <w:pStyle w:val="51"/>
              <w:rPr>
                <w:szCs w:val="21"/>
                <w:u w:val="none"/>
              </w:rPr>
            </w:pPr>
            <w:r>
              <w:rPr>
                <w:szCs w:val="21"/>
                <w:u w:val="none"/>
              </w:rPr>
              <w:t>1.6m天轮直径</w:t>
            </w:r>
          </w:p>
        </w:tc>
        <w:tc>
          <w:tcPr>
            <w:tcW w:w="1009" w:type="pct"/>
            <w:tcBorders>
              <w:tl2br w:val="nil"/>
              <w:tr2bl w:val="nil"/>
            </w:tcBorders>
            <w:vAlign w:val="center"/>
          </w:tcPr>
          <w:p>
            <w:pPr>
              <w:pStyle w:val="51"/>
              <w:rPr>
                <w:szCs w:val="21"/>
                <w:u w:val="none"/>
              </w:rPr>
            </w:pPr>
            <w:r>
              <w:rPr>
                <w:szCs w:val="21"/>
                <w:u w:val="none"/>
              </w:rPr>
              <w:t>1</w:t>
            </w:r>
          </w:p>
        </w:tc>
        <w:tc>
          <w:tcPr>
            <w:tcW w:w="802"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3188" w:type="pct"/>
            <w:tcBorders>
              <w:tl2br w:val="nil"/>
              <w:tr2bl w:val="nil"/>
            </w:tcBorders>
            <w:vAlign w:val="center"/>
          </w:tcPr>
          <w:p>
            <w:pPr>
              <w:pStyle w:val="51"/>
              <w:rPr>
                <w:szCs w:val="21"/>
                <w:u w:val="none"/>
              </w:rPr>
            </w:pPr>
            <w:r>
              <w:rPr>
                <w:szCs w:val="21"/>
                <w:u w:val="none"/>
              </w:rPr>
              <w:t>K40-6No.13通风设备</w:t>
            </w:r>
          </w:p>
        </w:tc>
        <w:tc>
          <w:tcPr>
            <w:tcW w:w="1009" w:type="pct"/>
            <w:tcBorders>
              <w:tl2br w:val="nil"/>
              <w:tr2bl w:val="nil"/>
            </w:tcBorders>
            <w:vAlign w:val="center"/>
          </w:tcPr>
          <w:p>
            <w:pPr>
              <w:pStyle w:val="51"/>
              <w:rPr>
                <w:szCs w:val="21"/>
                <w:u w:val="none"/>
              </w:rPr>
            </w:pPr>
            <w:r>
              <w:rPr>
                <w:szCs w:val="21"/>
                <w:u w:val="none"/>
              </w:rPr>
              <w:t>1</w:t>
            </w:r>
          </w:p>
        </w:tc>
        <w:tc>
          <w:tcPr>
            <w:tcW w:w="802"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3188" w:type="pct"/>
            <w:tcBorders>
              <w:tl2br w:val="nil"/>
              <w:tr2bl w:val="nil"/>
            </w:tcBorders>
            <w:vAlign w:val="center"/>
          </w:tcPr>
          <w:p>
            <w:pPr>
              <w:pStyle w:val="51"/>
              <w:rPr>
                <w:szCs w:val="21"/>
                <w:u w:val="none"/>
              </w:rPr>
            </w:pPr>
            <w:r>
              <w:rPr>
                <w:szCs w:val="21"/>
                <w:u w:val="none"/>
              </w:rPr>
              <w:t>Y225M-6电机</w:t>
            </w:r>
          </w:p>
        </w:tc>
        <w:tc>
          <w:tcPr>
            <w:tcW w:w="1009" w:type="pct"/>
            <w:tcBorders>
              <w:tl2br w:val="nil"/>
              <w:tr2bl w:val="nil"/>
            </w:tcBorders>
            <w:vAlign w:val="center"/>
          </w:tcPr>
          <w:p>
            <w:pPr>
              <w:pStyle w:val="51"/>
              <w:rPr>
                <w:szCs w:val="21"/>
                <w:u w:val="none"/>
              </w:rPr>
            </w:pPr>
            <w:r>
              <w:rPr>
                <w:szCs w:val="21"/>
                <w:u w:val="none"/>
              </w:rPr>
              <w:t>2</w:t>
            </w:r>
          </w:p>
        </w:tc>
        <w:tc>
          <w:tcPr>
            <w:tcW w:w="802"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3188" w:type="pct"/>
            <w:tcBorders>
              <w:tl2br w:val="nil"/>
              <w:tr2bl w:val="nil"/>
            </w:tcBorders>
            <w:vAlign w:val="center"/>
          </w:tcPr>
          <w:p>
            <w:pPr>
              <w:pStyle w:val="51"/>
              <w:rPr>
                <w:szCs w:val="21"/>
                <w:u w:val="none"/>
                <w:lang w:eastAsia="en-US"/>
              </w:rPr>
            </w:pPr>
            <w:r>
              <w:rPr>
                <w:szCs w:val="21"/>
                <w:u w:val="none"/>
              </w:rPr>
              <w:t>JK58-1No.4.5风扇</w:t>
            </w:r>
          </w:p>
        </w:tc>
        <w:tc>
          <w:tcPr>
            <w:tcW w:w="1009" w:type="pct"/>
            <w:tcBorders>
              <w:tl2br w:val="nil"/>
              <w:tr2bl w:val="nil"/>
            </w:tcBorders>
            <w:vAlign w:val="center"/>
          </w:tcPr>
          <w:p>
            <w:pPr>
              <w:pStyle w:val="51"/>
              <w:rPr>
                <w:szCs w:val="21"/>
                <w:u w:val="none"/>
              </w:rPr>
            </w:pPr>
            <w:r>
              <w:rPr>
                <w:szCs w:val="21"/>
                <w:u w:val="none"/>
              </w:rPr>
              <w:t>4</w:t>
            </w:r>
          </w:p>
        </w:tc>
        <w:tc>
          <w:tcPr>
            <w:tcW w:w="802"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3188" w:type="pct"/>
            <w:tcBorders>
              <w:tl2br w:val="nil"/>
              <w:tr2bl w:val="nil"/>
            </w:tcBorders>
            <w:vAlign w:val="center"/>
          </w:tcPr>
          <w:p>
            <w:pPr>
              <w:pStyle w:val="51"/>
              <w:rPr>
                <w:szCs w:val="21"/>
                <w:u w:val="none"/>
                <w:lang w:eastAsia="en-US"/>
              </w:rPr>
            </w:pPr>
            <w:r>
              <w:rPr>
                <w:szCs w:val="21"/>
                <w:u w:val="none"/>
              </w:rPr>
              <w:t>LG-10/7空压机</w:t>
            </w:r>
          </w:p>
        </w:tc>
        <w:tc>
          <w:tcPr>
            <w:tcW w:w="1009" w:type="pct"/>
            <w:tcBorders>
              <w:tl2br w:val="nil"/>
              <w:tr2bl w:val="nil"/>
            </w:tcBorders>
            <w:vAlign w:val="center"/>
          </w:tcPr>
          <w:p>
            <w:pPr>
              <w:pStyle w:val="51"/>
              <w:rPr>
                <w:szCs w:val="21"/>
                <w:u w:val="none"/>
              </w:rPr>
            </w:pPr>
            <w:r>
              <w:rPr>
                <w:szCs w:val="21"/>
                <w:u w:val="none"/>
              </w:rPr>
              <w:t>4</w:t>
            </w:r>
          </w:p>
        </w:tc>
        <w:tc>
          <w:tcPr>
            <w:tcW w:w="802"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3188" w:type="pct"/>
            <w:tcBorders>
              <w:tl2br w:val="nil"/>
              <w:tr2bl w:val="nil"/>
            </w:tcBorders>
            <w:vAlign w:val="center"/>
          </w:tcPr>
          <w:p>
            <w:pPr>
              <w:pStyle w:val="51"/>
              <w:rPr>
                <w:szCs w:val="21"/>
                <w:u w:val="none"/>
                <w:lang w:eastAsia="en-US"/>
              </w:rPr>
            </w:pPr>
            <w:r>
              <w:rPr>
                <w:szCs w:val="21"/>
                <w:u w:val="none"/>
              </w:rPr>
              <w:t>D150水泵</w:t>
            </w:r>
          </w:p>
        </w:tc>
        <w:tc>
          <w:tcPr>
            <w:tcW w:w="1009" w:type="pct"/>
            <w:tcBorders>
              <w:tl2br w:val="nil"/>
              <w:tr2bl w:val="nil"/>
            </w:tcBorders>
            <w:vAlign w:val="center"/>
          </w:tcPr>
          <w:p>
            <w:pPr>
              <w:pStyle w:val="51"/>
              <w:rPr>
                <w:szCs w:val="21"/>
                <w:u w:val="none"/>
              </w:rPr>
            </w:pPr>
            <w:r>
              <w:rPr>
                <w:szCs w:val="21"/>
                <w:u w:val="none"/>
              </w:rPr>
              <w:t>2</w:t>
            </w:r>
          </w:p>
        </w:tc>
        <w:tc>
          <w:tcPr>
            <w:tcW w:w="802"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3188" w:type="pct"/>
            <w:tcBorders>
              <w:tl2br w:val="nil"/>
              <w:tr2bl w:val="nil"/>
            </w:tcBorders>
            <w:vAlign w:val="center"/>
          </w:tcPr>
          <w:p>
            <w:pPr>
              <w:pStyle w:val="51"/>
              <w:rPr>
                <w:szCs w:val="21"/>
                <w:u w:val="none"/>
                <w:lang w:eastAsia="en-US"/>
              </w:rPr>
            </w:pPr>
            <w:r>
              <w:rPr>
                <w:szCs w:val="21"/>
                <w:u w:val="none"/>
              </w:rPr>
              <w:t>D80水泵</w:t>
            </w:r>
          </w:p>
        </w:tc>
        <w:tc>
          <w:tcPr>
            <w:tcW w:w="1009" w:type="pct"/>
            <w:tcBorders>
              <w:tl2br w:val="nil"/>
              <w:tr2bl w:val="nil"/>
            </w:tcBorders>
            <w:vAlign w:val="center"/>
          </w:tcPr>
          <w:p>
            <w:pPr>
              <w:pStyle w:val="51"/>
              <w:rPr>
                <w:szCs w:val="21"/>
                <w:u w:val="none"/>
              </w:rPr>
            </w:pPr>
            <w:r>
              <w:rPr>
                <w:szCs w:val="21"/>
                <w:u w:val="none"/>
              </w:rPr>
              <w:t>2</w:t>
            </w:r>
          </w:p>
        </w:tc>
        <w:tc>
          <w:tcPr>
            <w:tcW w:w="802"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3188" w:type="pct"/>
            <w:tcBorders>
              <w:tl2br w:val="nil"/>
              <w:tr2bl w:val="nil"/>
            </w:tcBorders>
            <w:vAlign w:val="center"/>
          </w:tcPr>
          <w:p>
            <w:pPr>
              <w:pStyle w:val="51"/>
              <w:rPr>
                <w:szCs w:val="21"/>
                <w:u w:val="none"/>
                <w:lang w:eastAsia="en-US"/>
              </w:rPr>
            </w:pPr>
            <w:r>
              <w:rPr>
                <w:szCs w:val="21"/>
                <w:u w:val="none"/>
              </w:rPr>
              <w:t>卡车YFC0.5(6)</w:t>
            </w:r>
          </w:p>
        </w:tc>
        <w:tc>
          <w:tcPr>
            <w:tcW w:w="1009" w:type="pct"/>
            <w:tcBorders>
              <w:tl2br w:val="nil"/>
              <w:tr2bl w:val="nil"/>
            </w:tcBorders>
            <w:vAlign w:val="center"/>
          </w:tcPr>
          <w:p>
            <w:pPr>
              <w:pStyle w:val="51"/>
              <w:rPr>
                <w:szCs w:val="21"/>
                <w:u w:val="none"/>
              </w:rPr>
            </w:pPr>
            <w:r>
              <w:rPr>
                <w:szCs w:val="21"/>
                <w:u w:val="none"/>
              </w:rPr>
              <w:t>10</w:t>
            </w:r>
          </w:p>
        </w:tc>
        <w:tc>
          <w:tcPr>
            <w:tcW w:w="802"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3188" w:type="pct"/>
            <w:tcBorders>
              <w:tl2br w:val="nil"/>
              <w:tr2bl w:val="nil"/>
            </w:tcBorders>
            <w:vAlign w:val="center"/>
          </w:tcPr>
          <w:p>
            <w:pPr>
              <w:pStyle w:val="51"/>
              <w:rPr>
                <w:szCs w:val="21"/>
                <w:u w:val="none"/>
                <w:lang w:eastAsia="en-US"/>
              </w:rPr>
            </w:pPr>
            <w:r>
              <w:rPr>
                <w:szCs w:val="21"/>
                <w:u w:val="none"/>
              </w:rPr>
              <w:t>YSP-45凿岩机</w:t>
            </w:r>
          </w:p>
        </w:tc>
        <w:tc>
          <w:tcPr>
            <w:tcW w:w="1009" w:type="pct"/>
            <w:tcBorders>
              <w:tl2br w:val="nil"/>
              <w:tr2bl w:val="nil"/>
            </w:tcBorders>
            <w:vAlign w:val="center"/>
          </w:tcPr>
          <w:p>
            <w:pPr>
              <w:pStyle w:val="51"/>
              <w:rPr>
                <w:szCs w:val="21"/>
                <w:u w:val="none"/>
              </w:rPr>
            </w:pPr>
            <w:r>
              <w:rPr>
                <w:szCs w:val="21"/>
                <w:u w:val="none"/>
              </w:rPr>
              <w:t>5</w:t>
            </w:r>
          </w:p>
        </w:tc>
        <w:tc>
          <w:tcPr>
            <w:tcW w:w="802"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3188" w:type="pct"/>
            <w:tcBorders>
              <w:tl2br w:val="nil"/>
              <w:tr2bl w:val="nil"/>
            </w:tcBorders>
            <w:vAlign w:val="center"/>
          </w:tcPr>
          <w:p>
            <w:pPr>
              <w:pStyle w:val="51"/>
              <w:rPr>
                <w:szCs w:val="21"/>
                <w:u w:val="none"/>
                <w:lang w:eastAsia="en-US"/>
              </w:rPr>
            </w:pPr>
            <w:r>
              <w:rPr>
                <w:szCs w:val="21"/>
                <w:u w:val="none"/>
              </w:rPr>
              <w:t>YT-27凿岩机</w:t>
            </w:r>
          </w:p>
        </w:tc>
        <w:tc>
          <w:tcPr>
            <w:tcW w:w="1009" w:type="pct"/>
            <w:tcBorders>
              <w:tl2br w:val="nil"/>
              <w:tr2bl w:val="nil"/>
            </w:tcBorders>
            <w:vAlign w:val="center"/>
          </w:tcPr>
          <w:p>
            <w:pPr>
              <w:pStyle w:val="51"/>
              <w:rPr>
                <w:szCs w:val="21"/>
                <w:u w:val="none"/>
              </w:rPr>
            </w:pPr>
            <w:r>
              <w:rPr>
                <w:szCs w:val="21"/>
                <w:u w:val="none"/>
              </w:rPr>
              <w:t>3</w:t>
            </w:r>
          </w:p>
        </w:tc>
        <w:tc>
          <w:tcPr>
            <w:tcW w:w="802"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3188" w:type="pct"/>
            <w:tcBorders>
              <w:tl2br w:val="nil"/>
              <w:tr2bl w:val="nil"/>
            </w:tcBorders>
            <w:vAlign w:val="center"/>
          </w:tcPr>
          <w:p>
            <w:pPr>
              <w:pStyle w:val="51"/>
              <w:rPr>
                <w:szCs w:val="21"/>
                <w:u w:val="none"/>
                <w:lang w:eastAsia="en-US"/>
              </w:rPr>
            </w:pPr>
            <w:r>
              <w:rPr>
                <w:szCs w:val="21"/>
                <w:u w:val="none"/>
              </w:rPr>
              <w:t>600×400颚式破碎机</w:t>
            </w:r>
          </w:p>
        </w:tc>
        <w:tc>
          <w:tcPr>
            <w:tcW w:w="1009" w:type="pct"/>
            <w:tcBorders>
              <w:tl2br w:val="nil"/>
              <w:tr2bl w:val="nil"/>
            </w:tcBorders>
            <w:vAlign w:val="center"/>
          </w:tcPr>
          <w:p>
            <w:pPr>
              <w:pStyle w:val="51"/>
              <w:rPr>
                <w:szCs w:val="21"/>
                <w:u w:val="none"/>
              </w:rPr>
            </w:pPr>
            <w:r>
              <w:rPr>
                <w:szCs w:val="21"/>
                <w:u w:val="none"/>
              </w:rPr>
              <w:t>3</w:t>
            </w:r>
          </w:p>
        </w:tc>
        <w:tc>
          <w:tcPr>
            <w:tcW w:w="802"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3188" w:type="pct"/>
            <w:tcBorders>
              <w:tl2br w:val="nil"/>
              <w:tr2bl w:val="nil"/>
            </w:tcBorders>
            <w:vAlign w:val="center"/>
          </w:tcPr>
          <w:p>
            <w:pPr>
              <w:pStyle w:val="51"/>
              <w:rPr>
                <w:szCs w:val="21"/>
                <w:u w:val="none"/>
                <w:lang w:eastAsia="en-US"/>
              </w:rPr>
            </w:pPr>
            <w:r>
              <w:rPr>
                <w:szCs w:val="21"/>
                <w:u w:val="none"/>
              </w:rPr>
              <w:t>150×400颚式破碎机</w:t>
            </w:r>
          </w:p>
        </w:tc>
        <w:tc>
          <w:tcPr>
            <w:tcW w:w="1009" w:type="pct"/>
            <w:tcBorders>
              <w:tl2br w:val="nil"/>
              <w:tr2bl w:val="nil"/>
            </w:tcBorders>
            <w:vAlign w:val="center"/>
          </w:tcPr>
          <w:p>
            <w:pPr>
              <w:pStyle w:val="51"/>
              <w:rPr>
                <w:szCs w:val="21"/>
                <w:u w:val="none"/>
              </w:rPr>
            </w:pPr>
            <w:r>
              <w:rPr>
                <w:szCs w:val="21"/>
                <w:u w:val="none"/>
              </w:rPr>
              <w:t>3</w:t>
            </w:r>
          </w:p>
        </w:tc>
        <w:tc>
          <w:tcPr>
            <w:tcW w:w="802"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3188" w:type="pct"/>
            <w:tcBorders>
              <w:tl2br w:val="nil"/>
              <w:tr2bl w:val="nil"/>
            </w:tcBorders>
            <w:vAlign w:val="center"/>
          </w:tcPr>
          <w:p>
            <w:pPr>
              <w:pStyle w:val="51"/>
              <w:rPr>
                <w:szCs w:val="21"/>
                <w:u w:val="none"/>
                <w:lang w:eastAsia="en-US"/>
              </w:rPr>
            </w:pPr>
            <w:r>
              <w:rPr>
                <w:szCs w:val="21"/>
                <w:u w:val="none"/>
              </w:rPr>
              <w:t>Φ700圆盘给料机</w:t>
            </w:r>
          </w:p>
        </w:tc>
        <w:tc>
          <w:tcPr>
            <w:tcW w:w="1009" w:type="pct"/>
            <w:tcBorders>
              <w:tl2br w:val="nil"/>
              <w:tr2bl w:val="nil"/>
            </w:tcBorders>
            <w:vAlign w:val="center"/>
          </w:tcPr>
          <w:p>
            <w:pPr>
              <w:pStyle w:val="51"/>
              <w:rPr>
                <w:szCs w:val="21"/>
                <w:u w:val="none"/>
              </w:rPr>
            </w:pPr>
            <w:r>
              <w:rPr>
                <w:szCs w:val="21"/>
                <w:u w:val="none"/>
              </w:rPr>
              <w:t>1</w:t>
            </w:r>
          </w:p>
        </w:tc>
        <w:tc>
          <w:tcPr>
            <w:tcW w:w="802"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3188" w:type="pct"/>
            <w:tcBorders>
              <w:tl2br w:val="nil"/>
              <w:tr2bl w:val="nil"/>
            </w:tcBorders>
            <w:vAlign w:val="center"/>
          </w:tcPr>
          <w:p>
            <w:pPr>
              <w:pStyle w:val="51"/>
              <w:rPr>
                <w:szCs w:val="21"/>
                <w:u w:val="none"/>
                <w:lang w:eastAsia="en-US"/>
              </w:rPr>
            </w:pPr>
            <w:r>
              <w:rPr>
                <w:szCs w:val="21"/>
                <w:u w:val="none"/>
              </w:rPr>
              <w:t>1500×3500球磨机</w:t>
            </w:r>
          </w:p>
        </w:tc>
        <w:tc>
          <w:tcPr>
            <w:tcW w:w="1009" w:type="pct"/>
            <w:tcBorders>
              <w:tl2br w:val="nil"/>
              <w:tr2bl w:val="nil"/>
            </w:tcBorders>
            <w:vAlign w:val="center"/>
          </w:tcPr>
          <w:p>
            <w:pPr>
              <w:pStyle w:val="51"/>
              <w:rPr>
                <w:szCs w:val="21"/>
                <w:u w:val="none"/>
              </w:rPr>
            </w:pPr>
            <w:r>
              <w:rPr>
                <w:szCs w:val="21"/>
                <w:u w:val="none"/>
              </w:rPr>
              <w:t>1</w:t>
            </w:r>
          </w:p>
        </w:tc>
        <w:tc>
          <w:tcPr>
            <w:tcW w:w="802"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3188" w:type="pct"/>
            <w:tcBorders>
              <w:tl2br w:val="nil"/>
              <w:tr2bl w:val="nil"/>
            </w:tcBorders>
            <w:vAlign w:val="center"/>
          </w:tcPr>
          <w:p>
            <w:pPr>
              <w:pStyle w:val="51"/>
              <w:rPr>
                <w:szCs w:val="21"/>
                <w:u w:val="none"/>
                <w:lang w:eastAsia="en-US"/>
              </w:rPr>
            </w:pPr>
            <w:r>
              <w:rPr>
                <w:szCs w:val="21"/>
                <w:u w:val="none"/>
              </w:rPr>
              <w:t>Φ750螺旋分级机</w:t>
            </w:r>
          </w:p>
        </w:tc>
        <w:tc>
          <w:tcPr>
            <w:tcW w:w="1009" w:type="pct"/>
            <w:tcBorders>
              <w:tl2br w:val="nil"/>
              <w:tr2bl w:val="nil"/>
            </w:tcBorders>
            <w:vAlign w:val="center"/>
          </w:tcPr>
          <w:p>
            <w:pPr>
              <w:pStyle w:val="51"/>
              <w:rPr>
                <w:szCs w:val="21"/>
                <w:u w:val="none"/>
              </w:rPr>
            </w:pPr>
            <w:r>
              <w:rPr>
                <w:szCs w:val="21"/>
                <w:u w:val="none"/>
              </w:rPr>
              <w:t>1</w:t>
            </w:r>
          </w:p>
        </w:tc>
        <w:tc>
          <w:tcPr>
            <w:tcW w:w="802"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3188" w:type="pct"/>
            <w:tcBorders>
              <w:tl2br w:val="nil"/>
              <w:tr2bl w:val="nil"/>
            </w:tcBorders>
            <w:vAlign w:val="center"/>
          </w:tcPr>
          <w:p>
            <w:pPr>
              <w:pStyle w:val="51"/>
              <w:rPr>
                <w:szCs w:val="21"/>
                <w:u w:val="none"/>
                <w:lang w:eastAsia="en-US"/>
              </w:rPr>
            </w:pPr>
            <w:r>
              <w:rPr>
                <w:szCs w:val="21"/>
                <w:u w:val="none"/>
              </w:rPr>
              <w:t>JX-6浮选机</w:t>
            </w:r>
          </w:p>
        </w:tc>
        <w:tc>
          <w:tcPr>
            <w:tcW w:w="1009" w:type="pct"/>
            <w:tcBorders>
              <w:tl2br w:val="nil"/>
              <w:tr2bl w:val="nil"/>
            </w:tcBorders>
            <w:vAlign w:val="center"/>
          </w:tcPr>
          <w:p>
            <w:pPr>
              <w:pStyle w:val="51"/>
              <w:rPr>
                <w:szCs w:val="21"/>
                <w:u w:val="none"/>
              </w:rPr>
            </w:pPr>
            <w:r>
              <w:rPr>
                <w:szCs w:val="21"/>
                <w:u w:val="none"/>
              </w:rPr>
              <w:t>11</w:t>
            </w:r>
          </w:p>
        </w:tc>
        <w:tc>
          <w:tcPr>
            <w:tcW w:w="802"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3188" w:type="pct"/>
            <w:tcBorders>
              <w:tl2br w:val="nil"/>
              <w:tr2bl w:val="nil"/>
            </w:tcBorders>
            <w:vAlign w:val="center"/>
          </w:tcPr>
          <w:p>
            <w:pPr>
              <w:pStyle w:val="51"/>
              <w:rPr>
                <w:szCs w:val="21"/>
                <w:u w:val="none"/>
                <w:lang w:eastAsia="en-US"/>
              </w:rPr>
            </w:pPr>
            <w:r>
              <w:rPr>
                <w:szCs w:val="21"/>
                <w:u w:val="none"/>
              </w:rPr>
              <w:t>25PNJ砂泵</w:t>
            </w:r>
          </w:p>
        </w:tc>
        <w:tc>
          <w:tcPr>
            <w:tcW w:w="1009" w:type="pct"/>
            <w:tcBorders>
              <w:tl2br w:val="nil"/>
              <w:tr2bl w:val="nil"/>
            </w:tcBorders>
            <w:vAlign w:val="center"/>
          </w:tcPr>
          <w:p>
            <w:pPr>
              <w:pStyle w:val="51"/>
              <w:rPr>
                <w:szCs w:val="21"/>
                <w:u w:val="none"/>
              </w:rPr>
            </w:pPr>
            <w:r>
              <w:rPr>
                <w:szCs w:val="21"/>
                <w:u w:val="none"/>
              </w:rPr>
              <w:t>2</w:t>
            </w:r>
          </w:p>
        </w:tc>
        <w:tc>
          <w:tcPr>
            <w:tcW w:w="802"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w:t>
            </w:r>
          </w:p>
        </w:tc>
      </w:tr>
    </w:tbl>
    <w:p>
      <w:pPr>
        <w:pStyle w:val="4"/>
        <w:spacing w:line="240" w:lineRule="auto"/>
        <w:jc w:val="both"/>
        <w:rPr>
          <w:szCs w:val="28"/>
          <w:u w:val="none"/>
        </w:rPr>
      </w:pPr>
      <w:r>
        <w:rPr>
          <w:rFonts w:hint="eastAsia"/>
          <w:szCs w:val="28"/>
          <w:u w:val="none"/>
        </w:rPr>
        <w:t>2.1.8工艺流程及排污环节</w:t>
      </w:r>
    </w:p>
    <w:p>
      <w:pPr>
        <w:ind w:firstLine="480"/>
        <w:rPr>
          <w:u w:val="none"/>
        </w:rPr>
      </w:pPr>
      <w:r>
        <w:rPr>
          <w:u w:val="none"/>
        </w:rPr>
        <w:t>项目工艺流程及产排污节点如下：</w:t>
      </w:r>
    </w:p>
    <w:p>
      <w:pPr>
        <w:spacing w:line="240" w:lineRule="auto"/>
        <w:ind w:firstLine="0" w:firstLineChars="0"/>
        <w:jc w:val="center"/>
        <w:rPr>
          <w:position w:val="-108"/>
          <w:u w:val="none"/>
        </w:rPr>
      </w:pPr>
      <w:r>
        <w:rPr>
          <w:position w:val="-108"/>
          <w:u w:val="none"/>
        </w:rPr>
        <w:drawing>
          <wp:inline distT="0" distB="0" distL="0" distR="0">
            <wp:extent cx="4714875" cy="3456940"/>
            <wp:effectExtent l="0" t="0" r="9525" b="10160"/>
            <wp:docPr id="2" name="IM 8"/>
            <wp:cNvGraphicFramePr/>
            <a:graphic xmlns:a="http://schemas.openxmlformats.org/drawingml/2006/main">
              <a:graphicData uri="http://schemas.openxmlformats.org/drawingml/2006/picture">
                <pic:pic xmlns:pic="http://schemas.openxmlformats.org/drawingml/2006/picture">
                  <pic:nvPicPr>
                    <pic:cNvPr id="2" name="IM 8"/>
                    <pic:cNvPicPr/>
                  </pic:nvPicPr>
                  <pic:blipFill>
                    <a:blip r:embed="rId17" cstate="email"/>
                    <a:stretch>
                      <a:fillRect/>
                    </a:stretch>
                  </pic:blipFill>
                  <pic:spPr>
                    <a:xfrm>
                      <a:off x="0" y="0"/>
                      <a:ext cx="4714875" cy="3457574"/>
                    </a:xfrm>
                    <a:prstGeom prst="rect">
                      <a:avLst/>
                    </a:prstGeom>
                  </pic:spPr>
                </pic:pic>
              </a:graphicData>
            </a:graphic>
          </wp:inline>
        </w:drawing>
      </w:r>
    </w:p>
    <w:p>
      <w:pPr>
        <w:spacing w:line="240" w:lineRule="auto"/>
        <w:ind w:firstLine="482"/>
        <w:jc w:val="center"/>
        <w:rPr>
          <w:b/>
          <w:bCs/>
          <w:u w:val="none"/>
        </w:rPr>
      </w:pPr>
      <w:r>
        <w:rPr>
          <w:rFonts w:hint="eastAsia"/>
          <w:b/>
          <w:bCs/>
          <w:u w:val="none"/>
        </w:rPr>
        <w:t>图2.1.8-1项目采矿工艺流程及产污节点图</w:t>
      </w:r>
    </w:p>
    <w:p>
      <w:pPr>
        <w:spacing w:line="240" w:lineRule="auto"/>
        <w:ind w:firstLine="0" w:firstLineChars="0"/>
        <w:jc w:val="center"/>
        <w:rPr>
          <w:rFonts w:ascii="仿宋" w:hAnsi="仿宋" w:eastAsia="仿宋" w:cs="仿宋"/>
          <w:spacing w:val="-1"/>
          <w:u w:val="none"/>
        </w:rPr>
      </w:pPr>
      <w:r>
        <w:rPr>
          <w:u w:val="none"/>
        </w:rPr>
        <w:drawing>
          <wp:inline distT="0" distB="0" distL="114300" distR="114300">
            <wp:extent cx="4838700" cy="6581775"/>
            <wp:effectExtent l="0" t="0" r="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8" cstate="email"/>
                    <a:stretch>
                      <a:fillRect/>
                    </a:stretch>
                  </pic:blipFill>
                  <pic:spPr>
                    <a:xfrm>
                      <a:off x="0" y="0"/>
                      <a:ext cx="4838700" cy="6581775"/>
                    </a:xfrm>
                    <a:prstGeom prst="rect">
                      <a:avLst/>
                    </a:prstGeom>
                    <a:noFill/>
                    <a:ln>
                      <a:noFill/>
                    </a:ln>
                  </pic:spPr>
                </pic:pic>
              </a:graphicData>
            </a:graphic>
          </wp:inline>
        </w:drawing>
      </w:r>
    </w:p>
    <w:p>
      <w:pPr>
        <w:spacing w:line="240" w:lineRule="auto"/>
        <w:ind w:firstLine="482"/>
        <w:jc w:val="center"/>
        <w:rPr>
          <w:b/>
          <w:bCs/>
          <w:u w:val="none"/>
        </w:rPr>
      </w:pPr>
      <w:r>
        <w:rPr>
          <w:rFonts w:hint="eastAsia"/>
          <w:b/>
          <w:bCs/>
          <w:u w:val="none"/>
        </w:rPr>
        <w:t>图2.1.8-2项目选矿工艺流程及产污节点图</w:t>
      </w:r>
    </w:p>
    <w:p>
      <w:pPr>
        <w:pStyle w:val="4"/>
        <w:rPr>
          <w:u w:val="none"/>
        </w:rPr>
      </w:pPr>
      <w:r>
        <w:rPr>
          <w:rFonts w:hint="eastAsia"/>
          <w:u w:val="none"/>
        </w:rPr>
        <w:t>2.1.9</w:t>
      </w:r>
      <w:r>
        <w:rPr>
          <w:u w:val="none"/>
        </w:rPr>
        <w:t>给水</w:t>
      </w:r>
    </w:p>
    <w:p>
      <w:pPr>
        <w:ind w:firstLine="480"/>
        <w:rPr>
          <w:u w:val="none"/>
        </w:rPr>
      </w:pPr>
      <w:r>
        <w:rPr>
          <w:u w:val="none"/>
        </w:rPr>
        <w:t>本项目用水为职工生活用水、采矿和选矿生产用水。企业生产用水主要来自矿井涌水，生活用水取自当地</w:t>
      </w:r>
      <w:r>
        <w:rPr>
          <w:rFonts w:hint="eastAsia"/>
          <w:u w:val="none"/>
        </w:rPr>
        <w:t>乡镇自来</w:t>
      </w:r>
      <w:r>
        <w:rPr>
          <w:u w:val="none"/>
        </w:rPr>
        <w:t>水。</w:t>
      </w:r>
    </w:p>
    <w:p>
      <w:pPr>
        <w:pStyle w:val="4"/>
        <w:rPr>
          <w:u w:val="none"/>
        </w:rPr>
      </w:pPr>
      <w:bookmarkStart w:id="27" w:name="OLE_LINK4"/>
      <w:bookmarkStart w:id="28" w:name="OLE_LINK5"/>
      <w:r>
        <w:rPr>
          <w:rFonts w:hint="eastAsia"/>
          <w:u w:val="none"/>
        </w:rPr>
        <w:t>2.1.10排水</w:t>
      </w:r>
    </w:p>
    <w:p>
      <w:pPr>
        <w:ind w:firstLine="480"/>
        <w:rPr>
          <w:u w:val="none"/>
        </w:rPr>
      </w:pPr>
      <w:r>
        <w:rPr>
          <w:rFonts w:hint="eastAsia"/>
          <w:u w:val="none"/>
        </w:rPr>
        <w:t>（1）</w:t>
      </w:r>
      <w:r>
        <w:rPr>
          <w:u w:val="none"/>
        </w:rPr>
        <w:t>矿山排水方案</w:t>
      </w:r>
    </w:p>
    <w:p>
      <w:pPr>
        <w:ind w:firstLine="480"/>
        <w:rPr>
          <w:u w:val="none"/>
        </w:rPr>
      </w:pPr>
      <w:r>
        <w:rPr>
          <w:u w:val="none"/>
        </w:rPr>
        <w:t>矿区水文地质条件属简单类型；现己采用三级接力机械排水方式；沿用三级接力机械排水方式，利用主斜井、盲斜井井底设置的水仓和水泵房；具体排水线路如下：矿井+30m、-20m中段涌水汇入主斜井井底-20m中段水仓，经水泵排至地面选厂中心水池；-50m、-80m中段涌水汇入主斜井井底-80m中段水仓，经水泵排至地面选厂中心水池；-115m、-150m中段涌水汇入盲斜井井底-150m中段水仓，经水泵排至-80m中段水仓后再经水泵排至地面选厂中心水池；地面选厂中心水池的矿坑废水作为井下打钻、防尘及选矿用水，多余部分</w:t>
      </w:r>
      <w:r>
        <w:rPr>
          <w:rFonts w:hint="eastAsia"/>
          <w:u w:val="none"/>
          <w:lang w:val="en-US" w:eastAsia="zh-CN"/>
        </w:rPr>
        <w:t>经</w:t>
      </w:r>
      <w:r>
        <w:rPr>
          <w:rFonts w:hint="eastAsia"/>
          <w:u w:val="none"/>
        </w:rPr>
        <w:t>废水处理站处理后</w:t>
      </w:r>
      <w:r>
        <w:rPr>
          <w:u w:val="none"/>
        </w:rPr>
        <w:t>达标外排。</w:t>
      </w:r>
    </w:p>
    <w:p>
      <w:pPr>
        <w:ind w:firstLine="480"/>
        <w:rPr>
          <w:u w:val="none"/>
        </w:rPr>
      </w:pPr>
      <w:r>
        <w:rPr>
          <w:rFonts w:hint="eastAsia"/>
          <w:u w:val="none"/>
        </w:rPr>
        <w:t>（2）选厂排水</w:t>
      </w:r>
    </w:p>
    <w:p>
      <w:pPr>
        <w:ind w:firstLine="480"/>
        <w:rPr>
          <w:u w:val="none"/>
        </w:rPr>
      </w:pPr>
      <w:r>
        <w:rPr>
          <w:rFonts w:hint="eastAsia"/>
          <w:u w:val="none"/>
        </w:rPr>
        <w:t>非雨季，选厂选矿废水经沉淀池收集后进入废水处理站处理后大部分回用，少部分外排；雨季，选厂选矿废水经沉淀池收集后进入废水处理站处理后部分回用，多余废水经排水渠排入资江。</w:t>
      </w:r>
    </w:p>
    <w:p>
      <w:pPr>
        <w:ind w:firstLine="480"/>
        <w:rPr>
          <w:u w:val="none"/>
        </w:rPr>
      </w:pPr>
      <w:r>
        <w:rPr>
          <w:rFonts w:hint="eastAsia"/>
          <w:u w:val="none"/>
        </w:rPr>
        <w:t>（3）生活污水</w:t>
      </w:r>
    </w:p>
    <w:p>
      <w:pPr>
        <w:ind w:firstLine="480"/>
        <w:rPr>
          <w:u w:val="none"/>
        </w:rPr>
      </w:pPr>
      <w:r>
        <w:rPr>
          <w:rFonts w:hint="eastAsia"/>
          <w:u w:val="none"/>
        </w:rPr>
        <w:t>项目食堂废水经隔油池预处理后与生活污水一起经由化粪池+一体化设施+人工湿地处理系统处理后回用</w:t>
      </w:r>
      <w:r>
        <w:rPr>
          <w:rFonts w:hint="eastAsia"/>
          <w:u w:val="none"/>
          <w:lang w:val="en-US" w:eastAsia="zh-CN"/>
        </w:rPr>
        <w:t>于矿区绿化用水</w:t>
      </w:r>
      <w:r>
        <w:rPr>
          <w:rFonts w:hint="eastAsia"/>
          <w:u w:val="none"/>
        </w:rPr>
        <w:t>。</w:t>
      </w:r>
    </w:p>
    <w:p>
      <w:pPr>
        <w:pStyle w:val="4"/>
        <w:rPr>
          <w:u w:val="none"/>
        </w:rPr>
      </w:pPr>
      <w:r>
        <w:rPr>
          <w:rFonts w:hint="eastAsia"/>
          <w:u w:val="none"/>
        </w:rPr>
        <w:t>2.1.11项目水平衡</w:t>
      </w:r>
    </w:p>
    <w:p>
      <w:pPr>
        <w:ind w:firstLine="480"/>
        <w:rPr>
          <w:u w:val="none"/>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AndChars" w:linePitch="332" w:charSpace="0"/>
        </w:sectPr>
      </w:pPr>
      <w:r>
        <w:rPr>
          <w:u w:val="none"/>
        </w:rPr>
        <w:t>项目水平衡见图</w:t>
      </w:r>
      <w:r>
        <w:rPr>
          <w:rFonts w:hint="eastAsia"/>
          <w:u w:val="none"/>
        </w:rPr>
        <w:t>2.1.11-1</w:t>
      </w:r>
      <w:r>
        <w:rPr>
          <w:u w:val="none"/>
        </w:rPr>
        <w:t>和</w:t>
      </w:r>
      <w:r>
        <w:rPr>
          <w:rFonts w:hint="eastAsia"/>
          <w:u w:val="none"/>
        </w:rPr>
        <w:t>2.1.11-2</w:t>
      </w:r>
      <w:r>
        <w:rPr>
          <w:u w:val="none"/>
        </w:rPr>
        <w:t>。</w:t>
      </w:r>
    </w:p>
    <w:p>
      <w:pPr>
        <w:ind w:firstLine="480"/>
        <w:rPr>
          <w:color w:val="000000" w:themeColor="text1"/>
          <w:u w:val="none"/>
        </w:rPr>
      </w:pPr>
      <w:r>
        <w:rPr>
          <w:color w:val="000000" w:themeColor="text1"/>
          <w:u w:val="none"/>
        </w:rPr>
        <w:drawing>
          <wp:inline distT="0" distB="0" distL="0" distR="0">
            <wp:extent cx="8842375" cy="4337685"/>
            <wp:effectExtent l="0" t="0" r="15875" b="5715"/>
            <wp:docPr id="14" name="图片 1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示&#10;&#10;描述已自动生成"/>
                    <pic:cNvPicPr>
                      <a:picLocks noChangeAspect="1"/>
                    </pic:cNvPicPr>
                  </pic:nvPicPr>
                  <pic:blipFill>
                    <a:blip r:embed="rId19" cstate="email"/>
                    <a:stretch>
                      <a:fillRect/>
                    </a:stretch>
                  </pic:blipFill>
                  <pic:spPr>
                    <a:xfrm>
                      <a:off x="0" y="0"/>
                      <a:ext cx="8842375" cy="4337685"/>
                    </a:xfrm>
                    <a:prstGeom prst="rect">
                      <a:avLst/>
                    </a:prstGeom>
                  </pic:spPr>
                </pic:pic>
              </a:graphicData>
            </a:graphic>
          </wp:inline>
        </w:drawing>
      </w:r>
    </w:p>
    <w:p>
      <w:pPr>
        <w:ind w:firstLine="480"/>
        <w:rPr>
          <w:color w:val="000000" w:themeColor="text1"/>
          <w:u w:val="none"/>
        </w:rPr>
      </w:pPr>
    </w:p>
    <w:p>
      <w:pPr>
        <w:spacing w:line="240" w:lineRule="auto"/>
        <w:ind w:firstLine="482"/>
        <w:jc w:val="center"/>
        <w:rPr>
          <w:b/>
          <w:bCs/>
          <w:u w:val="none"/>
        </w:rPr>
        <w:sectPr>
          <w:pgSz w:w="16838" w:h="11906" w:orient="landscape"/>
          <w:pgMar w:top="1418" w:right="1440" w:bottom="1418" w:left="1440" w:header="851" w:footer="992" w:gutter="0"/>
          <w:pgBorders>
            <w:top w:val="none" w:sz="0" w:space="0"/>
            <w:left w:val="none" w:sz="0" w:space="0"/>
            <w:bottom w:val="none" w:sz="0" w:space="0"/>
            <w:right w:val="none" w:sz="0" w:space="0"/>
          </w:pgBorders>
          <w:pgNumType w:fmt="decimal"/>
          <w:cols w:space="720" w:num="1"/>
          <w:docGrid w:type="linesAndChars" w:linePitch="332" w:charSpace="0"/>
        </w:sectPr>
      </w:pPr>
      <w:r>
        <w:rPr>
          <w:rFonts w:hint="eastAsia"/>
          <w:b/>
          <w:bCs/>
          <w:u w:val="none"/>
        </w:rPr>
        <w:t>图4.1.11-1项目水平衡图(旱季)</w:t>
      </w:r>
    </w:p>
    <w:p>
      <w:pPr>
        <w:spacing w:line="240" w:lineRule="auto"/>
        <w:ind w:firstLine="480"/>
        <w:jc w:val="center"/>
        <w:rPr>
          <w:b/>
          <w:bCs/>
          <w:u w:val="none"/>
        </w:rPr>
        <w:sectPr>
          <w:pgSz w:w="16838" w:h="11906" w:orient="landscape"/>
          <w:pgMar w:top="1418" w:right="1440" w:bottom="1418" w:left="1440" w:header="851" w:footer="992" w:gutter="0"/>
          <w:pgBorders>
            <w:top w:val="none" w:sz="0" w:space="0"/>
            <w:left w:val="none" w:sz="0" w:space="0"/>
            <w:bottom w:val="none" w:sz="0" w:space="0"/>
            <w:right w:val="none" w:sz="0" w:space="0"/>
          </w:pgBorders>
          <w:pgNumType w:fmt="decimal"/>
          <w:cols w:space="720" w:num="1"/>
          <w:docGrid w:type="linesAndChars" w:linePitch="332" w:charSpace="0"/>
        </w:sectPr>
      </w:pPr>
      <w:r>
        <w:rPr>
          <w:color w:val="000000" w:themeColor="text1"/>
          <w:u w:val="none"/>
        </w:rPr>
        <w:drawing>
          <wp:inline distT="0" distB="0" distL="0" distR="0">
            <wp:extent cx="8842375" cy="4337685"/>
            <wp:effectExtent l="0" t="0" r="15875" b="5715"/>
            <wp:docPr id="50" name="图片 5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示&#10;&#10;描述已自动生成"/>
                    <pic:cNvPicPr>
                      <a:picLocks noChangeAspect="1"/>
                    </pic:cNvPicPr>
                  </pic:nvPicPr>
                  <pic:blipFill>
                    <a:blip r:embed="rId20" cstate="email"/>
                    <a:stretch>
                      <a:fillRect/>
                    </a:stretch>
                  </pic:blipFill>
                  <pic:spPr>
                    <a:xfrm>
                      <a:off x="0" y="0"/>
                      <a:ext cx="8842375" cy="4337685"/>
                    </a:xfrm>
                    <a:prstGeom prst="rect">
                      <a:avLst/>
                    </a:prstGeom>
                  </pic:spPr>
                </pic:pic>
              </a:graphicData>
            </a:graphic>
          </wp:inline>
        </w:drawing>
      </w:r>
      <w:r>
        <w:rPr>
          <w:rFonts w:hint="eastAsia"/>
          <w:b/>
          <w:bCs/>
          <w:u w:val="none"/>
        </w:rPr>
        <w:t>图4.1.11-2项目水平衡图(雨季)</w:t>
      </w:r>
    </w:p>
    <w:p>
      <w:pPr>
        <w:pStyle w:val="4"/>
        <w:rPr>
          <w:u w:val="none"/>
        </w:rPr>
      </w:pPr>
      <w:r>
        <w:rPr>
          <w:rFonts w:hint="eastAsia"/>
          <w:u w:val="none"/>
        </w:rPr>
        <w:t>2.1.12污水处理设施</w:t>
      </w:r>
    </w:p>
    <w:p>
      <w:pPr>
        <w:ind w:firstLine="480"/>
        <w:rPr>
          <w:u w:val="none"/>
        </w:rPr>
      </w:pPr>
      <w:r>
        <w:rPr>
          <w:u w:val="none"/>
        </w:rPr>
        <w:t>项目废水主要有矿井涌水、选矿废水、废石堆场淋滤水、尾矿库废水、生活污水等。</w:t>
      </w:r>
    </w:p>
    <w:p>
      <w:pPr>
        <w:ind w:firstLine="480"/>
        <w:rPr>
          <w:u w:val="none"/>
        </w:rPr>
      </w:pPr>
      <w:r>
        <w:rPr>
          <w:u w:val="none"/>
        </w:rPr>
        <w:t>（1）生产废水处理措施</w:t>
      </w:r>
    </w:p>
    <w:p>
      <w:pPr>
        <w:ind w:firstLine="480"/>
        <w:rPr>
          <w:u w:val="none"/>
        </w:rPr>
      </w:pPr>
      <w:r>
        <w:rPr>
          <w:u w:val="none"/>
        </w:rPr>
        <w:t>项目营运期废水包括井坑涌水、废石堆场淋滤水、尾矿库废水和生活污水等。项目井坑涌水、废石堆场淋滤水、尾矿库废水等生产废水均经收集后经废水处理站处理后进入回用池，正常情况下回用于选矿生产、采矿生产，</w:t>
      </w:r>
      <w:r>
        <w:rPr>
          <w:rFonts w:hint="eastAsia"/>
          <w:u w:val="none"/>
        </w:rPr>
        <w:t>少量</w:t>
      </w:r>
      <w:r>
        <w:rPr>
          <w:u w:val="none"/>
        </w:rPr>
        <w:t>外排。</w:t>
      </w:r>
      <w:r>
        <w:rPr>
          <w:rFonts w:hint="eastAsia"/>
          <w:u w:val="none"/>
        </w:rPr>
        <w:t>雨季</w:t>
      </w:r>
      <w:r>
        <w:rPr>
          <w:u w:val="none"/>
        </w:rPr>
        <w:t>，经处理后的多余废水通过</w:t>
      </w:r>
      <w:r>
        <w:rPr>
          <w:rFonts w:hint="eastAsia"/>
          <w:u w:val="none"/>
        </w:rPr>
        <w:t>专用</w:t>
      </w:r>
      <w:r>
        <w:rPr>
          <w:u w:val="none"/>
        </w:rPr>
        <w:t>排水渠排入资江。</w:t>
      </w:r>
    </w:p>
    <w:p>
      <w:pPr>
        <w:ind w:firstLine="480"/>
        <w:rPr>
          <w:u w:val="none"/>
        </w:rPr>
      </w:pPr>
      <w:r>
        <w:rPr>
          <w:u w:val="none"/>
        </w:rPr>
        <w:t>污水处理站处理规模为1200m</w:t>
      </w:r>
      <w:r>
        <w:rPr>
          <w:u w:val="none"/>
          <w:vertAlign w:val="superscript"/>
        </w:rPr>
        <w:t>3</w:t>
      </w:r>
      <w:r>
        <w:rPr>
          <w:u w:val="none"/>
        </w:rPr>
        <w:t>/d，</w:t>
      </w:r>
      <w:r>
        <w:rPr>
          <w:rFonts w:hint="eastAsia"/>
          <w:u w:val="none"/>
        </w:rPr>
        <w:t>设计采用</w:t>
      </w:r>
      <w:r>
        <w:rPr>
          <w:u w:val="none"/>
        </w:rPr>
        <w:t>絮凝沉淀工艺</w:t>
      </w:r>
      <w:r>
        <w:rPr>
          <w:rFonts w:hint="eastAsia"/>
          <w:u w:val="none"/>
        </w:rPr>
        <w:t>，废水处理工艺流程图如下：</w:t>
      </w:r>
    </w:p>
    <w:p>
      <w:pPr>
        <w:pStyle w:val="51"/>
        <w:rPr>
          <w:color w:val="000000" w:themeColor="text1"/>
          <w:u w:val="none"/>
        </w:rPr>
      </w:pPr>
      <w:r>
        <w:rPr>
          <w:color w:val="000000" w:themeColor="text1"/>
          <w:u w:val="none"/>
        </w:rPr>
        <w:drawing>
          <wp:inline distT="0" distB="0" distL="0" distR="0">
            <wp:extent cx="5543550" cy="2294255"/>
            <wp:effectExtent l="0" t="0" r="0" b="10795"/>
            <wp:docPr id="51" name="图片 5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示&#10;&#10;描述已自动生成"/>
                    <pic:cNvPicPr>
                      <a:picLocks noChangeAspect="1"/>
                    </pic:cNvPicPr>
                  </pic:nvPicPr>
                  <pic:blipFill>
                    <a:blip r:embed="rId21" cstate="email"/>
                    <a:stretch>
                      <a:fillRect/>
                    </a:stretch>
                  </pic:blipFill>
                  <pic:spPr>
                    <a:xfrm>
                      <a:off x="0" y="0"/>
                      <a:ext cx="5543550" cy="2294255"/>
                    </a:xfrm>
                    <a:prstGeom prst="rect">
                      <a:avLst/>
                    </a:prstGeom>
                  </pic:spPr>
                </pic:pic>
              </a:graphicData>
            </a:graphic>
          </wp:inline>
        </w:drawing>
      </w:r>
    </w:p>
    <w:p>
      <w:pPr>
        <w:pStyle w:val="102"/>
        <w:rPr>
          <w:rFonts w:ascii="Times New Roman" w:hAnsi="Times New Roman" w:eastAsia="宋体"/>
          <w:b/>
          <w:bCs/>
          <w:kern w:val="0"/>
          <w:sz w:val="24"/>
          <w:szCs w:val="21"/>
          <w:u w:val="none"/>
        </w:rPr>
      </w:pPr>
      <w:r>
        <w:rPr>
          <w:rFonts w:hint="eastAsia" w:ascii="Times New Roman" w:hAnsi="Times New Roman" w:eastAsia="宋体"/>
          <w:b/>
          <w:bCs/>
          <w:kern w:val="0"/>
          <w:sz w:val="24"/>
          <w:szCs w:val="21"/>
          <w:u w:val="none"/>
        </w:rPr>
        <w:t>图2.1.12-1废水处理工艺流程图</w:t>
      </w:r>
    </w:p>
    <w:p>
      <w:pPr>
        <w:ind w:firstLine="480"/>
        <w:rPr>
          <w:u w:val="none"/>
        </w:rPr>
      </w:pPr>
      <w:r>
        <w:rPr>
          <w:u w:val="none"/>
        </w:rPr>
        <w:t>项目污水处理系统采用铁盐、PAC、PAM等混凝剂去</w:t>
      </w:r>
      <w:r>
        <w:rPr>
          <w:rFonts w:hint="eastAsia"/>
          <w:u w:val="none"/>
          <w:lang w:val="en-US" w:eastAsia="zh-CN"/>
        </w:rPr>
        <w:t>除</w:t>
      </w:r>
      <w:r>
        <w:rPr>
          <w:u w:val="none"/>
        </w:rPr>
        <w:t>废水中重金属离子</w:t>
      </w:r>
      <w:r>
        <w:rPr>
          <w:rFonts w:hint="eastAsia"/>
          <w:u w:val="none"/>
        </w:rPr>
        <w:t>(为确保一类污染物车间排放口达标，选矿废水与井下涌水等废水应分别设置絮凝沉淀系统，一类污染物处理达标后的两股废水方可汇合，回用或达标排放</w:t>
      </w:r>
      <w:r>
        <w:rPr>
          <w:u w:val="none"/>
        </w:rPr>
        <w:t>)。铁盐中和絮凝沉淀法是目前处理含重金属废水普遍使用的方法。借助加入的PAM和Fe</w:t>
      </w:r>
      <w:r>
        <w:rPr>
          <w:u w:val="none"/>
          <w:vertAlign w:val="superscript"/>
        </w:rPr>
        <w:t>3+</w:t>
      </w:r>
      <w:r>
        <w:rPr>
          <w:u w:val="none"/>
        </w:rPr>
        <w:t>、Al</w:t>
      </w:r>
      <w:r>
        <w:rPr>
          <w:u w:val="none"/>
          <w:vertAlign w:val="superscript"/>
        </w:rPr>
        <w:t>3+</w:t>
      </w:r>
      <w:r>
        <w:rPr>
          <w:u w:val="none"/>
        </w:rPr>
        <w:t>等离子，并用碱(氢氧化钠或氢氧化钙)调到适当的pH，使其水解形成氢氧化物胶体，这些氢氧化物胶体能把沉淀下来的重金属及其它杂质吸附在表面，在水中电解质的作用下，氢氧化物胶体相互碰撞凝聚，并将其表面以砷化物为主的吸附物包裹在凝聚体内，形成绒状凝胶下沉，最终达到去除砷和其余重金属离子的目的。</w:t>
      </w:r>
    </w:p>
    <w:p>
      <w:pPr>
        <w:ind w:firstLine="480"/>
        <w:rPr>
          <w:u w:val="none"/>
        </w:rPr>
      </w:pPr>
      <w:r>
        <w:rPr>
          <w:u w:val="none"/>
        </w:rPr>
        <w:t>污水处理系统主要设有沉淀池、混凝反应池、平流沉淀池、吸附过滤器、加药设施以及污泥输送系统等相关设施。废水先后进入pH调节池、PAM混凝反应池，废水中的悬浮物和含砷重金属与药剂反应生成絮凝状污泥，然后再进入沉淀池进行泥水分离</w:t>
      </w:r>
      <w:r>
        <w:rPr>
          <w:rFonts w:hint="eastAsia"/>
          <w:u w:val="none"/>
        </w:rPr>
        <w:t>。经污水处理站</w:t>
      </w:r>
      <w:r>
        <w:rPr>
          <w:u w:val="none"/>
        </w:rPr>
        <w:t>处理后</w:t>
      </w:r>
      <w:r>
        <w:rPr>
          <w:rFonts w:hint="eastAsia"/>
          <w:u w:val="none"/>
        </w:rPr>
        <w:t>外排的废水</w:t>
      </w:r>
      <w:r>
        <w:rPr>
          <w:u w:val="none"/>
        </w:rPr>
        <w:t>污染物浓度</w:t>
      </w:r>
      <w:r>
        <w:rPr>
          <w:rFonts w:hint="eastAsia"/>
          <w:u w:val="none"/>
        </w:rPr>
        <w:t>满足排放标准要求</w:t>
      </w:r>
      <w:r>
        <w:rPr>
          <w:u w:val="none"/>
        </w:rPr>
        <w:t>。</w:t>
      </w:r>
    </w:p>
    <w:p>
      <w:pPr>
        <w:ind w:firstLine="480"/>
        <w:rPr>
          <w:u w:val="none"/>
        </w:rPr>
      </w:pPr>
      <w:r>
        <w:rPr>
          <w:rFonts w:hint="eastAsia"/>
          <w:u w:val="none"/>
        </w:rPr>
        <w:t>（2）</w:t>
      </w:r>
      <w:r>
        <w:rPr>
          <w:u w:val="none"/>
        </w:rPr>
        <w:t>生活污水处理设施</w:t>
      </w:r>
    </w:p>
    <w:p>
      <w:pPr>
        <w:ind w:firstLine="480"/>
        <w:rPr>
          <w:rFonts w:eastAsia="仿宋"/>
          <w:color w:val="000000" w:themeColor="text1"/>
          <w:sz w:val="28"/>
          <w:szCs w:val="23"/>
          <w:u w:val="none"/>
        </w:rPr>
      </w:pPr>
      <w:r>
        <w:rPr>
          <w:u w:val="none"/>
        </w:rPr>
        <w:t>生活污水主要污染物为COD和NH</w:t>
      </w:r>
      <w:r>
        <w:rPr>
          <w:u w:val="none"/>
          <w:vertAlign w:val="subscript"/>
        </w:rPr>
        <w:t>3</w:t>
      </w:r>
      <w:r>
        <w:rPr>
          <w:u w:val="none"/>
        </w:rPr>
        <w:t>-N，食堂废水经隔油池预处理后与生活污水一起经由化粪池+一体化设施+人工湿地处理系统处理后</w:t>
      </w:r>
      <w:r>
        <w:rPr>
          <w:rFonts w:hint="eastAsia"/>
          <w:u w:val="none"/>
        </w:rPr>
        <w:t>回用</w:t>
      </w:r>
      <w:r>
        <w:rPr>
          <w:rFonts w:hint="eastAsia"/>
          <w:u w:val="none"/>
          <w:lang w:val="en-US" w:eastAsia="zh-CN"/>
        </w:rPr>
        <w:t>于矿区绿化用水</w:t>
      </w:r>
      <w:r>
        <w:rPr>
          <w:u w:val="none"/>
        </w:rPr>
        <w:t>。</w:t>
      </w:r>
    </w:p>
    <w:p>
      <w:pPr>
        <w:pStyle w:val="4"/>
        <w:rPr>
          <w:u w:val="none"/>
        </w:rPr>
      </w:pPr>
      <w:r>
        <w:rPr>
          <w:rFonts w:hint="eastAsia"/>
          <w:u w:val="none"/>
        </w:rPr>
        <w:t>2.1.</w:t>
      </w:r>
      <w:bookmarkStart w:id="29" w:name="_Toc137057864"/>
      <w:bookmarkStart w:id="30" w:name="_Toc137058128"/>
      <w:r>
        <w:rPr>
          <w:rFonts w:hint="eastAsia"/>
          <w:u w:val="none"/>
        </w:rPr>
        <w:t>13废水产生与排放情况</w:t>
      </w:r>
      <w:bookmarkEnd w:id="29"/>
      <w:bookmarkEnd w:id="30"/>
    </w:p>
    <w:p>
      <w:pPr>
        <w:numPr>
          <w:ilvl w:val="0"/>
          <w:numId w:val="0"/>
        </w:numPr>
        <w:ind w:firstLine="480" w:firstLineChars="200"/>
        <w:rPr>
          <w:rFonts w:hint="eastAsia"/>
          <w:u w:val="none"/>
        </w:rPr>
      </w:pPr>
      <w:r>
        <w:rPr>
          <w:rFonts w:hint="eastAsia" w:ascii="Times New Roman" w:hAnsi="Times New Roman" w:eastAsia="宋体" w:cs="Times New Roman"/>
          <w:sz w:val="24"/>
          <w:szCs w:val="24"/>
          <w:lang w:val="en-US" w:eastAsia="zh-CN" w:bidi="ar-SA"/>
        </w:rPr>
        <w:t>（1）</w:t>
      </w:r>
      <w:r>
        <w:rPr>
          <w:rFonts w:hint="eastAsia"/>
          <w:u w:val="none"/>
        </w:rPr>
        <w:t>旱季废水产生与排放情况</w:t>
      </w:r>
    </w:p>
    <w:p>
      <w:pPr>
        <w:ind w:firstLine="480"/>
        <w:rPr>
          <w:u w:val="none"/>
        </w:rPr>
      </w:pPr>
      <w:r>
        <w:rPr>
          <w:rFonts w:hint="eastAsia"/>
          <w:u w:val="none"/>
        </w:rPr>
        <w:t>①</w:t>
      </w:r>
      <w:r>
        <w:rPr>
          <w:u w:val="none"/>
        </w:rPr>
        <w:t>井坑涌水</w:t>
      </w:r>
    </w:p>
    <w:p>
      <w:pPr>
        <w:bidi w:val="0"/>
        <w:rPr>
          <w:rFonts w:hint="default"/>
          <w:lang w:val="en-US" w:eastAsia="zh-CN"/>
        </w:rPr>
      </w:pPr>
      <w:r>
        <w:rPr>
          <w:rFonts w:hint="eastAsia"/>
        </w:rPr>
        <w:t>根据项目运行统计数据，</w:t>
      </w:r>
      <w:r>
        <w:t>采矿区</w:t>
      </w:r>
      <w:r>
        <w:rPr>
          <w:rFonts w:hint="eastAsia"/>
        </w:rPr>
        <w:t>旱</w:t>
      </w:r>
      <w:r>
        <w:t>井坑</w:t>
      </w:r>
      <w:r>
        <w:rPr>
          <w:rFonts w:hint="eastAsia"/>
        </w:rPr>
        <w:t>季</w:t>
      </w:r>
      <w:r>
        <w:t>涌水量</w:t>
      </w:r>
      <w:r>
        <w:rPr>
          <w:rFonts w:hint="eastAsia"/>
        </w:rPr>
        <w:t>约</w:t>
      </w:r>
      <w:r>
        <w:rPr>
          <w:rFonts w:hint="eastAsia"/>
          <w:lang w:val="en-US" w:eastAsia="zh-CN"/>
        </w:rPr>
        <w:t>200</w:t>
      </w:r>
      <w:r>
        <w:t>m</w:t>
      </w:r>
      <w:r>
        <w:rPr>
          <w:vertAlign w:val="superscript"/>
        </w:rPr>
        <w:t>3</w:t>
      </w:r>
      <w:r>
        <w:t>/d</w:t>
      </w:r>
      <w:r>
        <w:rPr>
          <w:rFonts w:hint="eastAsia"/>
          <w:lang w:eastAsia="zh-CN"/>
        </w:rPr>
        <w:t>，</w:t>
      </w:r>
      <w:r>
        <w:t>井坑涌水经三级沉淀池加药(硫酸亚铁、PAC、PAM)沉淀后进入回用水池</w:t>
      </w:r>
      <w:r>
        <w:rPr>
          <w:rFonts w:hint="eastAsia"/>
          <w:lang w:val="en-US" w:eastAsia="zh-CN"/>
        </w:rPr>
        <w:t>约8</w:t>
      </w:r>
      <w:r>
        <w:t>m</w:t>
      </w:r>
      <w:r>
        <w:rPr>
          <w:vertAlign w:val="superscript"/>
        </w:rPr>
        <w:t>3</w:t>
      </w:r>
      <w:r>
        <w:t>/d回用于采矿</w:t>
      </w:r>
      <w:r>
        <w:rPr>
          <w:rFonts w:hint="eastAsia"/>
          <w:lang w:eastAsia="zh-CN"/>
        </w:rPr>
        <w:t>，</w:t>
      </w:r>
      <w:r>
        <w:rPr>
          <w:rFonts w:hint="eastAsia"/>
          <w:lang w:val="en-US" w:eastAsia="zh-CN"/>
        </w:rPr>
        <w:t>约192</w:t>
      </w:r>
      <w:r>
        <w:t>m</w:t>
      </w:r>
      <w:r>
        <w:rPr>
          <w:vertAlign w:val="superscript"/>
        </w:rPr>
        <w:t>3</w:t>
      </w:r>
      <w:r>
        <w:t>/d</w:t>
      </w:r>
      <w:r>
        <w:rPr>
          <w:u w:val="none"/>
        </w:rPr>
        <w:t>排入废水处理站</w:t>
      </w:r>
      <w:r>
        <w:rPr>
          <w:rFonts w:hint="eastAsia"/>
          <w:lang w:val="en-US" w:eastAsia="zh-CN"/>
        </w:rPr>
        <w:t>。</w:t>
      </w:r>
    </w:p>
    <w:p>
      <w:pPr>
        <w:ind w:firstLine="480"/>
        <w:rPr>
          <w:u w:val="none"/>
        </w:rPr>
      </w:pPr>
      <w:r>
        <w:rPr>
          <w:rFonts w:hint="eastAsia"/>
          <w:u w:val="none"/>
        </w:rPr>
        <w:t>②</w:t>
      </w:r>
      <w:r>
        <w:rPr>
          <w:u w:val="none"/>
        </w:rPr>
        <w:t>尾矿库溢流废水</w:t>
      </w:r>
    </w:p>
    <w:p>
      <w:pPr>
        <w:ind w:firstLine="480"/>
        <w:rPr>
          <w:rFonts w:hint="eastAsia" w:eastAsia="宋体"/>
          <w:u w:val="none"/>
          <w:lang w:eastAsia="zh-CN"/>
        </w:rPr>
      </w:pPr>
      <w:r>
        <w:rPr>
          <w:rFonts w:hint="eastAsia"/>
          <w:u w:val="none"/>
        </w:rPr>
        <w:t>本项目尾矿采用干排的方式。旱季</w:t>
      </w:r>
      <w:r>
        <w:rPr>
          <w:u w:val="none"/>
        </w:rPr>
        <w:t>，尾矿库</w:t>
      </w:r>
      <w:r>
        <w:rPr>
          <w:rFonts w:hint="eastAsia"/>
          <w:u w:val="none"/>
        </w:rPr>
        <w:t>无溢流水产生</w:t>
      </w:r>
      <w:r>
        <w:rPr>
          <w:rFonts w:hint="eastAsia"/>
          <w:u w:val="none"/>
          <w:lang w:eastAsia="zh-CN"/>
        </w:rPr>
        <w:t>。</w:t>
      </w:r>
    </w:p>
    <w:p>
      <w:pPr>
        <w:ind w:firstLine="480"/>
        <w:rPr>
          <w:rFonts w:hint="eastAsia"/>
          <w:u w:val="none"/>
        </w:rPr>
      </w:pPr>
      <w:r>
        <w:rPr>
          <w:rFonts w:hint="eastAsia"/>
          <w:u w:val="none"/>
        </w:rPr>
        <w:t>③</w:t>
      </w:r>
      <w:r>
        <w:rPr>
          <w:u w:val="none"/>
        </w:rPr>
        <w:t>废石堆场淋滤水</w:t>
      </w:r>
    </w:p>
    <w:p>
      <w:pPr>
        <w:ind w:firstLine="480"/>
        <w:rPr>
          <w:rFonts w:hint="eastAsia" w:eastAsia="宋体"/>
          <w:u w:val="none"/>
          <w:lang w:eastAsia="zh-CN"/>
        </w:rPr>
      </w:pPr>
      <w:r>
        <w:rPr>
          <w:rFonts w:hint="eastAsia"/>
          <w:u w:val="none"/>
        </w:rPr>
        <w:t>旱季</w:t>
      </w:r>
      <w:r>
        <w:rPr>
          <w:u w:val="none"/>
        </w:rPr>
        <w:t>，</w:t>
      </w:r>
      <w:r>
        <w:rPr>
          <w:rFonts w:hint="eastAsia"/>
          <w:u w:val="none"/>
          <w:lang w:val="en-US" w:eastAsia="zh-CN"/>
        </w:rPr>
        <w:t>无</w:t>
      </w:r>
      <w:r>
        <w:rPr>
          <w:u w:val="none"/>
        </w:rPr>
        <w:t>废石堆场淋滤水</w:t>
      </w:r>
      <w:r>
        <w:rPr>
          <w:rFonts w:hint="eastAsia"/>
          <w:u w:val="none"/>
        </w:rPr>
        <w:t>产生</w:t>
      </w:r>
      <w:r>
        <w:rPr>
          <w:rFonts w:hint="eastAsia"/>
          <w:u w:val="none"/>
          <w:lang w:eastAsia="zh-CN"/>
        </w:rPr>
        <w:t>。</w:t>
      </w:r>
    </w:p>
    <w:p>
      <w:pPr>
        <w:ind w:firstLine="480"/>
        <w:rPr>
          <w:u w:val="none"/>
        </w:rPr>
      </w:pPr>
      <w:r>
        <w:rPr>
          <w:rFonts w:hint="eastAsia"/>
          <w:u w:val="none"/>
        </w:rPr>
        <w:t>④</w:t>
      </w:r>
      <w:r>
        <w:rPr>
          <w:u w:val="none"/>
        </w:rPr>
        <w:t>选矿废水</w:t>
      </w:r>
    </w:p>
    <w:p>
      <w:pPr>
        <w:ind w:firstLine="480"/>
        <w:rPr>
          <w:rFonts w:hint="eastAsia" w:eastAsia="宋体"/>
          <w:u w:val="none"/>
          <w:lang w:val="en-US" w:eastAsia="zh-CN"/>
        </w:rPr>
      </w:pPr>
      <w:r>
        <w:rPr>
          <w:u w:val="none"/>
        </w:rPr>
        <w:t>选矿废水主要有金精矿产品浓缩后的精矿压滤废水和尾矿压滤废水。压滤废水产生量</w:t>
      </w:r>
      <w:r>
        <w:rPr>
          <w:rFonts w:hint="eastAsia"/>
          <w:u w:val="none"/>
        </w:rPr>
        <w:t>约3</w:t>
      </w:r>
      <w:r>
        <w:rPr>
          <w:u w:val="none"/>
        </w:rPr>
        <w:t>00m</w:t>
      </w:r>
      <w:r>
        <w:rPr>
          <w:u w:val="none"/>
          <w:vertAlign w:val="superscript"/>
        </w:rPr>
        <w:t>3</w:t>
      </w:r>
      <w:r>
        <w:rPr>
          <w:u w:val="none"/>
        </w:rPr>
        <w:t>/d，经压滤车间配套三级沉淀池处理后</w:t>
      </w:r>
      <w:r>
        <w:rPr>
          <w:rFonts w:hint="eastAsia"/>
          <w:u w:val="none"/>
          <w:lang w:val="en-US" w:eastAsia="zh-CN"/>
        </w:rPr>
        <w:t>约255</w:t>
      </w:r>
      <w:r>
        <w:rPr>
          <w:u w:val="none"/>
        </w:rPr>
        <w:t>m</w:t>
      </w:r>
      <w:r>
        <w:rPr>
          <w:u w:val="none"/>
          <w:vertAlign w:val="superscript"/>
        </w:rPr>
        <w:t>3</w:t>
      </w:r>
      <w:r>
        <w:rPr>
          <w:u w:val="none"/>
        </w:rPr>
        <w:t>/d排入废水处理站</w:t>
      </w:r>
      <w:r>
        <w:rPr>
          <w:rFonts w:hint="eastAsia"/>
          <w:u w:val="none"/>
          <w:lang w:eastAsia="zh-CN"/>
        </w:rPr>
        <w:t>（</w:t>
      </w:r>
      <w:r>
        <w:rPr>
          <w:rFonts w:hint="eastAsia"/>
          <w:u w:val="none"/>
          <w:lang w:val="en-US" w:eastAsia="zh-CN"/>
        </w:rPr>
        <w:t>损耗约45</w:t>
      </w:r>
      <w:r>
        <w:rPr>
          <w:u w:val="none"/>
        </w:rPr>
        <w:t>m</w:t>
      </w:r>
      <w:r>
        <w:rPr>
          <w:u w:val="none"/>
          <w:vertAlign w:val="superscript"/>
        </w:rPr>
        <w:t>3</w:t>
      </w:r>
      <w:r>
        <w:rPr>
          <w:u w:val="none"/>
        </w:rPr>
        <w:t>/d</w:t>
      </w:r>
      <w:r>
        <w:rPr>
          <w:rFonts w:hint="eastAsia"/>
          <w:u w:val="none"/>
          <w:lang w:eastAsia="zh-CN"/>
        </w:rPr>
        <w:t>）</w:t>
      </w:r>
      <w:r>
        <w:rPr>
          <w:u w:val="none"/>
        </w:rPr>
        <w:t>，经初沉、絮凝、二沉后回用于选矿</w:t>
      </w:r>
      <w:r>
        <w:rPr>
          <w:rFonts w:hint="eastAsia"/>
          <w:u w:val="none"/>
          <w:lang w:eastAsia="zh-CN"/>
        </w:rPr>
        <w:t>。</w:t>
      </w:r>
    </w:p>
    <w:p>
      <w:pPr>
        <w:ind w:firstLine="480"/>
        <w:rPr>
          <w:rFonts w:hint="default" w:eastAsia="宋体"/>
          <w:highlight w:val="red"/>
          <w:u w:val="none"/>
          <w:lang w:val="en-US" w:eastAsia="zh-CN"/>
        </w:rPr>
      </w:pPr>
      <w:r>
        <w:rPr>
          <w:rFonts w:hint="eastAsia"/>
          <w:u w:val="none"/>
        </w:rPr>
        <w:t>根据水平衡分析，旱季时，矿区生产废水</w:t>
      </w:r>
      <w:r>
        <w:rPr>
          <w:rFonts w:hint="eastAsia"/>
          <w:u w:val="none"/>
          <w:lang w:val="en-US" w:eastAsia="zh-CN"/>
        </w:rPr>
        <w:t>产生量大约为447</w:t>
      </w:r>
      <w:r>
        <w:rPr>
          <w:u w:val="none"/>
        </w:rPr>
        <w:t>m</w:t>
      </w:r>
      <w:r>
        <w:rPr>
          <w:u w:val="none"/>
          <w:vertAlign w:val="superscript"/>
        </w:rPr>
        <w:t>3</w:t>
      </w:r>
      <w:r>
        <w:rPr>
          <w:u w:val="none"/>
        </w:rPr>
        <w:t>/d</w:t>
      </w:r>
      <w:r>
        <w:rPr>
          <w:rFonts w:hint="eastAsia"/>
          <w:u w:val="none"/>
          <w:lang w:val="en-US" w:eastAsia="zh-CN"/>
        </w:rPr>
        <w:t>经污水处理站处理（损耗约2</w:t>
      </w:r>
      <w:r>
        <w:rPr>
          <w:u w:val="none"/>
        </w:rPr>
        <w:t>m</w:t>
      </w:r>
      <w:r>
        <w:rPr>
          <w:u w:val="none"/>
          <w:vertAlign w:val="superscript"/>
        </w:rPr>
        <w:t>3</w:t>
      </w:r>
      <w:r>
        <w:rPr>
          <w:u w:val="none"/>
        </w:rPr>
        <w:t>/d</w:t>
      </w:r>
      <w:r>
        <w:rPr>
          <w:rFonts w:hint="eastAsia"/>
          <w:u w:val="none"/>
          <w:lang w:val="en-US" w:eastAsia="zh-CN"/>
        </w:rPr>
        <w:t>）</w:t>
      </w:r>
      <w:r>
        <w:rPr>
          <w:rFonts w:hint="eastAsia"/>
          <w:u w:val="none"/>
          <w:lang w:eastAsia="zh-CN"/>
        </w:rPr>
        <w:t>，</w:t>
      </w:r>
      <w:r>
        <w:rPr>
          <w:rFonts w:hint="eastAsia"/>
          <w:u w:val="none"/>
          <w:lang w:val="en-US" w:eastAsia="zh-CN"/>
        </w:rPr>
        <w:t>约300</w:t>
      </w:r>
      <w:r>
        <w:rPr>
          <w:u w:val="none"/>
        </w:rPr>
        <w:t>m</w:t>
      </w:r>
      <w:r>
        <w:rPr>
          <w:u w:val="none"/>
          <w:vertAlign w:val="superscript"/>
        </w:rPr>
        <w:t>3</w:t>
      </w:r>
      <w:r>
        <w:rPr>
          <w:u w:val="none"/>
        </w:rPr>
        <w:t>/d</w:t>
      </w:r>
      <w:r>
        <w:rPr>
          <w:rFonts w:hint="eastAsia"/>
          <w:u w:val="none"/>
        </w:rPr>
        <w:t>回用于生产工序</w:t>
      </w:r>
      <w:r>
        <w:rPr>
          <w:rFonts w:hint="eastAsia"/>
          <w:u w:val="none"/>
          <w:lang w:eastAsia="zh-CN"/>
        </w:rPr>
        <w:t>，</w:t>
      </w:r>
      <w:r>
        <w:rPr>
          <w:rFonts w:hint="eastAsia"/>
          <w:u w:val="none"/>
          <w:lang w:val="en-US" w:eastAsia="zh-CN"/>
        </w:rPr>
        <w:t>约</w:t>
      </w:r>
      <w:r>
        <w:rPr>
          <w:rFonts w:hint="eastAsia"/>
          <w:highlight w:val="none"/>
          <w:u w:val="none"/>
          <w:lang w:val="en-US" w:eastAsia="zh-CN"/>
        </w:rPr>
        <w:t>145</w:t>
      </w:r>
      <w:r>
        <w:rPr>
          <w:rFonts w:hint="eastAsia"/>
          <w:highlight w:val="none"/>
          <w:u w:val="none"/>
        </w:rPr>
        <w:t>m</w:t>
      </w:r>
      <w:r>
        <w:rPr>
          <w:highlight w:val="none"/>
          <w:u w:val="none"/>
          <w:vertAlign w:val="superscript"/>
        </w:rPr>
        <w:t>3</w:t>
      </w:r>
      <w:r>
        <w:rPr>
          <w:highlight w:val="none"/>
          <w:u w:val="none"/>
        </w:rPr>
        <w:t>/</w:t>
      </w:r>
      <w:r>
        <w:rPr>
          <w:rFonts w:hint="eastAsia"/>
          <w:highlight w:val="none"/>
          <w:u w:val="none"/>
        </w:rPr>
        <w:t>d外</w:t>
      </w:r>
      <w:r>
        <w:rPr>
          <w:rFonts w:hint="eastAsia"/>
          <w:u w:val="none"/>
        </w:rPr>
        <w:t>排</w:t>
      </w:r>
      <w:r>
        <w:rPr>
          <w:rFonts w:hint="eastAsia"/>
          <w:u w:val="none"/>
          <w:lang w:val="en-US" w:eastAsia="zh-CN"/>
        </w:rPr>
        <w:t>入资水，总外排水量为35525</w:t>
      </w:r>
      <w:r>
        <w:rPr>
          <w:rFonts w:hint="eastAsia"/>
          <w:highlight w:val="none"/>
          <w:u w:val="none"/>
        </w:rPr>
        <w:t>m</w:t>
      </w:r>
      <w:r>
        <w:rPr>
          <w:highlight w:val="none"/>
          <w:u w:val="none"/>
          <w:vertAlign w:val="superscript"/>
        </w:rPr>
        <w:t>3</w:t>
      </w:r>
      <w:r>
        <w:rPr>
          <w:rFonts w:hint="eastAsia"/>
          <w:highlight w:val="none"/>
          <w:u w:val="none"/>
          <w:vertAlign w:val="baseline"/>
          <w:lang w:val="en-US" w:eastAsia="zh-CN"/>
        </w:rPr>
        <w:t>/a</w:t>
      </w:r>
      <w:r>
        <w:rPr>
          <w:rFonts w:hint="eastAsia"/>
          <w:u w:val="none"/>
          <w:lang w:val="en-US" w:eastAsia="zh-CN"/>
        </w:rPr>
        <w:t>（旱</w:t>
      </w:r>
      <w:r>
        <w:rPr>
          <w:rFonts w:hint="eastAsia"/>
          <w:u w:val="none"/>
        </w:rPr>
        <w:t>季按</w:t>
      </w:r>
      <w:r>
        <w:rPr>
          <w:rFonts w:hint="eastAsia"/>
          <w:u w:val="none"/>
          <w:lang w:val="en-US" w:eastAsia="zh-CN"/>
        </w:rPr>
        <w:t>245</w:t>
      </w:r>
      <w:r>
        <w:rPr>
          <w:rFonts w:hint="eastAsia"/>
          <w:u w:val="none"/>
        </w:rPr>
        <w:t>天/年考虑</w:t>
      </w:r>
      <w:r>
        <w:rPr>
          <w:rFonts w:hint="eastAsia"/>
          <w:u w:val="none"/>
          <w:lang w:val="en-US" w:eastAsia="zh-CN"/>
        </w:rPr>
        <w:t>）。</w:t>
      </w:r>
    </w:p>
    <w:p>
      <w:pPr>
        <w:numPr>
          <w:ilvl w:val="0"/>
          <w:numId w:val="0"/>
        </w:numPr>
        <w:ind w:firstLine="480" w:firstLineChars="200"/>
        <w:rPr>
          <w:rFonts w:hint="eastAsia"/>
          <w:u w:val="none"/>
        </w:rPr>
      </w:pPr>
      <w:r>
        <w:rPr>
          <w:rFonts w:hint="eastAsia" w:ascii="Times New Roman" w:hAnsi="Times New Roman" w:eastAsia="宋体" w:cs="Times New Roman"/>
          <w:sz w:val="24"/>
          <w:szCs w:val="24"/>
          <w:lang w:val="en-US" w:eastAsia="zh-CN" w:bidi="ar-SA"/>
        </w:rPr>
        <w:t>（</w:t>
      </w:r>
      <w:r>
        <w:rPr>
          <w:rFonts w:hint="eastAsia" w:cs="Times New Roman"/>
          <w:sz w:val="24"/>
          <w:szCs w:val="24"/>
          <w:lang w:val="en-US" w:eastAsia="zh-CN" w:bidi="ar-SA"/>
        </w:rPr>
        <w:t>2</w:t>
      </w:r>
      <w:r>
        <w:rPr>
          <w:rFonts w:hint="eastAsia" w:ascii="Times New Roman" w:hAnsi="Times New Roman" w:eastAsia="宋体" w:cs="Times New Roman"/>
          <w:sz w:val="24"/>
          <w:szCs w:val="24"/>
          <w:lang w:val="en-US" w:eastAsia="zh-CN" w:bidi="ar-SA"/>
        </w:rPr>
        <w:t>）</w:t>
      </w:r>
      <w:r>
        <w:rPr>
          <w:rFonts w:hint="eastAsia"/>
          <w:u w:val="none"/>
          <w:lang w:val="en-US" w:eastAsia="zh-CN"/>
        </w:rPr>
        <w:t>雨</w:t>
      </w:r>
      <w:r>
        <w:rPr>
          <w:rFonts w:hint="eastAsia"/>
          <w:u w:val="none"/>
        </w:rPr>
        <w:t>季废水产生与排放情况</w:t>
      </w:r>
    </w:p>
    <w:p>
      <w:pPr>
        <w:ind w:firstLine="480"/>
        <w:rPr>
          <w:highlight w:val="none"/>
          <w:u w:val="none"/>
        </w:rPr>
      </w:pPr>
      <w:r>
        <w:rPr>
          <w:rFonts w:hint="eastAsia"/>
          <w:highlight w:val="none"/>
          <w:u w:val="none"/>
        </w:rPr>
        <w:t>①</w:t>
      </w:r>
      <w:r>
        <w:rPr>
          <w:highlight w:val="none"/>
          <w:u w:val="none"/>
        </w:rPr>
        <w:t>井坑涌水</w:t>
      </w:r>
    </w:p>
    <w:p>
      <w:pPr>
        <w:numPr>
          <w:ilvl w:val="0"/>
          <w:numId w:val="0"/>
        </w:numPr>
        <w:rPr>
          <w:rFonts w:hint="default" w:eastAsia="宋体"/>
          <w:u w:val="none"/>
          <w:lang w:val="en-US" w:eastAsia="zh-CN"/>
        </w:rPr>
      </w:pPr>
      <w:r>
        <w:rPr>
          <w:rFonts w:hint="eastAsia"/>
          <w:highlight w:val="none"/>
          <w:u w:val="none"/>
        </w:rPr>
        <w:t>根据项目运行统计数据，</w:t>
      </w:r>
      <w:r>
        <w:rPr>
          <w:highlight w:val="none"/>
          <w:u w:val="none"/>
        </w:rPr>
        <w:t>采矿区，</w:t>
      </w:r>
      <w:r>
        <w:rPr>
          <w:rFonts w:hint="eastAsia"/>
          <w:highlight w:val="none"/>
          <w:u w:val="none"/>
        </w:rPr>
        <w:t>雨季</w:t>
      </w:r>
      <w:r>
        <w:rPr>
          <w:highlight w:val="none"/>
          <w:u w:val="none"/>
        </w:rPr>
        <w:t>涌水量</w:t>
      </w:r>
      <w:r>
        <w:rPr>
          <w:rFonts w:hint="eastAsia"/>
          <w:highlight w:val="none"/>
          <w:u w:val="none"/>
        </w:rPr>
        <w:t>约</w:t>
      </w:r>
      <w:r>
        <w:rPr>
          <w:highlight w:val="none"/>
          <w:u w:val="none"/>
        </w:rPr>
        <w:t>290m</w:t>
      </w:r>
      <w:r>
        <w:rPr>
          <w:highlight w:val="none"/>
          <w:u w:val="none"/>
          <w:vertAlign w:val="superscript"/>
        </w:rPr>
        <w:t>3</w:t>
      </w:r>
      <w:r>
        <w:rPr>
          <w:highlight w:val="none"/>
          <w:u w:val="none"/>
        </w:rPr>
        <w:t>/d</w:t>
      </w:r>
      <w:r>
        <w:rPr>
          <w:rFonts w:hint="eastAsia"/>
          <w:highlight w:val="none"/>
          <w:u w:val="none"/>
        </w:rPr>
        <w:t>；</w:t>
      </w:r>
      <w:r>
        <w:rPr>
          <w:highlight w:val="none"/>
          <w:u w:val="none"/>
        </w:rPr>
        <w:t>井坑涌水经三级沉淀池加药(硫酸亚铁、PAC、PAM)沉淀后进入回用水池</w:t>
      </w:r>
      <w:r>
        <w:rPr>
          <w:rFonts w:hint="eastAsia"/>
          <w:highlight w:val="none"/>
          <w:u w:val="none"/>
          <w:lang w:val="en-US" w:eastAsia="zh-CN"/>
        </w:rPr>
        <w:t>约8</w:t>
      </w:r>
      <w:r>
        <w:rPr>
          <w:highlight w:val="none"/>
          <w:u w:val="none"/>
        </w:rPr>
        <w:t>m</w:t>
      </w:r>
      <w:r>
        <w:rPr>
          <w:highlight w:val="none"/>
          <w:u w:val="none"/>
          <w:vertAlign w:val="superscript"/>
        </w:rPr>
        <w:t>3</w:t>
      </w:r>
      <w:r>
        <w:rPr>
          <w:highlight w:val="none"/>
          <w:u w:val="none"/>
        </w:rPr>
        <w:t>/d</w:t>
      </w:r>
      <w:r>
        <w:rPr>
          <w:u w:val="none"/>
        </w:rPr>
        <w:t>回用于采矿</w:t>
      </w:r>
      <w:r>
        <w:rPr>
          <w:rFonts w:hint="eastAsia"/>
          <w:highlight w:val="none"/>
          <w:u w:val="none"/>
          <w:lang w:eastAsia="zh-CN"/>
        </w:rPr>
        <w:t>，</w:t>
      </w:r>
      <w:r>
        <w:rPr>
          <w:rFonts w:hint="eastAsia"/>
          <w:highlight w:val="none"/>
          <w:u w:val="none"/>
          <w:lang w:val="en-US" w:eastAsia="zh-CN"/>
        </w:rPr>
        <w:t>约</w:t>
      </w:r>
      <w:r>
        <w:rPr>
          <w:rFonts w:hint="eastAsia"/>
          <w:u w:val="none"/>
          <w:lang w:val="en-US" w:eastAsia="zh-CN"/>
        </w:rPr>
        <w:t>282</w:t>
      </w:r>
      <w:r>
        <w:rPr>
          <w:u w:val="none"/>
        </w:rPr>
        <w:t>m</w:t>
      </w:r>
      <w:r>
        <w:rPr>
          <w:u w:val="none"/>
          <w:vertAlign w:val="superscript"/>
        </w:rPr>
        <w:t>3</w:t>
      </w:r>
      <w:r>
        <w:rPr>
          <w:u w:val="none"/>
        </w:rPr>
        <w:t>/d排入废水处理站</w:t>
      </w:r>
      <w:r>
        <w:rPr>
          <w:rFonts w:hint="eastAsia"/>
          <w:u w:val="none"/>
          <w:lang w:val="en-US" w:eastAsia="zh-CN"/>
        </w:rPr>
        <w:t>。</w:t>
      </w:r>
    </w:p>
    <w:p>
      <w:pPr>
        <w:ind w:firstLine="480"/>
        <w:rPr>
          <w:rFonts w:hint="eastAsia" w:eastAsia="宋体"/>
          <w:highlight w:val="none"/>
          <w:u w:val="none"/>
          <w:lang w:eastAsia="zh-CN"/>
        </w:rPr>
      </w:pPr>
      <w:r>
        <w:rPr>
          <w:rFonts w:hint="eastAsia"/>
          <w:highlight w:val="none"/>
          <w:u w:val="none"/>
        </w:rPr>
        <w:t>②</w:t>
      </w:r>
      <w:r>
        <w:rPr>
          <w:highlight w:val="none"/>
          <w:u w:val="none"/>
        </w:rPr>
        <w:t>尾矿库溢流废水</w:t>
      </w:r>
      <w:r>
        <w:rPr>
          <w:rFonts w:hint="eastAsia"/>
          <w:highlight w:val="none"/>
          <w:u w:val="none"/>
          <w:lang w:eastAsia="zh-CN"/>
        </w:rPr>
        <w:t>、</w:t>
      </w:r>
      <w:r>
        <w:rPr>
          <w:u w:val="none"/>
        </w:rPr>
        <w:t>废石堆场淋滤水</w:t>
      </w:r>
    </w:p>
    <w:p>
      <w:pPr>
        <w:ind w:firstLine="480"/>
        <w:rPr>
          <w:u w:val="none"/>
        </w:rPr>
      </w:pPr>
      <w:r>
        <w:rPr>
          <w:rFonts w:hint="eastAsia"/>
          <w:u w:val="none"/>
        </w:rPr>
        <w:t>本项目尾矿采用干排的方式</w:t>
      </w:r>
      <w:r>
        <w:rPr>
          <w:rFonts w:hint="eastAsia"/>
          <w:u w:val="none"/>
          <w:lang w:eastAsia="zh-CN"/>
        </w:rPr>
        <w:t>，</w:t>
      </w:r>
      <w:r>
        <w:rPr>
          <w:u w:val="none"/>
        </w:rPr>
        <w:t>通过</w:t>
      </w:r>
      <w:r>
        <w:rPr>
          <w:rFonts w:hint="eastAsia"/>
          <w:u w:val="none"/>
        </w:rPr>
        <w:t>排水沟进入</w:t>
      </w:r>
      <w:r>
        <w:rPr>
          <w:u w:val="none"/>
        </w:rPr>
        <w:t>废水处理站处理</w:t>
      </w:r>
      <w:r>
        <w:rPr>
          <w:rFonts w:hint="eastAsia"/>
          <w:u w:val="none"/>
          <w:lang w:val="en-US" w:eastAsia="zh-CN"/>
        </w:rPr>
        <w:t>后外排入资江</w:t>
      </w:r>
      <w:r>
        <w:rPr>
          <w:rFonts w:hint="eastAsia"/>
          <w:u w:val="none"/>
        </w:rPr>
        <w:t>。</w:t>
      </w:r>
      <w:r>
        <w:rPr>
          <w:color w:val="000000" w:themeColor="text1"/>
        </w:rPr>
        <w:t>废石堆场面积约1125m</w:t>
      </w:r>
      <w:r>
        <w:rPr>
          <w:color w:val="000000" w:themeColor="text1"/>
          <w:vertAlign w:val="superscript"/>
        </w:rPr>
        <w:t>2</w:t>
      </w:r>
      <w:r>
        <w:rPr>
          <w:color w:val="000000" w:themeColor="text1"/>
        </w:rPr>
        <w:t>，筑有3m高挡石墙，挡石墙外侧连接矿区道路，挡石墙内侧建有集水池，废石堆场淋溶水经集水池收集后，泵入废水处理站处理</w:t>
      </w:r>
      <w:r>
        <w:rPr>
          <w:u w:val="none"/>
        </w:rPr>
        <w:t>。</w:t>
      </w:r>
      <w:r>
        <w:rPr>
          <w:rFonts w:hint="eastAsia"/>
          <w:u w:val="none"/>
        </w:rPr>
        <w:t>雨季，</w:t>
      </w:r>
      <w:r>
        <w:rPr>
          <w:highlight w:val="none"/>
          <w:u w:val="none"/>
        </w:rPr>
        <w:t>尾矿库溢流废水</w:t>
      </w:r>
      <w:r>
        <w:rPr>
          <w:rFonts w:hint="eastAsia"/>
          <w:highlight w:val="none"/>
          <w:u w:val="none"/>
          <w:lang w:val="en-US" w:eastAsia="zh-CN"/>
        </w:rPr>
        <w:t>及</w:t>
      </w:r>
      <w:r>
        <w:rPr>
          <w:u w:val="none"/>
        </w:rPr>
        <w:t>废石堆场淋滤水</w:t>
      </w:r>
      <w:r>
        <w:rPr>
          <w:rFonts w:hint="eastAsia"/>
          <w:u w:val="none"/>
          <w:lang w:val="en-US" w:eastAsia="zh-CN"/>
        </w:rPr>
        <w:t>日</w:t>
      </w:r>
      <w:r>
        <w:rPr>
          <w:rFonts w:hint="eastAsia"/>
          <w:u w:val="none"/>
        </w:rPr>
        <w:t>排放废水</w:t>
      </w:r>
      <w:r>
        <w:rPr>
          <w:rFonts w:hint="eastAsia"/>
          <w:u w:val="none"/>
          <w:lang w:val="en-US" w:eastAsia="zh-CN"/>
        </w:rPr>
        <w:t>总共</w:t>
      </w:r>
      <w:r>
        <w:rPr>
          <w:rFonts w:hint="eastAsia"/>
          <w:u w:val="none"/>
        </w:rPr>
        <w:t>约2</w:t>
      </w:r>
      <w:r>
        <w:rPr>
          <w:u w:val="none"/>
        </w:rPr>
        <w:t>0</w:t>
      </w:r>
      <w:r>
        <w:rPr>
          <w:rFonts w:hint="eastAsia"/>
          <w:u w:val="none"/>
        </w:rPr>
        <w:t>m</w:t>
      </w:r>
      <w:r>
        <w:rPr>
          <w:u w:val="none"/>
          <w:vertAlign w:val="superscript"/>
        </w:rPr>
        <w:t>3</w:t>
      </w:r>
      <w:r>
        <w:rPr>
          <w:u w:val="none"/>
        </w:rPr>
        <w:t>，</w:t>
      </w:r>
      <w:r>
        <w:rPr>
          <w:rFonts w:hint="eastAsia"/>
          <w:u w:val="none"/>
          <w:lang w:val="en-US" w:eastAsia="zh-CN"/>
        </w:rPr>
        <w:t>由</w:t>
      </w:r>
      <w:r>
        <w:rPr>
          <w:u w:val="none"/>
        </w:rPr>
        <w:t>废水处理站处理</w:t>
      </w:r>
      <w:r>
        <w:rPr>
          <w:rFonts w:hint="eastAsia"/>
          <w:u w:val="none"/>
          <w:lang w:val="en-US" w:eastAsia="zh-CN"/>
        </w:rPr>
        <w:t>后外排入资江</w:t>
      </w:r>
      <w:r>
        <w:rPr>
          <w:u w:val="none"/>
        </w:rPr>
        <w:t>。</w:t>
      </w:r>
    </w:p>
    <w:p>
      <w:pPr>
        <w:ind w:firstLine="480"/>
        <w:rPr>
          <w:u w:val="none"/>
        </w:rPr>
      </w:pPr>
      <w:r>
        <w:rPr>
          <w:rFonts w:hint="eastAsia"/>
          <w:u w:val="none"/>
        </w:rPr>
        <w:t>③</w:t>
      </w:r>
      <w:r>
        <w:rPr>
          <w:u w:val="none"/>
        </w:rPr>
        <w:t>选矿废水</w:t>
      </w:r>
    </w:p>
    <w:p>
      <w:pPr>
        <w:ind w:firstLine="480"/>
        <w:rPr>
          <w:u w:val="none"/>
        </w:rPr>
      </w:pPr>
      <w:r>
        <w:rPr>
          <w:u w:val="none"/>
        </w:rPr>
        <w:t>选矿废水主要有金精矿产品浓缩后的精矿压滤废水和尾矿压滤废水。压滤废水产生量</w:t>
      </w:r>
      <w:r>
        <w:rPr>
          <w:rFonts w:hint="eastAsia"/>
          <w:u w:val="none"/>
        </w:rPr>
        <w:t>约3</w:t>
      </w:r>
      <w:r>
        <w:rPr>
          <w:u w:val="none"/>
        </w:rPr>
        <w:t>00m</w:t>
      </w:r>
      <w:r>
        <w:rPr>
          <w:u w:val="none"/>
          <w:vertAlign w:val="superscript"/>
        </w:rPr>
        <w:t>3</w:t>
      </w:r>
      <w:r>
        <w:rPr>
          <w:u w:val="none"/>
        </w:rPr>
        <w:t>/d，经压滤车间配套三级沉淀池处理后排入选矿废水处理站，经初沉、絮凝、二沉后回用于选矿</w:t>
      </w:r>
      <w:r>
        <w:rPr>
          <w:rFonts w:hint="eastAsia"/>
          <w:u w:val="none"/>
          <w:lang w:eastAsia="zh-CN"/>
        </w:rPr>
        <w:t>（</w:t>
      </w:r>
      <w:r>
        <w:rPr>
          <w:rFonts w:hint="eastAsia"/>
          <w:u w:val="none"/>
          <w:lang w:val="en-US" w:eastAsia="zh-CN"/>
        </w:rPr>
        <w:t>损耗约45</w:t>
      </w:r>
      <w:r>
        <w:rPr>
          <w:u w:val="none"/>
        </w:rPr>
        <w:t>m</w:t>
      </w:r>
      <w:r>
        <w:rPr>
          <w:u w:val="none"/>
          <w:vertAlign w:val="superscript"/>
        </w:rPr>
        <w:t>3</w:t>
      </w:r>
      <w:r>
        <w:rPr>
          <w:u w:val="none"/>
        </w:rPr>
        <w:t>/d</w:t>
      </w:r>
      <w:r>
        <w:rPr>
          <w:rFonts w:hint="eastAsia"/>
          <w:u w:val="none"/>
          <w:lang w:eastAsia="zh-CN"/>
        </w:rPr>
        <w:t>）</w:t>
      </w:r>
      <w:r>
        <w:rPr>
          <w:u w:val="none"/>
        </w:rPr>
        <w:t>。</w:t>
      </w:r>
    </w:p>
    <w:p>
      <w:pPr>
        <w:ind w:firstLine="480"/>
        <w:rPr>
          <w:rFonts w:hint="eastAsia"/>
          <w:u w:val="none"/>
          <w:lang w:val="en-US" w:eastAsia="zh-CN"/>
        </w:rPr>
      </w:pPr>
      <w:r>
        <w:rPr>
          <w:rFonts w:hint="eastAsia"/>
          <w:u w:val="none"/>
        </w:rPr>
        <w:t>根据水平衡分析，雨季时，矿区生产废水</w:t>
      </w:r>
      <w:r>
        <w:rPr>
          <w:rFonts w:hint="eastAsia"/>
          <w:u w:val="none"/>
          <w:lang w:val="en-US" w:eastAsia="zh-CN"/>
        </w:rPr>
        <w:t>产生量大约为557</w:t>
      </w:r>
      <w:r>
        <w:rPr>
          <w:u w:val="none"/>
        </w:rPr>
        <w:t>m</w:t>
      </w:r>
      <w:r>
        <w:rPr>
          <w:u w:val="none"/>
          <w:vertAlign w:val="superscript"/>
        </w:rPr>
        <w:t>3</w:t>
      </w:r>
      <w:r>
        <w:rPr>
          <w:u w:val="none"/>
        </w:rPr>
        <w:t>/d</w:t>
      </w:r>
      <w:r>
        <w:rPr>
          <w:rFonts w:hint="eastAsia"/>
          <w:u w:val="none"/>
          <w:lang w:val="en-US" w:eastAsia="zh-CN"/>
        </w:rPr>
        <w:t>经污水处理站处理（损耗约2</w:t>
      </w:r>
      <w:r>
        <w:rPr>
          <w:u w:val="none"/>
        </w:rPr>
        <w:t>m</w:t>
      </w:r>
      <w:r>
        <w:rPr>
          <w:u w:val="none"/>
          <w:vertAlign w:val="superscript"/>
        </w:rPr>
        <w:t>3</w:t>
      </w:r>
      <w:r>
        <w:rPr>
          <w:u w:val="none"/>
        </w:rPr>
        <w:t>/d</w:t>
      </w:r>
      <w:r>
        <w:rPr>
          <w:rFonts w:hint="eastAsia"/>
          <w:u w:val="none"/>
          <w:lang w:val="en-US" w:eastAsia="zh-CN"/>
        </w:rPr>
        <w:t>）</w:t>
      </w:r>
      <w:r>
        <w:rPr>
          <w:rFonts w:hint="eastAsia"/>
          <w:u w:val="none"/>
          <w:lang w:eastAsia="zh-CN"/>
        </w:rPr>
        <w:t>，</w:t>
      </w:r>
      <w:r>
        <w:rPr>
          <w:rFonts w:hint="eastAsia"/>
          <w:u w:val="none"/>
          <w:lang w:val="en-US" w:eastAsia="zh-CN"/>
        </w:rPr>
        <w:t>约300</w:t>
      </w:r>
      <w:r>
        <w:rPr>
          <w:u w:val="none"/>
        </w:rPr>
        <w:t>m</w:t>
      </w:r>
      <w:r>
        <w:rPr>
          <w:u w:val="none"/>
          <w:vertAlign w:val="superscript"/>
        </w:rPr>
        <w:t>3</w:t>
      </w:r>
      <w:r>
        <w:rPr>
          <w:u w:val="none"/>
        </w:rPr>
        <w:t>/d</w:t>
      </w:r>
      <w:r>
        <w:rPr>
          <w:rFonts w:hint="eastAsia"/>
          <w:u w:val="none"/>
        </w:rPr>
        <w:t>回用于生产工序</w:t>
      </w:r>
      <w:r>
        <w:rPr>
          <w:rFonts w:hint="eastAsia"/>
          <w:u w:val="none"/>
          <w:lang w:eastAsia="zh-CN"/>
        </w:rPr>
        <w:t>，</w:t>
      </w:r>
      <w:r>
        <w:rPr>
          <w:rFonts w:hint="eastAsia"/>
          <w:u w:val="none"/>
          <w:lang w:val="en-US" w:eastAsia="zh-CN"/>
        </w:rPr>
        <w:t>约</w:t>
      </w:r>
      <w:r>
        <w:rPr>
          <w:rFonts w:hint="eastAsia"/>
          <w:highlight w:val="none"/>
          <w:u w:val="none"/>
          <w:lang w:val="en-US" w:eastAsia="zh-CN"/>
        </w:rPr>
        <w:t>255</w:t>
      </w:r>
      <w:r>
        <w:rPr>
          <w:rFonts w:hint="eastAsia"/>
          <w:highlight w:val="none"/>
          <w:u w:val="none"/>
        </w:rPr>
        <w:t>m</w:t>
      </w:r>
      <w:r>
        <w:rPr>
          <w:highlight w:val="none"/>
          <w:u w:val="none"/>
          <w:vertAlign w:val="superscript"/>
        </w:rPr>
        <w:t>3</w:t>
      </w:r>
      <w:r>
        <w:rPr>
          <w:highlight w:val="none"/>
          <w:u w:val="none"/>
        </w:rPr>
        <w:t>/</w:t>
      </w:r>
      <w:r>
        <w:rPr>
          <w:rFonts w:hint="eastAsia"/>
          <w:highlight w:val="none"/>
          <w:u w:val="none"/>
        </w:rPr>
        <w:t>d外</w:t>
      </w:r>
      <w:r>
        <w:rPr>
          <w:rFonts w:hint="eastAsia"/>
          <w:u w:val="none"/>
        </w:rPr>
        <w:t>排</w:t>
      </w:r>
      <w:r>
        <w:rPr>
          <w:rFonts w:hint="eastAsia"/>
          <w:u w:val="none"/>
          <w:lang w:val="en-US" w:eastAsia="zh-CN"/>
        </w:rPr>
        <w:t>入资水，总外排水量为30600</w:t>
      </w:r>
      <w:r>
        <w:rPr>
          <w:rFonts w:hint="eastAsia"/>
          <w:highlight w:val="none"/>
          <w:u w:val="none"/>
        </w:rPr>
        <w:t>m</w:t>
      </w:r>
      <w:r>
        <w:rPr>
          <w:highlight w:val="none"/>
          <w:u w:val="none"/>
          <w:vertAlign w:val="superscript"/>
        </w:rPr>
        <w:t>3</w:t>
      </w:r>
      <w:r>
        <w:rPr>
          <w:rFonts w:hint="eastAsia"/>
          <w:highlight w:val="none"/>
          <w:u w:val="none"/>
          <w:vertAlign w:val="baseline"/>
          <w:lang w:val="en-US" w:eastAsia="zh-CN"/>
        </w:rPr>
        <w:t>/a</w:t>
      </w:r>
      <w:r>
        <w:rPr>
          <w:rFonts w:hint="eastAsia"/>
          <w:u w:val="none"/>
          <w:lang w:val="en-US" w:eastAsia="zh-CN"/>
        </w:rPr>
        <w:t>（雨</w:t>
      </w:r>
      <w:r>
        <w:rPr>
          <w:rFonts w:hint="eastAsia"/>
          <w:u w:val="none"/>
        </w:rPr>
        <w:t>季按</w:t>
      </w:r>
      <w:r>
        <w:rPr>
          <w:rFonts w:hint="eastAsia"/>
          <w:u w:val="none"/>
          <w:lang w:val="en-US" w:eastAsia="zh-CN"/>
        </w:rPr>
        <w:t>120</w:t>
      </w:r>
      <w:r>
        <w:rPr>
          <w:rFonts w:hint="eastAsia"/>
          <w:u w:val="none"/>
        </w:rPr>
        <w:t>天/年考虑</w:t>
      </w:r>
      <w:r>
        <w:rPr>
          <w:rFonts w:hint="eastAsia"/>
          <w:u w:val="none"/>
          <w:lang w:val="en-US" w:eastAsia="zh-CN"/>
        </w:rPr>
        <w:t>）。</w:t>
      </w:r>
    </w:p>
    <w:p>
      <w:pPr>
        <w:ind w:firstLine="480"/>
        <w:rPr>
          <w:u w:val="none"/>
        </w:rPr>
      </w:pPr>
      <w:r>
        <w:rPr>
          <w:rFonts w:hint="eastAsia"/>
          <w:u w:val="none"/>
          <w:lang w:val="en-US" w:eastAsia="zh-CN"/>
        </w:rPr>
        <w:t>综上所述，旱季外排水量为35525</w:t>
      </w:r>
      <w:r>
        <w:rPr>
          <w:rFonts w:hint="eastAsia"/>
          <w:highlight w:val="none"/>
          <w:u w:val="none"/>
        </w:rPr>
        <w:t>m</w:t>
      </w:r>
      <w:r>
        <w:rPr>
          <w:highlight w:val="none"/>
          <w:u w:val="none"/>
          <w:vertAlign w:val="superscript"/>
        </w:rPr>
        <w:t>3</w:t>
      </w:r>
      <w:r>
        <w:rPr>
          <w:rFonts w:hint="eastAsia"/>
          <w:highlight w:val="none"/>
          <w:u w:val="none"/>
          <w:vertAlign w:val="baseline"/>
          <w:lang w:val="en-US" w:eastAsia="zh-CN"/>
        </w:rPr>
        <w:t>/a</w:t>
      </w:r>
      <w:r>
        <w:rPr>
          <w:rFonts w:hint="eastAsia"/>
          <w:highlight w:val="none"/>
          <w:u w:val="none"/>
          <w:vertAlign w:val="baseline"/>
          <w:lang w:eastAsia="zh-CN"/>
        </w:rPr>
        <w:t>，</w:t>
      </w:r>
      <w:r>
        <w:rPr>
          <w:rFonts w:hint="eastAsia"/>
          <w:u w:val="none"/>
          <w:lang w:val="en-US" w:eastAsia="zh-CN"/>
        </w:rPr>
        <w:t>雨季外排水量为30600</w:t>
      </w:r>
      <w:r>
        <w:rPr>
          <w:rFonts w:hint="eastAsia"/>
          <w:highlight w:val="none"/>
          <w:u w:val="none"/>
        </w:rPr>
        <w:t>m</w:t>
      </w:r>
      <w:r>
        <w:rPr>
          <w:highlight w:val="none"/>
          <w:u w:val="none"/>
          <w:vertAlign w:val="superscript"/>
        </w:rPr>
        <w:t>3</w:t>
      </w:r>
      <w:r>
        <w:rPr>
          <w:rFonts w:hint="eastAsia"/>
          <w:highlight w:val="none"/>
          <w:u w:val="none"/>
          <w:vertAlign w:val="baseline"/>
          <w:lang w:val="en-US" w:eastAsia="zh-CN"/>
        </w:rPr>
        <w:t>/a</w:t>
      </w:r>
      <w:r>
        <w:rPr>
          <w:rFonts w:hint="eastAsia"/>
          <w:highlight w:val="none"/>
          <w:u w:val="none"/>
          <w:vertAlign w:val="baseline"/>
          <w:lang w:eastAsia="zh-CN"/>
        </w:rPr>
        <w:t>，</w:t>
      </w:r>
      <w:r>
        <w:rPr>
          <w:rFonts w:hint="eastAsia"/>
          <w:u w:val="none"/>
        </w:rPr>
        <w:t>全年总排放量</w:t>
      </w:r>
      <w:r>
        <w:rPr>
          <w:rFonts w:hint="eastAsia"/>
          <w:u w:val="none"/>
          <w:lang w:val="en-US" w:eastAsia="zh-CN"/>
        </w:rPr>
        <w:t>为66125</w:t>
      </w:r>
      <w:r>
        <w:rPr>
          <w:u w:val="none"/>
        </w:rPr>
        <w:t>m</w:t>
      </w:r>
      <w:r>
        <w:rPr>
          <w:u w:val="none"/>
          <w:vertAlign w:val="superscript"/>
        </w:rPr>
        <w:t>3</w:t>
      </w:r>
      <w:r>
        <w:rPr>
          <w:rFonts w:hint="eastAsia"/>
          <w:highlight w:val="none"/>
          <w:u w:val="none"/>
          <w:vertAlign w:val="baseline"/>
          <w:lang w:val="en-US" w:eastAsia="zh-CN"/>
        </w:rPr>
        <w:t>/a</w:t>
      </w:r>
      <w:r>
        <w:rPr>
          <w:rFonts w:hint="eastAsia"/>
          <w:highlight w:val="none"/>
          <w:u w:val="none"/>
          <w:vertAlign w:val="baseline"/>
          <w:lang w:eastAsia="zh-CN"/>
        </w:rPr>
        <w:t>。</w:t>
      </w:r>
      <w:r>
        <w:rPr>
          <w:u w:val="none"/>
        </w:rPr>
        <w:t>(</w:t>
      </w:r>
      <w:r>
        <w:rPr>
          <w:rFonts w:hint="eastAsia"/>
          <w:u w:val="none"/>
        </w:rPr>
        <w:t>雨季按</w:t>
      </w:r>
      <w:r>
        <w:rPr>
          <w:u w:val="none"/>
        </w:rPr>
        <w:t>120</w:t>
      </w:r>
      <w:r>
        <w:rPr>
          <w:rFonts w:hint="eastAsia"/>
          <w:u w:val="none"/>
        </w:rPr>
        <w:t>天/年考虑</w:t>
      </w:r>
      <w:r>
        <w:rPr>
          <w:rFonts w:hint="eastAsia"/>
          <w:u w:val="none"/>
          <w:lang w:eastAsia="zh-CN"/>
        </w:rPr>
        <w:t>，</w:t>
      </w:r>
      <w:r>
        <w:rPr>
          <w:rFonts w:hint="eastAsia"/>
          <w:u w:val="none"/>
          <w:lang w:val="en-US" w:eastAsia="zh-CN"/>
        </w:rPr>
        <w:t>旱季按245</w:t>
      </w:r>
      <w:r>
        <w:rPr>
          <w:rFonts w:hint="eastAsia"/>
          <w:u w:val="none"/>
        </w:rPr>
        <w:t>天/年考虑</w:t>
      </w:r>
      <w:r>
        <w:rPr>
          <w:u w:val="none"/>
        </w:rPr>
        <w:t>)</w:t>
      </w:r>
      <w:r>
        <w:rPr>
          <w:rFonts w:hint="eastAsia"/>
          <w:u w:val="none"/>
        </w:rPr>
        <w:t>。</w:t>
      </w:r>
    </w:p>
    <w:p>
      <w:pPr>
        <w:ind w:firstLine="480"/>
        <w:rPr>
          <w:u w:val="none"/>
        </w:rPr>
      </w:pPr>
      <w:r>
        <w:rPr>
          <w:rFonts w:hint="eastAsia"/>
          <w:u w:val="none"/>
        </w:rPr>
        <w:t>（</w:t>
      </w:r>
      <w:r>
        <w:rPr>
          <w:rFonts w:hint="eastAsia"/>
          <w:u w:val="none"/>
          <w:lang w:val="en-US" w:eastAsia="zh-CN"/>
        </w:rPr>
        <w:t>3</w:t>
      </w:r>
      <w:r>
        <w:rPr>
          <w:rFonts w:hint="eastAsia"/>
          <w:u w:val="none"/>
        </w:rPr>
        <w:t>）</w:t>
      </w:r>
      <w:r>
        <w:rPr>
          <w:u w:val="none"/>
        </w:rPr>
        <w:t>生活污水</w:t>
      </w:r>
      <w:r>
        <w:rPr>
          <w:rFonts w:hint="eastAsia"/>
          <w:u w:val="none"/>
        </w:rPr>
        <w:t>产生与排放情况</w:t>
      </w:r>
    </w:p>
    <w:p>
      <w:pPr>
        <w:ind w:firstLine="480"/>
        <w:rPr>
          <w:u w:val="none"/>
        </w:rPr>
      </w:pPr>
      <w:r>
        <w:rPr>
          <w:u w:val="none"/>
        </w:rPr>
        <w:t>厂区实际劳动定员约50人</w:t>
      </w:r>
      <w:r>
        <w:rPr>
          <w:rFonts w:hint="eastAsia"/>
          <w:u w:val="none"/>
          <w:lang w:eastAsia="zh-CN"/>
        </w:rPr>
        <w:t>，</w:t>
      </w:r>
      <w:r>
        <w:rPr>
          <w:rFonts w:hint="eastAsia"/>
          <w:u w:val="none"/>
          <w:lang w:val="en-US" w:eastAsia="zh-CN"/>
        </w:rPr>
        <w:t>年工作300天</w:t>
      </w:r>
      <w:r>
        <w:rPr>
          <w:rFonts w:hint="eastAsia"/>
          <w:u w:val="none"/>
        </w:rPr>
        <w:t>。</w:t>
      </w:r>
      <w:r>
        <w:rPr>
          <w:u w:val="none"/>
        </w:rPr>
        <w:t>在矿部食宿的人员为12人，当地居民38人，在矿区住宿的员工生活用水量以120L/人·d计，供职的当地居民生活用水量以60L/人·d计，矿区总用水量为3.72m</w:t>
      </w:r>
      <w:r>
        <w:rPr>
          <w:u w:val="none"/>
          <w:vertAlign w:val="superscript"/>
        </w:rPr>
        <w:t>3</w:t>
      </w:r>
      <w:r>
        <w:rPr>
          <w:u w:val="none"/>
        </w:rPr>
        <w:t>/d，排放系数按0.8计，生活污水产生量约3.0m</w:t>
      </w:r>
      <w:r>
        <w:rPr>
          <w:u w:val="none"/>
          <w:vertAlign w:val="superscript"/>
        </w:rPr>
        <w:t>3</w:t>
      </w:r>
      <w:r>
        <w:rPr>
          <w:u w:val="none"/>
        </w:rPr>
        <w:t>/d(900m</w:t>
      </w:r>
      <w:r>
        <w:rPr>
          <w:u w:val="none"/>
          <w:vertAlign w:val="superscript"/>
        </w:rPr>
        <w:t>3</w:t>
      </w:r>
      <w:r>
        <w:rPr>
          <w:u w:val="none"/>
        </w:rPr>
        <w:t>/a)。食堂废水经隔油池预处理后与生活污水一起经由化粪池+一体化设施+人工湿地处理系统处理后</w:t>
      </w:r>
      <w:r>
        <w:rPr>
          <w:rFonts w:hint="eastAsia"/>
          <w:u w:val="none"/>
        </w:rPr>
        <w:t>回用</w:t>
      </w:r>
      <w:r>
        <w:rPr>
          <w:rFonts w:hint="eastAsia"/>
          <w:u w:val="none"/>
          <w:lang w:val="en-US" w:eastAsia="zh-CN"/>
        </w:rPr>
        <w:t>于矿区绿化用水</w:t>
      </w:r>
      <w:r>
        <w:rPr>
          <w:rFonts w:hint="eastAsia"/>
          <w:u w:val="none"/>
        </w:rPr>
        <w:t>。</w:t>
      </w:r>
    </w:p>
    <w:p>
      <w:pPr>
        <w:pStyle w:val="3"/>
        <w:spacing w:line="240" w:lineRule="auto"/>
        <w:rPr>
          <w:sz w:val="30"/>
          <w:szCs w:val="30"/>
          <w:u w:val="none"/>
        </w:rPr>
      </w:pPr>
      <w:bookmarkStart w:id="31" w:name="_Toc32721"/>
      <w:r>
        <w:rPr>
          <w:rFonts w:hint="eastAsia"/>
          <w:sz w:val="30"/>
          <w:szCs w:val="30"/>
          <w:u w:val="none"/>
        </w:rPr>
        <w:t>2.2项目所在区域概况</w:t>
      </w:r>
      <w:bookmarkEnd w:id="31"/>
    </w:p>
    <w:bookmarkEnd w:id="27"/>
    <w:bookmarkEnd w:id="28"/>
    <w:p>
      <w:pPr>
        <w:pStyle w:val="4"/>
        <w:spacing w:line="240" w:lineRule="auto"/>
        <w:rPr>
          <w:u w:val="none"/>
        </w:rPr>
      </w:pPr>
      <w:r>
        <w:rPr>
          <w:rFonts w:hint="eastAsia"/>
          <w:u w:val="none"/>
        </w:rPr>
        <w:t>2.2.1自然环境</w:t>
      </w:r>
    </w:p>
    <w:p>
      <w:pPr>
        <w:spacing w:line="240" w:lineRule="auto"/>
        <w:ind w:firstLine="482"/>
        <w:rPr>
          <w:b/>
          <w:u w:val="none"/>
        </w:rPr>
      </w:pPr>
      <w:r>
        <w:rPr>
          <w:rFonts w:hint="eastAsia"/>
          <w:b/>
          <w:u w:val="none"/>
        </w:rPr>
        <w:t>2.2.1.1地理位置</w:t>
      </w:r>
    </w:p>
    <w:p>
      <w:pPr>
        <w:ind w:firstLine="480"/>
        <w:rPr>
          <w:u w:val="none"/>
        </w:rPr>
      </w:pPr>
      <w:r>
        <w:rPr>
          <w:u w:val="none"/>
        </w:rPr>
        <w:t>益阳地处湖南中北部，背倚雪峰山，怀抱洞庭湖，全市辖赫山、资阳两区，南县、桃江、安化三县，沅江市和大通湖管理区、益阳高新技术产业开发区。益阳位于北纬27°58′38″至29°31′42″、东经110°43′02″至112°55′48″，总面积12320km2，为全省总面积的5.83%，其中山林面积占47.1%，耕地面积占24.3%，水面面积占16.8%，其他面积占11.9%，从地图上看，像一头翘首东望、伏地待跃的雄狮，威踞于湖南省中北部。它北近长江，西和西南与本省常德市、怀化市接壤，南与娄底市毗邻，东和东北紧靠省会长沙市和岳阳市。</w:t>
      </w:r>
    </w:p>
    <w:p>
      <w:pPr>
        <w:ind w:firstLine="480"/>
        <w:rPr>
          <w:u w:val="none"/>
        </w:rPr>
      </w:pPr>
      <w:r>
        <w:rPr>
          <w:u w:val="none"/>
        </w:rPr>
        <w:t>益阳市一座具有悠久历史的古城，湖山秀丽，人文荟萃，如镶嵌在洞庭湖畔的一颗璀璨明珠。奔流不息的资、澧、沅三水从境内流过，注洞庭，汇长沙，齐归大海，纳三楚文化之精华，聚滨湖水乡之特色。它现在是湘北地区的重要农业城市、交通枢纽、商业重镇和旅游服务基地。2010年末，全市国内生产总值为712.27亿元，人口数为476.36万人。</w:t>
      </w:r>
    </w:p>
    <w:p>
      <w:pPr>
        <w:ind w:firstLine="480"/>
        <w:rPr>
          <w:u w:val="none"/>
        </w:rPr>
      </w:pPr>
      <w:r>
        <w:rPr>
          <w:u w:val="none"/>
        </w:rPr>
        <w:t>本项目位于桃江县大栗港镇，根据调查，项目不在生态保护红线范围内。</w:t>
      </w:r>
    </w:p>
    <w:p>
      <w:pPr>
        <w:spacing w:line="240" w:lineRule="auto"/>
        <w:ind w:firstLine="482"/>
        <w:rPr>
          <w:b/>
          <w:u w:val="none"/>
        </w:rPr>
      </w:pPr>
      <w:r>
        <w:rPr>
          <w:rFonts w:hint="eastAsia"/>
          <w:b/>
          <w:u w:val="none"/>
        </w:rPr>
        <w:t>2.2.1.2地形地貌</w:t>
      </w:r>
    </w:p>
    <w:p>
      <w:pPr>
        <w:ind w:firstLine="480"/>
        <w:rPr>
          <w:u w:val="none"/>
        </w:rPr>
      </w:pPr>
      <w:r>
        <w:rPr>
          <w:u w:val="none"/>
        </w:rPr>
        <w:t>本区域位于剥蚀丘陵环绕的河谷堆积盆地之中，属低山丘陵地貌，地表切割微弱，起伏和缓，海拔50-110m，相对高度10-60m，地面坡度3-5°。该区属于构造剥蚀岗地地貌，总的地貌轮廓是北高南低，地貌类型多样，山地、丘陵、岗地、水面具备，在全部土地总面积中以丘陵地为主，约占50%。所在区域位于华南加里东～印支褶带边缘，白马伏～梅林桥褶皱带中部，长塘向斜的左翼，向斜轴向NE25-30°，SE翼展布地层有泥盆系易家湾组（DYY）炭质页岩、页岩、泥灰岩和泥盆系跳马漳组（D12），紫红色石英砂岩及灰白色石英砂岩夹石英砾岩，其下与元古界板溪群沙坪组（Pt）板岩、砂质板岩及轻变质砂岩成角不整合接触。本区褶皱、断裂构造均发育，主要有早期山体运动形成的NW向构造和后期印支运动形成的NNE向构造。</w:t>
      </w:r>
    </w:p>
    <w:p>
      <w:pPr>
        <w:ind w:firstLine="480"/>
        <w:rPr>
          <w:u w:val="none"/>
        </w:rPr>
      </w:pPr>
      <w:r>
        <w:rPr>
          <w:u w:val="none"/>
        </w:rPr>
        <w:t>据《中国地震动参数区划图》，区域的地震动峰值加速度为0.05，地震动应谱特征周期为0.35，对应于原基本裂度Ⅵ度区。</w:t>
      </w:r>
    </w:p>
    <w:p>
      <w:pPr>
        <w:spacing w:line="240" w:lineRule="auto"/>
        <w:ind w:firstLine="482"/>
        <w:rPr>
          <w:b/>
          <w:u w:val="none"/>
        </w:rPr>
      </w:pPr>
      <w:r>
        <w:rPr>
          <w:rFonts w:hint="eastAsia"/>
          <w:b/>
          <w:u w:val="none"/>
        </w:rPr>
        <w:t>2.2.1.3气候气象</w:t>
      </w:r>
    </w:p>
    <w:p>
      <w:pPr>
        <w:ind w:firstLine="480"/>
        <w:rPr>
          <w:u w:val="none"/>
        </w:rPr>
      </w:pPr>
      <w:r>
        <w:rPr>
          <w:rFonts w:hint="eastAsia"/>
          <w:u w:val="none"/>
        </w:rPr>
        <w:t>项目区为亚热带大陆性季风湿润气候，具有气温总体偏高、冬暖夏凉明显、降水年年偏丰、日照普遍偏少、春寒阴雨突出等特征。年降水量1399.1～1566.1mm，年蒸发量1124.1~1352.1mm，平均相对湿度81%，年平均气温17℃左右，最冷月（1月）平均气温-1.0℃，最热月（7月）平均气温29℃。无霜270天左右，年日照时数1644小时。年平均风速2.0m/s，历年最大风速18m/s，年主导风向NNW，频率为13%，夏季主导风向SSE，频率为18%，春、冬二季盛行风向NNW，频率分别为11%、18%，秋季盛行风向NW，频率为16%。</w:t>
      </w:r>
    </w:p>
    <w:p>
      <w:pPr>
        <w:spacing w:line="240" w:lineRule="auto"/>
        <w:ind w:firstLine="482"/>
        <w:rPr>
          <w:b/>
          <w:u w:val="none"/>
        </w:rPr>
      </w:pPr>
      <w:r>
        <w:rPr>
          <w:rFonts w:hint="eastAsia"/>
          <w:b/>
          <w:u w:val="none"/>
        </w:rPr>
        <w:t>2.2.1.</w:t>
      </w:r>
      <w:r>
        <w:rPr>
          <w:rFonts w:hint="eastAsia"/>
          <w:b/>
          <w:u w:val="none"/>
          <w:lang w:val="en-US" w:eastAsia="zh-CN"/>
        </w:rPr>
        <w:t>4</w:t>
      </w:r>
      <w:r>
        <w:rPr>
          <w:rFonts w:hint="eastAsia"/>
          <w:b/>
          <w:u w:val="none"/>
        </w:rPr>
        <w:t>水文</w:t>
      </w:r>
    </w:p>
    <w:p>
      <w:pPr>
        <w:ind w:firstLine="480"/>
        <w:rPr>
          <w:u w:val="none"/>
        </w:rPr>
      </w:pPr>
      <w:r>
        <w:rPr>
          <w:rFonts w:hint="eastAsia"/>
          <w:u w:val="none"/>
        </w:rPr>
        <w:t>（1）地表水</w:t>
      </w:r>
    </w:p>
    <w:p>
      <w:pPr>
        <w:ind w:firstLine="480"/>
        <w:rPr>
          <w:u w:val="none"/>
        </w:rPr>
      </w:pPr>
      <w:r>
        <w:rPr>
          <w:rFonts w:hint="eastAsia"/>
          <w:u w:val="none"/>
        </w:rPr>
        <w:t>益阳市溪河纵横，水系发达，河流众多，境内水系都属洞庭湖水系，按自然流域又可划分为资水水系、藕池水系和南洞庭湖水系。其中资水水系流域面积50km</w:t>
      </w:r>
      <w:r>
        <w:rPr>
          <w:rFonts w:hint="eastAsia"/>
          <w:u w:val="none"/>
          <w:vertAlign w:val="superscript"/>
        </w:rPr>
        <w:t>2</w:t>
      </w:r>
      <w:r>
        <w:rPr>
          <w:rFonts w:hint="eastAsia"/>
          <w:u w:val="none"/>
        </w:rPr>
        <w:t>以上的河流共50条。50~100km</w:t>
      </w:r>
      <w:r>
        <w:rPr>
          <w:rFonts w:hint="eastAsia"/>
          <w:u w:val="none"/>
          <w:vertAlign w:val="superscript"/>
        </w:rPr>
        <w:t>2</w:t>
      </w:r>
      <w:r>
        <w:rPr>
          <w:rFonts w:hint="eastAsia"/>
          <w:u w:val="none"/>
        </w:rPr>
        <w:t>的26条，100~500km</w:t>
      </w:r>
      <w:r>
        <w:rPr>
          <w:rFonts w:hint="eastAsia"/>
          <w:u w:val="none"/>
          <w:vertAlign w:val="superscript"/>
        </w:rPr>
        <w:t>2</w:t>
      </w:r>
      <w:r>
        <w:rPr>
          <w:rFonts w:hint="eastAsia"/>
          <w:u w:val="none"/>
        </w:rPr>
        <w:t>的20条，500~1000km</w:t>
      </w:r>
      <w:r>
        <w:rPr>
          <w:rFonts w:hint="eastAsia"/>
          <w:u w:val="none"/>
          <w:vertAlign w:val="superscript"/>
        </w:rPr>
        <w:t>2</w:t>
      </w:r>
      <w:r>
        <w:rPr>
          <w:rFonts w:hint="eastAsia"/>
          <w:u w:val="none"/>
        </w:rPr>
        <w:t>的2条，1000km</w:t>
      </w:r>
      <w:r>
        <w:rPr>
          <w:rFonts w:hint="eastAsia"/>
          <w:u w:val="none"/>
          <w:vertAlign w:val="superscript"/>
        </w:rPr>
        <w:t>2</w:t>
      </w:r>
      <w:r>
        <w:rPr>
          <w:rFonts w:hint="eastAsia"/>
          <w:u w:val="none"/>
        </w:rPr>
        <w:t>以上的2条。资水干流贯穿全境，沿途先后纳入洢溪、沂溪、獭溪、志溪河等一级</w:t>
      </w:r>
      <w:r>
        <w:rPr>
          <w:rFonts w:hint="eastAsia"/>
          <w:u w:val="none"/>
          <w:lang w:val="en-US" w:eastAsia="zh-CN"/>
        </w:rPr>
        <w:t>支</w:t>
      </w:r>
      <w:r>
        <w:rPr>
          <w:rFonts w:hint="eastAsia"/>
          <w:u w:val="none"/>
        </w:rPr>
        <w:t>流75条，河网密度为0.6km/km</w:t>
      </w:r>
      <w:r>
        <w:rPr>
          <w:rFonts w:hint="eastAsia"/>
          <w:u w:val="none"/>
          <w:vertAlign w:val="superscript"/>
        </w:rPr>
        <w:t>2</w:t>
      </w:r>
      <w:r>
        <w:rPr>
          <w:rFonts w:hint="eastAsia"/>
          <w:u w:val="none"/>
        </w:rPr>
        <w:t>。</w:t>
      </w:r>
    </w:p>
    <w:p>
      <w:pPr>
        <w:ind w:firstLine="480"/>
        <w:rPr>
          <w:u w:val="none"/>
        </w:rPr>
      </w:pPr>
      <w:r>
        <w:rPr>
          <w:rFonts w:hint="eastAsia"/>
          <w:u w:val="none"/>
        </w:rPr>
        <w:t>资水在益阳市境内流长280km，流域面积7362km</w:t>
      </w:r>
      <w:r>
        <w:rPr>
          <w:rFonts w:hint="eastAsia"/>
          <w:u w:val="none"/>
          <w:vertAlign w:val="superscript"/>
        </w:rPr>
        <w:t>2</w:t>
      </w:r>
      <w:r>
        <w:rPr>
          <w:rFonts w:hint="eastAsia"/>
          <w:u w:val="none"/>
        </w:rPr>
        <w:t>。资水有两源：左源赧水发源于城步苗族自治县北青山，右源夫夷水发源于广西资源县越城岭，两水于邵阳县双江口汇合，流经邵阳、新化、安化、桃江、益阳等市县，于益阳市甘溪港注入洞庭湖，全长653km，流域面积28201km</w:t>
      </w:r>
      <w:r>
        <w:rPr>
          <w:rFonts w:hint="eastAsia"/>
          <w:u w:val="none"/>
          <w:vertAlign w:val="superscript"/>
        </w:rPr>
        <w:t>2</w:t>
      </w:r>
      <w:r>
        <w:rPr>
          <w:rFonts w:hint="eastAsia"/>
          <w:u w:val="none"/>
        </w:rPr>
        <w:t>。</w:t>
      </w:r>
    </w:p>
    <w:p>
      <w:pPr>
        <w:ind w:firstLine="480"/>
        <w:rPr>
          <w:u w:val="none"/>
        </w:rPr>
      </w:pPr>
      <w:r>
        <w:rPr>
          <w:rFonts w:hint="eastAsia"/>
          <w:u w:val="none"/>
        </w:rPr>
        <w:t>根据《湖南省主要水系地表水环境功能区划》所确定的水域环境功能，资水水质执行《地表水环境质量标准》（GB3838-2002）Ⅱ类标准。项目所在河段无集中式生活取水点及生活饮用水源保护区。</w:t>
      </w:r>
    </w:p>
    <w:p>
      <w:pPr>
        <w:ind w:firstLine="480"/>
        <w:rPr>
          <w:u w:val="none"/>
        </w:rPr>
      </w:pPr>
      <w:r>
        <w:rPr>
          <w:u w:val="none"/>
        </w:rPr>
        <w:t>（2）地下水</w:t>
      </w:r>
    </w:p>
    <w:p>
      <w:pPr>
        <w:ind w:firstLine="480"/>
        <w:rPr>
          <w:u w:val="none"/>
        </w:rPr>
      </w:pPr>
      <w:r>
        <w:rPr>
          <w:u w:val="none"/>
        </w:rPr>
        <w:t>区域地下水资源丰富，以基岩裂隙水分布最广。地下水一般属重碳酸钙或重碳酸钠水，pH值在5.5~8.0之间。场地为沉积厚约200~400m白垩系下统东井组</w:t>
      </w:r>
      <w:r>
        <w:rPr>
          <w:rFonts w:hint="eastAsia"/>
          <w:u w:val="none"/>
        </w:rPr>
        <w:t>上段泥质粉砂岩，夹少量细砂岩或含砾砂岩，岩层透水性差，含水性弱，含微弱风化裂隙溶孔潜水或以所夹细砂岩为底板的上层滞水，属地下水量贫乏区。核心区西为第四系冲堆积物覆盖，分布有第四系孔隙潜水，北部粉砂岩裸露区分布有白垩系风化裂隙溶孔水。东部场地为地下水排泄区，地下水流向因地势原因，为由中间往南北两端、总体为由西往东。主要补给为大气降水渗入补给，其次为地表水及上层孔隙水的补给。河谷地段除大气降水直接渗入补给外，部分为河水的侧向补给及上部松散岩类孔隙水的垂向补给。</w:t>
      </w:r>
    </w:p>
    <w:p>
      <w:pPr>
        <w:spacing w:line="240" w:lineRule="auto"/>
        <w:ind w:firstLine="482"/>
        <w:rPr>
          <w:b/>
          <w:u w:val="none"/>
        </w:rPr>
      </w:pPr>
      <w:r>
        <w:rPr>
          <w:rFonts w:hint="eastAsia"/>
          <w:b/>
          <w:u w:val="none"/>
        </w:rPr>
        <w:t>2.2.1.</w:t>
      </w:r>
      <w:r>
        <w:rPr>
          <w:rFonts w:hint="eastAsia"/>
          <w:b/>
          <w:u w:val="none"/>
          <w:lang w:val="en-US" w:eastAsia="zh-CN"/>
        </w:rPr>
        <w:t>5</w:t>
      </w:r>
      <w:r>
        <w:rPr>
          <w:rFonts w:hint="eastAsia"/>
          <w:b/>
          <w:u w:val="none"/>
        </w:rPr>
        <w:t>生态环境</w:t>
      </w:r>
    </w:p>
    <w:p>
      <w:pPr>
        <w:ind w:firstLine="480"/>
        <w:rPr>
          <w:u w:val="none"/>
        </w:rPr>
      </w:pPr>
      <w:r>
        <w:rPr>
          <w:rFonts w:hint="eastAsia"/>
          <w:u w:val="none"/>
        </w:rPr>
        <w:t>本项目所在区域为湖南桃江羞女湖国家湿地公园。</w:t>
      </w:r>
    </w:p>
    <w:p>
      <w:pPr>
        <w:ind w:firstLine="480"/>
        <w:rPr>
          <w:u w:val="none"/>
        </w:rPr>
      </w:pPr>
      <w:r>
        <w:rPr>
          <w:u w:val="none"/>
        </w:rPr>
        <w:t>羞女湖湿地公园共发现野生脊椎动物共计5纲25目64科15</w:t>
      </w:r>
      <w:r>
        <w:rPr>
          <w:rFonts w:hint="eastAsia"/>
          <w:u w:val="none"/>
        </w:rPr>
        <w:t>6</w:t>
      </w:r>
      <w:r>
        <w:rPr>
          <w:u w:val="none"/>
        </w:rPr>
        <w:t>种。其中，鱼类4目11科35种，种数占湖南省已知鱼类的19.23%；两栖动物1目5科9种，种数占湖南省已知两栖动物的14.52%；爬行动物2目6科20种，种数占湖南省已知爬行动物的21.74%；鸟类13目34科8</w:t>
      </w:r>
      <w:r>
        <w:rPr>
          <w:rFonts w:hint="eastAsia"/>
          <w:u w:val="none"/>
        </w:rPr>
        <w:t>1</w:t>
      </w:r>
      <w:r>
        <w:rPr>
          <w:u w:val="none"/>
        </w:rPr>
        <w:t>种，种数占湖南省已知鸟类的18.30%；哺乳动物5目8科11种，种数占湖南省已知哺乳动物的12.36%。</w:t>
      </w:r>
    </w:p>
    <w:p>
      <w:pPr>
        <w:ind w:firstLine="480"/>
        <w:rPr>
          <w:u w:val="none"/>
        </w:rPr>
      </w:pPr>
      <w:r>
        <w:rPr>
          <w:u w:val="none"/>
        </w:rPr>
        <w:t>羞女湖湿地公园及周边区域共有维管植物147科、487属、753种，其中：蕨类植物有19科、32属、45种；裸子植物4科、5属、5种；被子植物124科、450属、703种(双子叶植物105科、365属、572种，单子叶植物19科、85属、131种)。这些维管植物中包括有湿地植物(是指在生态上能适应湿地环境、并能在湿地环境自行繁殖的植物，繁殖方式可以是种子繁殖或无性繁殖)74科、209属、295种。</w:t>
      </w:r>
    </w:p>
    <w:p>
      <w:pPr>
        <w:pStyle w:val="4"/>
        <w:spacing w:line="240" w:lineRule="auto"/>
        <w:rPr>
          <w:u w:val="none"/>
        </w:rPr>
      </w:pPr>
      <w:r>
        <w:rPr>
          <w:rFonts w:hint="eastAsia"/>
          <w:u w:val="none"/>
        </w:rPr>
        <w:t>2.2.2社会环境</w:t>
      </w:r>
    </w:p>
    <w:p>
      <w:pPr>
        <w:spacing w:line="240" w:lineRule="auto"/>
        <w:ind w:firstLine="482"/>
        <w:rPr>
          <w:b/>
          <w:u w:val="none"/>
        </w:rPr>
      </w:pPr>
      <w:r>
        <w:rPr>
          <w:rFonts w:hint="eastAsia"/>
          <w:b/>
          <w:u w:val="none"/>
        </w:rPr>
        <w:t>2.2.2.1行政区域与人口</w:t>
      </w:r>
    </w:p>
    <w:p>
      <w:pPr>
        <w:ind w:firstLine="480"/>
        <w:rPr>
          <w:u w:val="none"/>
        </w:rPr>
      </w:pPr>
      <w:r>
        <w:rPr>
          <w:rFonts w:hint="eastAsia"/>
          <w:u w:val="none"/>
        </w:rPr>
        <w:t>截至2021年，益阳市下辖2个区、3个县、1个管理区、1个园区、1个市，包括资阳区、赫山区；南县、桃江县、安化县；益阳市大通湖管理区；湖南益阳高新技术产业园区；沅江市。2022年，全市年末常住人口379.36万人，比上年减少3.42万人。其中：城镇人口196.95万人，城镇化率51.9%，比上年提高0.68个百分点。0—15岁（含不满16周岁）人口占常住人口的比重为18.2%，下降0.3个百分点；16—59岁（含不满60周岁）人口比重为59.2%，提高0.02个百分点；60岁及以上人口比重为22.6%，提高0.3个百分点。</w:t>
      </w:r>
    </w:p>
    <w:p>
      <w:pPr>
        <w:pStyle w:val="48"/>
        <w:adjustRightInd/>
        <w:snapToGrid/>
        <w:spacing w:line="240" w:lineRule="auto"/>
        <w:ind w:firstLine="482"/>
        <w:rPr>
          <w:u w:val="none"/>
        </w:rPr>
      </w:pPr>
      <w:r>
        <w:rPr>
          <w:b/>
          <w:bCs/>
          <w:u w:val="none"/>
        </w:rPr>
        <w:t>2.</w:t>
      </w:r>
      <w:r>
        <w:rPr>
          <w:rFonts w:hint="eastAsia"/>
          <w:b/>
          <w:bCs/>
          <w:u w:val="none"/>
        </w:rPr>
        <w:t>2</w:t>
      </w:r>
      <w:r>
        <w:rPr>
          <w:b/>
          <w:bCs/>
          <w:u w:val="none"/>
        </w:rPr>
        <w:t>.</w:t>
      </w:r>
      <w:r>
        <w:rPr>
          <w:rFonts w:hint="eastAsia"/>
          <w:b/>
          <w:bCs/>
          <w:u w:val="none"/>
        </w:rPr>
        <w:t>2</w:t>
      </w:r>
      <w:r>
        <w:rPr>
          <w:b/>
          <w:bCs/>
          <w:u w:val="none"/>
        </w:rPr>
        <w:t>.</w:t>
      </w:r>
      <w:r>
        <w:rPr>
          <w:rFonts w:hint="eastAsia"/>
          <w:b/>
          <w:bCs/>
          <w:u w:val="none"/>
        </w:rPr>
        <w:t>2社会经济</w:t>
      </w:r>
    </w:p>
    <w:p>
      <w:pPr>
        <w:ind w:firstLine="480"/>
        <w:rPr>
          <w:u w:val="none"/>
        </w:rPr>
      </w:pPr>
      <w:r>
        <w:rPr>
          <w:rFonts w:hint="eastAsia"/>
          <w:u w:val="none"/>
        </w:rPr>
        <w:t>2022年，全年实现地区生产总值（GDP）2108.02亿元，按不变价格计算，比上年增长4.6%。其中：第一产业增加值348.74亿元，增长3.4%；第二产业增加值945.47亿元，增长5.9%；第三产业增加值813.80亿元，增长3.7%。第一、二、三产业对经济增长的贡献率分别为12.8%、54.6%、32.6%。全市三次产业结构由上年的16.1:44.2:39.7调整为16.5：44.9:38.6。全市工业增加值比上年增长6.8%，占GDP的比重为37.8%，对经济增长的贡献率为46.3%，拉动全市经济增长2.1个百分点。</w:t>
      </w:r>
    </w:p>
    <w:p>
      <w:pPr>
        <w:pStyle w:val="3"/>
        <w:spacing w:line="240" w:lineRule="auto"/>
        <w:rPr>
          <w:sz w:val="30"/>
          <w:szCs w:val="30"/>
          <w:u w:val="none"/>
        </w:rPr>
      </w:pPr>
      <w:bookmarkStart w:id="32" w:name="_Toc29834"/>
      <w:r>
        <w:rPr>
          <w:rFonts w:hint="eastAsia"/>
          <w:sz w:val="30"/>
          <w:szCs w:val="30"/>
          <w:u w:val="none"/>
        </w:rPr>
        <w:t>2.3环境敏感区分布</w:t>
      </w:r>
      <w:bookmarkEnd w:id="32"/>
    </w:p>
    <w:p>
      <w:pPr>
        <w:pStyle w:val="48"/>
        <w:adjustRightInd/>
        <w:snapToGrid/>
        <w:spacing w:line="240" w:lineRule="auto"/>
        <w:ind w:firstLine="482"/>
        <w:rPr>
          <w:b/>
          <w:szCs w:val="32"/>
          <w:u w:val="none"/>
        </w:rPr>
      </w:pPr>
      <w:r>
        <w:rPr>
          <w:rFonts w:hint="eastAsia"/>
          <w:b/>
          <w:szCs w:val="32"/>
          <w:u w:val="none"/>
        </w:rPr>
        <w:t>1、与饮用水源保护区关系</w:t>
      </w:r>
    </w:p>
    <w:p>
      <w:pPr>
        <w:ind w:firstLine="480"/>
        <w:rPr>
          <w:u w:val="none"/>
        </w:rPr>
      </w:pPr>
      <w:r>
        <w:rPr>
          <w:rFonts w:hint="eastAsia"/>
          <w:u w:val="none"/>
        </w:rPr>
        <w:t>桃江县湘域矿业有限公司首溪金矿入河排污口设置于资水两岸，位于资水桃江保留区（起于桃江县武潭镇水厂下200m，止于桃江县桃花江镇自来水公司一水厂上2000m，全长70.3km），保护目标为《地表水环境质量标准》（</w:t>
      </w:r>
      <w:r>
        <w:rPr>
          <w:u w:val="none"/>
        </w:rPr>
        <w:t>GB3838-2002</w:t>
      </w:r>
      <w:r>
        <w:rPr>
          <w:rFonts w:hint="eastAsia"/>
          <w:u w:val="none"/>
        </w:rPr>
        <w:t>）Ⅱ类标准。</w:t>
      </w:r>
    </w:p>
    <w:p>
      <w:pPr>
        <w:ind w:firstLine="480"/>
        <w:rPr>
          <w:u w:val="none"/>
        </w:rPr>
      </w:pPr>
      <w:r>
        <w:rPr>
          <w:rFonts w:hint="eastAsia"/>
          <w:u w:val="none"/>
        </w:rPr>
        <w:t>根据调查，本项目入河排污口上下游存在益阳市桃江县武潭镇自来水厂取水口、益阳市桃江县马迹塘自来水厂取水口和益阳市桃江县大栗港自来水厂取水口，具体关系见表2.3-1。</w:t>
      </w:r>
    </w:p>
    <w:p>
      <w:pPr>
        <w:spacing w:line="240" w:lineRule="auto"/>
        <w:ind w:firstLine="482"/>
        <w:jc w:val="center"/>
        <w:rPr>
          <w:u w:val="none"/>
        </w:rPr>
      </w:pPr>
      <w:r>
        <w:rPr>
          <w:b/>
          <w:bCs/>
          <w:u w:val="none"/>
        </w:rPr>
        <w:t>表2</w:t>
      </w:r>
      <w:r>
        <w:rPr>
          <w:rFonts w:hint="eastAsia"/>
          <w:b/>
          <w:bCs/>
          <w:u w:val="none"/>
        </w:rPr>
        <w:t>.3-1入河排污口与上下游自来水厂位置关系表</w:t>
      </w:r>
    </w:p>
    <w:tbl>
      <w:tblPr>
        <w:tblStyle w:val="31"/>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194"/>
        <w:gridCol w:w="3046"/>
        <w:gridCol w:w="2013"/>
        <w:gridCol w:w="202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82" w:hRule="atLeast"/>
          <w:tblHeader/>
        </w:trPr>
        <w:tc>
          <w:tcPr>
            <w:tcW w:w="1182" w:type="pct"/>
            <w:vMerge w:val="restart"/>
            <w:tcBorders>
              <w:tl2br w:val="nil"/>
              <w:tr2bl w:val="nil"/>
            </w:tcBorders>
            <w:vAlign w:val="center"/>
          </w:tcPr>
          <w:p>
            <w:pPr>
              <w:spacing w:line="240" w:lineRule="auto"/>
              <w:ind w:firstLine="0" w:firstLineChars="0"/>
              <w:jc w:val="center"/>
              <w:rPr>
                <w:sz w:val="21"/>
                <w:szCs w:val="21"/>
                <w:u w:val="none"/>
              </w:rPr>
            </w:pPr>
            <w:r>
              <w:rPr>
                <w:sz w:val="21"/>
                <w:szCs w:val="21"/>
                <w:u w:val="none"/>
              </w:rPr>
              <w:t>自来水厂名称</w:t>
            </w:r>
          </w:p>
        </w:tc>
        <w:tc>
          <w:tcPr>
            <w:tcW w:w="1641" w:type="pct"/>
            <w:vMerge w:val="restart"/>
            <w:tcBorders>
              <w:tl2br w:val="nil"/>
              <w:tr2bl w:val="nil"/>
            </w:tcBorders>
            <w:vAlign w:val="center"/>
          </w:tcPr>
          <w:p>
            <w:pPr>
              <w:spacing w:line="240" w:lineRule="auto"/>
              <w:ind w:firstLine="0" w:firstLineChars="0"/>
              <w:jc w:val="center"/>
              <w:rPr>
                <w:sz w:val="21"/>
                <w:szCs w:val="21"/>
                <w:u w:val="none"/>
              </w:rPr>
            </w:pPr>
            <w:r>
              <w:rPr>
                <w:sz w:val="21"/>
                <w:szCs w:val="21"/>
                <w:u w:val="none"/>
              </w:rPr>
              <w:t>水质目标</w:t>
            </w:r>
          </w:p>
        </w:tc>
        <w:tc>
          <w:tcPr>
            <w:tcW w:w="2175" w:type="pct"/>
            <w:gridSpan w:val="2"/>
            <w:tcBorders>
              <w:tl2br w:val="nil"/>
              <w:tr2bl w:val="nil"/>
            </w:tcBorders>
            <w:vAlign w:val="center"/>
          </w:tcPr>
          <w:p>
            <w:pPr>
              <w:spacing w:line="240" w:lineRule="auto"/>
              <w:ind w:firstLine="0" w:firstLineChars="0"/>
              <w:jc w:val="center"/>
              <w:rPr>
                <w:sz w:val="21"/>
                <w:szCs w:val="21"/>
                <w:u w:val="none"/>
              </w:rPr>
            </w:pPr>
            <w:r>
              <w:rPr>
                <w:sz w:val="21"/>
                <w:szCs w:val="21"/>
                <w:u w:val="none"/>
              </w:rPr>
              <w:t>入河排污口与其</w:t>
            </w:r>
            <w:r>
              <w:rPr>
                <w:rFonts w:hint="eastAsia"/>
                <w:sz w:val="21"/>
                <w:szCs w:val="21"/>
                <w:u w:val="none"/>
              </w:rPr>
              <w:t>取水口</w:t>
            </w:r>
            <w:r>
              <w:rPr>
                <w:sz w:val="21"/>
                <w:szCs w:val="21"/>
                <w:u w:val="none"/>
              </w:rPr>
              <w:t>位置关系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8" w:hRule="atLeast"/>
          <w:tblHeader/>
        </w:trPr>
        <w:tc>
          <w:tcPr>
            <w:tcW w:w="1182" w:type="pct"/>
            <w:vMerge w:val="continue"/>
            <w:tcBorders>
              <w:tl2br w:val="nil"/>
              <w:tr2bl w:val="nil"/>
            </w:tcBorders>
            <w:vAlign w:val="center"/>
          </w:tcPr>
          <w:p>
            <w:pPr>
              <w:spacing w:line="240" w:lineRule="auto"/>
              <w:ind w:firstLine="0" w:firstLineChars="0"/>
              <w:jc w:val="center"/>
              <w:rPr>
                <w:sz w:val="21"/>
                <w:szCs w:val="21"/>
                <w:u w:val="none"/>
              </w:rPr>
            </w:pPr>
          </w:p>
        </w:tc>
        <w:tc>
          <w:tcPr>
            <w:tcW w:w="1641" w:type="pct"/>
            <w:vMerge w:val="continue"/>
            <w:tcBorders>
              <w:tl2br w:val="nil"/>
              <w:tr2bl w:val="nil"/>
            </w:tcBorders>
            <w:vAlign w:val="center"/>
          </w:tcPr>
          <w:p>
            <w:pPr>
              <w:spacing w:line="240" w:lineRule="auto"/>
              <w:ind w:firstLine="0" w:firstLineChars="0"/>
              <w:jc w:val="center"/>
              <w:rPr>
                <w:sz w:val="21"/>
                <w:szCs w:val="21"/>
                <w:u w:val="none"/>
              </w:rPr>
            </w:pPr>
          </w:p>
        </w:tc>
        <w:tc>
          <w:tcPr>
            <w:tcW w:w="1084" w:type="pct"/>
            <w:tcBorders>
              <w:tl2br w:val="nil"/>
              <w:tr2bl w:val="nil"/>
            </w:tcBorders>
            <w:vAlign w:val="center"/>
          </w:tcPr>
          <w:p>
            <w:pPr>
              <w:spacing w:line="240" w:lineRule="auto"/>
              <w:ind w:firstLine="0" w:firstLineChars="0"/>
              <w:jc w:val="center"/>
              <w:rPr>
                <w:sz w:val="21"/>
                <w:szCs w:val="21"/>
                <w:u w:val="none"/>
              </w:rPr>
            </w:pPr>
            <w:r>
              <w:rPr>
                <w:sz w:val="21"/>
                <w:szCs w:val="21"/>
                <w:u w:val="none"/>
              </w:rPr>
              <w:t>上下游</w:t>
            </w:r>
          </w:p>
        </w:tc>
        <w:tc>
          <w:tcPr>
            <w:tcW w:w="1091" w:type="pct"/>
            <w:tcBorders>
              <w:tl2br w:val="nil"/>
              <w:tr2bl w:val="nil"/>
            </w:tcBorders>
            <w:vAlign w:val="center"/>
          </w:tcPr>
          <w:p>
            <w:pPr>
              <w:spacing w:line="240" w:lineRule="auto"/>
              <w:ind w:firstLine="0" w:firstLineChars="0"/>
              <w:jc w:val="center"/>
              <w:rPr>
                <w:sz w:val="21"/>
                <w:szCs w:val="21"/>
                <w:u w:val="none"/>
              </w:rPr>
            </w:pPr>
            <w:r>
              <w:rPr>
                <w:sz w:val="21"/>
                <w:szCs w:val="21"/>
                <w:u w:val="none"/>
              </w:rPr>
              <w:t>距离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9" w:hRule="atLeast"/>
        </w:trPr>
        <w:tc>
          <w:tcPr>
            <w:tcW w:w="1182"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武潭镇自来水厂</w:t>
            </w:r>
          </w:p>
        </w:tc>
        <w:tc>
          <w:tcPr>
            <w:tcW w:w="1641"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一级保护区为Ⅱ类</w:t>
            </w:r>
          </w:p>
          <w:p>
            <w:pPr>
              <w:spacing w:line="240" w:lineRule="auto"/>
              <w:ind w:firstLine="0" w:firstLineChars="0"/>
              <w:jc w:val="center"/>
              <w:rPr>
                <w:sz w:val="21"/>
                <w:szCs w:val="21"/>
                <w:u w:val="none"/>
              </w:rPr>
            </w:pPr>
            <w:r>
              <w:rPr>
                <w:rFonts w:hint="eastAsia"/>
                <w:sz w:val="21"/>
                <w:szCs w:val="21"/>
                <w:u w:val="none"/>
              </w:rPr>
              <w:t>二级保护区为Ⅱ类</w:t>
            </w:r>
          </w:p>
        </w:tc>
        <w:tc>
          <w:tcPr>
            <w:tcW w:w="1084"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上游</w:t>
            </w:r>
          </w:p>
        </w:tc>
        <w:tc>
          <w:tcPr>
            <w:tcW w:w="1091"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8.3km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9" w:hRule="atLeast"/>
        </w:trPr>
        <w:tc>
          <w:tcPr>
            <w:tcW w:w="1182"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马迹塘自来水厂</w:t>
            </w:r>
          </w:p>
        </w:tc>
        <w:tc>
          <w:tcPr>
            <w:tcW w:w="1641"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一级保护区为Ⅱ类</w:t>
            </w:r>
          </w:p>
          <w:p>
            <w:pPr>
              <w:spacing w:line="240" w:lineRule="auto"/>
              <w:ind w:firstLine="0" w:firstLineChars="0"/>
              <w:jc w:val="center"/>
              <w:rPr>
                <w:sz w:val="21"/>
                <w:szCs w:val="21"/>
                <w:u w:val="none"/>
              </w:rPr>
            </w:pPr>
            <w:r>
              <w:rPr>
                <w:rFonts w:hint="eastAsia"/>
                <w:sz w:val="21"/>
                <w:szCs w:val="21"/>
                <w:u w:val="none"/>
              </w:rPr>
              <w:t>二级保护区为Ⅱ类</w:t>
            </w:r>
          </w:p>
        </w:tc>
        <w:tc>
          <w:tcPr>
            <w:tcW w:w="1084"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上游</w:t>
            </w:r>
          </w:p>
        </w:tc>
        <w:tc>
          <w:tcPr>
            <w:tcW w:w="1091"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15.5km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9" w:hRule="atLeast"/>
        </w:trPr>
        <w:tc>
          <w:tcPr>
            <w:tcW w:w="1182"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大栗港自来水厂</w:t>
            </w:r>
          </w:p>
        </w:tc>
        <w:tc>
          <w:tcPr>
            <w:tcW w:w="1641"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一级保护区为Ⅱ类</w:t>
            </w:r>
          </w:p>
          <w:p>
            <w:pPr>
              <w:spacing w:line="240" w:lineRule="auto"/>
              <w:ind w:firstLine="0" w:firstLineChars="0"/>
              <w:jc w:val="center"/>
              <w:rPr>
                <w:sz w:val="21"/>
                <w:szCs w:val="21"/>
                <w:u w:val="none"/>
              </w:rPr>
            </w:pPr>
            <w:r>
              <w:rPr>
                <w:rFonts w:hint="eastAsia"/>
                <w:sz w:val="21"/>
                <w:szCs w:val="21"/>
                <w:u w:val="none"/>
              </w:rPr>
              <w:t>二级保护区为Ⅱ类</w:t>
            </w:r>
          </w:p>
        </w:tc>
        <w:tc>
          <w:tcPr>
            <w:tcW w:w="1084"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下游</w:t>
            </w:r>
          </w:p>
        </w:tc>
        <w:tc>
          <w:tcPr>
            <w:tcW w:w="1091"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9.5km</w:t>
            </w:r>
          </w:p>
        </w:tc>
      </w:tr>
    </w:tbl>
    <w:p>
      <w:pPr>
        <w:ind w:firstLine="480"/>
        <w:rPr>
          <w:u w:val="none"/>
        </w:rPr>
      </w:pPr>
      <w:r>
        <w:rPr>
          <w:rFonts w:hint="eastAsia"/>
          <w:u w:val="none"/>
        </w:rPr>
        <w:t>因此，本排污口不在上述自来水厂饮用水水源保护区范围内。</w:t>
      </w:r>
    </w:p>
    <w:p>
      <w:pPr>
        <w:ind w:firstLine="482"/>
        <w:rPr>
          <w:b/>
          <w:bCs/>
          <w:u w:val="none"/>
        </w:rPr>
      </w:pPr>
      <w:r>
        <w:rPr>
          <w:rFonts w:hint="eastAsia"/>
          <w:b/>
          <w:bCs/>
          <w:u w:val="none"/>
        </w:rPr>
        <w:t>益阳市桃江县大栗港</w:t>
      </w:r>
      <w:r>
        <w:rPr>
          <w:b/>
          <w:bCs/>
          <w:u w:val="none"/>
        </w:rPr>
        <w:t>自来水厂</w:t>
      </w:r>
      <w:r>
        <w:rPr>
          <w:rFonts w:hint="eastAsia"/>
          <w:b/>
          <w:bCs/>
          <w:u w:val="none"/>
        </w:rPr>
        <w:t>饮用水水源保护区简介</w:t>
      </w:r>
    </w:p>
    <w:p>
      <w:pPr>
        <w:ind w:firstLine="480"/>
        <w:rPr>
          <w:u w:val="none"/>
        </w:rPr>
      </w:pPr>
      <w:r>
        <w:rPr>
          <w:rFonts w:hint="eastAsia"/>
          <w:u w:val="none"/>
        </w:rPr>
        <w:t>益阳市桃江县大栗港自来水厂取水口位于大栗港镇，主要为大栗港镇集中供水，其保护区划分具体情况见表2.3-2。</w:t>
      </w:r>
    </w:p>
    <w:p>
      <w:pPr>
        <w:spacing w:line="240" w:lineRule="auto"/>
        <w:ind w:firstLine="482"/>
        <w:jc w:val="center"/>
        <w:rPr>
          <w:u w:val="none"/>
        </w:rPr>
      </w:pPr>
      <w:r>
        <w:rPr>
          <w:b/>
          <w:bCs/>
          <w:u w:val="none"/>
        </w:rPr>
        <w:t>表2</w:t>
      </w:r>
      <w:r>
        <w:rPr>
          <w:rFonts w:hint="eastAsia"/>
          <w:b/>
          <w:bCs/>
          <w:u w:val="none"/>
        </w:rPr>
        <w:t>.3-2益阳市桃江县大栗港自来水厂饮用水水源保护区划分定界</w:t>
      </w:r>
    </w:p>
    <w:tbl>
      <w:tblPr>
        <w:tblStyle w:val="3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384"/>
        <w:gridCol w:w="3402"/>
        <w:gridCol w:w="45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19" w:hRule="atLeast"/>
        </w:trPr>
        <w:tc>
          <w:tcPr>
            <w:tcW w:w="745"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1"/>
                <w:u w:val="none"/>
              </w:rPr>
            </w:pPr>
            <w:r>
              <w:rPr>
                <w:sz w:val="21"/>
                <w:szCs w:val="21"/>
                <w:u w:val="none"/>
              </w:rPr>
              <w:t>保护区级别</w:t>
            </w:r>
          </w:p>
        </w:tc>
        <w:tc>
          <w:tcPr>
            <w:tcW w:w="1832" w:type="pct"/>
            <w:tcBorders>
              <w:top w:val="single" w:color="000000" w:sz="4" w:space="0"/>
              <w:left w:val="single" w:color="000000" w:sz="4" w:space="0"/>
              <w:bottom w:val="single" w:color="000000" w:sz="4" w:space="0"/>
              <w:right w:val="single" w:color="auto" w:sz="4" w:space="0"/>
            </w:tcBorders>
            <w:vAlign w:val="center"/>
          </w:tcPr>
          <w:p>
            <w:pPr>
              <w:spacing w:line="240" w:lineRule="auto"/>
              <w:ind w:firstLine="0" w:firstLineChars="0"/>
              <w:jc w:val="center"/>
              <w:rPr>
                <w:sz w:val="21"/>
                <w:szCs w:val="21"/>
                <w:u w:val="none"/>
              </w:rPr>
            </w:pPr>
            <w:r>
              <w:rPr>
                <w:sz w:val="21"/>
                <w:szCs w:val="21"/>
                <w:u w:val="none"/>
              </w:rPr>
              <w:t>水域</w:t>
            </w:r>
          </w:p>
        </w:tc>
        <w:tc>
          <w:tcPr>
            <w:tcW w:w="2423" w:type="pct"/>
            <w:tcBorders>
              <w:top w:val="single" w:color="000000" w:sz="4" w:space="0"/>
              <w:left w:val="single" w:color="auto" w:sz="4" w:space="0"/>
              <w:bottom w:val="single" w:color="000000" w:sz="4" w:space="0"/>
              <w:right w:val="single" w:color="000000" w:sz="4" w:space="0"/>
            </w:tcBorders>
            <w:vAlign w:val="center"/>
          </w:tcPr>
          <w:p>
            <w:pPr>
              <w:spacing w:line="240" w:lineRule="auto"/>
              <w:ind w:firstLine="0" w:firstLineChars="0"/>
              <w:jc w:val="center"/>
              <w:rPr>
                <w:sz w:val="21"/>
                <w:szCs w:val="21"/>
                <w:u w:val="none"/>
              </w:rPr>
            </w:pPr>
            <w:r>
              <w:rPr>
                <w:sz w:val="21"/>
                <w:szCs w:val="21"/>
                <w:u w:val="none"/>
              </w:rPr>
              <w:t>陆域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19" w:hRule="atLeast"/>
        </w:trPr>
        <w:tc>
          <w:tcPr>
            <w:tcW w:w="745"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1"/>
                <w:u w:val="none"/>
              </w:rPr>
            </w:pPr>
            <w:r>
              <w:rPr>
                <w:sz w:val="21"/>
                <w:szCs w:val="21"/>
                <w:u w:val="none"/>
              </w:rPr>
              <w:t>一级</w:t>
            </w:r>
          </w:p>
        </w:tc>
        <w:tc>
          <w:tcPr>
            <w:tcW w:w="1832" w:type="pct"/>
            <w:tcBorders>
              <w:top w:val="single" w:color="000000" w:sz="4" w:space="0"/>
              <w:left w:val="single" w:color="000000" w:sz="4" w:space="0"/>
              <w:bottom w:val="single" w:color="000000" w:sz="4" w:space="0"/>
              <w:right w:val="single" w:color="auto" w:sz="4" w:space="0"/>
            </w:tcBorders>
            <w:vAlign w:val="center"/>
          </w:tcPr>
          <w:p>
            <w:pPr>
              <w:spacing w:line="240" w:lineRule="auto"/>
              <w:ind w:firstLine="0" w:firstLineChars="0"/>
              <w:jc w:val="center"/>
              <w:rPr>
                <w:sz w:val="21"/>
                <w:szCs w:val="21"/>
                <w:u w:val="none"/>
              </w:rPr>
            </w:pPr>
            <w:r>
              <w:rPr>
                <w:rFonts w:hint="eastAsia"/>
                <w:sz w:val="21"/>
                <w:szCs w:val="21"/>
                <w:u w:val="none"/>
              </w:rPr>
              <w:t>取水口上游330m至下游33m之间的河道水域（规划航道除外）</w:t>
            </w:r>
          </w:p>
        </w:tc>
        <w:tc>
          <w:tcPr>
            <w:tcW w:w="2423" w:type="pct"/>
            <w:tcBorders>
              <w:top w:val="single" w:color="000000" w:sz="4" w:space="0"/>
              <w:left w:val="single" w:color="auto" w:sz="4" w:space="0"/>
              <w:bottom w:val="single" w:color="000000" w:sz="4" w:space="0"/>
              <w:right w:val="single" w:color="000000" w:sz="4" w:space="0"/>
            </w:tcBorders>
            <w:vAlign w:val="center"/>
          </w:tcPr>
          <w:p>
            <w:pPr>
              <w:spacing w:line="240" w:lineRule="auto"/>
              <w:ind w:firstLine="0" w:firstLineChars="0"/>
              <w:jc w:val="center"/>
              <w:rPr>
                <w:sz w:val="21"/>
                <w:szCs w:val="21"/>
                <w:u w:val="none"/>
              </w:rPr>
            </w:pPr>
            <w:r>
              <w:rPr>
                <w:rFonts w:hint="eastAsia"/>
                <w:sz w:val="21"/>
                <w:szCs w:val="21"/>
                <w:u w:val="none"/>
              </w:rPr>
              <w:t>一级保护区水域边界沿岸纵深10m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19" w:hRule="atLeast"/>
        </w:trPr>
        <w:tc>
          <w:tcPr>
            <w:tcW w:w="745" w:type="pct"/>
            <w:tcBorders>
              <w:top w:val="single" w:color="000000" w:sz="4" w:space="0"/>
              <w:left w:val="single" w:color="000000" w:sz="4" w:space="0"/>
              <w:right w:val="single" w:color="000000" w:sz="4" w:space="0"/>
            </w:tcBorders>
            <w:vAlign w:val="center"/>
          </w:tcPr>
          <w:p>
            <w:pPr>
              <w:spacing w:line="240" w:lineRule="auto"/>
              <w:ind w:firstLine="0" w:firstLineChars="0"/>
              <w:jc w:val="center"/>
              <w:rPr>
                <w:sz w:val="21"/>
                <w:szCs w:val="21"/>
                <w:u w:val="none"/>
              </w:rPr>
            </w:pPr>
            <w:r>
              <w:rPr>
                <w:sz w:val="21"/>
                <w:szCs w:val="21"/>
                <w:u w:val="none"/>
              </w:rPr>
              <w:t>二级</w:t>
            </w:r>
          </w:p>
        </w:tc>
        <w:tc>
          <w:tcPr>
            <w:tcW w:w="1832" w:type="pct"/>
            <w:tcBorders>
              <w:top w:val="single" w:color="000000" w:sz="4" w:space="0"/>
              <w:left w:val="single" w:color="000000" w:sz="4" w:space="0"/>
              <w:right w:val="single" w:color="auto" w:sz="4" w:space="0"/>
            </w:tcBorders>
            <w:vAlign w:val="center"/>
          </w:tcPr>
          <w:p>
            <w:pPr>
              <w:spacing w:line="240" w:lineRule="auto"/>
              <w:ind w:firstLine="0" w:firstLineChars="0"/>
              <w:jc w:val="center"/>
              <w:rPr>
                <w:sz w:val="21"/>
                <w:szCs w:val="21"/>
                <w:u w:val="none"/>
              </w:rPr>
            </w:pPr>
            <w:r>
              <w:rPr>
                <w:rFonts w:hint="eastAsia"/>
                <w:sz w:val="21"/>
                <w:szCs w:val="21"/>
                <w:u w:val="none"/>
              </w:rPr>
              <w:t>一级保护区上边界上溯670m，下边界下延67m的河道水域</w:t>
            </w:r>
          </w:p>
        </w:tc>
        <w:tc>
          <w:tcPr>
            <w:tcW w:w="2423" w:type="pct"/>
            <w:tcBorders>
              <w:top w:val="single" w:color="000000" w:sz="4" w:space="0"/>
              <w:left w:val="single" w:color="auto" w:sz="4" w:space="0"/>
              <w:right w:val="single" w:color="000000" w:sz="4" w:space="0"/>
            </w:tcBorders>
            <w:vAlign w:val="center"/>
          </w:tcPr>
          <w:p>
            <w:pPr>
              <w:spacing w:line="240" w:lineRule="auto"/>
              <w:ind w:firstLine="0" w:firstLineChars="0"/>
              <w:jc w:val="center"/>
              <w:rPr>
                <w:sz w:val="21"/>
                <w:szCs w:val="21"/>
                <w:u w:val="none"/>
              </w:rPr>
            </w:pPr>
            <w:r>
              <w:rPr>
                <w:rFonts w:hint="eastAsia"/>
                <w:sz w:val="21"/>
                <w:szCs w:val="21"/>
                <w:u w:val="none"/>
              </w:rPr>
              <w:t>一、二级保护区水域边界沿岸纵深50m（一级保护区除外）</w:t>
            </w:r>
          </w:p>
        </w:tc>
      </w:tr>
    </w:tbl>
    <w:p>
      <w:pPr>
        <w:spacing w:line="240" w:lineRule="auto"/>
        <w:ind w:firstLine="482"/>
        <w:rPr>
          <w:rFonts w:ascii="黑体" w:hAnsi="黑体" w:eastAsia="黑体"/>
          <w:b/>
          <w:u w:val="none"/>
        </w:rPr>
      </w:pPr>
      <w:r>
        <w:rPr>
          <w:rFonts w:hint="eastAsia"/>
          <w:b/>
          <w:szCs w:val="32"/>
          <w:u w:val="none"/>
        </w:rPr>
        <w:t>2、与湖南桃江羞女湖国家湿地公园关系</w:t>
      </w:r>
    </w:p>
    <w:p>
      <w:pPr>
        <w:ind w:firstLine="482"/>
        <w:rPr>
          <w:b/>
          <w:bCs/>
          <w:u w:val="none"/>
        </w:rPr>
      </w:pPr>
      <w:r>
        <w:rPr>
          <w:rFonts w:hint="eastAsia"/>
          <w:b/>
          <w:bCs/>
          <w:u w:val="none"/>
        </w:rPr>
        <w:t>湖南桃江羞女湖国家湿地公园简介：</w:t>
      </w:r>
    </w:p>
    <w:p>
      <w:pPr>
        <w:ind w:firstLine="480"/>
        <w:rPr>
          <w:u w:val="none"/>
        </w:rPr>
      </w:pPr>
      <w:r>
        <w:rPr>
          <w:rFonts w:hint="eastAsia"/>
          <w:u w:val="none"/>
        </w:rPr>
        <w:t>2014年国家林业局《关于同意北京房山长沟泉水等140处湿地开展国家湿地公园试点工作的通知》（林湿发[2014]205号）发布，设立湖南桃江羞女湖国家湿地公园。</w:t>
      </w:r>
    </w:p>
    <w:p>
      <w:pPr>
        <w:ind w:firstLine="480"/>
        <w:rPr>
          <w:u w:val="none"/>
        </w:rPr>
      </w:pPr>
      <w:r>
        <w:rPr>
          <w:rFonts w:hint="eastAsia"/>
          <w:u w:val="none"/>
        </w:rPr>
        <w:t>湖南桃江羞女湖国家湿地公园其范围主要包括位于资水下游的修山电站大坝至马迹塘电站大坝水域（含碧螺溪、渣滓溪、沾溪等一级支流的部分水域）及周边部分耕地、林地、交通运输用地。地</w:t>
      </w:r>
      <w:r>
        <w:rPr>
          <w:u w:val="none"/>
        </w:rPr>
        <w:t>理坐标为：北纬28°29′19.805″~28°35′2.684″，东经111°53′53.634″~111°55′51.165″。湿地公园东西长为41.8</w:t>
      </w:r>
      <w:r>
        <w:rPr>
          <w:rFonts w:hint="eastAsia"/>
          <w:u w:val="none"/>
        </w:rPr>
        <w:t>km</w:t>
      </w:r>
      <w:r>
        <w:rPr>
          <w:u w:val="none"/>
        </w:rPr>
        <w:t>，南北宽为0.6</w:t>
      </w:r>
      <w:r>
        <w:rPr>
          <w:rFonts w:hint="eastAsia"/>
          <w:u w:val="none"/>
        </w:rPr>
        <w:t>km</w:t>
      </w:r>
      <w:r>
        <w:rPr>
          <w:u w:val="none"/>
        </w:rPr>
        <w:t>，总面积2300.5</w:t>
      </w:r>
      <w:r>
        <w:rPr>
          <w:rFonts w:hint="eastAsia"/>
          <w:u w:val="none"/>
        </w:rPr>
        <w:t>hm</w:t>
      </w:r>
      <w:r>
        <w:rPr>
          <w:rFonts w:hint="eastAsia"/>
          <w:u w:val="none"/>
          <w:vertAlign w:val="superscript"/>
        </w:rPr>
        <w:t>2</w:t>
      </w:r>
      <w:r>
        <w:rPr>
          <w:u w:val="none"/>
        </w:rPr>
        <w:t>。</w:t>
      </w:r>
    </w:p>
    <w:p>
      <w:pPr>
        <w:ind w:firstLine="480"/>
        <w:rPr>
          <w:u w:val="none"/>
        </w:rPr>
      </w:pPr>
      <w:r>
        <w:rPr>
          <w:rFonts w:hint="eastAsia"/>
          <w:u w:val="none"/>
        </w:rPr>
        <w:t>湖南桃江羞女湖国家湿地公园区划为5个功能区：湿地保护保育区、湿地恢复重建区、湿地科普宣教展示区、湿地生态合理利用区和综合管理服务区。</w:t>
      </w:r>
    </w:p>
    <w:p>
      <w:pPr>
        <w:ind w:firstLine="480"/>
        <w:rPr>
          <w:u w:val="none"/>
        </w:rPr>
      </w:pPr>
      <w:r>
        <w:rPr>
          <w:rFonts w:hint="eastAsia"/>
          <w:u w:val="none"/>
        </w:rPr>
        <w:t>（一）湿地保护保育区：是湖南桃江羞女湖国家湿地公园的主体和生态基质，保育区贯穿整个羞女湖湿地公园，面积为2200.6hm</w:t>
      </w:r>
      <w:r>
        <w:rPr>
          <w:rFonts w:hint="eastAsia"/>
          <w:u w:val="none"/>
          <w:vertAlign w:val="superscript"/>
        </w:rPr>
        <w:t>2</w:t>
      </w:r>
      <w:r>
        <w:rPr>
          <w:rFonts w:hint="eastAsia"/>
          <w:u w:val="none"/>
        </w:rPr>
        <w:t>。根据湿地资源现状，羞女湖湿地公园保育区分为白竹洲保育区、修山保育区。</w:t>
      </w:r>
    </w:p>
    <w:p>
      <w:pPr>
        <w:ind w:firstLine="480"/>
        <w:rPr>
          <w:u w:val="none"/>
        </w:rPr>
      </w:pPr>
      <w:r>
        <w:rPr>
          <w:rFonts w:hint="eastAsia"/>
          <w:u w:val="none"/>
        </w:rPr>
        <w:t>1.白竹洲保育区：该区地处羞女湖上游，包括马迹塘水电站大坝东侧下至白竹洲水电站大坝西侧之间的公园范围（含柿子洲、大洲、黄婆洲等3个洲滩)，面积873.2hm</w:t>
      </w:r>
      <w:r>
        <w:rPr>
          <w:rFonts w:hint="eastAsia"/>
          <w:u w:val="none"/>
          <w:vertAlign w:val="superscript"/>
        </w:rPr>
        <w:t>2</w:t>
      </w:r>
      <w:r>
        <w:rPr>
          <w:rFonts w:hint="eastAsia"/>
          <w:u w:val="none"/>
        </w:rPr>
        <w:t>；</w:t>
      </w:r>
    </w:p>
    <w:p>
      <w:pPr>
        <w:ind w:firstLine="480"/>
        <w:rPr>
          <w:u w:val="none"/>
        </w:rPr>
      </w:pPr>
      <w:r>
        <w:rPr>
          <w:rFonts w:hint="eastAsia"/>
          <w:u w:val="none"/>
        </w:rPr>
        <w:t>2.修山保育区：该区地处羞女湖下游，包括白竹洲水电站大坝东侧至修山水电站大坝西侧之间的公园范围（含沾宝洲、莲芽洲、河龙洲、鲤鱼洲、罗家洲等5个洲滩），面积1327.4hm</w:t>
      </w:r>
      <w:r>
        <w:rPr>
          <w:rFonts w:hint="eastAsia"/>
          <w:u w:val="none"/>
          <w:vertAlign w:val="superscript"/>
        </w:rPr>
        <w:t>2</w:t>
      </w:r>
      <w:r>
        <w:rPr>
          <w:rFonts w:hint="eastAsia"/>
          <w:u w:val="none"/>
        </w:rPr>
        <w:t>。</w:t>
      </w:r>
    </w:p>
    <w:p>
      <w:pPr>
        <w:ind w:firstLine="480"/>
        <w:rPr>
          <w:u w:val="none"/>
        </w:rPr>
      </w:pPr>
      <w:r>
        <w:rPr>
          <w:rFonts w:hint="eastAsia"/>
          <w:u w:val="none"/>
        </w:rPr>
        <w:t>（二）湿地恢复重建区：是湖南桃江羞女湖国家湿地公园野生动植物生存环境和栖息地，主要包括柿子洲、大洲、黄婆洲、沾宝洲、莲芽洲、河龙洲、赵林洲、鲤鱼洲、黄荆洲等9个江心洲滩，面积80.1hm</w:t>
      </w:r>
      <w:r>
        <w:rPr>
          <w:rFonts w:hint="eastAsia"/>
          <w:u w:val="none"/>
          <w:vertAlign w:val="superscript"/>
        </w:rPr>
        <w:t>2</w:t>
      </w:r>
      <w:r>
        <w:rPr>
          <w:rFonts w:hint="eastAsia"/>
          <w:u w:val="none"/>
        </w:rPr>
        <w:t>。</w:t>
      </w:r>
    </w:p>
    <w:p>
      <w:pPr>
        <w:ind w:firstLine="480"/>
        <w:rPr>
          <w:u w:val="none"/>
        </w:rPr>
      </w:pPr>
      <w:r>
        <w:rPr>
          <w:rFonts w:hint="eastAsia"/>
          <w:u w:val="none"/>
        </w:rPr>
        <w:t>（三）湿地科普宣教展示区：是湖南桃江羞女湖国家湿地公园开展湿地科普宣教、生态文明建设和生态休闲游憩的主要场所，宣教展示区位于沾溪镇洋泉湾村、白竹洲水电站大坝东侧，面积为12.8hm</w:t>
      </w:r>
      <w:r>
        <w:rPr>
          <w:rFonts w:hint="eastAsia"/>
          <w:u w:val="none"/>
          <w:vertAlign w:val="superscript"/>
        </w:rPr>
        <w:t>2</w:t>
      </w:r>
      <w:r>
        <w:rPr>
          <w:rFonts w:hint="eastAsia"/>
          <w:u w:val="none"/>
        </w:rPr>
        <w:t>。</w:t>
      </w:r>
    </w:p>
    <w:p>
      <w:pPr>
        <w:ind w:firstLine="480"/>
        <w:rPr>
          <w:u w:val="none"/>
        </w:rPr>
      </w:pPr>
      <w:r>
        <w:rPr>
          <w:rFonts w:hint="eastAsia"/>
          <w:u w:val="none"/>
        </w:rPr>
        <w:t>（四）湿地生态合理利用区：是湖南桃江羞女湖国家湿地公园开展湿地休闲和游憩体验的主要场所，主要为修山镇莲盆咀村湿地公园范围内的岗地、三堂街镇郭家洲村、沾溪镇洋泉湾村、大栗港镇大栗港社区，面积5.0hm</w:t>
      </w:r>
      <w:r>
        <w:rPr>
          <w:rFonts w:hint="eastAsia"/>
          <w:u w:val="none"/>
          <w:vertAlign w:val="superscript"/>
        </w:rPr>
        <w:t>2</w:t>
      </w:r>
      <w:r>
        <w:rPr>
          <w:rFonts w:hint="eastAsia"/>
          <w:u w:val="none"/>
        </w:rPr>
        <w:t>。</w:t>
      </w:r>
    </w:p>
    <w:p>
      <w:pPr>
        <w:ind w:firstLine="480"/>
        <w:rPr>
          <w:u w:val="none"/>
        </w:rPr>
      </w:pPr>
      <w:r>
        <w:rPr>
          <w:rFonts w:hint="eastAsia"/>
          <w:u w:val="none"/>
        </w:rPr>
        <w:t>（五）综合管理服务区：主要包括湿地公园的管理、服务机构和设施，由湿地公园管理处、湿地公园保护管理站、游客服务中心组成，该区选址修山镇莲盆嘴村（修山水电站大坝旁）以及位于沾溪镇洋泉湾村的湿地保护管理站，面积2.0hm</w:t>
      </w:r>
      <w:r>
        <w:rPr>
          <w:rFonts w:hint="eastAsia"/>
          <w:u w:val="none"/>
          <w:vertAlign w:val="superscript"/>
        </w:rPr>
        <w:t>2</w:t>
      </w:r>
      <w:r>
        <w:rPr>
          <w:rFonts w:hint="eastAsia"/>
          <w:u w:val="none"/>
        </w:rPr>
        <w:t>。</w:t>
      </w:r>
    </w:p>
    <w:p>
      <w:pPr>
        <w:ind w:firstLine="480"/>
        <w:rPr>
          <w:u w:val="none"/>
        </w:rPr>
      </w:pPr>
      <w:r>
        <w:rPr>
          <w:rFonts w:hint="eastAsia"/>
          <w:u w:val="none"/>
        </w:rPr>
        <w:t>本项目入河排污口与湖南桃江羞女湖国家湿地公园位置关系如下：</w:t>
      </w:r>
    </w:p>
    <w:p>
      <w:pPr>
        <w:spacing w:line="240" w:lineRule="auto"/>
        <w:ind w:firstLine="482"/>
        <w:jc w:val="center"/>
        <w:rPr>
          <w:u w:val="none"/>
        </w:rPr>
      </w:pPr>
      <w:r>
        <w:rPr>
          <w:b/>
          <w:bCs/>
          <w:u w:val="none"/>
        </w:rPr>
        <w:t>表2</w:t>
      </w:r>
      <w:r>
        <w:rPr>
          <w:rFonts w:hint="eastAsia"/>
          <w:b/>
          <w:bCs/>
          <w:u w:val="none"/>
        </w:rPr>
        <w:t>.3-3入河排污口与湖南桃江羞女湖国家湿地公园位置关系表</w:t>
      </w:r>
    </w:p>
    <w:tbl>
      <w:tblPr>
        <w:tblStyle w:val="31"/>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2193"/>
        <w:gridCol w:w="3512"/>
        <w:gridCol w:w="1787"/>
        <w:gridCol w:w="17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82" w:hRule="atLeast"/>
        </w:trPr>
        <w:tc>
          <w:tcPr>
            <w:tcW w:w="1181" w:type="pct"/>
            <w:vMerge w:val="restart"/>
            <w:tcBorders>
              <w:top w:val="single" w:color="000000" w:sz="4" w:space="0"/>
              <w:left w:val="single" w:color="000000" w:sz="4" w:space="0"/>
              <w:right w:val="single" w:color="000000" w:sz="4" w:space="0"/>
            </w:tcBorders>
            <w:vAlign w:val="center"/>
          </w:tcPr>
          <w:p>
            <w:pPr>
              <w:pStyle w:val="51"/>
              <w:rPr>
                <w:u w:val="none"/>
              </w:rPr>
            </w:pPr>
            <w:r>
              <w:rPr>
                <w:u w:val="none"/>
              </w:rPr>
              <w:t>名称</w:t>
            </w:r>
          </w:p>
        </w:tc>
        <w:tc>
          <w:tcPr>
            <w:tcW w:w="1891" w:type="pct"/>
            <w:vMerge w:val="restart"/>
            <w:tcBorders>
              <w:top w:val="single" w:color="000000" w:sz="4" w:space="0"/>
              <w:left w:val="single" w:color="000000" w:sz="4" w:space="0"/>
              <w:right w:val="single" w:color="auto" w:sz="4" w:space="0"/>
            </w:tcBorders>
            <w:vAlign w:val="center"/>
          </w:tcPr>
          <w:p>
            <w:pPr>
              <w:pStyle w:val="51"/>
              <w:rPr>
                <w:u w:val="none"/>
              </w:rPr>
            </w:pPr>
            <w:r>
              <w:rPr>
                <w:u w:val="none"/>
              </w:rPr>
              <w:t>水质目标</w:t>
            </w:r>
          </w:p>
        </w:tc>
        <w:tc>
          <w:tcPr>
            <w:tcW w:w="1926" w:type="pct"/>
            <w:gridSpan w:val="2"/>
            <w:tcBorders>
              <w:top w:val="single" w:color="000000" w:sz="4" w:space="0"/>
              <w:left w:val="single" w:color="auto" w:sz="4" w:space="0"/>
              <w:bottom w:val="single" w:color="auto" w:sz="4" w:space="0"/>
              <w:right w:val="single" w:color="auto" w:sz="4" w:space="0"/>
            </w:tcBorders>
            <w:vAlign w:val="center"/>
          </w:tcPr>
          <w:p>
            <w:pPr>
              <w:pStyle w:val="51"/>
              <w:rPr>
                <w:u w:val="none"/>
              </w:rPr>
            </w:pPr>
            <w:r>
              <w:rPr>
                <w:u w:val="none"/>
              </w:rPr>
              <w:t>入河排污口与其位置关系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38" w:hRule="atLeast"/>
        </w:trPr>
        <w:tc>
          <w:tcPr>
            <w:tcW w:w="1181" w:type="pct"/>
            <w:vMerge w:val="continue"/>
            <w:tcBorders>
              <w:left w:val="single" w:color="000000" w:sz="4" w:space="0"/>
              <w:bottom w:val="single" w:color="000000" w:sz="4" w:space="0"/>
              <w:right w:val="single" w:color="000000" w:sz="4" w:space="0"/>
            </w:tcBorders>
            <w:vAlign w:val="center"/>
          </w:tcPr>
          <w:p>
            <w:pPr>
              <w:pStyle w:val="51"/>
              <w:rPr>
                <w:u w:val="none"/>
              </w:rPr>
            </w:pPr>
          </w:p>
        </w:tc>
        <w:tc>
          <w:tcPr>
            <w:tcW w:w="1891" w:type="pct"/>
            <w:vMerge w:val="continue"/>
            <w:tcBorders>
              <w:left w:val="single" w:color="000000" w:sz="4" w:space="0"/>
              <w:bottom w:val="single" w:color="000000" w:sz="4" w:space="0"/>
              <w:right w:val="single" w:color="auto" w:sz="4" w:space="0"/>
            </w:tcBorders>
            <w:vAlign w:val="center"/>
          </w:tcPr>
          <w:p>
            <w:pPr>
              <w:pStyle w:val="51"/>
              <w:rPr>
                <w:u w:val="none"/>
              </w:rPr>
            </w:pPr>
          </w:p>
        </w:tc>
        <w:tc>
          <w:tcPr>
            <w:tcW w:w="962" w:type="pct"/>
            <w:tcBorders>
              <w:top w:val="single" w:color="auto" w:sz="4" w:space="0"/>
              <w:left w:val="single" w:color="auto" w:sz="4" w:space="0"/>
              <w:bottom w:val="single" w:color="000000" w:sz="4" w:space="0"/>
              <w:right w:val="single" w:color="auto" w:sz="4" w:space="0"/>
            </w:tcBorders>
            <w:vAlign w:val="center"/>
          </w:tcPr>
          <w:p>
            <w:pPr>
              <w:pStyle w:val="51"/>
              <w:rPr>
                <w:u w:val="none"/>
              </w:rPr>
            </w:pPr>
            <w:r>
              <w:rPr>
                <w:u w:val="none"/>
              </w:rPr>
              <w:t>上下游</w:t>
            </w:r>
          </w:p>
        </w:tc>
        <w:tc>
          <w:tcPr>
            <w:tcW w:w="964" w:type="pct"/>
            <w:tcBorders>
              <w:top w:val="single" w:color="auto" w:sz="4" w:space="0"/>
              <w:left w:val="single" w:color="auto" w:sz="4" w:space="0"/>
              <w:bottom w:val="single" w:color="000000" w:sz="4" w:space="0"/>
              <w:right w:val="single" w:color="auto" w:sz="4" w:space="0"/>
            </w:tcBorders>
            <w:vAlign w:val="center"/>
          </w:tcPr>
          <w:p>
            <w:pPr>
              <w:pStyle w:val="51"/>
              <w:rPr>
                <w:u w:val="none"/>
              </w:rPr>
            </w:pPr>
            <w:r>
              <w:rPr>
                <w:u w:val="none"/>
              </w:rPr>
              <w:t>距离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19" w:hRule="atLeast"/>
        </w:trPr>
        <w:tc>
          <w:tcPr>
            <w:tcW w:w="1181" w:type="pct"/>
            <w:tcBorders>
              <w:top w:val="single" w:color="000000" w:sz="4" w:space="0"/>
              <w:left w:val="single" w:color="000000" w:sz="4" w:space="0"/>
              <w:bottom w:val="single" w:color="000000" w:sz="4" w:space="0"/>
              <w:right w:val="single" w:color="000000" w:sz="4" w:space="0"/>
            </w:tcBorders>
            <w:vAlign w:val="center"/>
          </w:tcPr>
          <w:p>
            <w:pPr>
              <w:pStyle w:val="51"/>
              <w:rPr>
                <w:u w:val="none"/>
              </w:rPr>
            </w:pPr>
            <w:r>
              <w:rPr>
                <w:rFonts w:hint="eastAsia"/>
                <w:u w:val="none"/>
              </w:rPr>
              <w:t>湖南桃江羞女湖国家湿地公园</w:t>
            </w:r>
          </w:p>
        </w:tc>
        <w:tc>
          <w:tcPr>
            <w:tcW w:w="1891" w:type="pct"/>
            <w:tcBorders>
              <w:top w:val="single" w:color="000000" w:sz="4" w:space="0"/>
              <w:left w:val="single" w:color="000000" w:sz="4" w:space="0"/>
              <w:bottom w:val="single" w:color="000000" w:sz="4" w:space="0"/>
              <w:right w:val="single" w:color="auto" w:sz="4" w:space="0"/>
            </w:tcBorders>
            <w:vAlign w:val="center"/>
          </w:tcPr>
          <w:p>
            <w:pPr>
              <w:pStyle w:val="51"/>
              <w:rPr>
                <w:u w:val="none"/>
              </w:rPr>
            </w:pPr>
            <w:r>
              <w:rPr>
                <w:rFonts w:hint="eastAsia"/>
                <w:u w:val="none"/>
              </w:rPr>
              <w:t>Ⅱ类</w:t>
            </w:r>
          </w:p>
        </w:tc>
        <w:tc>
          <w:tcPr>
            <w:tcW w:w="962" w:type="pct"/>
            <w:tcBorders>
              <w:top w:val="single" w:color="000000" w:sz="4" w:space="0"/>
              <w:left w:val="single" w:color="auto" w:sz="4" w:space="0"/>
              <w:bottom w:val="single" w:color="000000" w:sz="4" w:space="0"/>
              <w:right w:val="single" w:color="auto" w:sz="4" w:space="0"/>
            </w:tcBorders>
            <w:vAlign w:val="center"/>
          </w:tcPr>
          <w:p>
            <w:pPr>
              <w:pStyle w:val="51"/>
              <w:rPr>
                <w:u w:val="none"/>
              </w:rPr>
            </w:pPr>
            <w:r>
              <w:rPr>
                <w:rFonts w:hint="eastAsia"/>
                <w:u w:val="none"/>
              </w:rPr>
              <w:t>位于湿地公园白竹洲保育区内</w:t>
            </w:r>
          </w:p>
        </w:tc>
        <w:tc>
          <w:tcPr>
            <w:tcW w:w="964" w:type="pct"/>
            <w:tcBorders>
              <w:top w:val="single" w:color="000000" w:sz="4" w:space="0"/>
              <w:left w:val="single" w:color="auto" w:sz="4" w:space="0"/>
              <w:bottom w:val="single" w:color="000000" w:sz="4" w:space="0"/>
              <w:right w:val="single" w:color="auto" w:sz="4" w:space="0"/>
            </w:tcBorders>
            <w:vAlign w:val="center"/>
          </w:tcPr>
          <w:p>
            <w:pPr>
              <w:pStyle w:val="51"/>
              <w:rPr>
                <w:u w:val="none"/>
              </w:rPr>
            </w:pPr>
            <w:r>
              <w:rPr>
                <w:rFonts w:hint="eastAsia"/>
                <w:u w:val="none"/>
              </w:rPr>
              <w:t>0</w:t>
            </w:r>
          </w:p>
        </w:tc>
      </w:tr>
    </w:tbl>
    <w:p>
      <w:pPr>
        <w:ind w:firstLine="480"/>
        <w:rPr>
          <w:u w:val="none"/>
        </w:rPr>
      </w:pPr>
      <w:r>
        <w:rPr>
          <w:u w:val="none"/>
        </w:rPr>
        <w:t>根据湖南省生态环境厅、湖南省农业农村厅、湖南省林业局《关于规范入河排污口设置审批工作的函》（湘环函</w:t>
      </w:r>
      <w:r>
        <w:rPr>
          <w:rFonts w:hint="eastAsia"/>
          <w:u w:val="none"/>
        </w:rPr>
        <w:t>[2021]71号</w:t>
      </w:r>
      <w:r>
        <w:rPr>
          <w:u w:val="none"/>
        </w:rPr>
        <w:t>）：</w:t>
      </w:r>
      <w:r>
        <w:rPr>
          <w:rFonts w:hint="eastAsia"/>
          <w:u w:val="none"/>
        </w:rPr>
        <w:t>“</w:t>
      </w:r>
      <w:r>
        <w:rPr>
          <w:u w:val="none"/>
        </w:rPr>
        <w:t>二、关于涉及湿地公园的入河排污口设置审批</w:t>
      </w:r>
      <w:r>
        <w:rPr>
          <w:rFonts w:hint="eastAsia"/>
          <w:u w:val="none"/>
        </w:rPr>
        <w:t>”</w:t>
      </w:r>
      <w:r>
        <w:rPr>
          <w:u w:val="none"/>
        </w:rPr>
        <w:t>中第（一）条：</w:t>
      </w:r>
      <w:r>
        <w:rPr>
          <w:rFonts w:hint="eastAsia"/>
          <w:u w:val="none"/>
        </w:rPr>
        <w:t>“</w:t>
      </w:r>
      <w:r>
        <w:rPr>
          <w:u w:val="none"/>
        </w:rPr>
        <w:t>在湿地公园设立前或国家林业局《国家湿地公园管理办法（实行）》颁布实施之前建成的入河排污口，可以按程序审批，不需要征求林业部门的意见</w:t>
      </w:r>
      <w:r>
        <w:rPr>
          <w:rFonts w:hint="eastAsia"/>
          <w:u w:val="none"/>
        </w:rPr>
        <w:t>”</w:t>
      </w:r>
      <w:r>
        <w:rPr>
          <w:u w:val="none"/>
        </w:rPr>
        <w:t>。</w:t>
      </w:r>
    </w:p>
    <w:p>
      <w:pPr>
        <w:ind w:firstLine="480"/>
        <w:rPr>
          <w:u w:val="none"/>
        </w:rPr>
      </w:pPr>
      <w:r>
        <w:rPr>
          <w:rFonts w:hint="eastAsia"/>
          <w:u w:val="none"/>
          <w:lang w:val="en-US" w:eastAsia="zh-CN"/>
        </w:rPr>
        <w:t>本项目</w:t>
      </w:r>
      <w:r>
        <w:rPr>
          <w:rFonts w:hint="eastAsia"/>
          <w:u w:val="none"/>
        </w:rPr>
        <w:t>首溪金矿于1996年被发现</w:t>
      </w:r>
      <w:r>
        <w:rPr>
          <w:rFonts w:hint="eastAsia"/>
          <w:u w:val="none"/>
          <w:lang w:eastAsia="zh-CN"/>
        </w:rPr>
        <w:t>，2010年10月</w:t>
      </w:r>
      <w:r>
        <w:rPr>
          <w:rFonts w:hint="eastAsia"/>
          <w:u w:val="none"/>
          <w:lang w:val="en-US" w:eastAsia="zh-CN"/>
        </w:rPr>
        <w:t>通过环评审批手续取得环评批复</w:t>
      </w:r>
      <w:r>
        <w:rPr>
          <w:rFonts w:hint="eastAsia"/>
          <w:u w:val="none"/>
          <w:lang w:eastAsia="zh-CN"/>
        </w:rPr>
        <w:t>；</w:t>
      </w:r>
      <w:r>
        <w:rPr>
          <w:rFonts w:hint="eastAsia"/>
          <w:u w:val="none"/>
          <w:lang w:val="en-US" w:eastAsia="zh-CN"/>
        </w:rPr>
        <w:t>而</w:t>
      </w:r>
      <w:r>
        <w:rPr>
          <w:rFonts w:hint="eastAsia"/>
          <w:u w:val="none"/>
        </w:rPr>
        <w:t>湖南桃江羞女湖国家湿地公园</w:t>
      </w:r>
      <w:r>
        <w:rPr>
          <w:rFonts w:hint="eastAsia"/>
          <w:u w:val="none"/>
          <w:lang w:val="en-US" w:eastAsia="zh-CN"/>
        </w:rPr>
        <w:t>于</w:t>
      </w:r>
      <w:r>
        <w:rPr>
          <w:rFonts w:hint="eastAsia"/>
          <w:u w:val="none"/>
        </w:rPr>
        <w:t>2014年12月31日国家林业局《关于同意北京房山长沟泉水等140处湿地开展国家湿地公园试点工作的通知》（林湿发[2014]205号）发布</w:t>
      </w:r>
      <w:r>
        <w:rPr>
          <w:rFonts w:hint="eastAsia"/>
          <w:u w:val="none"/>
          <w:lang w:val="en-US" w:eastAsia="zh-CN"/>
        </w:rPr>
        <w:t>设立。既本项目入河排污口</w:t>
      </w:r>
      <w:r>
        <w:rPr>
          <w:rFonts w:hint="eastAsia"/>
          <w:u w:val="none"/>
        </w:rPr>
        <w:t>在湿地公园设立前即已存在</w:t>
      </w:r>
      <w:r>
        <w:rPr>
          <w:rFonts w:hint="eastAsia"/>
          <w:u w:val="none"/>
          <w:lang w:eastAsia="zh-CN"/>
        </w:rPr>
        <w:t>。</w:t>
      </w:r>
      <w:r>
        <w:rPr>
          <w:rFonts w:hint="eastAsia"/>
          <w:u w:val="none"/>
          <w:lang w:val="en-US" w:eastAsia="zh-CN"/>
        </w:rPr>
        <w:t>且2021年金矿在扩建环评申报阶段，</w:t>
      </w:r>
      <w:r>
        <w:rPr>
          <w:rFonts w:hint="eastAsia"/>
          <w:u w:val="none"/>
        </w:rPr>
        <w:t>湿地公园管理部门出具了相关意见</w:t>
      </w:r>
      <w:r>
        <w:rPr>
          <w:rFonts w:hint="eastAsia"/>
          <w:u w:val="none"/>
          <w:lang w:eastAsia="zh-CN"/>
        </w:rPr>
        <w:t>（</w:t>
      </w:r>
      <w:r>
        <w:rPr>
          <w:rFonts w:hint="eastAsia"/>
          <w:u w:val="none"/>
          <w:lang w:val="en-US" w:eastAsia="zh-CN"/>
        </w:rPr>
        <w:t>详见附件7</w:t>
      </w:r>
      <w:r>
        <w:rPr>
          <w:rFonts w:hint="eastAsia"/>
          <w:u w:val="none"/>
          <w:lang w:eastAsia="zh-CN"/>
        </w:rPr>
        <w:t>）</w:t>
      </w:r>
      <w:r>
        <w:rPr>
          <w:rFonts w:hint="eastAsia"/>
          <w:u w:val="none"/>
        </w:rPr>
        <w:t>，原则同意扩建项目的实施，明确项目不得增设排污口。因此，本次入河排污口可按程序审批，不需要征求林业部门的意见。</w:t>
      </w:r>
    </w:p>
    <w:p>
      <w:pPr>
        <w:spacing w:line="240" w:lineRule="auto"/>
        <w:ind w:firstLine="480"/>
        <w:rPr>
          <w:u w:val="none"/>
        </w:rPr>
      </w:pPr>
    </w:p>
    <w:p>
      <w:pPr>
        <w:pStyle w:val="17"/>
        <w:spacing w:line="240" w:lineRule="auto"/>
        <w:ind w:firstLine="480"/>
        <w:rPr>
          <w:u w:val="none"/>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AndChars" w:linePitch="332" w:charSpace="0"/>
        </w:sectPr>
      </w:pPr>
    </w:p>
    <w:p>
      <w:pPr>
        <w:pStyle w:val="2"/>
        <w:spacing w:before="0" w:after="0" w:line="240" w:lineRule="auto"/>
        <w:ind w:firstLine="0" w:firstLineChars="0"/>
        <w:jc w:val="left"/>
        <w:rPr>
          <w:u w:val="none"/>
        </w:rPr>
      </w:pPr>
      <w:bookmarkStart w:id="33" w:name="_Toc21825"/>
      <w:bookmarkStart w:id="34" w:name="_Toc20478"/>
      <w:r>
        <w:rPr>
          <w:rFonts w:hint="eastAsia"/>
          <w:u w:val="none"/>
        </w:rPr>
        <w:t>3、入河</w:t>
      </w:r>
      <w:r>
        <w:rPr>
          <w:u w:val="none"/>
        </w:rPr>
        <w:t>排污口所在区域水质现状及</w:t>
      </w:r>
      <w:bookmarkEnd w:id="33"/>
      <w:r>
        <w:rPr>
          <w:rFonts w:hint="eastAsia"/>
          <w:u w:val="none"/>
        </w:rPr>
        <w:t>接纳</w:t>
      </w:r>
      <w:r>
        <w:rPr>
          <w:u w:val="none"/>
        </w:rPr>
        <w:t>污水状况</w:t>
      </w:r>
      <w:bookmarkEnd w:id="34"/>
    </w:p>
    <w:p>
      <w:pPr>
        <w:pStyle w:val="3"/>
        <w:spacing w:line="240" w:lineRule="auto"/>
        <w:rPr>
          <w:rFonts w:hint="default" w:eastAsia="宋体"/>
          <w:sz w:val="30"/>
          <w:szCs w:val="30"/>
          <w:u w:val="none"/>
          <w:lang w:val="en-US" w:eastAsia="zh-CN"/>
        </w:rPr>
      </w:pPr>
      <w:bookmarkStart w:id="35" w:name="_Toc4276"/>
      <w:bookmarkStart w:id="36" w:name="_Toc2089"/>
      <w:r>
        <w:rPr>
          <w:rFonts w:hint="eastAsia"/>
          <w:sz w:val="30"/>
          <w:szCs w:val="30"/>
          <w:u w:val="none"/>
          <w:lang w:val="en-US" w:eastAsia="zh-CN"/>
        </w:rPr>
        <w:t>3.1</w:t>
      </w:r>
      <w:r>
        <w:rPr>
          <w:rFonts w:hint="eastAsia"/>
          <w:sz w:val="30"/>
          <w:szCs w:val="30"/>
        </w:rPr>
        <w:t>入河排污口所在水域水质</w:t>
      </w:r>
      <w:bookmarkEnd w:id="35"/>
    </w:p>
    <w:p>
      <w:pPr>
        <w:pStyle w:val="4"/>
        <w:bidi w:val="0"/>
        <w:rPr>
          <w:sz w:val="30"/>
          <w:szCs w:val="30"/>
          <w:u w:val="none"/>
        </w:rPr>
      </w:pPr>
      <w:r>
        <w:rPr>
          <w:rFonts w:hint="eastAsia"/>
          <w:sz w:val="30"/>
          <w:szCs w:val="30"/>
          <w:u w:val="none"/>
        </w:rPr>
        <w:t>3.1</w:t>
      </w:r>
      <w:r>
        <w:rPr>
          <w:rFonts w:hint="eastAsia"/>
          <w:sz w:val="30"/>
          <w:szCs w:val="30"/>
          <w:u w:val="none"/>
          <w:lang w:val="en-US" w:eastAsia="zh-CN"/>
        </w:rPr>
        <w:t>.1</w:t>
      </w:r>
      <w:r>
        <w:rPr>
          <w:rFonts w:hint="eastAsia"/>
          <w:u w:val="none"/>
          <w:lang w:val="en-US" w:eastAsia="zh-CN"/>
        </w:rPr>
        <w:t>现状监测</w:t>
      </w:r>
    </w:p>
    <w:p>
      <w:pPr>
        <w:ind w:firstLine="480"/>
        <w:rPr>
          <w:u w:val="none"/>
        </w:rPr>
      </w:pPr>
      <w:r>
        <w:rPr>
          <w:rFonts w:hint="eastAsia"/>
          <w:u w:val="none"/>
        </w:rPr>
        <w:t>按照《水环境监测规范》（SL219-2013）文件要求，本次论证地表水监测点位在桃江县湘域矿业有限公司首溪金矿入河排污口上游500m设置背景点，桃江县湘域矿业有限公司首溪金矿入河排污口资水汇入断面及下游300m、600m、1500m、3000m设置监控断面。</w:t>
      </w:r>
    </w:p>
    <w:p>
      <w:pPr>
        <w:ind w:firstLine="480"/>
        <w:rPr>
          <w:u w:val="none"/>
        </w:rPr>
      </w:pPr>
      <w:r>
        <w:rPr>
          <w:u w:val="none"/>
        </w:rPr>
        <w:t>由此，本次论证</w:t>
      </w:r>
      <w:r>
        <w:rPr>
          <w:rFonts w:hint="eastAsia"/>
          <w:u w:val="none"/>
        </w:rPr>
        <w:t>由湖南湘健环保科技有限公司于2023年11月23日至11月25日（枯水期）对资水现状进行了</w:t>
      </w:r>
      <w:r>
        <w:rPr>
          <w:u w:val="none"/>
        </w:rPr>
        <w:t>监测</w:t>
      </w:r>
      <w:r>
        <w:rPr>
          <w:rFonts w:hint="eastAsia"/>
          <w:u w:val="none"/>
        </w:rPr>
        <w:t>。</w:t>
      </w:r>
    </w:p>
    <w:p>
      <w:pPr>
        <w:ind w:firstLine="480"/>
        <w:rPr>
          <w:u w:val="none"/>
        </w:rPr>
      </w:pPr>
      <w:r>
        <w:rPr>
          <w:u w:val="none"/>
        </w:rPr>
        <w:t>监测因子、布点及监测频次</w:t>
      </w:r>
    </w:p>
    <w:p>
      <w:pPr>
        <w:spacing w:line="240" w:lineRule="auto"/>
        <w:ind w:firstLine="0" w:firstLineChars="0"/>
        <w:jc w:val="center"/>
        <w:rPr>
          <w:b/>
          <w:bCs/>
          <w:u w:val="none"/>
        </w:rPr>
      </w:pPr>
      <w:r>
        <w:rPr>
          <w:b/>
          <w:bCs/>
          <w:u w:val="none"/>
        </w:rPr>
        <w:t>表3.</w:t>
      </w:r>
      <w:r>
        <w:rPr>
          <w:rFonts w:hint="eastAsia"/>
          <w:b/>
          <w:bCs/>
          <w:u w:val="none"/>
        </w:rPr>
        <w:t>1.2</w:t>
      </w:r>
      <w:r>
        <w:rPr>
          <w:b/>
          <w:bCs/>
          <w:u w:val="none"/>
        </w:rPr>
        <w:t>-1地表水监测因子、布点及监测频次表</w:t>
      </w:r>
    </w:p>
    <w:tbl>
      <w:tblPr>
        <w:tblStyle w:val="31"/>
        <w:tblW w:w="4995"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2176"/>
        <w:gridCol w:w="3103"/>
        <w:gridCol w:w="2190"/>
        <w:gridCol w:w="180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1" w:hRule="atLeast"/>
        </w:trPr>
        <w:tc>
          <w:tcPr>
            <w:tcW w:w="1172" w:type="pc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监测时段</w:t>
            </w:r>
          </w:p>
        </w:tc>
        <w:tc>
          <w:tcPr>
            <w:tcW w:w="1672" w:type="pct"/>
            <w:tcBorders>
              <w:tl2br w:val="nil"/>
              <w:tr2bl w:val="nil"/>
            </w:tcBorders>
            <w:vAlign w:val="center"/>
          </w:tcPr>
          <w:p>
            <w:pPr>
              <w:spacing w:line="240" w:lineRule="auto"/>
              <w:ind w:firstLine="0" w:firstLineChars="0"/>
              <w:jc w:val="center"/>
              <w:rPr>
                <w:sz w:val="21"/>
                <w:szCs w:val="21"/>
                <w:u w:val="none"/>
              </w:rPr>
            </w:pPr>
            <w:r>
              <w:rPr>
                <w:sz w:val="21"/>
                <w:szCs w:val="21"/>
                <w:u w:val="none"/>
              </w:rPr>
              <w:t>与项目关系距离（m）</w:t>
            </w:r>
          </w:p>
        </w:tc>
        <w:tc>
          <w:tcPr>
            <w:tcW w:w="1180" w:type="pct"/>
            <w:tcBorders>
              <w:tl2br w:val="nil"/>
              <w:tr2bl w:val="nil"/>
            </w:tcBorders>
            <w:vAlign w:val="center"/>
          </w:tcPr>
          <w:p>
            <w:pPr>
              <w:spacing w:line="240" w:lineRule="auto"/>
              <w:ind w:firstLine="0" w:firstLineChars="0"/>
              <w:jc w:val="center"/>
              <w:rPr>
                <w:sz w:val="21"/>
                <w:szCs w:val="21"/>
                <w:u w:val="none"/>
              </w:rPr>
            </w:pPr>
            <w:r>
              <w:rPr>
                <w:sz w:val="21"/>
                <w:szCs w:val="21"/>
                <w:u w:val="none"/>
              </w:rPr>
              <w:t>监测因子</w:t>
            </w:r>
          </w:p>
        </w:tc>
        <w:tc>
          <w:tcPr>
            <w:tcW w:w="974" w:type="pct"/>
            <w:tcBorders>
              <w:tl2br w:val="nil"/>
              <w:tr2bl w:val="nil"/>
            </w:tcBorders>
            <w:vAlign w:val="center"/>
          </w:tcPr>
          <w:p>
            <w:pPr>
              <w:spacing w:line="240" w:lineRule="auto"/>
              <w:ind w:firstLine="0" w:firstLineChars="0"/>
              <w:jc w:val="center"/>
              <w:rPr>
                <w:sz w:val="21"/>
                <w:szCs w:val="21"/>
                <w:u w:val="none"/>
              </w:rPr>
            </w:pPr>
            <w:r>
              <w:rPr>
                <w:sz w:val="21"/>
                <w:szCs w:val="21"/>
                <w:u w:val="none"/>
              </w:rPr>
              <w:t>监测时间及监测频次</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 w:hRule="atLeast"/>
        </w:trPr>
        <w:tc>
          <w:tcPr>
            <w:tcW w:w="1172" w:type="pct"/>
            <w:vMerge w:val="restar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2023.11.23-2023.11.25</w:t>
            </w:r>
          </w:p>
        </w:tc>
        <w:tc>
          <w:tcPr>
            <w:tcW w:w="1672" w:type="pct"/>
            <w:tcBorders>
              <w:tl2br w:val="nil"/>
              <w:tr2bl w:val="nil"/>
            </w:tcBorders>
            <w:vAlign w:val="center"/>
          </w:tcPr>
          <w:p>
            <w:pPr>
              <w:adjustRightInd w:val="0"/>
              <w:snapToGrid w:val="0"/>
              <w:spacing w:line="240" w:lineRule="auto"/>
              <w:ind w:firstLine="0" w:firstLineChars="0"/>
              <w:jc w:val="center"/>
              <w:rPr>
                <w:sz w:val="21"/>
                <w:szCs w:val="21"/>
                <w:u w:val="none"/>
              </w:rPr>
            </w:pPr>
            <w:r>
              <w:rPr>
                <w:rFonts w:hint="eastAsia"/>
                <w:sz w:val="21"/>
                <w:szCs w:val="21"/>
                <w:u w:val="none"/>
              </w:rPr>
              <w:t>入河排污口上游500m</w:t>
            </w:r>
          </w:p>
        </w:tc>
        <w:tc>
          <w:tcPr>
            <w:tcW w:w="1180" w:type="pct"/>
            <w:vMerge w:val="restar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pH、COD、BOD5、SS、NH3-N、石油类、总磷、氟化物、Cu、Zn、Pb、Cd、As、铊、锑、硫化物、总Cr、Cr6+</w:t>
            </w:r>
          </w:p>
        </w:tc>
        <w:tc>
          <w:tcPr>
            <w:tcW w:w="974" w:type="pct"/>
            <w:vMerge w:val="restart"/>
            <w:tcBorders>
              <w:tl2br w:val="nil"/>
              <w:tr2bl w:val="nil"/>
            </w:tcBorders>
            <w:vAlign w:val="center"/>
          </w:tcPr>
          <w:p>
            <w:pPr>
              <w:spacing w:line="240" w:lineRule="auto"/>
              <w:ind w:firstLine="0" w:firstLineChars="0"/>
              <w:jc w:val="center"/>
              <w:rPr>
                <w:sz w:val="21"/>
                <w:szCs w:val="21"/>
                <w:u w:val="none"/>
              </w:rPr>
            </w:pPr>
            <w:r>
              <w:rPr>
                <w:rFonts w:hint="eastAsia"/>
                <w:sz w:val="21"/>
                <w:szCs w:val="21"/>
                <w:u w:val="none"/>
              </w:rPr>
              <w:t>1次/3天</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 w:hRule="atLeast"/>
        </w:trPr>
        <w:tc>
          <w:tcPr>
            <w:tcW w:w="1172" w:type="pct"/>
            <w:vMerge w:val="continue"/>
            <w:tcBorders>
              <w:tl2br w:val="nil"/>
              <w:tr2bl w:val="nil"/>
            </w:tcBorders>
            <w:vAlign w:val="center"/>
          </w:tcPr>
          <w:p>
            <w:pPr>
              <w:spacing w:line="240" w:lineRule="auto"/>
              <w:ind w:firstLine="0" w:firstLineChars="0"/>
              <w:jc w:val="center"/>
              <w:rPr>
                <w:sz w:val="21"/>
                <w:szCs w:val="21"/>
                <w:u w:val="none"/>
              </w:rPr>
            </w:pPr>
          </w:p>
        </w:tc>
        <w:tc>
          <w:tcPr>
            <w:tcW w:w="1672" w:type="pct"/>
            <w:tcBorders>
              <w:tl2br w:val="nil"/>
              <w:tr2bl w:val="nil"/>
            </w:tcBorders>
            <w:vAlign w:val="center"/>
          </w:tcPr>
          <w:p>
            <w:pPr>
              <w:adjustRightInd w:val="0"/>
              <w:snapToGrid w:val="0"/>
              <w:spacing w:line="240" w:lineRule="auto"/>
              <w:ind w:firstLine="0" w:firstLineChars="0"/>
              <w:jc w:val="center"/>
              <w:rPr>
                <w:sz w:val="21"/>
                <w:szCs w:val="21"/>
                <w:u w:val="none"/>
              </w:rPr>
            </w:pPr>
            <w:r>
              <w:rPr>
                <w:rFonts w:hint="eastAsia"/>
                <w:sz w:val="21"/>
                <w:szCs w:val="21"/>
                <w:u w:val="none"/>
              </w:rPr>
              <w:t>入河排污口与资水汇入断面</w:t>
            </w:r>
          </w:p>
        </w:tc>
        <w:tc>
          <w:tcPr>
            <w:tcW w:w="1180" w:type="pct"/>
            <w:vMerge w:val="continue"/>
            <w:tcBorders>
              <w:tl2br w:val="nil"/>
              <w:tr2bl w:val="nil"/>
            </w:tcBorders>
            <w:vAlign w:val="center"/>
          </w:tcPr>
          <w:p>
            <w:pPr>
              <w:spacing w:line="240" w:lineRule="auto"/>
              <w:ind w:firstLine="0" w:firstLineChars="0"/>
              <w:jc w:val="center"/>
              <w:rPr>
                <w:sz w:val="21"/>
                <w:szCs w:val="21"/>
                <w:u w:val="none"/>
              </w:rPr>
            </w:pPr>
          </w:p>
        </w:tc>
        <w:tc>
          <w:tcPr>
            <w:tcW w:w="974" w:type="pct"/>
            <w:vMerge w:val="continue"/>
            <w:tcBorders>
              <w:tl2br w:val="nil"/>
              <w:tr2bl w:val="nil"/>
            </w:tcBorders>
            <w:vAlign w:val="center"/>
          </w:tcPr>
          <w:p>
            <w:pPr>
              <w:spacing w:line="240" w:lineRule="auto"/>
              <w:ind w:firstLine="0" w:firstLineChars="0"/>
              <w:jc w:val="center"/>
              <w:rPr>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 w:hRule="atLeast"/>
        </w:trPr>
        <w:tc>
          <w:tcPr>
            <w:tcW w:w="1172" w:type="pct"/>
            <w:vMerge w:val="continue"/>
            <w:tcBorders>
              <w:tl2br w:val="nil"/>
              <w:tr2bl w:val="nil"/>
            </w:tcBorders>
            <w:vAlign w:val="center"/>
          </w:tcPr>
          <w:p>
            <w:pPr>
              <w:spacing w:line="240" w:lineRule="auto"/>
              <w:ind w:firstLine="0" w:firstLineChars="0"/>
              <w:jc w:val="center"/>
              <w:rPr>
                <w:sz w:val="21"/>
                <w:szCs w:val="21"/>
                <w:u w:val="none"/>
              </w:rPr>
            </w:pPr>
          </w:p>
        </w:tc>
        <w:tc>
          <w:tcPr>
            <w:tcW w:w="1672" w:type="pct"/>
            <w:tcBorders>
              <w:tl2br w:val="nil"/>
              <w:tr2bl w:val="nil"/>
            </w:tcBorders>
            <w:vAlign w:val="center"/>
          </w:tcPr>
          <w:p>
            <w:pPr>
              <w:adjustRightInd w:val="0"/>
              <w:snapToGrid w:val="0"/>
              <w:spacing w:line="240" w:lineRule="auto"/>
              <w:ind w:firstLine="0" w:firstLineChars="0"/>
              <w:jc w:val="center"/>
              <w:rPr>
                <w:sz w:val="21"/>
                <w:szCs w:val="21"/>
                <w:u w:val="none"/>
              </w:rPr>
            </w:pPr>
            <w:r>
              <w:rPr>
                <w:rFonts w:hint="eastAsia"/>
                <w:sz w:val="21"/>
                <w:szCs w:val="21"/>
                <w:u w:val="none"/>
              </w:rPr>
              <w:t>入河排污口下游300m</w:t>
            </w:r>
          </w:p>
        </w:tc>
        <w:tc>
          <w:tcPr>
            <w:tcW w:w="1180" w:type="pct"/>
            <w:vMerge w:val="continue"/>
            <w:tcBorders>
              <w:tl2br w:val="nil"/>
              <w:tr2bl w:val="nil"/>
            </w:tcBorders>
            <w:vAlign w:val="center"/>
          </w:tcPr>
          <w:p>
            <w:pPr>
              <w:spacing w:line="240" w:lineRule="auto"/>
              <w:ind w:firstLine="0" w:firstLineChars="0"/>
              <w:jc w:val="center"/>
              <w:rPr>
                <w:sz w:val="21"/>
                <w:szCs w:val="21"/>
                <w:u w:val="none"/>
              </w:rPr>
            </w:pPr>
          </w:p>
        </w:tc>
        <w:tc>
          <w:tcPr>
            <w:tcW w:w="974" w:type="pct"/>
            <w:vMerge w:val="continue"/>
            <w:tcBorders>
              <w:tl2br w:val="nil"/>
              <w:tr2bl w:val="nil"/>
            </w:tcBorders>
            <w:vAlign w:val="center"/>
          </w:tcPr>
          <w:p>
            <w:pPr>
              <w:spacing w:line="240" w:lineRule="auto"/>
              <w:ind w:firstLine="0" w:firstLineChars="0"/>
              <w:jc w:val="center"/>
              <w:rPr>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 w:hRule="atLeast"/>
        </w:trPr>
        <w:tc>
          <w:tcPr>
            <w:tcW w:w="1172" w:type="pct"/>
            <w:vMerge w:val="continue"/>
            <w:tcBorders>
              <w:tl2br w:val="nil"/>
              <w:tr2bl w:val="nil"/>
            </w:tcBorders>
            <w:vAlign w:val="center"/>
          </w:tcPr>
          <w:p>
            <w:pPr>
              <w:spacing w:line="240" w:lineRule="auto"/>
              <w:ind w:firstLine="0" w:firstLineChars="0"/>
              <w:jc w:val="center"/>
              <w:rPr>
                <w:sz w:val="21"/>
                <w:szCs w:val="21"/>
                <w:u w:val="none"/>
              </w:rPr>
            </w:pPr>
          </w:p>
        </w:tc>
        <w:tc>
          <w:tcPr>
            <w:tcW w:w="1672" w:type="pct"/>
            <w:tcBorders>
              <w:tl2br w:val="nil"/>
              <w:tr2bl w:val="nil"/>
            </w:tcBorders>
            <w:vAlign w:val="center"/>
          </w:tcPr>
          <w:p>
            <w:pPr>
              <w:adjustRightInd w:val="0"/>
              <w:snapToGrid w:val="0"/>
              <w:spacing w:line="240" w:lineRule="auto"/>
              <w:ind w:firstLine="0" w:firstLineChars="0"/>
              <w:jc w:val="center"/>
              <w:rPr>
                <w:sz w:val="21"/>
                <w:szCs w:val="21"/>
                <w:u w:val="none"/>
              </w:rPr>
            </w:pPr>
            <w:r>
              <w:rPr>
                <w:rFonts w:hint="eastAsia"/>
                <w:sz w:val="21"/>
                <w:szCs w:val="21"/>
                <w:u w:val="none"/>
              </w:rPr>
              <w:t>入河排污口下游600m</w:t>
            </w:r>
          </w:p>
        </w:tc>
        <w:tc>
          <w:tcPr>
            <w:tcW w:w="1180" w:type="pct"/>
            <w:vMerge w:val="continue"/>
            <w:tcBorders>
              <w:tl2br w:val="nil"/>
              <w:tr2bl w:val="nil"/>
            </w:tcBorders>
            <w:vAlign w:val="center"/>
          </w:tcPr>
          <w:p>
            <w:pPr>
              <w:spacing w:line="240" w:lineRule="auto"/>
              <w:ind w:firstLine="0" w:firstLineChars="0"/>
              <w:jc w:val="center"/>
              <w:rPr>
                <w:sz w:val="21"/>
                <w:szCs w:val="21"/>
                <w:u w:val="none"/>
              </w:rPr>
            </w:pPr>
          </w:p>
        </w:tc>
        <w:tc>
          <w:tcPr>
            <w:tcW w:w="974" w:type="pct"/>
            <w:vMerge w:val="continue"/>
            <w:tcBorders>
              <w:tl2br w:val="nil"/>
              <w:tr2bl w:val="nil"/>
            </w:tcBorders>
            <w:vAlign w:val="center"/>
          </w:tcPr>
          <w:p>
            <w:pPr>
              <w:spacing w:line="240" w:lineRule="auto"/>
              <w:ind w:firstLine="0" w:firstLineChars="0"/>
              <w:jc w:val="center"/>
              <w:rPr>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 w:hRule="atLeast"/>
        </w:trPr>
        <w:tc>
          <w:tcPr>
            <w:tcW w:w="1172" w:type="pct"/>
            <w:vMerge w:val="continue"/>
            <w:tcBorders>
              <w:tl2br w:val="nil"/>
              <w:tr2bl w:val="nil"/>
            </w:tcBorders>
            <w:vAlign w:val="center"/>
          </w:tcPr>
          <w:p>
            <w:pPr>
              <w:spacing w:line="240" w:lineRule="auto"/>
              <w:ind w:firstLine="0" w:firstLineChars="0"/>
              <w:jc w:val="center"/>
              <w:rPr>
                <w:sz w:val="21"/>
                <w:szCs w:val="21"/>
                <w:u w:val="none"/>
              </w:rPr>
            </w:pPr>
          </w:p>
        </w:tc>
        <w:tc>
          <w:tcPr>
            <w:tcW w:w="1672" w:type="pct"/>
            <w:tcBorders>
              <w:tl2br w:val="nil"/>
              <w:tr2bl w:val="nil"/>
            </w:tcBorders>
            <w:vAlign w:val="center"/>
          </w:tcPr>
          <w:p>
            <w:pPr>
              <w:adjustRightInd w:val="0"/>
              <w:snapToGrid w:val="0"/>
              <w:spacing w:line="240" w:lineRule="auto"/>
              <w:ind w:firstLine="0" w:firstLineChars="0"/>
              <w:jc w:val="center"/>
              <w:rPr>
                <w:sz w:val="21"/>
                <w:szCs w:val="21"/>
                <w:u w:val="none"/>
              </w:rPr>
            </w:pPr>
            <w:r>
              <w:rPr>
                <w:rFonts w:hint="eastAsia"/>
                <w:sz w:val="21"/>
                <w:szCs w:val="21"/>
                <w:u w:val="none"/>
              </w:rPr>
              <w:t>入河排污口下游1500m</w:t>
            </w:r>
          </w:p>
        </w:tc>
        <w:tc>
          <w:tcPr>
            <w:tcW w:w="1180" w:type="pct"/>
            <w:vMerge w:val="continue"/>
            <w:tcBorders>
              <w:tl2br w:val="nil"/>
              <w:tr2bl w:val="nil"/>
            </w:tcBorders>
            <w:vAlign w:val="center"/>
          </w:tcPr>
          <w:p>
            <w:pPr>
              <w:spacing w:line="240" w:lineRule="auto"/>
              <w:ind w:firstLine="0" w:firstLineChars="0"/>
              <w:jc w:val="center"/>
              <w:rPr>
                <w:sz w:val="21"/>
                <w:szCs w:val="21"/>
                <w:u w:val="none"/>
              </w:rPr>
            </w:pPr>
          </w:p>
        </w:tc>
        <w:tc>
          <w:tcPr>
            <w:tcW w:w="974" w:type="pct"/>
            <w:vMerge w:val="continue"/>
            <w:tcBorders>
              <w:tl2br w:val="nil"/>
              <w:tr2bl w:val="nil"/>
            </w:tcBorders>
            <w:vAlign w:val="center"/>
          </w:tcPr>
          <w:p>
            <w:pPr>
              <w:spacing w:line="240" w:lineRule="auto"/>
              <w:ind w:firstLine="0" w:firstLineChars="0"/>
              <w:jc w:val="center"/>
              <w:rPr>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 w:hRule="atLeast"/>
        </w:trPr>
        <w:tc>
          <w:tcPr>
            <w:tcW w:w="1172" w:type="pct"/>
            <w:vMerge w:val="continue"/>
            <w:tcBorders>
              <w:tl2br w:val="nil"/>
              <w:tr2bl w:val="nil"/>
            </w:tcBorders>
            <w:vAlign w:val="center"/>
          </w:tcPr>
          <w:p>
            <w:pPr>
              <w:spacing w:line="240" w:lineRule="auto"/>
              <w:ind w:firstLine="0" w:firstLineChars="0"/>
              <w:jc w:val="center"/>
              <w:rPr>
                <w:sz w:val="21"/>
                <w:szCs w:val="21"/>
                <w:u w:val="none"/>
              </w:rPr>
            </w:pPr>
          </w:p>
        </w:tc>
        <w:tc>
          <w:tcPr>
            <w:tcW w:w="1672" w:type="pct"/>
            <w:tcBorders>
              <w:tl2br w:val="nil"/>
              <w:tr2bl w:val="nil"/>
            </w:tcBorders>
            <w:vAlign w:val="center"/>
          </w:tcPr>
          <w:p>
            <w:pPr>
              <w:adjustRightInd w:val="0"/>
              <w:snapToGrid w:val="0"/>
              <w:spacing w:line="240" w:lineRule="auto"/>
              <w:ind w:firstLine="0" w:firstLineChars="0"/>
              <w:jc w:val="center"/>
              <w:rPr>
                <w:sz w:val="21"/>
                <w:szCs w:val="21"/>
                <w:u w:val="none"/>
              </w:rPr>
            </w:pPr>
            <w:r>
              <w:rPr>
                <w:rFonts w:hint="eastAsia"/>
                <w:sz w:val="21"/>
                <w:szCs w:val="21"/>
                <w:u w:val="none"/>
              </w:rPr>
              <w:t>入河排污口下游3000m</w:t>
            </w:r>
          </w:p>
        </w:tc>
        <w:tc>
          <w:tcPr>
            <w:tcW w:w="1180" w:type="pct"/>
            <w:vMerge w:val="continue"/>
            <w:tcBorders>
              <w:tl2br w:val="nil"/>
              <w:tr2bl w:val="nil"/>
            </w:tcBorders>
            <w:vAlign w:val="center"/>
          </w:tcPr>
          <w:p>
            <w:pPr>
              <w:spacing w:line="240" w:lineRule="auto"/>
              <w:ind w:firstLine="0" w:firstLineChars="0"/>
              <w:jc w:val="center"/>
              <w:rPr>
                <w:sz w:val="21"/>
                <w:szCs w:val="21"/>
                <w:u w:val="none"/>
              </w:rPr>
            </w:pPr>
          </w:p>
        </w:tc>
        <w:tc>
          <w:tcPr>
            <w:tcW w:w="974" w:type="pct"/>
            <w:vMerge w:val="continue"/>
            <w:tcBorders>
              <w:tl2br w:val="nil"/>
              <w:tr2bl w:val="nil"/>
            </w:tcBorders>
            <w:vAlign w:val="center"/>
          </w:tcPr>
          <w:p>
            <w:pPr>
              <w:spacing w:line="240" w:lineRule="auto"/>
              <w:ind w:firstLine="0" w:firstLineChars="0"/>
              <w:jc w:val="center"/>
              <w:rPr>
                <w:sz w:val="21"/>
                <w:szCs w:val="21"/>
                <w:u w:val="none"/>
              </w:rPr>
            </w:pPr>
          </w:p>
        </w:tc>
      </w:tr>
    </w:tbl>
    <w:p>
      <w:pPr>
        <w:ind w:firstLine="480"/>
        <w:rPr>
          <w:u w:val="none"/>
        </w:rPr>
      </w:pPr>
      <w:r>
        <w:rPr>
          <w:u w:val="none"/>
        </w:rPr>
        <w:t>（2）水质监测分析方法</w:t>
      </w:r>
    </w:p>
    <w:p>
      <w:pPr>
        <w:ind w:firstLine="480"/>
        <w:rPr>
          <w:u w:val="none"/>
        </w:rPr>
      </w:pPr>
      <w:r>
        <w:rPr>
          <w:u w:val="none"/>
        </w:rPr>
        <w:t>各检测项目的检测方法及检出限下表3.</w:t>
      </w:r>
      <w:r>
        <w:rPr>
          <w:rFonts w:hint="eastAsia"/>
          <w:u w:val="none"/>
        </w:rPr>
        <w:t>1.2</w:t>
      </w:r>
      <w:r>
        <w:rPr>
          <w:u w:val="none"/>
        </w:rPr>
        <w:t>-2。</w:t>
      </w:r>
    </w:p>
    <w:p>
      <w:pPr>
        <w:spacing w:line="240" w:lineRule="auto"/>
        <w:ind w:firstLine="0" w:firstLineChars="0"/>
        <w:jc w:val="center"/>
        <w:rPr>
          <w:b/>
          <w:bCs/>
          <w:u w:val="none"/>
        </w:rPr>
      </w:pPr>
      <w:r>
        <w:rPr>
          <w:b/>
          <w:bCs/>
          <w:u w:val="none"/>
        </w:rPr>
        <w:t>表3.</w:t>
      </w:r>
      <w:r>
        <w:rPr>
          <w:rFonts w:hint="eastAsia"/>
          <w:b/>
          <w:bCs/>
          <w:u w:val="none"/>
        </w:rPr>
        <w:t>1.2</w:t>
      </w:r>
      <w:r>
        <w:rPr>
          <w:b/>
          <w:bCs/>
          <w:u w:val="none"/>
        </w:rPr>
        <w:t>-2地表水监测分析方法表</w:t>
      </w:r>
    </w:p>
    <w:tbl>
      <w:tblPr>
        <w:tblStyle w:val="31"/>
        <w:tblW w:w="4997"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Layout w:type="autofit"/>
        <w:tblCellMar>
          <w:top w:w="0" w:type="dxa"/>
          <w:left w:w="108" w:type="dxa"/>
          <w:bottom w:w="0" w:type="dxa"/>
          <w:right w:w="108" w:type="dxa"/>
        </w:tblCellMar>
      </w:tblPr>
      <w:tblGrid>
        <w:gridCol w:w="1106"/>
        <w:gridCol w:w="1135"/>
        <w:gridCol w:w="2695"/>
        <w:gridCol w:w="1538"/>
        <w:gridCol w:w="1168"/>
        <w:gridCol w:w="163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cantSplit/>
          <w:trHeight w:val="507" w:hRule="atLeast"/>
          <w:tblHeader/>
          <w:jc w:val="center"/>
        </w:trPr>
        <w:tc>
          <w:tcPr>
            <w:tcW w:w="596" w:type="pct"/>
            <w:tcBorders>
              <w:tl2br w:val="nil"/>
              <w:tr2bl w:val="nil"/>
            </w:tcBorders>
            <w:vAlign w:val="center"/>
          </w:tcPr>
          <w:p>
            <w:pPr>
              <w:pStyle w:val="70"/>
              <w:rPr>
                <w:u w:val="none"/>
              </w:rPr>
            </w:pPr>
            <w:r>
              <w:rPr>
                <w:u w:val="none"/>
              </w:rPr>
              <w:t>检测类型</w:t>
            </w:r>
          </w:p>
        </w:tc>
        <w:tc>
          <w:tcPr>
            <w:tcW w:w="611" w:type="pct"/>
            <w:tcBorders>
              <w:tl2br w:val="nil"/>
              <w:tr2bl w:val="nil"/>
            </w:tcBorders>
            <w:vAlign w:val="center"/>
          </w:tcPr>
          <w:p>
            <w:pPr>
              <w:pStyle w:val="70"/>
              <w:rPr>
                <w:u w:val="none"/>
              </w:rPr>
            </w:pPr>
            <w:r>
              <w:rPr>
                <w:u w:val="none"/>
              </w:rPr>
              <w:t>检测项目</w:t>
            </w:r>
          </w:p>
        </w:tc>
        <w:tc>
          <w:tcPr>
            <w:tcW w:w="1451" w:type="pct"/>
            <w:tcBorders>
              <w:tl2br w:val="nil"/>
              <w:tr2bl w:val="nil"/>
            </w:tcBorders>
            <w:vAlign w:val="center"/>
          </w:tcPr>
          <w:p>
            <w:pPr>
              <w:pStyle w:val="70"/>
              <w:rPr>
                <w:u w:val="none"/>
              </w:rPr>
            </w:pPr>
            <w:r>
              <w:rPr>
                <w:u w:val="none"/>
              </w:rPr>
              <w:t>分析方法</w:t>
            </w:r>
          </w:p>
        </w:tc>
        <w:tc>
          <w:tcPr>
            <w:tcW w:w="828" w:type="pct"/>
            <w:tcBorders>
              <w:tl2br w:val="nil"/>
              <w:tr2bl w:val="nil"/>
            </w:tcBorders>
            <w:vAlign w:val="center"/>
          </w:tcPr>
          <w:p>
            <w:pPr>
              <w:pStyle w:val="70"/>
              <w:rPr>
                <w:u w:val="none"/>
              </w:rPr>
            </w:pPr>
            <w:r>
              <w:rPr>
                <w:u w:val="none"/>
              </w:rPr>
              <w:t>使用仪器</w:t>
            </w:r>
          </w:p>
        </w:tc>
        <w:tc>
          <w:tcPr>
            <w:tcW w:w="629" w:type="pct"/>
            <w:tcBorders>
              <w:tl2br w:val="nil"/>
              <w:tr2bl w:val="nil"/>
            </w:tcBorders>
            <w:vAlign w:val="center"/>
          </w:tcPr>
          <w:p>
            <w:pPr>
              <w:pStyle w:val="70"/>
              <w:rPr>
                <w:u w:val="none"/>
              </w:rPr>
            </w:pPr>
            <w:r>
              <w:rPr>
                <w:u w:val="none"/>
              </w:rPr>
              <w:t>仪器编号</w:t>
            </w:r>
          </w:p>
        </w:tc>
        <w:tc>
          <w:tcPr>
            <w:tcW w:w="882" w:type="pct"/>
            <w:tcBorders>
              <w:tl2br w:val="nil"/>
              <w:tr2bl w:val="nil"/>
            </w:tcBorders>
            <w:vAlign w:val="center"/>
          </w:tcPr>
          <w:p>
            <w:pPr>
              <w:pStyle w:val="70"/>
              <w:rPr>
                <w:u w:val="none"/>
              </w:rPr>
            </w:pPr>
            <w:r>
              <w:rPr>
                <w:u w:val="none"/>
              </w:rPr>
              <w:t>检出限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cantSplit/>
          <w:trHeight w:val="454" w:hRule="atLeast"/>
          <w:jc w:val="center"/>
        </w:trPr>
        <w:tc>
          <w:tcPr>
            <w:tcW w:w="596" w:type="pct"/>
            <w:vMerge w:val="restart"/>
            <w:tcBorders>
              <w:tl2br w:val="nil"/>
              <w:tr2bl w:val="nil"/>
            </w:tcBorders>
            <w:vAlign w:val="center"/>
          </w:tcPr>
          <w:p>
            <w:pPr>
              <w:pStyle w:val="70"/>
              <w:rPr>
                <w:u w:val="none"/>
              </w:rPr>
            </w:pPr>
            <w:r>
              <w:rPr>
                <w:rFonts w:hint="eastAsia"/>
                <w:u w:val="none"/>
              </w:rPr>
              <w:t>地表水</w:t>
            </w:r>
          </w:p>
        </w:tc>
        <w:tc>
          <w:tcPr>
            <w:tcW w:w="611" w:type="pct"/>
            <w:tcBorders>
              <w:tl2br w:val="nil"/>
              <w:tr2bl w:val="nil"/>
            </w:tcBorders>
            <w:vAlign w:val="center"/>
          </w:tcPr>
          <w:p>
            <w:pPr>
              <w:pStyle w:val="70"/>
              <w:rPr>
                <w:u w:val="none"/>
              </w:rPr>
            </w:pPr>
            <w:r>
              <w:rPr>
                <w:u w:val="none"/>
              </w:rPr>
              <w:t>pH值</w:t>
            </w:r>
          </w:p>
        </w:tc>
        <w:tc>
          <w:tcPr>
            <w:tcW w:w="1451" w:type="pct"/>
            <w:tcBorders>
              <w:tl2br w:val="nil"/>
              <w:tr2bl w:val="nil"/>
            </w:tcBorders>
            <w:vAlign w:val="center"/>
          </w:tcPr>
          <w:p>
            <w:pPr>
              <w:pStyle w:val="70"/>
              <w:rPr>
                <w:u w:val="none"/>
              </w:rPr>
            </w:pPr>
            <w:r>
              <w:rPr>
                <w:u w:val="none"/>
              </w:rPr>
              <w:t>《水质pH值的测定电极法》HJ1147-2020</w:t>
            </w:r>
          </w:p>
        </w:tc>
        <w:tc>
          <w:tcPr>
            <w:tcW w:w="828" w:type="pct"/>
            <w:tcBorders>
              <w:tl2br w:val="nil"/>
              <w:tr2bl w:val="nil"/>
            </w:tcBorders>
            <w:vAlign w:val="center"/>
          </w:tcPr>
          <w:p>
            <w:pPr>
              <w:pStyle w:val="70"/>
              <w:rPr>
                <w:u w:val="none"/>
              </w:rPr>
            </w:pPr>
            <w:r>
              <w:rPr>
                <w:u w:val="none"/>
              </w:rPr>
              <w:t>SX736</w:t>
            </w:r>
          </w:p>
          <w:p>
            <w:pPr>
              <w:pStyle w:val="70"/>
              <w:rPr>
                <w:u w:val="none"/>
              </w:rPr>
            </w:pPr>
            <w:r>
              <w:rPr>
                <w:u w:val="none"/>
              </w:rPr>
              <w:t>pH/mV/电导率/溶解氧测量仪</w:t>
            </w:r>
          </w:p>
        </w:tc>
        <w:tc>
          <w:tcPr>
            <w:tcW w:w="629" w:type="pct"/>
            <w:tcBorders>
              <w:tl2br w:val="nil"/>
              <w:tr2bl w:val="nil"/>
            </w:tcBorders>
            <w:vAlign w:val="center"/>
          </w:tcPr>
          <w:p>
            <w:pPr>
              <w:pStyle w:val="70"/>
              <w:rPr>
                <w:u w:val="none"/>
              </w:rPr>
            </w:pPr>
            <w:r>
              <w:rPr>
                <w:u w:val="none"/>
              </w:rPr>
              <w:t>XJHB-233</w:t>
            </w:r>
          </w:p>
        </w:tc>
        <w:tc>
          <w:tcPr>
            <w:tcW w:w="882" w:type="pct"/>
            <w:tcBorders>
              <w:tl2br w:val="nil"/>
              <w:tr2bl w:val="nil"/>
            </w:tcBorders>
            <w:vAlign w:val="center"/>
          </w:tcPr>
          <w:p>
            <w:pPr>
              <w:pStyle w:val="70"/>
              <w:rPr>
                <w:u w:val="none"/>
              </w:rPr>
            </w:pPr>
            <w:r>
              <w:rPr>
                <w:u w:val="non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cantSplit/>
          <w:trHeight w:val="454" w:hRule="atLeast"/>
          <w:jc w:val="center"/>
        </w:trPr>
        <w:tc>
          <w:tcPr>
            <w:tcW w:w="596" w:type="pct"/>
            <w:vMerge w:val="continue"/>
            <w:tcBorders>
              <w:tl2br w:val="nil"/>
              <w:tr2bl w:val="nil"/>
            </w:tcBorders>
            <w:vAlign w:val="center"/>
          </w:tcPr>
          <w:p>
            <w:pPr>
              <w:pStyle w:val="70"/>
              <w:rPr>
                <w:u w:val="none"/>
              </w:rPr>
            </w:pPr>
          </w:p>
        </w:tc>
        <w:tc>
          <w:tcPr>
            <w:tcW w:w="611" w:type="pct"/>
            <w:tcBorders>
              <w:tl2br w:val="nil"/>
              <w:tr2bl w:val="nil"/>
            </w:tcBorders>
            <w:vAlign w:val="center"/>
          </w:tcPr>
          <w:p>
            <w:pPr>
              <w:pStyle w:val="70"/>
              <w:rPr>
                <w:u w:val="none"/>
              </w:rPr>
            </w:pPr>
            <w:r>
              <w:rPr>
                <w:rFonts w:hint="eastAsia"/>
                <w:u w:val="none"/>
              </w:rPr>
              <w:t>悬浮物</w:t>
            </w:r>
          </w:p>
        </w:tc>
        <w:tc>
          <w:tcPr>
            <w:tcW w:w="1451" w:type="pct"/>
            <w:tcBorders>
              <w:tl2br w:val="nil"/>
              <w:tr2bl w:val="nil"/>
            </w:tcBorders>
            <w:vAlign w:val="center"/>
          </w:tcPr>
          <w:p>
            <w:pPr>
              <w:pStyle w:val="70"/>
              <w:rPr>
                <w:u w:val="none"/>
              </w:rPr>
            </w:pPr>
            <w:r>
              <w:rPr>
                <w:rFonts w:hint="eastAsia"/>
                <w:u w:val="none"/>
              </w:rPr>
              <w:t>《水质悬浮物的测定重量法》GB11901-889</w:t>
            </w:r>
          </w:p>
        </w:tc>
        <w:tc>
          <w:tcPr>
            <w:tcW w:w="828" w:type="pct"/>
            <w:tcBorders>
              <w:tl2br w:val="nil"/>
              <w:tr2bl w:val="nil"/>
            </w:tcBorders>
            <w:vAlign w:val="center"/>
          </w:tcPr>
          <w:p>
            <w:pPr>
              <w:pStyle w:val="70"/>
              <w:rPr>
                <w:u w:val="none"/>
              </w:rPr>
            </w:pPr>
            <w:r>
              <w:rPr>
                <w:rFonts w:hint="eastAsia"/>
                <w:u w:val="none"/>
              </w:rPr>
              <w:t>FA1004万分之一天平</w:t>
            </w:r>
          </w:p>
        </w:tc>
        <w:tc>
          <w:tcPr>
            <w:tcW w:w="629" w:type="pct"/>
            <w:tcBorders>
              <w:tl2br w:val="nil"/>
              <w:tr2bl w:val="nil"/>
            </w:tcBorders>
            <w:vAlign w:val="center"/>
          </w:tcPr>
          <w:p>
            <w:pPr>
              <w:pStyle w:val="70"/>
              <w:rPr>
                <w:u w:val="none"/>
              </w:rPr>
            </w:pPr>
            <w:r>
              <w:rPr>
                <w:u w:val="none"/>
              </w:rPr>
              <w:t>XJHB-0</w:t>
            </w:r>
            <w:r>
              <w:rPr>
                <w:rFonts w:hint="eastAsia"/>
                <w:u w:val="none"/>
              </w:rPr>
              <w:t>02</w:t>
            </w:r>
          </w:p>
        </w:tc>
        <w:tc>
          <w:tcPr>
            <w:tcW w:w="882" w:type="pct"/>
            <w:tcBorders>
              <w:tl2br w:val="nil"/>
              <w:tr2bl w:val="nil"/>
            </w:tcBorders>
            <w:vAlign w:val="center"/>
          </w:tcPr>
          <w:p>
            <w:pPr>
              <w:pStyle w:val="70"/>
              <w:rPr>
                <w:u w:val="none"/>
              </w:rPr>
            </w:pPr>
            <w:r>
              <w:rPr>
                <w:u w:val="none"/>
              </w:rPr>
              <w:t>4mg/L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cantSplit/>
          <w:trHeight w:val="724" w:hRule="atLeast"/>
          <w:jc w:val="center"/>
        </w:trPr>
        <w:tc>
          <w:tcPr>
            <w:tcW w:w="596" w:type="pct"/>
            <w:vMerge w:val="continue"/>
            <w:tcBorders>
              <w:tl2br w:val="nil"/>
              <w:tr2bl w:val="nil"/>
            </w:tcBorders>
            <w:vAlign w:val="center"/>
          </w:tcPr>
          <w:p>
            <w:pPr>
              <w:pStyle w:val="70"/>
              <w:rPr>
                <w:u w:val="none"/>
              </w:rPr>
            </w:pPr>
          </w:p>
        </w:tc>
        <w:tc>
          <w:tcPr>
            <w:tcW w:w="611" w:type="pct"/>
            <w:tcBorders>
              <w:tl2br w:val="nil"/>
              <w:tr2bl w:val="nil"/>
            </w:tcBorders>
            <w:vAlign w:val="center"/>
          </w:tcPr>
          <w:p>
            <w:pPr>
              <w:pStyle w:val="70"/>
              <w:rPr>
                <w:u w:val="none"/>
              </w:rPr>
            </w:pPr>
            <w:r>
              <w:rPr>
                <w:u w:val="none"/>
              </w:rPr>
              <w:t>化学需氧量</w:t>
            </w:r>
          </w:p>
        </w:tc>
        <w:tc>
          <w:tcPr>
            <w:tcW w:w="1451" w:type="pct"/>
            <w:tcBorders>
              <w:tl2br w:val="nil"/>
              <w:tr2bl w:val="nil"/>
            </w:tcBorders>
            <w:vAlign w:val="center"/>
          </w:tcPr>
          <w:p>
            <w:pPr>
              <w:pStyle w:val="70"/>
              <w:rPr>
                <w:u w:val="none"/>
              </w:rPr>
            </w:pPr>
            <w:r>
              <w:rPr>
                <w:u w:val="none"/>
              </w:rPr>
              <w:t>《水质化学需氧量的测定重铬酸盐法》HJ828-2017</w:t>
            </w:r>
          </w:p>
        </w:tc>
        <w:tc>
          <w:tcPr>
            <w:tcW w:w="828" w:type="pct"/>
            <w:tcBorders>
              <w:tl2br w:val="nil"/>
              <w:tr2bl w:val="nil"/>
            </w:tcBorders>
            <w:vAlign w:val="center"/>
          </w:tcPr>
          <w:p>
            <w:pPr>
              <w:pStyle w:val="70"/>
              <w:rPr>
                <w:u w:val="none"/>
              </w:rPr>
            </w:pPr>
            <w:r>
              <w:rPr>
                <w:u w:val="none"/>
              </w:rPr>
              <w:t>HRA-101标准COD消解器</w:t>
            </w:r>
          </w:p>
        </w:tc>
        <w:tc>
          <w:tcPr>
            <w:tcW w:w="629" w:type="pct"/>
            <w:tcBorders>
              <w:tl2br w:val="nil"/>
              <w:tr2bl w:val="nil"/>
            </w:tcBorders>
            <w:vAlign w:val="center"/>
          </w:tcPr>
          <w:p>
            <w:pPr>
              <w:pStyle w:val="70"/>
              <w:rPr>
                <w:u w:val="none"/>
              </w:rPr>
            </w:pPr>
            <w:r>
              <w:rPr>
                <w:u w:val="none"/>
              </w:rPr>
              <w:t>XJHB-093</w:t>
            </w:r>
          </w:p>
        </w:tc>
        <w:tc>
          <w:tcPr>
            <w:tcW w:w="882" w:type="pct"/>
            <w:tcBorders>
              <w:tl2br w:val="nil"/>
              <w:tr2bl w:val="nil"/>
            </w:tcBorders>
            <w:vAlign w:val="center"/>
          </w:tcPr>
          <w:p>
            <w:pPr>
              <w:pStyle w:val="70"/>
              <w:rPr>
                <w:u w:val="none"/>
              </w:rPr>
            </w:pPr>
            <w:r>
              <w:rPr>
                <w:u w:val="none"/>
              </w:rPr>
              <w:t>4mg/L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cantSplit/>
          <w:trHeight w:val="454" w:hRule="atLeast"/>
          <w:jc w:val="center"/>
        </w:trPr>
        <w:tc>
          <w:tcPr>
            <w:tcW w:w="596" w:type="pct"/>
            <w:vMerge w:val="continue"/>
            <w:tcBorders>
              <w:tl2br w:val="nil"/>
              <w:tr2bl w:val="nil"/>
            </w:tcBorders>
            <w:vAlign w:val="center"/>
          </w:tcPr>
          <w:p>
            <w:pPr>
              <w:pStyle w:val="70"/>
              <w:rPr>
                <w:u w:val="none"/>
              </w:rPr>
            </w:pPr>
          </w:p>
        </w:tc>
        <w:tc>
          <w:tcPr>
            <w:tcW w:w="611" w:type="pct"/>
            <w:tcBorders>
              <w:tl2br w:val="nil"/>
              <w:tr2bl w:val="nil"/>
            </w:tcBorders>
            <w:vAlign w:val="center"/>
          </w:tcPr>
          <w:p>
            <w:pPr>
              <w:pStyle w:val="70"/>
              <w:rPr>
                <w:u w:val="none"/>
              </w:rPr>
            </w:pPr>
            <w:r>
              <w:rPr>
                <w:u w:val="none"/>
              </w:rPr>
              <w:t>五日生化需氧量</w:t>
            </w:r>
          </w:p>
        </w:tc>
        <w:tc>
          <w:tcPr>
            <w:tcW w:w="1451" w:type="pct"/>
            <w:tcBorders>
              <w:tl2br w:val="nil"/>
              <w:tr2bl w:val="nil"/>
            </w:tcBorders>
            <w:vAlign w:val="center"/>
          </w:tcPr>
          <w:p>
            <w:pPr>
              <w:pStyle w:val="70"/>
              <w:rPr>
                <w:u w:val="none"/>
              </w:rPr>
            </w:pPr>
            <w:r>
              <w:rPr>
                <w:u w:val="none"/>
              </w:rPr>
              <w:t>《水质五日生化需氧量（BOD5）的测定稀释与接种法》HJ505-2009</w:t>
            </w:r>
          </w:p>
        </w:tc>
        <w:tc>
          <w:tcPr>
            <w:tcW w:w="828" w:type="pct"/>
            <w:tcBorders>
              <w:tl2br w:val="nil"/>
              <w:tr2bl w:val="nil"/>
            </w:tcBorders>
            <w:vAlign w:val="center"/>
          </w:tcPr>
          <w:p>
            <w:pPr>
              <w:pStyle w:val="70"/>
              <w:rPr>
                <w:u w:val="none"/>
              </w:rPr>
            </w:pPr>
            <w:r>
              <w:rPr>
                <w:u w:val="none"/>
              </w:rPr>
              <w:t>SPX-150BⅢ生化培养箱</w:t>
            </w:r>
          </w:p>
        </w:tc>
        <w:tc>
          <w:tcPr>
            <w:tcW w:w="629" w:type="pct"/>
            <w:tcBorders>
              <w:tl2br w:val="nil"/>
              <w:tr2bl w:val="nil"/>
            </w:tcBorders>
            <w:vAlign w:val="center"/>
          </w:tcPr>
          <w:p>
            <w:pPr>
              <w:pStyle w:val="70"/>
              <w:rPr>
                <w:u w:val="none"/>
              </w:rPr>
            </w:pPr>
            <w:r>
              <w:rPr>
                <w:u w:val="none"/>
              </w:rPr>
              <w:t>XJHB-015</w:t>
            </w:r>
          </w:p>
        </w:tc>
        <w:tc>
          <w:tcPr>
            <w:tcW w:w="882" w:type="pct"/>
            <w:tcBorders>
              <w:tl2br w:val="nil"/>
              <w:tr2bl w:val="nil"/>
            </w:tcBorders>
            <w:vAlign w:val="center"/>
          </w:tcPr>
          <w:p>
            <w:pPr>
              <w:pStyle w:val="70"/>
              <w:rPr>
                <w:u w:val="none"/>
              </w:rPr>
            </w:pPr>
            <w:r>
              <w:rPr>
                <w:u w:val="none"/>
              </w:rPr>
              <w:t>0.5mg/L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cantSplit/>
          <w:trHeight w:val="1046" w:hRule="atLeast"/>
          <w:jc w:val="center"/>
        </w:trPr>
        <w:tc>
          <w:tcPr>
            <w:tcW w:w="596" w:type="pct"/>
            <w:vMerge w:val="continue"/>
            <w:tcBorders>
              <w:tl2br w:val="nil"/>
              <w:tr2bl w:val="nil"/>
            </w:tcBorders>
            <w:vAlign w:val="center"/>
          </w:tcPr>
          <w:p>
            <w:pPr>
              <w:pStyle w:val="70"/>
              <w:rPr>
                <w:u w:val="none"/>
              </w:rPr>
            </w:pPr>
          </w:p>
        </w:tc>
        <w:tc>
          <w:tcPr>
            <w:tcW w:w="611" w:type="pct"/>
            <w:tcBorders>
              <w:tl2br w:val="nil"/>
              <w:tr2bl w:val="nil"/>
            </w:tcBorders>
            <w:vAlign w:val="center"/>
          </w:tcPr>
          <w:p>
            <w:pPr>
              <w:pStyle w:val="70"/>
              <w:rPr>
                <w:u w:val="none"/>
              </w:rPr>
            </w:pPr>
            <w:r>
              <w:rPr>
                <w:u w:val="none"/>
              </w:rPr>
              <w:t>氨氮</w:t>
            </w:r>
          </w:p>
        </w:tc>
        <w:tc>
          <w:tcPr>
            <w:tcW w:w="1451" w:type="pct"/>
            <w:tcBorders>
              <w:tl2br w:val="nil"/>
              <w:tr2bl w:val="nil"/>
            </w:tcBorders>
            <w:vAlign w:val="center"/>
          </w:tcPr>
          <w:p>
            <w:pPr>
              <w:pStyle w:val="70"/>
              <w:rPr>
                <w:u w:val="none"/>
              </w:rPr>
            </w:pPr>
            <w:r>
              <w:rPr>
                <w:u w:val="none"/>
              </w:rPr>
              <w:t>《水质氨氮的测定纳氏试剂分光光度法》HJ535-2009</w:t>
            </w:r>
          </w:p>
        </w:tc>
        <w:tc>
          <w:tcPr>
            <w:tcW w:w="828" w:type="pct"/>
            <w:tcBorders>
              <w:tl2br w:val="nil"/>
              <w:tr2bl w:val="nil"/>
            </w:tcBorders>
            <w:vAlign w:val="center"/>
          </w:tcPr>
          <w:p>
            <w:pPr>
              <w:pStyle w:val="70"/>
              <w:rPr>
                <w:u w:val="none"/>
              </w:rPr>
            </w:pPr>
            <w:r>
              <w:rPr>
                <w:u w:val="none"/>
              </w:rPr>
              <w:t>752紫外可见分光光度计</w:t>
            </w:r>
          </w:p>
        </w:tc>
        <w:tc>
          <w:tcPr>
            <w:tcW w:w="629" w:type="pct"/>
            <w:tcBorders>
              <w:tl2br w:val="nil"/>
              <w:tr2bl w:val="nil"/>
            </w:tcBorders>
            <w:vAlign w:val="center"/>
          </w:tcPr>
          <w:p>
            <w:pPr>
              <w:pStyle w:val="70"/>
              <w:rPr>
                <w:u w:val="none"/>
              </w:rPr>
            </w:pPr>
            <w:r>
              <w:rPr>
                <w:u w:val="none"/>
              </w:rPr>
              <w:t>XJHB-00</w:t>
            </w:r>
            <w:r>
              <w:rPr>
                <w:rFonts w:hint="eastAsia"/>
                <w:u w:val="none"/>
              </w:rPr>
              <w:t>8</w:t>
            </w:r>
          </w:p>
        </w:tc>
        <w:tc>
          <w:tcPr>
            <w:tcW w:w="882" w:type="pct"/>
            <w:tcBorders>
              <w:tl2br w:val="nil"/>
              <w:tr2bl w:val="nil"/>
            </w:tcBorders>
            <w:vAlign w:val="center"/>
          </w:tcPr>
          <w:p>
            <w:pPr>
              <w:pStyle w:val="70"/>
              <w:rPr>
                <w:u w:val="none"/>
              </w:rPr>
            </w:pPr>
            <w:r>
              <w:rPr>
                <w:u w:val="none"/>
              </w:rPr>
              <w:t>0.025mg/L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cantSplit/>
          <w:trHeight w:val="454" w:hRule="atLeast"/>
          <w:jc w:val="center"/>
        </w:trPr>
        <w:tc>
          <w:tcPr>
            <w:tcW w:w="596" w:type="pct"/>
            <w:vMerge w:val="continue"/>
            <w:tcBorders>
              <w:tl2br w:val="nil"/>
              <w:tr2bl w:val="nil"/>
            </w:tcBorders>
            <w:vAlign w:val="center"/>
          </w:tcPr>
          <w:p>
            <w:pPr>
              <w:pStyle w:val="70"/>
              <w:rPr>
                <w:u w:val="none"/>
              </w:rPr>
            </w:pPr>
          </w:p>
        </w:tc>
        <w:tc>
          <w:tcPr>
            <w:tcW w:w="611" w:type="pct"/>
            <w:tcBorders>
              <w:tl2br w:val="nil"/>
              <w:tr2bl w:val="nil"/>
            </w:tcBorders>
            <w:vAlign w:val="center"/>
          </w:tcPr>
          <w:p>
            <w:pPr>
              <w:pStyle w:val="70"/>
              <w:rPr>
                <w:u w:val="none"/>
              </w:rPr>
            </w:pPr>
            <w:r>
              <w:rPr>
                <w:u w:val="none"/>
              </w:rPr>
              <w:t>总磷</w:t>
            </w:r>
          </w:p>
        </w:tc>
        <w:tc>
          <w:tcPr>
            <w:tcW w:w="1451" w:type="pct"/>
            <w:tcBorders>
              <w:tl2br w:val="nil"/>
              <w:tr2bl w:val="nil"/>
            </w:tcBorders>
            <w:vAlign w:val="center"/>
          </w:tcPr>
          <w:p>
            <w:pPr>
              <w:pStyle w:val="70"/>
              <w:rPr>
                <w:u w:val="none"/>
              </w:rPr>
            </w:pPr>
            <w:r>
              <w:rPr>
                <w:u w:val="none"/>
              </w:rPr>
              <w:t>《水质总磷的测定钼酸铵分光光度法》</w:t>
            </w:r>
          </w:p>
          <w:p>
            <w:pPr>
              <w:pStyle w:val="70"/>
              <w:rPr>
                <w:u w:val="none"/>
              </w:rPr>
            </w:pPr>
            <w:r>
              <w:rPr>
                <w:u w:val="none"/>
              </w:rPr>
              <w:t>GB</w:t>
            </w:r>
            <w:r>
              <w:rPr>
                <w:rFonts w:hint="eastAsia"/>
                <w:u w:val="none"/>
              </w:rPr>
              <w:t>/T</w:t>
            </w:r>
            <w:r>
              <w:rPr>
                <w:u w:val="none"/>
              </w:rPr>
              <w:t>11893-89</w:t>
            </w:r>
          </w:p>
        </w:tc>
        <w:tc>
          <w:tcPr>
            <w:tcW w:w="828" w:type="pct"/>
            <w:tcBorders>
              <w:tl2br w:val="nil"/>
              <w:tr2bl w:val="nil"/>
            </w:tcBorders>
            <w:vAlign w:val="center"/>
          </w:tcPr>
          <w:p>
            <w:pPr>
              <w:pStyle w:val="70"/>
              <w:rPr>
                <w:u w:val="none"/>
              </w:rPr>
            </w:pPr>
            <w:r>
              <w:rPr>
                <w:u w:val="none"/>
              </w:rPr>
              <w:t>752紫外可见分光光度计</w:t>
            </w:r>
          </w:p>
        </w:tc>
        <w:tc>
          <w:tcPr>
            <w:tcW w:w="629" w:type="pct"/>
            <w:tcBorders>
              <w:tl2br w:val="nil"/>
              <w:tr2bl w:val="nil"/>
            </w:tcBorders>
            <w:vAlign w:val="center"/>
          </w:tcPr>
          <w:p>
            <w:pPr>
              <w:pStyle w:val="70"/>
              <w:rPr>
                <w:u w:val="none"/>
              </w:rPr>
            </w:pPr>
            <w:r>
              <w:rPr>
                <w:u w:val="none"/>
              </w:rPr>
              <w:t>XJHB-00</w:t>
            </w:r>
            <w:r>
              <w:rPr>
                <w:rFonts w:hint="eastAsia"/>
                <w:u w:val="none"/>
              </w:rPr>
              <w:t>8</w:t>
            </w:r>
          </w:p>
        </w:tc>
        <w:tc>
          <w:tcPr>
            <w:tcW w:w="882" w:type="pct"/>
            <w:tcBorders>
              <w:tl2br w:val="nil"/>
              <w:tr2bl w:val="nil"/>
            </w:tcBorders>
            <w:vAlign w:val="center"/>
          </w:tcPr>
          <w:p>
            <w:pPr>
              <w:pStyle w:val="70"/>
              <w:rPr>
                <w:u w:val="none"/>
              </w:rPr>
            </w:pPr>
            <w:r>
              <w:rPr>
                <w:u w:val="none"/>
              </w:rPr>
              <w:t>0.01mg/L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cantSplit/>
          <w:trHeight w:val="454" w:hRule="atLeast"/>
          <w:jc w:val="center"/>
        </w:trPr>
        <w:tc>
          <w:tcPr>
            <w:tcW w:w="596" w:type="pct"/>
            <w:vMerge w:val="restart"/>
            <w:tcBorders>
              <w:tl2br w:val="nil"/>
              <w:tr2bl w:val="nil"/>
            </w:tcBorders>
            <w:vAlign w:val="center"/>
          </w:tcPr>
          <w:p>
            <w:pPr>
              <w:pStyle w:val="70"/>
              <w:rPr>
                <w:u w:val="none"/>
              </w:rPr>
            </w:pPr>
            <w:r>
              <w:rPr>
                <w:rFonts w:hint="eastAsia"/>
                <w:u w:val="none"/>
              </w:rPr>
              <w:t>地表水</w:t>
            </w:r>
          </w:p>
        </w:tc>
        <w:tc>
          <w:tcPr>
            <w:tcW w:w="611" w:type="pct"/>
            <w:tcBorders>
              <w:tl2br w:val="nil"/>
              <w:tr2bl w:val="nil"/>
            </w:tcBorders>
            <w:vAlign w:val="center"/>
          </w:tcPr>
          <w:p>
            <w:pPr>
              <w:pStyle w:val="70"/>
              <w:rPr>
                <w:u w:val="none"/>
              </w:rPr>
            </w:pPr>
            <w:r>
              <w:rPr>
                <w:u w:val="none"/>
              </w:rPr>
              <w:t>硫化物</w:t>
            </w:r>
          </w:p>
        </w:tc>
        <w:tc>
          <w:tcPr>
            <w:tcW w:w="1451" w:type="pct"/>
            <w:tcBorders>
              <w:tl2br w:val="nil"/>
              <w:tr2bl w:val="nil"/>
            </w:tcBorders>
            <w:vAlign w:val="center"/>
          </w:tcPr>
          <w:p>
            <w:pPr>
              <w:pStyle w:val="70"/>
              <w:rPr>
                <w:u w:val="none"/>
              </w:rPr>
            </w:pPr>
            <w:r>
              <w:rPr>
                <w:u w:val="none"/>
              </w:rPr>
              <w:t>《水质硫化物的测定亚甲基蓝分光光度法》</w:t>
            </w:r>
          </w:p>
          <w:p>
            <w:pPr>
              <w:pStyle w:val="70"/>
              <w:rPr>
                <w:u w:val="none"/>
              </w:rPr>
            </w:pPr>
            <w:r>
              <w:rPr>
                <w:rFonts w:hint="eastAsia"/>
                <w:u w:val="none"/>
              </w:rPr>
              <w:t>HJ1226-2021</w:t>
            </w:r>
          </w:p>
        </w:tc>
        <w:tc>
          <w:tcPr>
            <w:tcW w:w="828" w:type="pct"/>
            <w:tcBorders>
              <w:tl2br w:val="nil"/>
              <w:tr2bl w:val="nil"/>
            </w:tcBorders>
            <w:vAlign w:val="center"/>
          </w:tcPr>
          <w:p>
            <w:pPr>
              <w:pStyle w:val="70"/>
              <w:rPr>
                <w:u w:val="none"/>
              </w:rPr>
            </w:pPr>
            <w:r>
              <w:rPr>
                <w:u w:val="none"/>
              </w:rPr>
              <w:t>752紫外可见分光光度计</w:t>
            </w:r>
          </w:p>
        </w:tc>
        <w:tc>
          <w:tcPr>
            <w:tcW w:w="629" w:type="pct"/>
            <w:tcBorders>
              <w:tl2br w:val="nil"/>
              <w:tr2bl w:val="nil"/>
            </w:tcBorders>
            <w:vAlign w:val="center"/>
          </w:tcPr>
          <w:p>
            <w:pPr>
              <w:pStyle w:val="70"/>
              <w:rPr>
                <w:u w:val="none"/>
              </w:rPr>
            </w:pPr>
            <w:r>
              <w:rPr>
                <w:u w:val="none"/>
              </w:rPr>
              <w:t>XJHB-00</w:t>
            </w:r>
            <w:r>
              <w:rPr>
                <w:rFonts w:hint="eastAsia"/>
                <w:u w:val="none"/>
              </w:rPr>
              <w:t>9</w:t>
            </w:r>
          </w:p>
        </w:tc>
        <w:tc>
          <w:tcPr>
            <w:tcW w:w="882" w:type="pct"/>
            <w:tcBorders>
              <w:tl2br w:val="nil"/>
              <w:tr2bl w:val="nil"/>
            </w:tcBorders>
            <w:vAlign w:val="center"/>
          </w:tcPr>
          <w:p>
            <w:pPr>
              <w:pStyle w:val="70"/>
              <w:rPr>
                <w:u w:val="none"/>
              </w:rPr>
            </w:pPr>
            <w:r>
              <w:rPr>
                <w:u w:val="none"/>
              </w:rPr>
              <w:t>0.0</w:t>
            </w:r>
            <w:r>
              <w:rPr>
                <w:rFonts w:hint="eastAsia"/>
                <w:u w:val="none"/>
              </w:rPr>
              <w:t>1</w:t>
            </w:r>
            <w:r>
              <w:rPr>
                <w:u w:val="none"/>
              </w:rPr>
              <w:t>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cantSplit/>
          <w:trHeight w:val="454" w:hRule="atLeast"/>
          <w:jc w:val="center"/>
        </w:trPr>
        <w:tc>
          <w:tcPr>
            <w:tcW w:w="596" w:type="pct"/>
            <w:vMerge w:val="continue"/>
            <w:tcBorders>
              <w:tl2br w:val="nil"/>
              <w:tr2bl w:val="nil"/>
            </w:tcBorders>
            <w:vAlign w:val="center"/>
          </w:tcPr>
          <w:p>
            <w:pPr>
              <w:pStyle w:val="70"/>
              <w:rPr>
                <w:u w:val="none"/>
              </w:rPr>
            </w:pPr>
          </w:p>
        </w:tc>
        <w:tc>
          <w:tcPr>
            <w:tcW w:w="611" w:type="pct"/>
            <w:tcBorders>
              <w:tl2br w:val="nil"/>
              <w:tr2bl w:val="nil"/>
            </w:tcBorders>
            <w:vAlign w:val="center"/>
          </w:tcPr>
          <w:p>
            <w:pPr>
              <w:pStyle w:val="70"/>
              <w:rPr>
                <w:u w:val="none"/>
              </w:rPr>
            </w:pPr>
            <w:r>
              <w:rPr>
                <w:u w:val="none"/>
              </w:rPr>
              <w:t>氟化物</w:t>
            </w:r>
          </w:p>
        </w:tc>
        <w:tc>
          <w:tcPr>
            <w:tcW w:w="1451" w:type="pct"/>
            <w:tcBorders>
              <w:tl2br w:val="nil"/>
              <w:tr2bl w:val="nil"/>
            </w:tcBorders>
            <w:vAlign w:val="center"/>
          </w:tcPr>
          <w:p>
            <w:pPr>
              <w:pStyle w:val="70"/>
              <w:rPr>
                <w:u w:val="none"/>
              </w:rPr>
            </w:pPr>
            <w:r>
              <w:rPr>
                <w:u w:val="none"/>
              </w:rPr>
              <w:t>《水质无机阴离子(F-、Cl-、NO2-、Br-、NO3-、PO43-、SO32-、SO42-)的测定离子色谱法》HJ84-2016</w:t>
            </w:r>
          </w:p>
        </w:tc>
        <w:tc>
          <w:tcPr>
            <w:tcW w:w="828" w:type="pct"/>
            <w:tcBorders>
              <w:tl2br w:val="nil"/>
              <w:tr2bl w:val="nil"/>
            </w:tcBorders>
            <w:vAlign w:val="center"/>
          </w:tcPr>
          <w:p>
            <w:pPr>
              <w:pStyle w:val="70"/>
              <w:rPr>
                <w:u w:val="none"/>
              </w:rPr>
            </w:pPr>
            <w:r>
              <w:rPr>
                <w:u w:val="none"/>
              </w:rPr>
              <w:t>ICS-600</w:t>
            </w:r>
          </w:p>
          <w:p>
            <w:pPr>
              <w:pStyle w:val="70"/>
              <w:rPr>
                <w:u w:val="none"/>
              </w:rPr>
            </w:pPr>
            <w:r>
              <w:rPr>
                <w:u w:val="none"/>
              </w:rPr>
              <w:t>离子色谱仪</w:t>
            </w:r>
          </w:p>
        </w:tc>
        <w:tc>
          <w:tcPr>
            <w:tcW w:w="629" w:type="pct"/>
            <w:tcBorders>
              <w:tl2br w:val="nil"/>
              <w:tr2bl w:val="nil"/>
            </w:tcBorders>
            <w:vAlign w:val="center"/>
          </w:tcPr>
          <w:p>
            <w:pPr>
              <w:pStyle w:val="70"/>
              <w:rPr>
                <w:u w:val="none"/>
              </w:rPr>
            </w:pPr>
            <w:r>
              <w:rPr>
                <w:u w:val="none"/>
              </w:rPr>
              <w:t>XJHB-007</w:t>
            </w:r>
          </w:p>
        </w:tc>
        <w:tc>
          <w:tcPr>
            <w:tcW w:w="882" w:type="pct"/>
            <w:tcBorders>
              <w:tl2br w:val="nil"/>
              <w:tr2bl w:val="nil"/>
            </w:tcBorders>
            <w:vAlign w:val="center"/>
          </w:tcPr>
          <w:p>
            <w:pPr>
              <w:pStyle w:val="70"/>
              <w:rPr>
                <w:u w:val="none"/>
              </w:rPr>
            </w:pPr>
            <w:r>
              <w:rPr>
                <w:rFonts w:hint="eastAsia"/>
                <w:u w:val="none"/>
              </w:rPr>
              <w:t>0.006</w:t>
            </w:r>
            <w:r>
              <w:rPr>
                <w:u w:val="none"/>
              </w:rPr>
              <w:t>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cantSplit/>
          <w:trHeight w:val="454" w:hRule="atLeast"/>
          <w:jc w:val="center"/>
        </w:trPr>
        <w:tc>
          <w:tcPr>
            <w:tcW w:w="596" w:type="pct"/>
            <w:vMerge w:val="continue"/>
            <w:tcBorders>
              <w:tl2br w:val="nil"/>
              <w:tr2bl w:val="nil"/>
            </w:tcBorders>
            <w:vAlign w:val="center"/>
          </w:tcPr>
          <w:p>
            <w:pPr>
              <w:pStyle w:val="70"/>
              <w:rPr>
                <w:u w:val="none"/>
              </w:rPr>
            </w:pPr>
          </w:p>
        </w:tc>
        <w:tc>
          <w:tcPr>
            <w:tcW w:w="611" w:type="pct"/>
            <w:tcBorders>
              <w:tl2br w:val="nil"/>
              <w:tr2bl w:val="nil"/>
            </w:tcBorders>
            <w:vAlign w:val="center"/>
          </w:tcPr>
          <w:p>
            <w:pPr>
              <w:pStyle w:val="70"/>
              <w:rPr>
                <w:u w:val="none"/>
              </w:rPr>
            </w:pPr>
            <w:r>
              <w:rPr>
                <w:u w:val="none"/>
              </w:rPr>
              <w:t>石油类</w:t>
            </w:r>
          </w:p>
        </w:tc>
        <w:tc>
          <w:tcPr>
            <w:tcW w:w="1451" w:type="pct"/>
            <w:tcBorders>
              <w:tl2br w:val="nil"/>
              <w:tr2bl w:val="nil"/>
            </w:tcBorders>
            <w:vAlign w:val="center"/>
          </w:tcPr>
          <w:p>
            <w:pPr>
              <w:pStyle w:val="70"/>
              <w:rPr>
                <w:u w:val="none"/>
              </w:rPr>
            </w:pPr>
            <w:r>
              <w:rPr>
                <w:rFonts w:hint="eastAsia"/>
                <w:u w:val="none"/>
              </w:rPr>
              <w:t>《水质石油类的测定紫外分光光度法(试行)》</w:t>
            </w:r>
          </w:p>
          <w:p>
            <w:pPr>
              <w:pStyle w:val="70"/>
              <w:rPr>
                <w:u w:val="none"/>
              </w:rPr>
            </w:pPr>
            <w:r>
              <w:rPr>
                <w:rFonts w:hint="eastAsia"/>
                <w:u w:val="none"/>
              </w:rPr>
              <w:t>HJ970-2018</w:t>
            </w:r>
          </w:p>
        </w:tc>
        <w:tc>
          <w:tcPr>
            <w:tcW w:w="828" w:type="pct"/>
            <w:tcBorders>
              <w:tl2br w:val="nil"/>
              <w:tr2bl w:val="nil"/>
            </w:tcBorders>
            <w:vAlign w:val="center"/>
          </w:tcPr>
          <w:p>
            <w:pPr>
              <w:pStyle w:val="70"/>
              <w:rPr>
                <w:u w:val="none"/>
              </w:rPr>
            </w:pPr>
            <w:r>
              <w:rPr>
                <w:u w:val="none"/>
              </w:rPr>
              <w:t>752紫外可见分光光度计</w:t>
            </w:r>
          </w:p>
        </w:tc>
        <w:tc>
          <w:tcPr>
            <w:tcW w:w="629" w:type="pct"/>
            <w:tcBorders>
              <w:tl2br w:val="nil"/>
              <w:tr2bl w:val="nil"/>
            </w:tcBorders>
            <w:vAlign w:val="center"/>
          </w:tcPr>
          <w:p>
            <w:pPr>
              <w:pStyle w:val="70"/>
              <w:rPr>
                <w:u w:val="none"/>
              </w:rPr>
            </w:pPr>
            <w:r>
              <w:rPr>
                <w:u w:val="none"/>
              </w:rPr>
              <w:t>XJHB-009</w:t>
            </w:r>
          </w:p>
        </w:tc>
        <w:tc>
          <w:tcPr>
            <w:tcW w:w="882" w:type="pct"/>
            <w:tcBorders>
              <w:tl2br w:val="nil"/>
              <w:tr2bl w:val="nil"/>
            </w:tcBorders>
            <w:vAlign w:val="center"/>
          </w:tcPr>
          <w:p>
            <w:pPr>
              <w:pStyle w:val="70"/>
              <w:rPr>
                <w:u w:val="none"/>
              </w:rPr>
            </w:pPr>
            <w:r>
              <w:rPr>
                <w:u w:val="none"/>
              </w:rPr>
              <w:t>0.0</w:t>
            </w:r>
            <w:r>
              <w:rPr>
                <w:rFonts w:hint="eastAsia"/>
                <w:u w:val="none"/>
              </w:rPr>
              <w:t>1</w:t>
            </w:r>
            <w:r>
              <w:rPr>
                <w:u w:val="none"/>
              </w:rPr>
              <w:t>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cantSplit/>
          <w:trHeight w:val="454" w:hRule="atLeast"/>
          <w:jc w:val="center"/>
        </w:trPr>
        <w:tc>
          <w:tcPr>
            <w:tcW w:w="596" w:type="pct"/>
            <w:vMerge w:val="continue"/>
            <w:tcBorders>
              <w:tl2br w:val="nil"/>
              <w:tr2bl w:val="nil"/>
            </w:tcBorders>
            <w:vAlign w:val="center"/>
          </w:tcPr>
          <w:p>
            <w:pPr>
              <w:pStyle w:val="70"/>
              <w:rPr>
                <w:u w:val="none"/>
              </w:rPr>
            </w:pPr>
          </w:p>
        </w:tc>
        <w:tc>
          <w:tcPr>
            <w:tcW w:w="611" w:type="pct"/>
            <w:tcBorders>
              <w:tl2br w:val="nil"/>
              <w:tr2bl w:val="nil"/>
            </w:tcBorders>
            <w:vAlign w:val="center"/>
          </w:tcPr>
          <w:p>
            <w:pPr>
              <w:pStyle w:val="70"/>
              <w:rPr>
                <w:u w:val="none"/>
              </w:rPr>
            </w:pPr>
            <w:r>
              <w:rPr>
                <w:rFonts w:hint="eastAsia"/>
                <w:u w:val="none"/>
              </w:rPr>
              <w:t>铊</w:t>
            </w:r>
          </w:p>
        </w:tc>
        <w:tc>
          <w:tcPr>
            <w:tcW w:w="1451" w:type="pct"/>
            <w:tcBorders>
              <w:tl2br w:val="nil"/>
              <w:tr2bl w:val="nil"/>
            </w:tcBorders>
            <w:vAlign w:val="center"/>
          </w:tcPr>
          <w:p>
            <w:pPr>
              <w:pStyle w:val="70"/>
              <w:rPr>
                <w:u w:val="none"/>
              </w:rPr>
            </w:pPr>
            <w:r>
              <w:rPr>
                <w:u w:val="none"/>
              </w:rPr>
              <w:t>《水质65种元素的测定电感耦合等离子体质谱法》</w:t>
            </w:r>
          </w:p>
          <w:p>
            <w:pPr>
              <w:pStyle w:val="70"/>
              <w:rPr>
                <w:u w:val="none"/>
              </w:rPr>
            </w:pPr>
            <w:r>
              <w:rPr>
                <w:u w:val="none"/>
              </w:rPr>
              <w:t>HJ700-2014</w:t>
            </w:r>
          </w:p>
        </w:tc>
        <w:tc>
          <w:tcPr>
            <w:tcW w:w="828" w:type="pct"/>
            <w:tcBorders>
              <w:tl2br w:val="nil"/>
              <w:tr2bl w:val="nil"/>
            </w:tcBorders>
            <w:vAlign w:val="center"/>
          </w:tcPr>
          <w:p>
            <w:pPr>
              <w:pStyle w:val="70"/>
              <w:rPr>
                <w:u w:val="none"/>
              </w:rPr>
            </w:pPr>
            <w:r>
              <w:rPr>
                <w:u w:val="none"/>
              </w:rPr>
              <w:t>Agilent7500cs电感耦合等离子体质谱仪</w:t>
            </w:r>
          </w:p>
        </w:tc>
        <w:tc>
          <w:tcPr>
            <w:tcW w:w="629" w:type="pct"/>
            <w:tcBorders>
              <w:tl2br w:val="nil"/>
              <w:tr2bl w:val="nil"/>
            </w:tcBorders>
            <w:vAlign w:val="center"/>
          </w:tcPr>
          <w:p>
            <w:pPr>
              <w:pStyle w:val="70"/>
              <w:rPr>
                <w:u w:val="none"/>
              </w:rPr>
            </w:pPr>
            <w:r>
              <w:rPr>
                <w:u w:val="none"/>
              </w:rPr>
              <w:t>XJHB-175</w:t>
            </w:r>
          </w:p>
        </w:tc>
        <w:tc>
          <w:tcPr>
            <w:tcW w:w="882" w:type="pct"/>
            <w:tcBorders>
              <w:tl2br w:val="nil"/>
              <w:tr2bl w:val="nil"/>
            </w:tcBorders>
            <w:vAlign w:val="center"/>
          </w:tcPr>
          <w:p>
            <w:pPr>
              <w:pStyle w:val="70"/>
              <w:rPr>
                <w:u w:val="none"/>
              </w:rPr>
            </w:pPr>
            <w:r>
              <w:rPr>
                <w:u w:val="none"/>
              </w:rPr>
              <w:t>0.000</w:t>
            </w:r>
            <w:r>
              <w:rPr>
                <w:rFonts w:hint="eastAsia"/>
                <w:u w:val="none"/>
              </w:rPr>
              <w:t>2</w:t>
            </w:r>
            <w:r>
              <w:rPr>
                <w:u w:val="none"/>
              </w:rPr>
              <w:t>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cantSplit/>
          <w:trHeight w:val="90" w:hRule="atLeast"/>
          <w:jc w:val="center"/>
        </w:trPr>
        <w:tc>
          <w:tcPr>
            <w:tcW w:w="596" w:type="pct"/>
            <w:vMerge w:val="continue"/>
            <w:tcBorders>
              <w:tl2br w:val="nil"/>
              <w:tr2bl w:val="nil"/>
            </w:tcBorders>
            <w:vAlign w:val="center"/>
          </w:tcPr>
          <w:p>
            <w:pPr>
              <w:pStyle w:val="70"/>
              <w:rPr>
                <w:u w:val="none"/>
              </w:rPr>
            </w:pPr>
          </w:p>
        </w:tc>
        <w:tc>
          <w:tcPr>
            <w:tcW w:w="611" w:type="pct"/>
            <w:tcBorders>
              <w:tl2br w:val="nil"/>
              <w:tr2bl w:val="nil"/>
            </w:tcBorders>
            <w:vAlign w:val="center"/>
          </w:tcPr>
          <w:p>
            <w:pPr>
              <w:pStyle w:val="70"/>
              <w:rPr>
                <w:u w:val="none"/>
              </w:rPr>
            </w:pPr>
            <w:r>
              <w:rPr>
                <w:rFonts w:hint="eastAsia"/>
                <w:u w:val="none"/>
              </w:rPr>
              <w:t>锑</w:t>
            </w:r>
          </w:p>
        </w:tc>
        <w:tc>
          <w:tcPr>
            <w:tcW w:w="1451" w:type="pct"/>
            <w:tcBorders>
              <w:tl2br w:val="nil"/>
              <w:tr2bl w:val="nil"/>
            </w:tcBorders>
            <w:vAlign w:val="center"/>
          </w:tcPr>
          <w:p>
            <w:pPr>
              <w:pStyle w:val="70"/>
              <w:rPr>
                <w:u w:val="none"/>
              </w:rPr>
            </w:pPr>
            <w:r>
              <w:rPr>
                <w:u w:val="none"/>
              </w:rPr>
              <w:t>《水质汞、砷、硒、铋、锑的测定原子荧光法》</w:t>
            </w:r>
          </w:p>
          <w:p>
            <w:pPr>
              <w:pStyle w:val="70"/>
              <w:rPr>
                <w:u w:val="none"/>
              </w:rPr>
            </w:pPr>
            <w:r>
              <w:rPr>
                <w:u w:val="none"/>
              </w:rPr>
              <w:t>HJ694-2014</w:t>
            </w:r>
          </w:p>
        </w:tc>
        <w:tc>
          <w:tcPr>
            <w:tcW w:w="828" w:type="pct"/>
            <w:tcBorders>
              <w:tl2br w:val="nil"/>
              <w:tr2bl w:val="nil"/>
            </w:tcBorders>
            <w:vAlign w:val="center"/>
          </w:tcPr>
          <w:p>
            <w:pPr>
              <w:pStyle w:val="70"/>
              <w:rPr>
                <w:u w:val="none"/>
              </w:rPr>
            </w:pPr>
            <w:r>
              <w:rPr>
                <w:u w:val="none"/>
              </w:rPr>
              <w:t>AFS-230E</w:t>
            </w:r>
          </w:p>
          <w:p>
            <w:pPr>
              <w:pStyle w:val="70"/>
              <w:rPr>
                <w:u w:val="none"/>
              </w:rPr>
            </w:pPr>
            <w:r>
              <w:rPr>
                <w:u w:val="none"/>
              </w:rPr>
              <w:t>双道原子荧光光度计</w:t>
            </w:r>
          </w:p>
        </w:tc>
        <w:tc>
          <w:tcPr>
            <w:tcW w:w="629" w:type="pct"/>
            <w:tcBorders>
              <w:tl2br w:val="nil"/>
              <w:tr2bl w:val="nil"/>
            </w:tcBorders>
            <w:vAlign w:val="center"/>
          </w:tcPr>
          <w:p>
            <w:pPr>
              <w:pStyle w:val="70"/>
              <w:rPr>
                <w:u w:val="none"/>
              </w:rPr>
            </w:pPr>
            <w:r>
              <w:rPr>
                <w:u w:val="none"/>
              </w:rPr>
              <w:t>XJHB-011</w:t>
            </w:r>
          </w:p>
        </w:tc>
        <w:tc>
          <w:tcPr>
            <w:tcW w:w="882" w:type="pct"/>
            <w:tcBorders>
              <w:tl2br w:val="nil"/>
              <w:tr2bl w:val="nil"/>
            </w:tcBorders>
            <w:vAlign w:val="center"/>
          </w:tcPr>
          <w:p>
            <w:pPr>
              <w:pStyle w:val="70"/>
              <w:rPr>
                <w:u w:val="none"/>
              </w:rPr>
            </w:pPr>
            <w:r>
              <w:rPr>
                <w:u w:val="none"/>
              </w:rPr>
              <w:t>0.000</w:t>
            </w:r>
            <w:r>
              <w:rPr>
                <w:rFonts w:hint="eastAsia"/>
                <w:u w:val="none"/>
              </w:rPr>
              <w:t>2</w:t>
            </w:r>
            <w:r>
              <w:rPr>
                <w:u w:val="none"/>
              </w:rPr>
              <w:t>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cantSplit/>
          <w:trHeight w:val="454" w:hRule="atLeast"/>
          <w:jc w:val="center"/>
        </w:trPr>
        <w:tc>
          <w:tcPr>
            <w:tcW w:w="596" w:type="pct"/>
            <w:vMerge w:val="continue"/>
            <w:tcBorders>
              <w:tl2br w:val="nil"/>
              <w:tr2bl w:val="nil"/>
            </w:tcBorders>
            <w:vAlign w:val="center"/>
          </w:tcPr>
          <w:p>
            <w:pPr>
              <w:pStyle w:val="70"/>
              <w:rPr>
                <w:u w:val="none"/>
              </w:rPr>
            </w:pPr>
          </w:p>
        </w:tc>
        <w:tc>
          <w:tcPr>
            <w:tcW w:w="611" w:type="pct"/>
            <w:tcBorders>
              <w:tl2br w:val="nil"/>
              <w:tr2bl w:val="nil"/>
            </w:tcBorders>
            <w:vAlign w:val="center"/>
          </w:tcPr>
          <w:p>
            <w:pPr>
              <w:pStyle w:val="70"/>
              <w:rPr>
                <w:u w:val="none"/>
              </w:rPr>
            </w:pPr>
            <w:r>
              <w:rPr>
                <w:u w:val="none"/>
              </w:rPr>
              <w:t>铅</w:t>
            </w:r>
          </w:p>
        </w:tc>
        <w:tc>
          <w:tcPr>
            <w:tcW w:w="1451" w:type="pct"/>
            <w:tcBorders>
              <w:tl2br w:val="nil"/>
              <w:tr2bl w:val="nil"/>
            </w:tcBorders>
            <w:vAlign w:val="center"/>
          </w:tcPr>
          <w:p>
            <w:pPr>
              <w:pStyle w:val="70"/>
              <w:rPr>
                <w:u w:val="none"/>
              </w:rPr>
            </w:pPr>
            <w:r>
              <w:rPr>
                <w:u w:val="none"/>
              </w:rPr>
              <w:t>《水质65种元素的测定电感耦合等离子体质谱法》</w:t>
            </w:r>
          </w:p>
          <w:p>
            <w:pPr>
              <w:pStyle w:val="70"/>
              <w:rPr>
                <w:u w:val="none"/>
              </w:rPr>
            </w:pPr>
            <w:r>
              <w:rPr>
                <w:u w:val="none"/>
              </w:rPr>
              <w:t>HJ700-2014</w:t>
            </w:r>
          </w:p>
        </w:tc>
        <w:tc>
          <w:tcPr>
            <w:tcW w:w="828" w:type="pct"/>
            <w:tcBorders>
              <w:tl2br w:val="nil"/>
              <w:tr2bl w:val="nil"/>
            </w:tcBorders>
            <w:vAlign w:val="center"/>
          </w:tcPr>
          <w:p>
            <w:pPr>
              <w:pStyle w:val="70"/>
              <w:rPr>
                <w:u w:val="none"/>
              </w:rPr>
            </w:pPr>
            <w:r>
              <w:rPr>
                <w:u w:val="none"/>
              </w:rPr>
              <w:t>Agilent7500cs电感耦合等离子体质谱仪</w:t>
            </w:r>
          </w:p>
        </w:tc>
        <w:tc>
          <w:tcPr>
            <w:tcW w:w="629" w:type="pct"/>
            <w:tcBorders>
              <w:tl2br w:val="nil"/>
              <w:tr2bl w:val="nil"/>
            </w:tcBorders>
            <w:vAlign w:val="center"/>
          </w:tcPr>
          <w:p>
            <w:pPr>
              <w:pStyle w:val="70"/>
              <w:rPr>
                <w:u w:val="none"/>
              </w:rPr>
            </w:pPr>
            <w:r>
              <w:rPr>
                <w:u w:val="none"/>
              </w:rPr>
              <w:t>XJHB-175</w:t>
            </w:r>
          </w:p>
        </w:tc>
        <w:tc>
          <w:tcPr>
            <w:tcW w:w="882" w:type="pct"/>
            <w:tcBorders>
              <w:tl2br w:val="nil"/>
              <w:tr2bl w:val="nil"/>
            </w:tcBorders>
            <w:vAlign w:val="center"/>
          </w:tcPr>
          <w:p>
            <w:pPr>
              <w:pStyle w:val="70"/>
              <w:rPr>
                <w:u w:val="none"/>
              </w:rPr>
            </w:pPr>
            <w:r>
              <w:rPr>
                <w:u w:val="none"/>
              </w:rPr>
              <w:t>0.00009mg/L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cantSplit/>
          <w:trHeight w:val="454" w:hRule="atLeast"/>
          <w:jc w:val="center"/>
        </w:trPr>
        <w:tc>
          <w:tcPr>
            <w:tcW w:w="596" w:type="pct"/>
            <w:vMerge w:val="continue"/>
            <w:tcBorders>
              <w:tl2br w:val="nil"/>
              <w:tr2bl w:val="nil"/>
            </w:tcBorders>
            <w:vAlign w:val="center"/>
          </w:tcPr>
          <w:p>
            <w:pPr>
              <w:pStyle w:val="70"/>
              <w:rPr>
                <w:u w:val="none"/>
              </w:rPr>
            </w:pPr>
          </w:p>
        </w:tc>
        <w:tc>
          <w:tcPr>
            <w:tcW w:w="611" w:type="pct"/>
            <w:tcBorders>
              <w:tl2br w:val="nil"/>
              <w:tr2bl w:val="nil"/>
            </w:tcBorders>
            <w:vAlign w:val="center"/>
          </w:tcPr>
          <w:p>
            <w:pPr>
              <w:pStyle w:val="70"/>
              <w:rPr>
                <w:u w:val="none"/>
              </w:rPr>
            </w:pPr>
            <w:r>
              <w:rPr>
                <w:rFonts w:hint="eastAsia"/>
                <w:u w:val="none"/>
              </w:rPr>
              <w:t>铜</w:t>
            </w:r>
          </w:p>
        </w:tc>
        <w:tc>
          <w:tcPr>
            <w:tcW w:w="1451" w:type="pct"/>
            <w:tcBorders>
              <w:tl2br w:val="nil"/>
              <w:tr2bl w:val="nil"/>
            </w:tcBorders>
            <w:vAlign w:val="center"/>
          </w:tcPr>
          <w:p>
            <w:pPr>
              <w:pStyle w:val="70"/>
              <w:rPr>
                <w:u w:val="none"/>
              </w:rPr>
            </w:pPr>
            <w:r>
              <w:rPr>
                <w:u w:val="none"/>
              </w:rPr>
              <w:t>《水质65种元素的测定电感耦合等离子体质谱法》</w:t>
            </w:r>
          </w:p>
          <w:p>
            <w:pPr>
              <w:pStyle w:val="70"/>
              <w:rPr>
                <w:u w:val="none"/>
              </w:rPr>
            </w:pPr>
            <w:r>
              <w:rPr>
                <w:u w:val="none"/>
              </w:rPr>
              <w:t>HJ700-2014</w:t>
            </w:r>
          </w:p>
        </w:tc>
        <w:tc>
          <w:tcPr>
            <w:tcW w:w="828" w:type="pct"/>
            <w:tcBorders>
              <w:tl2br w:val="nil"/>
              <w:tr2bl w:val="nil"/>
            </w:tcBorders>
            <w:vAlign w:val="center"/>
          </w:tcPr>
          <w:p>
            <w:pPr>
              <w:pStyle w:val="70"/>
              <w:rPr>
                <w:u w:val="none"/>
              </w:rPr>
            </w:pPr>
            <w:r>
              <w:rPr>
                <w:u w:val="none"/>
              </w:rPr>
              <w:t>Agilent7500cs电感耦合等离子体质谱仪</w:t>
            </w:r>
          </w:p>
        </w:tc>
        <w:tc>
          <w:tcPr>
            <w:tcW w:w="629" w:type="pct"/>
            <w:tcBorders>
              <w:tl2br w:val="nil"/>
              <w:tr2bl w:val="nil"/>
            </w:tcBorders>
            <w:vAlign w:val="center"/>
          </w:tcPr>
          <w:p>
            <w:pPr>
              <w:pStyle w:val="70"/>
              <w:rPr>
                <w:u w:val="none"/>
              </w:rPr>
            </w:pPr>
            <w:r>
              <w:rPr>
                <w:u w:val="none"/>
              </w:rPr>
              <w:t>XJHB-175</w:t>
            </w:r>
          </w:p>
        </w:tc>
        <w:tc>
          <w:tcPr>
            <w:tcW w:w="882" w:type="pct"/>
            <w:tcBorders>
              <w:tl2br w:val="nil"/>
              <w:tr2bl w:val="nil"/>
            </w:tcBorders>
            <w:vAlign w:val="center"/>
          </w:tcPr>
          <w:p>
            <w:pPr>
              <w:pStyle w:val="70"/>
              <w:rPr>
                <w:u w:val="none"/>
              </w:rPr>
            </w:pPr>
            <w:r>
              <w:rPr>
                <w:u w:val="none"/>
              </w:rPr>
              <w:t>0.0000</w:t>
            </w:r>
            <w:r>
              <w:rPr>
                <w:rFonts w:hint="eastAsia"/>
                <w:u w:val="none"/>
              </w:rPr>
              <w:t>8</w:t>
            </w:r>
            <w:r>
              <w:rPr>
                <w:u w:val="none"/>
              </w:rPr>
              <w:t>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cantSplit/>
          <w:trHeight w:val="454" w:hRule="atLeast"/>
          <w:jc w:val="center"/>
        </w:trPr>
        <w:tc>
          <w:tcPr>
            <w:tcW w:w="596" w:type="pct"/>
            <w:vMerge w:val="continue"/>
            <w:tcBorders>
              <w:tl2br w:val="nil"/>
              <w:tr2bl w:val="nil"/>
            </w:tcBorders>
            <w:vAlign w:val="center"/>
          </w:tcPr>
          <w:p>
            <w:pPr>
              <w:pStyle w:val="70"/>
              <w:rPr>
                <w:u w:val="none"/>
              </w:rPr>
            </w:pPr>
          </w:p>
        </w:tc>
        <w:tc>
          <w:tcPr>
            <w:tcW w:w="611" w:type="pct"/>
            <w:tcBorders>
              <w:tl2br w:val="nil"/>
              <w:tr2bl w:val="nil"/>
            </w:tcBorders>
            <w:vAlign w:val="center"/>
          </w:tcPr>
          <w:p>
            <w:pPr>
              <w:pStyle w:val="70"/>
              <w:rPr>
                <w:u w:val="none"/>
              </w:rPr>
            </w:pPr>
            <w:r>
              <w:rPr>
                <w:rFonts w:hint="eastAsia"/>
                <w:u w:val="none"/>
              </w:rPr>
              <w:t>锌</w:t>
            </w:r>
          </w:p>
        </w:tc>
        <w:tc>
          <w:tcPr>
            <w:tcW w:w="1451" w:type="pct"/>
            <w:tcBorders>
              <w:tl2br w:val="nil"/>
              <w:tr2bl w:val="nil"/>
            </w:tcBorders>
            <w:vAlign w:val="center"/>
          </w:tcPr>
          <w:p>
            <w:pPr>
              <w:pStyle w:val="70"/>
              <w:rPr>
                <w:u w:val="none"/>
              </w:rPr>
            </w:pPr>
            <w:r>
              <w:rPr>
                <w:u w:val="none"/>
              </w:rPr>
              <w:t>《水质65种元素的测定电感耦合等离子体质谱法》</w:t>
            </w:r>
          </w:p>
          <w:p>
            <w:pPr>
              <w:pStyle w:val="70"/>
              <w:rPr>
                <w:u w:val="none"/>
              </w:rPr>
            </w:pPr>
            <w:r>
              <w:rPr>
                <w:u w:val="none"/>
              </w:rPr>
              <w:t>HJ700-2014</w:t>
            </w:r>
          </w:p>
        </w:tc>
        <w:tc>
          <w:tcPr>
            <w:tcW w:w="828" w:type="pct"/>
            <w:tcBorders>
              <w:tl2br w:val="nil"/>
              <w:tr2bl w:val="nil"/>
            </w:tcBorders>
            <w:vAlign w:val="center"/>
          </w:tcPr>
          <w:p>
            <w:pPr>
              <w:pStyle w:val="70"/>
              <w:rPr>
                <w:u w:val="none"/>
              </w:rPr>
            </w:pPr>
            <w:r>
              <w:rPr>
                <w:u w:val="none"/>
              </w:rPr>
              <w:t>Agilent7500cs电感耦合等离子体质谱仪</w:t>
            </w:r>
          </w:p>
        </w:tc>
        <w:tc>
          <w:tcPr>
            <w:tcW w:w="629" w:type="pct"/>
            <w:tcBorders>
              <w:tl2br w:val="nil"/>
              <w:tr2bl w:val="nil"/>
            </w:tcBorders>
            <w:vAlign w:val="center"/>
          </w:tcPr>
          <w:p>
            <w:pPr>
              <w:pStyle w:val="70"/>
              <w:rPr>
                <w:u w:val="none"/>
              </w:rPr>
            </w:pPr>
            <w:r>
              <w:rPr>
                <w:u w:val="none"/>
              </w:rPr>
              <w:t>XJHB-175</w:t>
            </w:r>
          </w:p>
        </w:tc>
        <w:tc>
          <w:tcPr>
            <w:tcW w:w="882" w:type="pct"/>
            <w:tcBorders>
              <w:tl2br w:val="nil"/>
              <w:tr2bl w:val="nil"/>
            </w:tcBorders>
            <w:vAlign w:val="center"/>
          </w:tcPr>
          <w:p>
            <w:pPr>
              <w:pStyle w:val="70"/>
              <w:rPr>
                <w:u w:val="none"/>
              </w:rPr>
            </w:pPr>
            <w:r>
              <w:rPr>
                <w:u w:val="none"/>
              </w:rPr>
              <w:t>0.000</w:t>
            </w:r>
            <w:r>
              <w:rPr>
                <w:rFonts w:hint="eastAsia"/>
                <w:u w:val="none"/>
              </w:rPr>
              <w:t>67</w:t>
            </w:r>
            <w:r>
              <w:rPr>
                <w:u w:val="none"/>
              </w:rPr>
              <w:t>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cantSplit/>
          <w:trHeight w:val="454" w:hRule="atLeast"/>
          <w:jc w:val="center"/>
        </w:trPr>
        <w:tc>
          <w:tcPr>
            <w:tcW w:w="596" w:type="pct"/>
            <w:vMerge w:val="continue"/>
            <w:tcBorders>
              <w:tl2br w:val="nil"/>
              <w:tr2bl w:val="nil"/>
            </w:tcBorders>
            <w:vAlign w:val="center"/>
          </w:tcPr>
          <w:p>
            <w:pPr>
              <w:pStyle w:val="70"/>
              <w:rPr>
                <w:u w:val="none"/>
              </w:rPr>
            </w:pPr>
          </w:p>
        </w:tc>
        <w:tc>
          <w:tcPr>
            <w:tcW w:w="611" w:type="pct"/>
            <w:tcBorders>
              <w:tl2br w:val="nil"/>
              <w:tr2bl w:val="nil"/>
            </w:tcBorders>
            <w:vAlign w:val="center"/>
          </w:tcPr>
          <w:p>
            <w:pPr>
              <w:pStyle w:val="70"/>
              <w:rPr>
                <w:u w:val="none"/>
              </w:rPr>
            </w:pPr>
            <w:r>
              <w:rPr>
                <w:rFonts w:hint="eastAsia"/>
                <w:u w:val="none"/>
              </w:rPr>
              <w:t>镉</w:t>
            </w:r>
          </w:p>
        </w:tc>
        <w:tc>
          <w:tcPr>
            <w:tcW w:w="1451" w:type="pct"/>
            <w:tcBorders>
              <w:tl2br w:val="nil"/>
              <w:tr2bl w:val="nil"/>
            </w:tcBorders>
            <w:vAlign w:val="center"/>
          </w:tcPr>
          <w:p>
            <w:pPr>
              <w:pStyle w:val="70"/>
              <w:rPr>
                <w:u w:val="none"/>
              </w:rPr>
            </w:pPr>
            <w:r>
              <w:rPr>
                <w:u w:val="none"/>
              </w:rPr>
              <w:t>《水质65种元素的测定电感耦合等离子体质谱法》</w:t>
            </w:r>
          </w:p>
          <w:p>
            <w:pPr>
              <w:pStyle w:val="70"/>
              <w:rPr>
                <w:u w:val="none"/>
              </w:rPr>
            </w:pPr>
            <w:r>
              <w:rPr>
                <w:u w:val="none"/>
              </w:rPr>
              <w:t>HJ700-2014</w:t>
            </w:r>
          </w:p>
        </w:tc>
        <w:tc>
          <w:tcPr>
            <w:tcW w:w="828" w:type="pct"/>
            <w:tcBorders>
              <w:tl2br w:val="nil"/>
              <w:tr2bl w:val="nil"/>
            </w:tcBorders>
            <w:vAlign w:val="center"/>
          </w:tcPr>
          <w:p>
            <w:pPr>
              <w:pStyle w:val="70"/>
              <w:rPr>
                <w:u w:val="none"/>
              </w:rPr>
            </w:pPr>
            <w:r>
              <w:rPr>
                <w:u w:val="none"/>
              </w:rPr>
              <w:t>Agilent7500cs电感耦合等离子体质谱仪</w:t>
            </w:r>
          </w:p>
        </w:tc>
        <w:tc>
          <w:tcPr>
            <w:tcW w:w="629" w:type="pct"/>
            <w:tcBorders>
              <w:tl2br w:val="nil"/>
              <w:tr2bl w:val="nil"/>
            </w:tcBorders>
            <w:vAlign w:val="center"/>
          </w:tcPr>
          <w:p>
            <w:pPr>
              <w:pStyle w:val="70"/>
              <w:rPr>
                <w:u w:val="none"/>
              </w:rPr>
            </w:pPr>
            <w:r>
              <w:rPr>
                <w:u w:val="none"/>
              </w:rPr>
              <w:t>XJHB-175</w:t>
            </w:r>
          </w:p>
        </w:tc>
        <w:tc>
          <w:tcPr>
            <w:tcW w:w="882" w:type="pct"/>
            <w:tcBorders>
              <w:tl2br w:val="nil"/>
              <w:tr2bl w:val="nil"/>
            </w:tcBorders>
            <w:vAlign w:val="center"/>
          </w:tcPr>
          <w:p>
            <w:pPr>
              <w:pStyle w:val="70"/>
              <w:rPr>
                <w:u w:val="none"/>
              </w:rPr>
            </w:pPr>
            <w:r>
              <w:rPr>
                <w:u w:val="none"/>
              </w:rPr>
              <w:t>0.000</w:t>
            </w:r>
            <w:r>
              <w:rPr>
                <w:rFonts w:hint="eastAsia"/>
                <w:u w:val="none"/>
              </w:rPr>
              <w:t>05</w:t>
            </w:r>
            <w:r>
              <w:rPr>
                <w:u w:val="none"/>
              </w:rPr>
              <w:t>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cantSplit/>
          <w:trHeight w:val="90" w:hRule="atLeast"/>
          <w:jc w:val="center"/>
        </w:trPr>
        <w:tc>
          <w:tcPr>
            <w:tcW w:w="596" w:type="pct"/>
            <w:vMerge w:val="continue"/>
            <w:tcBorders>
              <w:tl2br w:val="nil"/>
              <w:tr2bl w:val="nil"/>
            </w:tcBorders>
            <w:vAlign w:val="center"/>
          </w:tcPr>
          <w:p>
            <w:pPr>
              <w:pStyle w:val="70"/>
              <w:rPr>
                <w:u w:val="none"/>
              </w:rPr>
            </w:pPr>
          </w:p>
        </w:tc>
        <w:tc>
          <w:tcPr>
            <w:tcW w:w="611" w:type="pct"/>
            <w:tcBorders>
              <w:tl2br w:val="nil"/>
              <w:tr2bl w:val="nil"/>
            </w:tcBorders>
            <w:vAlign w:val="center"/>
          </w:tcPr>
          <w:p>
            <w:pPr>
              <w:pStyle w:val="70"/>
              <w:rPr>
                <w:u w:val="none"/>
              </w:rPr>
            </w:pPr>
            <w:r>
              <w:rPr>
                <w:u w:val="none"/>
              </w:rPr>
              <w:t>砷</w:t>
            </w:r>
          </w:p>
        </w:tc>
        <w:tc>
          <w:tcPr>
            <w:tcW w:w="1451" w:type="pct"/>
            <w:tcBorders>
              <w:tl2br w:val="nil"/>
              <w:tr2bl w:val="nil"/>
            </w:tcBorders>
            <w:vAlign w:val="center"/>
          </w:tcPr>
          <w:p>
            <w:pPr>
              <w:pStyle w:val="70"/>
              <w:rPr>
                <w:u w:val="none"/>
              </w:rPr>
            </w:pPr>
            <w:r>
              <w:rPr>
                <w:u w:val="none"/>
              </w:rPr>
              <w:t>《水质汞、砷、硒、铋、锑的测定原子荧光法》</w:t>
            </w:r>
          </w:p>
          <w:p>
            <w:pPr>
              <w:pStyle w:val="70"/>
              <w:rPr>
                <w:u w:val="none"/>
              </w:rPr>
            </w:pPr>
            <w:r>
              <w:rPr>
                <w:u w:val="none"/>
              </w:rPr>
              <w:t>HJ694-2014</w:t>
            </w:r>
          </w:p>
        </w:tc>
        <w:tc>
          <w:tcPr>
            <w:tcW w:w="828" w:type="pct"/>
            <w:tcBorders>
              <w:tl2br w:val="nil"/>
              <w:tr2bl w:val="nil"/>
            </w:tcBorders>
            <w:vAlign w:val="center"/>
          </w:tcPr>
          <w:p>
            <w:pPr>
              <w:pStyle w:val="70"/>
              <w:rPr>
                <w:u w:val="none"/>
              </w:rPr>
            </w:pPr>
            <w:r>
              <w:rPr>
                <w:u w:val="none"/>
              </w:rPr>
              <w:t>AFS-230E</w:t>
            </w:r>
          </w:p>
          <w:p>
            <w:pPr>
              <w:pStyle w:val="70"/>
              <w:rPr>
                <w:u w:val="none"/>
              </w:rPr>
            </w:pPr>
            <w:r>
              <w:rPr>
                <w:u w:val="none"/>
              </w:rPr>
              <w:t>双道原子荧光光度计</w:t>
            </w:r>
          </w:p>
        </w:tc>
        <w:tc>
          <w:tcPr>
            <w:tcW w:w="629" w:type="pct"/>
            <w:tcBorders>
              <w:tl2br w:val="nil"/>
              <w:tr2bl w:val="nil"/>
            </w:tcBorders>
            <w:vAlign w:val="center"/>
          </w:tcPr>
          <w:p>
            <w:pPr>
              <w:pStyle w:val="70"/>
              <w:rPr>
                <w:u w:val="none"/>
              </w:rPr>
            </w:pPr>
            <w:r>
              <w:rPr>
                <w:u w:val="none"/>
              </w:rPr>
              <w:t>XJHB-011</w:t>
            </w:r>
          </w:p>
        </w:tc>
        <w:tc>
          <w:tcPr>
            <w:tcW w:w="882" w:type="pct"/>
            <w:tcBorders>
              <w:tl2br w:val="nil"/>
              <w:tr2bl w:val="nil"/>
            </w:tcBorders>
            <w:vAlign w:val="center"/>
          </w:tcPr>
          <w:p>
            <w:pPr>
              <w:pStyle w:val="70"/>
              <w:rPr>
                <w:u w:val="none"/>
              </w:rPr>
            </w:pPr>
            <w:r>
              <w:rPr>
                <w:u w:val="none"/>
              </w:rPr>
              <w:t>0.0003mg/L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cantSplit/>
          <w:trHeight w:val="454" w:hRule="atLeast"/>
          <w:jc w:val="center"/>
        </w:trPr>
        <w:tc>
          <w:tcPr>
            <w:tcW w:w="596" w:type="pct"/>
            <w:vMerge w:val="continue"/>
            <w:tcBorders>
              <w:tl2br w:val="nil"/>
              <w:tr2bl w:val="nil"/>
            </w:tcBorders>
            <w:vAlign w:val="center"/>
          </w:tcPr>
          <w:p>
            <w:pPr>
              <w:pStyle w:val="70"/>
              <w:rPr>
                <w:u w:val="none"/>
              </w:rPr>
            </w:pPr>
          </w:p>
        </w:tc>
        <w:tc>
          <w:tcPr>
            <w:tcW w:w="611" w:type="pct"/>
            <w:tcBorders>
              <w:tl2br w:val="nil"/>
              <w:tr2bl w:val="nil"/>
            </w:tcBorders>
            <w:vAlign w:val="center"/>
          </w:tcPr>
          <w:p>
            <w:pPr>
              <w:pStyle w:val="70"/>
              <w:rPr>
                <w:u w:val="none"/>
              </w:rPr>
            </w:pPr>
            <w:r>
              <w:rPr>
                <w:rFonts w:hint="eastAsia"/>
                <w:u w:val="none"/>
              </w:rPr>
              <w:t>铬</w:t>
            </w:r>
          </w:p>
        </w:tc>
        <w:tc>
          <w:tcPr>
            <w:tcW w:w="1451" w:type="pct"/>
            <w:tcBorders>
              <w:tl2br w:val="nil"/>
              <w:tr2bl w:val="nil"/>
            </w:tcBorders>
            <w:vAlign w:val="center"/>
          </w:tcPr>
          <w:p>
            <w:pPr>
              <w:pStyle w:val="70"/>
              <w:rPr>
                <w:u w:val="none"/>
              </w:rPr>
            </w:pPr>
            <w:r>
              <w:rPr>
                <w:u w:val="none"/>
              </w:rPr>
              <w:t>《水质65种元素的测定电感耦合等离子体质谱法》</w:t>
            </w:r>
          </w:p>
          <w:p>
            <w:pPr>
              <w:pStyle w:val="70"/>
              <w:rPr>
                <w:u w:val="none"/>
              </w:rPr>
            </w:pPr>
            <w:r>
              <w:rPr>
                <w:u w:val="none"/>
              </w:rPr>
              <w:t>HJ700-2014</w:t>
            </w:r>
          </w:p>
        </w:tc>
        <w:tc>
          <w:tcPr>
            <w:tcW w:w="828" w:type="pct"/>
            <w:tcBorders>
              <w:tl2br w:val="nil"/>
              <w:tr2bl w:val="nil"/>
            </w:tcBorders>
            <w:vAlign w:val="center"/>
          </w:tcPr>
          <w:p>
            <w:pPr>
              <w:pStyle w:val="70"/>
              <w:rPr>
                <w:u w:val="none"/>
              </w:rPr>
            </w:pPr>
            <w:r>
              <w:rPr>
                <w:u w:val="none"/>
              </w:rPr>
              <w:t>Agilent7500cs电感耦合等离子体质谱仪</w:t>
            </w:r>
          </w:p>
        </w:tc>
        <w:tc>
          <w:tcPr>
            <w:tcW w:w="629" w:type="pct"/>
            <w:tcBorders>
              <w:tl2br w:val="nil"/>
              <w:tr2bl w:val="nil"/>
            </w:tcBorders>
            <w:vAlign w:val="center"/>
          </w:tcPr>
          <w:p>
            <w:pPr>
              <w:pStyle w:val="70"/>
              <w:rPr>
                <w:u w:val="none"/>
              </w:rPr>
            </w:pPr>
            <w:r>
              <w:rPr>
                <w:u w:val="none"/>
              </w:rPr>
              <w:t>XJHB-175</w:t>
            </w:r>
          </w:p>
        </w:tc>
        <w:tc>
          <w:tcPr>
            <w:tcW w:w="882" w:type="pct"/>
            <w:tcBorders>
              <w:tl2br w:val="nil"/>
              <w:tr2bl w:val="nil"/>
            </w:tcBorders>
            <w:vAlign w:val="center"/>
          </w:tcPr>
          <w:p>
            <w:pPr>
              <w:pStyle w:val="70"/>
              <w:rPr>
                <w:u w:val="none"/>
              </w:rPr>
            </w:pPr>
            <w:r>
              <w:rPr>
                <w:u w:val="none"/>
              </w:rPr>
              <w:t>0.000</w:t>
            </w:r>
            <w:r>
              <w:rPr>
                <w:rFonts w:hint="eastAsia"/>
                <w:u w:val="none"/>
              </w:rPr>
              <w:t>11</w:t>
            </w:r>
            <w:r>
              <w:rPr>
                <w:u w:val="none"/>
              </w:rPr>
              <w:t>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cantSplit/>
          <w:trHeight w:val="846" w:hRule="atLeast"/>
          <w:jc w:val="center"/>
        </w:trPr>
        <w:tc>
          <w:tcPr>
            <w:tcW w:w="596" w:type="pct"/>
            <w:tcBorders>
              <w:tl2br w:val="nil"/>
              <w:tr2bl w:val="nil"/>
            </w:tcBorders>
            <w:vAlign w:val="center"/>
          </w:tcPr>
          <w:p>
            <w:pPr>
              <w:pStyle w:val="70"/>
              <w:rPr>
                <w:u w:val="none"/>
              </w:rPr>
            </w:pPr>
            <w:r>
              <w:rPr>
                <w:rFonts w:hint="eastAsia"/>
                <w:u w:val="none"/>
              </w:rPr>
              <w:t>地表水</w:t>
            </w:r>
          </w:p>
        </w:tc>
        <w:tc>
          <w:tcPr>
            <w:tcW w:w="611" w:type="pct"/>
            <w:tcBorders>
              <w:tl2br w:val="nil"/>
              <w:tr2bl w:val="nil"/>
            </w:tcBorders>
            <w:vAlign w:val="center"/>
          </w:tcPr>
          <w:p>
            <w:pPr>
              <w:pStyle w:val="70"/>
              <w:rPr>
                <w:u w:val="none"/>
              </w:rPr>
            </w:pPr>
            <w:r>
              <w:rPr>
                <w:u w:val="none"/>
              </w:rPr>
              <w:t>铬（六价）</w:t>
            </w:r>
          </w:p>
        </w:tc>
        <w:tc>
          <w:tcPr>
            <w:tcW w:w="1451" w:type="pct"/>
            <w:tcBorders>
              <w:tl2br w:val="nil"/>
              <w:tr2bl w:val="nil"/>
            </w:tcBorders>
            <w:vAlign w:val="center"/>
          </w:tcPr>
          <w:p>
            <w:pPr>
              <w:pStyle w:val="70"/>
              <w:rPr>
                <w:u w:val="none"/>
              </w:rPr>
            </w:pPr>
            <w:r>
              <w:rPr>
                <w:u w:val="none"/>
              </w:rPr>
              <w:t>《水质六价铬的测定二苯碳酰二肼分光光度法》</w:t>
            </w:r>
          </w:p>
          <w:p>
            <w:pPr>
              <w:pStyle w:val="70"/>
              <w:rPr>
                <w:u w:val="none"/>
              </w:rPr>
            </w:pPr>
            <w:r>
              <w:rPr>
                <w:u w:val="none"/>
              </w:rPr>
              <w:t>GB7467-87</w:t>
            </w:r>
          </w:p>
        </w:tc>
        <w:tc>
          <w:tcPr>
            <w:tcW w:w="828" w:type="pct"/>
            <w:tcBorders>
              <w:tl2br w:val="nil"/>
              <w:tr2bl w:val="nil"/>
            </w:tcBorders>
            <w:vAlign w:val="center"/>
          </w:tcPr>
          <w:p>
            <w:pPr>
              <w:pStyle w:val="70"/>
              <w:rPr>
                <w:u w:val="none"/>
              </w:rPr>
            </w:pPr>
            <w:r>
              <w:rPr>
                <w:u w:val="none"/>
              </w:rPr>
              <w:t>752紫外可见分光光度计</w:t>
            </w:r>
          </w:p>
        </w:tc>
        <w:tc>
          <w:tcPr>
            <w:tcW w:w="629" w:type="pct"/>
            <w:tcBorders>
              <w:tl2br w:val="nil"/>
              <w:tr2bl w:val="nil"/>
            </w:tcBorders>
            <w:vAlign w:val="center"/>
          </w:tcPr>
          <w:p>
            <w:pPr>
              <w:pStyle w:val="70"/>
              <w:rPr>
                <w:u w:val="none"/>
              </w:rPr>
            </w:pPr>
            <w:r>
              <w:rPr>
                <w:rFonts w:hint="eastAsia"/>
                <w:u w:val="none"/>
              </w:rPr>
              <w:t>XJHB-009</w:t>
            </w:r>
          </w:p>
        </w:tc>
        <w:tc>
          <w:tcPr>
            <w:tcW w:w="882" w:type="pct"/>
            <w:tcBorders>
              <w:tl2br w:val="nil"/>
              <w:tr2bl w:val="nil"/>
            </w:tcBorders>
            <w:vAlign w:val="center"/>
          </w:tcPr>
          <w:p>
            <w:pPr>
              <w:pStyle w:val="70"/>
              <w:rPr>
                <w:u w:val="none"/>
              </w:rPr>
            </w:pPr>
            <w:r>
              <w:rPr>
                <w:u w:val="none"/>
              </w:rPr>
              <w:t>0.004mg/L</w:t>
            </w:r>
          </w:p>
        </w:tc>
      </w:tr>
    </w:tbl>
    <w:p>
      <w:pPr>
        <w:ind w:firstLine="480"/>
        <w:rPr>
          <w:u w:val="none"/>
        </w:rPr>
      </w:pPr>
      <w:r>
        <w:rPr>
          <w:u w:val="none"/>
        </w:rPr>
        <w:t>（</w:t>
      </w:r>
      <w:r>
        <w:rPr>
          <w:rFonts w:hint="eastAsia"/>
          <w:u w:val="none"/>
        </w:rPr>
        <w:t>3</w:t>
      </w:r>
      <w:r>
        <w:rPr>
          <w:u w:val="none"/>
        </w:rPr>
        <w:t>）监测结果</w:t>
      </w:r>
    </w:p>
    <w:p>
      <w:pPr>
        <w:ind w:firstLine="480"/>
        <w:rPr>
          <w:u w:val="none"/>
        </w:rPr>
      </w:pPr>
      <w:r>
        <w:rPr>
          <w:u w:val="none"/>
        </w:rPr>
        <w:t>地表水环境质量监测及评价结果见</w:t>
      </w:r>
      <w:r>
        <w:rPr>
          <w:rFonts w:hint="eastAsia"/>
          <w:u w:val="none"/>
        </w:rPr>
        <w:t>下</w:t>
      </w:r>
      <w:r>
        <w:rPr>
          <w:u w:val="none"/>
        </w:rPr>
        <w:t>表。</w:t>
      </w:r>
    </w:p>
    <w:p>
      <w:pPr>
        <w:spacing w:line="240" w:lineRule="auto"/>
        <w:ind w:firstLine="482"/>
        <w:jc w:val="center"/>
        <w:rPr>
          <w:b/>
          <w:bCs/>
          <w:u w:val="none"/>
        </w:rPr>
      </w:pPr>
      <w:r>
        <w:rPr>
          <w:b/>
          <w:bCs/>
          <w:u w:val="none"/>
        </w:rPr>
        <w:t>表3.</w:t>
      </w:r>
      <w:r>
        <w:rPr>
          <w:rFonts w:hint="eastAsia"/>
          <w:b/>
          <w:bCs/>
          <w:u w:val="none"/>
        </w:rPr>
        <w:t>1.2</w:t>
      </w:r>
      <w:r>
        <w:rPr>
          <w:b/>
          <w:bCs/>
          <w:u w:val="none"/>
        </w:rPr>
        <w:t>-</w:t>
      </w:r>
      <w:r>
        <w:rPr>
          <w:rFonts w:hint="eastAsia"/>
          <w:b/>
          <w:bCs/>
          <w:u w:val="none"/>
        </w:rPr>
        <w:t>3</w:t>
      </w:r>
      <w:r>
        <w:rPr>
          <w:b/>
          <w:bCs/>
          <w:u w:val="none"/>
        </w:rPr>
        <w:t>地表水环境质量监测及评价结果</w:t>
      </w:r>
      <w:r>
        <w:rPr>
          <w:rFonts w:hint="eastAsia"/>
          <w:b/>
          <w:bCs/>
          <w:u w:val="none"/>
        </w:rPr>
        <w:t>（枯水期）</w:t>
      </w:r>
    </w:p>
    <w:tbl>
      <w:tblPr>
        <w:tblStyle w:val="31"/>
        <w:tblW w:w="4996"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108" w:type="dxa"/>
          <w:bottom w:w="0" w:type="dxa"/>
          <w:right w:w="108" w:type="dxa"/>
        </w:tblCellMar>
      </w:tblPr>
      <w:tblGrid>
        <w:gridCol w:w="695"/>
        <w:gridCol w:w="2235"/>
        <w:gridCol w:w="2070"/>
        <w:gridCol w:w="1152"/>
        <w:gridCol w:w="1182"/>
        <w:gridCol w:w="1143"/>
        <w:gridCol w:w="802"/>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tblHeader/>
          <w:jc w:val="center"/>
        </w:trPr>
        <w:tc>
          <w:tcPr>
            <w:tcW w:w="374" w:type="pct"/>
            <w:vMerge w:val="restart"/>
            <w:tcBorders>
              <w:tl2br w:val="nil"/>
              <w:tr2bl w:val="nil"/>
            </w:tcBorders>
            <w:vAlign w:val="center"/>
          </w:tcPr>
          <w:p>
            <w:pPr>
              <w:pStyle w:val="70"/>
              <w:rPr>
                <w:u w:val="none"/>
              </w:rPr>
            </w:pPr>
            <w:r>
              <w:rPr>
                <w:u w:val="none"/>
              </w:rPr>
              <w:t>检测点位</w:t>
            </w:r>
          </w:p>
        </w:tc>
        <w:tc>
          <w:tcPr>
            <w:tcW w:w="1204" w:type="pct"/>
            <w:vMerge w:val="restart"/>
            <w:tcBorders>
              <w:tl2br w:val="nil"/>
              <w:tr2bl w:val="nil"/>
            </w:tcBorders>
            <w:vAlign w:val="center"/>
          </w:tcPr>
          <w:p>
            <w:pPr>
              <w:pStyle w:val="70"/>
              <w:rPr>
                <w:u w:val="none"/>
              </w:rPr>
            </w:pPr>
            <w:r>
              <w:rPr>
                <w:u w:val="none"/>
              </w:rPr>
              <w:t>样品编号</w:t>
            </w:r>
          </w:p>
        </w:tc>
        <w:tc>
          <w:tcPr>
            <w:tcW w:w="1115" w:type="pct"/>
            <w:vMerge w:val="restart"/>
            <w:tcBorders>
              <w:tl2br w:val="nil"/>
              <w:tr2bl w:val="nil"/>
            </w:tcBorders>
            <w:vAlign w:val="center"/>
          </w:tcPr>
          <w:p>
            <w:pPr>
              <w:pStyle w:val="70"/>
              <w:rPr>
                <w:u w:val="none"/>
              </w:rPr>
            </w:pPr>
            <w:r>
              <w:rPr>
                <w:u w:val="none"/>
              </w:rPr>
              <w:t>检测项目</w:t>
            </w:r>
          </w:p>
        </w:tc>
        <w:tc>
          <w:tcPr>
            <w:tcW w:w="1874" w:type="pct"/>
            <w:gridSpan w:val="3"/>
            <w:tcBorders>
              <w:tl2br w:val="nil"/>
              <w:tr2bl w:val="nil"/>
            </w:tcBorders>
            <w:vAlign w:val="center"/>
          </w:tcPr>
          <w:p>
            <w:pPr>
              <w:pStyle w:val="70"/>
              <w:rPr>
                <w:u w:val="none"/>
              </w:rPr>
            </w:pPr>
            <w:r>
              <w:rPr>
                <w:u w:val="none"/>
              </w:rPr>
              <w:t>检测结果</w:t>
            </w:r>
          </w:p>
        </w:tc>
        <w:tc>
          <w:tcPr>
            <w:tcW w:w="431" w:type="pct"/>
            <w:vMerge w:val="restart"/>
            <w:tcBorders>
              <w:tl2br w:val="nil"/>
              <w:tr2bl w:val="nil"/>
            </w:tcBorders>
            <w:vAlign w:val="center"/>
          </w:tcPr>
          <w:p>
            <w:pPr>
              <w:pStyle w:val="70"/>
              <w:rPr>
                <w:u w:val="none"/>
              </w:rPr>
            </w:pPr>
            <w:r>
              <w:rPr>
                <w:u w:val="none"/>
              </w:rPr>
              <w:t>参考限值</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tblHeader/>
          <w:jc w:val="center"/>
        </w:trPr>
        <w:tc>
          <w:tcPr>
            <w:tcW w:w="374" w:type="pct"/>
            <w:vMerge w:val="continue"/>
            <w:tcBorders>
              <w:tl2br w:val="nil"/>
              <w:tr2bl w:val="nil"/>
            </w:tcBorders>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vMerge w:val="continue"/>
            <w:tcBorders>
              <w:tl2br w:val="nil"/>
              <w:tr2bl w:val="nil"/>
            </w:tcBorders>
            <w:vAlign w:val="center"/>
          </w:tcPr>
          <w:p>
            <w:pPr>
              <w:pStyle w:val="70"/>
              <w:rPr>
                <w:u w:val="none"/>
              </w:rPr>
            </w:pPr>
          </w:p>
        </w:tc>
        <w:tc>
          <w:tcPr>
            <w:tcW w:w="621" w:type="pct"/>
            <w:tcBorders>
              <w:tl2br w:val="nil"/>
              <w:tr2bl w:val="nil"/>
            </w:tcBorders>
            <w:vAlign w:val="center"/>
          </w:tcPr>
          <w:p>
            <w:pPr>
              <w:pStyle w:val="70"/>
              <w:rPr>
                <w:u w:val="none"/>
              </w:rPr>
            </w:pPr>
            <w:r>
              <w:rPr>
                <w:u w:val="none"/>
              </w:rPr>
              <w:t>11月23日</w:t>
            </w:r>
          </w:p>
        </w:tc>
        <w:tc>
          <w:tcPr>
            <w:tcW w:w="637" w:type="pct"/>
            <w:tcBorders>
              <w:tl2br w:val="nil"/>
              <w:tr2bl w:val="nil"/>
            </w:tcBorders>
            <w:vAlign w:val="center"/>
          </w:tcPr>
          <w:p>
            <w:pPr>
              <w:pStyle w:val="70"/>
              <w:rPr>
                <w:u w:val="none"/>
              </w:rPr>
            </w:pPr>
            <w:r>
              <w:rPr>
                <w:u w:val="none"/>
              </w:rPr>
              <w:t>11月24日</w:t>
            </w:r>
          </w:p>
        </w:tc>
        <w:tc>
          <w:tcPr>
            <w:tcW w:w="614" w:type="pct"/>
            <w:tcBorders>
              <w:tl2br w:val="nil"/>
              <w:tr2bl w:val="nil"/>
            </w:tcBorders>
            <w:vAlign w:val="center"/>
          </w:tcPr>
          <w:p>
            <w:pPr>
              <w:pStyle w:val="70"/>
              <w:rPr>
                <w:u w:val="none"/>
              </w:rPr>
            </w:pPr>
            <w:r>
              <w:rPr>
                <w:u w:val="none"/>
              </w:rPr>
              <w:t>11月25日</w:t>
            </w:r>
          </w:p>
        </w:tc>
        <w:tc>
          <w:tcPr>
            <w:tcW w:w="431" w:type="pct"/>
            <w:vMerge w:val="continue"/>
            <w:tcBorders>
              <w:tl2br w:val="nil"/>
              <w:tr2bl w:val="nil"/>
            </w:tcBorders>
            <w:vAlign w:val="center"/>
          </w:tcPr>
          <w:p>
            <w:pPr>
              <w:pStyle w:val="70"/>
              <w:rPr>
                <w:u w:val="non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restart"/>
            <w:tcBorders>
              <w:tl2br w:val="nil"/>
              <w:tr2bl w:val="nil"/>
            </w:tcBorders>
            <w:vAlign w:val="center"/>
          </w:tcPr>
          <w:p>
            <w:pPr>
              <w:pStyle w:val="70"/>
              <w:rPr>
                <w:u w:val="none"/>
              </w:rPr>
            </w:pPr>
            <w:r>
              <w:rPr>
                <w:u w:val="none"/>
              </w:rPr>
              <w:t>入河排污口上游500m</w:t>
            </w:r>
          </w:p>
        </w:tc>
        <w:tc>
          <w:tcPr>
            <w:tcW w:w="1204" w:type="pct"/>
            <w:tcBorders>
              <w:tl2br w:val="nil"/>
              <w:tr2bl w:val="nil"/>
            </w:tcBorders>
            <w:vAlign w:val="center"/>
          </w:tcPr>
          <w:p>
            <w:pPr>
              <w:pStyle w:val="70"/>
              <w:rPr>
                <w:u w:val="none"/>
              </w:rPr>
            </w:pPr>
            <w:r>
              <w:rPr>
                <w:u w:val="none"/>
              </w:rPr>
              <w:t>/</w:t>
            </w:r>
          </w:p>
        </w:tc>
        <w:tc>
          <w:tcPr>
            <w:tcW w:w="1115" w:type="pct"/>
            <w:tcBorders>
              <w:tl2br w:val="nil"/>
              <w:tr2bl w:val="nil"/>
            </w:tcBorders>
            <w:vAlign w:val="center"/>
          </w:tcPr>
          <w:p>
            <w:pPr>
              <w:pStyle w:val="70"/>
              <w:rPr>
                <w:u w:val="none"/>
              </w:rPr>
            </w:pPr>
            <w:r>
              <w:rPr>
                <w:u w:val="none"/>
              </w:rPr>
              <w:t>pH值，无量纲</w:t>
            </w:r>
          </w:p>
        </w:tc>
        <w:tc>
          <w:tcPr>
            <w:tcW w:w="621" w:type="pct"/>
            <w:tcBorders>
              <w:tl2br w:val="nil"/>
              <w:tr2bl w:val="nil"/>
            </w:tcBorders>
            <w:vAlign w:val="center"/>
          </w:tcPr>
          <w:p>
            <w:pPr>
              <w:pStyle w:val="70"/>
              <w:rPr>
                <w:u w:val="none"/>
              </w:rPr>
            </w:pPr>
            <w:r>
              <w:rPr>
                <w:u w:val="none"/>
              </w:rPr>
              <w:t>7.9</w:t>
            </w:r>
          </w:p>
        </w:tc>
        <w:tc>
          <w:tcPr>
            <w:tcW w:w="637" w:type="pct"/>
            <w:tcBorders>
              <w:tl2br w:val="nil"/>
              <w:tr2bl w:val="nil"/>
            </w:tcBorders>
            <w:vAlign w:val="center"/>
          </w:tcPr>
          <w:p>
            <w:pPr>
              <w:pStyle w:val="70"/>
              <w:rPr>
                <w:u w:val="none"/>
              </w:rPr>
            </w:pPr>
            <w:r>
              <w:rPr>
                <w:u w:val="none"/>
              </w:rPr>
              <w:t>8.2</w:t>
            </w:r>
          </w:p>
        </w:tc>
        <w:tc>
          <w:tcPr>
            <w:tcW w:w="614" w:type="pct"/>
            <w:tcBorders>
              <w:tl2br w:val="nil"/>
              <w:tr2bl w:val="nil"/>
            </w:tcBorders>
            <w:vAlign w:val="center"/>
          </w:tcPr>
          <w:p>
            <w:pPr>
              <w:pStyle w:val="70"/>
              <w:rPr>
                <w:u w:val="none"/>
              </w:rPr>
            </w:pPr>
            <w:r>
              <w:rPr>
                <w:u w:val="none"/>
              </w:rPr>
              <w:t>8.2</w:t>
            </w:r>
          </w:p>
        </w:tc>
        <w:tc>
          <w:tcPr>
            <w:tcW w:w="431" w:type="pct"/>
            <w:tcBorders>
              <w:tl2br w:val="nil"/>
              <w:tr2bl w:val="nil"/>
            </w:tcBorders>
            <w:vAlign w:val="center"/>
          </w:tcPr>
          <w:p>
            <w:pPr>
              <w:pStyle w:val="70"/>
              <w:rPr>
                <w:u w:val="none"/>
              </w:rPr>
            </w:pPr>
            <w:r>
              <w:rPr>
                <w:u w:val="none"/>
              </w:rPr>
              <w:t>6-9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vAlign w:val="center"/>
          </w:tcPr>
          <w:p>
            <w:pPr>
              <w:pStyle w:val="70"/>
              <w:rPr>
                <w:u w:val="none"/>
              </w:rPr>
            </w:pPr>
          </w:p>
        </w:tc>
        <w:tc>
          <w:tcPr>
            <w:tcW w:w="1204" w:type="pct"/>
            <w:vMerge w:val="restart"/>
            <w:tcBorders>
              <w:tl2br w:val="nil"/>
              <w:tr2bl w:val="nil"/>
            </w:tcBorders>
            <w:vAlign w:val="center"/>
          </w:tcPr>
          <w:p>
            <w:pPr>
              <w:pStyle w:val="70"/>
              <w:rPr>
                <w:u w:val="none"/>
              </w:rPr>
            </w:pPr>
            <w:r>
              <w:rPr>
                <w:u w:val="none"/>
              </w:rPr>
              <w:t>第一天0862-01-01-01</w:t>
            </w:r>
            <w:r>
              <w:rPr>
                <w:u w:val="none"/>
              </w:rPr>
              <w:br w:type="textWrapping"/>
            </w:r>
            <w:r>
              <w:rPr>
                <w:u w:val="none"/>
              </w:rPr>
              <w:t>第二天0862-02-01-01</w:t>
            </w:r>
            <w:r>
              <w:rPr>
                <w:u w:val="none"/>
              </w:rPr>
              <w:br w:type="textWrapping"/>
            </w:r>
            <w:r>
              <w:rPr>
                <w:u w:val="none"/>
              </w:rPr>
              <w:t>第三天0862-03-01-01</w:t>
            </w:r>
          </w:p>
        </w:tc>
        <w:tc>
          <w:tcPr>
            <w:tcW w:w="1115" w:type="pct"/>
            <w:tcBorders>
              <w:tl2br w:val="nil"/>
              <w:tr2bl w:val="nil"/>
            </w:tcBorders>
            <w:vAlign w:val="center"/>
          </w:tcPr>
          <w:p>
            <w:pPr>
              <w:pStyle w:val="70"/>
              <w:rPr>
                <w:u w:val="none"/>
              </w:rPr>
            </w:pPr>
            <w:r>
              <w:rPr>
                <w:u w:val="none"/>
              </w:rPr>
              <w:t>化学需氧量，mg/L</w:t>
            </w:r>
          </w:p>
        </w:tc>
        <w:tc>
          <w:tcPr>
            <w:tcW w:w="621" w:type="pct"/>
            <w:tcBorders>
              <w:tl2br w:val="nil"/>
              <w:tr2bl w:val="nil"/>
            </w:tcBorders>
            <w:vAlign w:val="center"/>
          </w:tcPr>
          <w:p>
            <w:pPr>
              <w:pStyle w:val="70"/>
              <w:rPr>
                <w:u w:val="none"/>
              </w:rPr>
            </w:pPr>
            <w:r>
              <w:rPr>
                <w:u w:val="none"/>
              </w:rPr>
              <w:t>6</w:t>
            </w:r>
          </w:p>
        </w:tc>
        <w:tc>
          <w:tcPr>
            <w:tcW w:w="637" w:type="pct"/>
            <w:tcBorders>
              <w:tl2br w:val="nil"/>
              <w:tr2bl w:val="nil"/>
            </w:tcBorders>
            <w:vAlign w:val="center"/>
          </w:tcPr>
          <w:p>
            <w:pPr>
              <w:pStyle w:val="70"/>
              <w:rPr>
                <w:u w:val="none"/>
              </w:rPr>
            </w:pPr>
            <w:r>
              <w:rPr>
                <w:u w:val="none"/>
              </w:rPr>
              <w:t>6</w:t>
            </w:r>
          </w:p>
        </w:tc>
        <w:tc>
          <w:tcPr>
            <w:tcW w:w="614" w:type="pct"/>
            <w:tcBorders>
              <w:tl2br w:val="nil"/>
              <w:tr2bl w:val="nil"/>
            </w:tcBorders>
            <w:vAlign w:val="center"/>
          </w:tcPr>
          <w:p>
            <w:pPr>
              <w:pStyle w:val="70"/>
              <w:rPr>
                <w:u w:val="none"/>
              </w:rPr>
            </w:pPr>
            <w:r>
              <w:rPr>
                <w:u w:val="none"/>
              </w:rPr>
              <w:t>6</w:t>
            </w:r>
          </w:p>
        </w:tc>
        <w:tc>
          <w:tcPr>
            <w:tcW w:w="431" w:type="pct"/>
            <w:tcBorders>
              <w:tl2br w:val="nil"/>
              <w:tr2bl w:val="nil"/>
            </w:tcBorders>
            <w:vAlign w:val="center"/>
          </w:tcPr>
          <w:p>
            <w:pPr>
              <w:pStyle w:val="70"/>
              <w:rPr>
                <w:u w:val="none"/>
              </w:rPr>
            </w:pPr>
            <w:r>
              <w:rPr>
                <w:u w:val="none"/>
              </w:rPr>
              <w:t>15</w:t>
            </w:r>
          </w:p>
        </w:tc>
      </w:tr>
      <w:tr>
        <w:tblPrEx>
          <w:tblCellMar>
            <w:top w:w="0" w:type="dxa"/>
            <w:left w:w="108" w:type="dxa"/>
            <w:bottom w:w="0" w:type="dxa"/>
            <w:right w:w="108" w:type="dxa"/>
          </w:tblCellMar>
        </w:tblPrEx>
        <w:trPr>
          <w:trHeight w:val="397" w:hRule="atLeast"/>
          <w:jc w:val="center"/>
        </w:trPr>
        <w:tc>
          <w:tcPr>
            <w:tcW w:w="374" w:type="pct"/>
            <w:vMerge w:val="continue"/>
            <w:tcBorders>
              <w:tl2br w:val="nil"/>
              <w:tr2bl w:val="nil"/>
            </w:tcBorders>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氨氮，mg/L</w:t>
            </w:r>
          </w:p>
        </w:tc>
        <w:tc>
          <w:tcPr>
            <w:tcW w:w="621" w:type="pct"/>
            <w:tcBorders>
              <w:tl2br w:val="nil"/>
              <w:tr2bl w:val="nil"/>
            </w:tcBorders>
            <w:vAlign w:val="center"/>
          </w:tcPr>
          <w:p>
            <w:pPr>
              <w:pStyle w:val="70"/>
              <w:rPr>
                <w:u w:val="none"/>
              </w:rPr>
            </w:pPr>
            <w:r>
              <w:rPr>
                <w:u w:val="none"/>
              </w:rPr>
              <w:t>0.140</w:t>
            </w:r>
          </w:p>
        </w:tc>
        <w:tc>
          <w:tcPr>
            <w:tcW w:w="637" w:type="pct"/>
            <w:tcBorders>
              <w:tl2br w:val="nil"/>
              <w:tr2bl w:val="nil"/>
            </w:tcBorders>
            <w:vAlign w:val="center"/>
          </w:tcPr>
          <w:p>
            <w:pPr>
              <w:pStyle w:val="70"/>
              <w:rPr>
                <w:u w:val="none"/>
              </w:rPr>
            </w:pPr>
            <w:r>
              <w:rPr>
                <w:u w:val="none"/>
              </w:rPr>
              <w:t>0.168</w:t>
            </w:r>
          </w:p>
        </w:tc>
        <w:tc>
          <w:tcPr>
            <w:tcW w:w="614" w:type="pct"/>
            <w:tcBorders>
              <w:tl2br w:val="nil"/>
              <w:tr2bl w:val="nil"/>
            </w:tcBorders>
            <w:vAlign w:val="center"/>
          </w:tcPr>
          <w:p>
            <w:pPr>
              <w:pStyle w:val="70"/>
              <w:rPr>
                <w:u w:val="none"/>
              </w:rPr>
            </w:pPr>
            <w:r>
              <w:rPr>
                <w:u w:val="none"/>
              </w:rPr>
              <w:t>0.117</w:t>
            </w:r>
          </w:p>
        </w:tc>
        <w:tc>
          <w:tcPr>
            <w:tcW w:w="431" w:type="pct"/>
            <w:tcBorders>
              <w:tl2br w:val="nil"/>
              <w:tr2bl w:val="nil"/>
            </w:tcBorders>
            <w:vAlign w:val="center"/>
          </w:tcPr>
          <w:p>
            <w:pPr>
              <w:pStyle w:val="70"/>
              <w:rPr>
                <w:u w:val="none"/>
              </w:rPr>
            </w:pPr>
            <w:r>
              <w:rPr>
                <w:u w:val="none"/>
              </w:rPr>
              <w:t>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第一天0862-01-01-02</w:t>
            </w:r>
            <w:r>
              <w:rPr>
                <w:u w:val="none"/>
              </w:rPr>
              <w:br w:type="textWrapping"/>
            </w:r>
            <w:r>
              <w:rPr>
                <w:u w:val="none"/>
              </w:rPr>
              <w:t>第二天0862-02-01-02</w:t>
            </w:r>
            <w:r>
              <w:rPr>
                <w:u w:val="none"/>
              </w:rPr>
              <w:br w:type="textWrapping"/>
            </w:r>
            <w:r>
              <w:rPr>
                <w:u w:val="none"/>
              </w:rPr>
              <w:t>第三天0862-03-01-02</w:t>
            </w:r>
          </w:p>
        </w:tc>
        <w:tc>
          <w:tcPr>
            <w:tcW w:w="1115" w:type="pct"/>
            <w:tcBorders>
              <w:tl2br w:val="nil"/>
              <w:tr2bl w:val="nil"/>
            </w:tcBorders>
            <w:vAlign w:val="center"/>
          </w:tcPr>
          <w:p>
            <w:pPr>
              <w:pStyle w:val="70"/>
              <w:rPr>
                <w:u w:val="none"/>
              </w:rPr>
            </w:pPr>
            <w:r>
              <w:rPr>
                <w:u w:val="none"/>
              </w:rPr>
              <w:t>五日生化需氧量，mg/L</w:t>
            </w:r>
          </w:p>
        </w:tc>
        <w:tc>
          <w:tcPr>
            <w:tcW w:w="621" w:type="pct"/>
            <w:tcBorders>
              <w:tl2br w:val="nil"/>
              <w:tr2bl w:val="nil"/>
            </w:tcBorders>
            <w:vAlign w:val="center"/>
          </w:tcPr>
          <w:p>
            <w:pPr>
              <w:pStyle w:val="70"/>
              <w:rPr>
                <w:u w:val="none"/>
              </w:rPr>
            </w:pPr>
            <w:r>
              <w:rPr>
                <w:u w:val="none"/>
              </w:rPr>
              <w:t>1.9</w:t>
            </w:r>
          </w:p>
        </w:tc>
        <w:tc>
          <w:tcPr>
            <w:tcW w:w="637" w:type="pct"/>
            <w:tcBorders>
              <w:tl2br w:val="nil"/>
              <w:tr2bl w:val="nil"/>
            </w:tcBorders>
            <w:vAlign w:val="center"/>
          </w:tcPr>
          <w:p>
            <w:pPr>
              <w:pStyle w:val="70"/>
              <w:rPr>
                <w:u w:val="none"/>
              </w:rPr>
            </w:pPr>
            <w:r>
              <w:rPr>
                <w:u w:val="none"/>
              </w:rPr>
              <w:t>1.8</w:t>
            </w:r>
          </w:p>
        </w:tc>
        <w:tc>
          <w:tcPr>
            <w:tcW w:w="614" w:type="pct"/>
            <w:tcBorders>
              <w:tl2br w:val="nil"/>
              <w:tr2bl w:val="nil"/>
            </w:tcBorders>
            <w:vAlign w:val="center"/>
          </w:tcPr>
          <w:p>
            <w:pPr>
              <w:pStyle w:val="70"/>
              <w:rPr>
                <w:u w:val="none"/>
              </w:rPr>
            </w:pPr>
            <w:r>
              <w:rPr>
                <w:u w:val="none"/>
              </w:rPr>
              <w:t>1.8</w:t>
            </w:r>
          </w:p>
        </w:tc>
        <w:tc>
          <w:tcPr>
            <w:tcW w:w="431" w:type="pct"/>
            <w:tcBorders>
              <w:tl2br w:val="nil"/>
              <w:tr2bl w:val="nil"/>
            </w:tcBorders>
            <w:vAlign w:val="center"/>
          </w:tcPr>
          <w:p>
            <w:pPr>
              <w:pStyle w:val="70"/>
              <w:rPr>
                <w:u w:val="none"/>
              </w:rPr>
            </w:pPr>
            <w:r>
              <w:rPr>
                <w:u w:val="none"/>
              </w:rPr>
              <w:t>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第一天0862-01-01-03</w:t>
            </w:r>
            <w:r>
              <w:rPr>
                <w:u w:val="none"/>
              </w:rPr>
              <w:br w:type="textWrapping"/>
            </w:r>
            <w:r>
              <w:rPr>
                <w:u w:val="none"/>
              </w:rPr>
              <w:t>第二天0862-02-01-03</w:t>
            </w:r>
            <w:r>
              <w:rPr>
                <w:u w:val="none"/>
              </w:rPr>
              <w:br w:type="textWrapping"/>
            </w:r>
            <w:r>
              <w:rPr>
                <w:u w:val="none"/>
              </w:rPr>
              <w:t>第三天0862-03-01-03</w:t>
            </w:r>
          </w:p>
        </w:tc>
        <w:tc>
          <w:tcPr>
            <w:tcW w:w="1115" w:type="pct"/>
            <w:tcBorders>
              <w:tl2br w:val="nil"/>
              <w:tr2bl w:val="nil"/>
            </w:tcBorders>
            <w:vAlign w:val="center"/>
          </w:tcPr>
          <w:p>
            <w:pPr>
              <w:pStyle w:val="70"/>
              <w:rPr>
                <w:u w:val="none"/>
              </w:rPr>
            </w:pPr>
            <w:r>
              <w:rPr>
                <w:u w:val="none"/>
              </w:rPr>
              <w:t>悬浮物，mg/L</w:t>
            </w:r>
          </w:p>
        </w:tc>
        <w:tc>
          <w:tcPr>
            <w:tcW w:w="621" w:type="pct"/>
            <w:tcBorders>
              <w:tl2br w:val="nil"/>
              <w:tr2bl w:val="nil"/>
            </w:tcBorders>
            <w:vAlign w:val="center"/>
          </w:tcPr>
          <w:p>
            <w:pPr>
              <w:pStyle w:val="70"/>
              <w:rPr>
                <w:u w:val="none"/>
              </w:rPr>
            </w:pPr>
            <w:r>
              <w:rPr>
                <w:u w:val="none"/>
              </w:rPr>
              <w:t>5</w:t>
            </w:r>
          </w:p>
        </w:tc>
        <w:tc>
          <w:tcPr>
            <w:tcW w:w="637" w:type="pct"/>
            <w:tcBorders>
              <w:tl2br w:val="nil"/>
              <w:tr2bl w:val="nil"/>
            </w:tcBorders>
            <w:vAlign w:val="center"/>
          </w:tcPr>
          <w:p>
            <w:pPr>
              <w:pStyle w:val="70"/>
              <w:rPr>
                <w:u w:val="none"/>
              </w:rPr>
            </w:pPr>
            <w:r>
              <w:rPr>
                <w:u w:val="none"/>
              </w:rPr>
              <w:t>5</w:t>
            </w:r>
          </w:p>
        </w:tc>
        <w:tc>
          <w:tcPr>
            <w:tcW w:w="614" w:type="pct"/>
            <w:tcBorders>
              <w:tl2br w:val="nil"/>
              <w:tr2bl w:val="nil"/>
            </w:tcBorders>
            <w:vAlign w:val="center"/>
          </w:tcPr>
          <w:p>
            <w:pPr>
              <w:pStyle w:val="70"/>
              <w:rPr>
                <w:u w:val="none"/>
              </w:rPr>
            </w:pPr>
            <w:r>
              <w:rPr>
                <w:u w:val="none"/>
              </w:rPr>
              <w:t>6</w:t>
            </w:r>
          </w:p>
        </w:tc>
        <w:tc>
          <w:tcPr>
            <w:tcW w:w="431" w:type="pct"/>
            <w:tcBorders>
              <w:tl2br w:val="nil"/>
              <w:tr2bl w:val="nil"/>
            </w:tcBorders>
            <w:vAlign w:val="center"/>
          </w:tcPr>
          <w:p>
            <w:pPr>
              <w:pStyle w:val="70"/>
              <w:rPr>
                <w:u w:val="none"/>
              </w:rPr>
            </w:pPr>
            <w:r>
              <w:rPr>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第一天0862-01-01-04</w:t>
            </w:r>
            <w:r>
              <w:rPr>
                <w:u w:val="none"/>
              </w:rPr>
              <w:br w:type="textWrapping"/>
            </w:r>
            <w:r>
              <w:rPr>
                <w:u w:val="none"/>
              </w:rPr>
              <w:t>第二天0862-02-01-04</w:t>
            </w:r>
            <w:r>
              <w:rPr>
                <w:u w:val="none"/>
              </w:rPr>
              <w:br w:type="textWrapping"/>
            </w:r>
            <w:r>
              <w:rPr>
                <w:u w:val="none"/>
              </w:rPr>
              <w:t>第三天0862-03-01-04</w:t>
            </w:r>
          </w:p>
        </w:tc>
        <w:tc>
          <w:tcPr>
            <w:tcW w:w="1115" w:type="pct"/>
            <w:tcBorders>
              <w:tl2br w:val="nil"/>
              <w:tr2bl w:val="nil"/>
            </w:tcBorders>
            <w:vAlign w:val="center"/>
          </w:tcPr>
          <w:p>
            <w:pPr>
              <w:pStyle w:val="70"/>
              <w:rPr>
                <w:u w:val="none"/>
              </w:rPr>
            </w:pPr>
            <w:r>
              <w:rPr>
                <w:u w:val="none"/>
              </w:rPr>
              <w:t>石油类，mg/L</w:t>
            </w:r>
          </w:p>
        </w:tc>
        <w:tc>
          <w:tcPr>
            <w:tcW w:w="621" w:type="pct"/>
            <w:tcBorders>
              <w:tl2br w:val="nil"/>
              <w:tr2bl w:val="nil"/>
            </w:tcBorders>
            <w:vAlign w:val="center"/>
          </w:tcPr>
          <w:p>
            <w:pPr>
              <w:pStyle w:val="70"/>
              <w:rPr>
                <w:u w:val="none"/>
              </w:rPr>
            </w:pPr>
            <w:r>
              <w:rPr>
                <w:u w:val="none"/>
              </w:rPr>
              <w:t>0.01L</w:t>
            </w:r>
          </w:p>
        </w:tc>
        <w:tc>
          <w:tcPr>
            <w:tcW w:w="637" w:type="pct"/>
            <w:tcBorders>
              <w:tl2br w:val="nil"/>
              <w:tr2bl w:val="nil"/>
            </w:tcBorders>
            <w:vAlign w:val="center"/>
          </w:tcPr>
          <w:p>
            <w:pPr>
              <w:pStyle w:val="70"/>
              <w:rPr>
                <w:u w:val="none"/>
              </w:rPr>
            </w:pPr>
            <w:r>
              <w:rPr>
                <w:u w:val="none"/>
              </w:rPr>
              <w:t>0.01L</w:t>
            </w:r>
          </w:p>
        </w:tc>
        <w:tc>
          <w:tcPr>
            <w:tcW w:w="614" w:type="pct"/>
            <w:tcBorders>
              <w:tl2br w:val="nil"/>
              <w:tr2bl w:val="nil"/>
            </w:tcBorders>
            <w:vAlign w:val="center"/>
          </w:tcPr>
          <w:p>
            <w:pPr>
              <w:pStyle w:val="70"/>
              <w:rPr>
                <w:u w:val="none"/>
              </w:rPr>
            </w:pPr>
            <w:r>
              <w:rPr>
                <w:u w:val="none"/>
              </w:rPr>
              <w:t>0.01L</w:t>
            </w:r>
          </w:p>
        </w:tc>
        <w:tc>
          <w:tcPr>
            <w:tcW w:w="431" w:type="pct"/>
            <w:tcBorders>
              <w:tl2br w:val="nil"/>
              <w:tr2bl w:val="nil"/>
            </w:tcBorders>
            <w:vAlign w:val="center"/>
          </w:tcPr>
          <w:p>
            <w:pPr>
              <w:pStyle w:val="70"/>
              <w:rPr>
                <w:u w:val="none"/>
              </w:rPr>
            </w:pPr>
            <w:r>
              <w:rPr>
                <w:u w:val="none"/>
              </w:rPr>
              <w:t>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1036" w:hRule="atLeast"/>
          <w:jc w:val="center"/>
        </w:trPr>
        <w:tc>
          <w:tcPr>
            <w:tcW w:w="374" w:type="pct"/>
            <w:vMerge w:val="continue"/>
            <w:tcBorders>
              <w:tl2br w:val="nil"/>
              <w:tr2bl w:val="nil"/>
            </w:tcBorders>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第一天0862-01-01-05</w:t>
            </w:r>
            <w:r>
              <w:rPr>
                <w:u w:val="none"/>
              </w:rPr>
              <w:br w:type="textWrapping"/>
            </w:r>
            <w:r>
              <w:rPr>
                <w:u w:val="none"/>
              </w:rPr>
              <w:t>第二天0862-02-01-05</w:t>
            </w:r>
            <w:r>
              <w:rPr>
                <w:u w:val="none"/>
              </w:rPr>
              <w:br w:type="textWrapping"/>
            </w:r>
            <w:r>
              <w:rPr>
                <w:u w:val="none"/>
              </w:rPr>
              <w:t>第三天0862-03-01-05</w:t>
            </w:r>
          </w:p>
        </w:tc>
        <w:tc>
          <w:tcPr>
            <w:tcW w:w="1115" w:type="pct"/>
            <w:tcBorders>
              <w:tl2br w:val="nil"/>
              <w:tr2bl w:val="nil"/>
            </w:tcBorders>
            <w:vAlign w:val="center"/>
          </w:tcPr>
          <w:p>
            <w:pPr>
              <w:pStyle w:val="70"/>
              <w:rPr>
                <w:u w:val="none"/>
              </w:rPr>
            </w:pPr>
            <w:r>
              <w:rPr>
                <w:u w:val="none"/>
              </w:rPr>
              <w:t>总磷，mg/L</w:t>
            </w:r>
          </w:p>
        </w:tc>
        <w:tc>
          <w:tcPr>
            <w:tcW w:w="621" w:type="pct"/>
            <w:tcBorders>
              <w:tl2br w:val="nil"/>
              <w:tr2bl w:val="nil"/>
            </w:tcBorders>
            <w:vAlign w:val="center"/>
          </w:tcPr>
          <w:p>
            <w:pPr>
              <w:pStyle w:val="70"/>
              <w:rPr>
                <w:u w:val="none"/>
              </w:rPr>
            </w:pPr>
            <w:r>
              <w:rPr>
                <w:u w:val="none"/>
              </w:rPr>
              <w:t>0.06</w:t>
            </w:r>
          </w:p>
        </w:tc>
        <w:tc>
          <w:tcPr>
            <w:tcW w:w="637" w:type="pct"/>
            <w:tcBorders>
              <w:tl2br w:val="nil"/>
              <w:tr2bl w:val="nil"/>
            </w:tcBorders>
            <w:vAlign w:val="center"/>
          </w:tcPr>
          <w:p>
            <w:pPr>
              <w:pStyle w:val="70"/>
              <w:rPr>
                <w:u w:val="none"/>
              </w:rPr>
            </w:pPr>
            <w:r>
              <w:rPr>
                <w:u w:val="none"/>
              </w:rPr>
              <w:t>0.06</w:t>
            </w:r>
          </w:p>
        </w:tc>
        <w:tc>
          <w:tcPr>
            <w:tcW w:w="614" w:type="pct"/>
            <w:tcBorders>
              <w:tl2br w:val="nil"/>
              <w:tr2bl w:val="nil"/>
            </w:tcBorders>
            <w:vAlign w:val="center"/>
          </w:tcPr>
          <w:p>
            <w:pPr>
              <w:pStyle w:val="70"/>
              <w:rPr>
                <w:u w:val="none"/>
              </w:rPr>
            </w:pPr>
            <w:r>
              <w:rPr>
                <w:u w:val="none"/>
              </w:rPr>
              <w:t>0.07</w:t>
            </w:r>
          </w:p>
        </w:tc>
        <w:tc>
          <w:tcPr>
            <w:tcW w:w="431" w:type="pct"/>
            <w:tcBorders>
              <w:tl2br w:val="nil"/>
              <w:tr2bl w:val="nil"/>
            </w:tcBorders>
            <w:vAlign w:val="center"/>
          </w:tcPr>
          <w:p>
            <w:pPr>
              <w:pStyle w:val="70"/>
              <w:rPr>
                <w:u w:val="none"/>
              </w:rPr>
            </w:pPr>
            <w:r>
              <w:rPr>
                <w:u w:val="none"/>
              </w:rPr>
              <w:t>0.1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998" w:hRule="atLeast"/>
          <w:jc w:val="center"/>
        </w:trPr>
        <w:tc>
          <w:tcPr>
            <w:tcW w:w="374" w:type="pct"/>
            <w:vMerge w:val="continue"/>
            <w:tcBorders>
              <w:tl2br w:val="nil"/>
              <w:tr2bl w:val="nil"/>
            </w:tcBorders>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第一天0862-01-01-06</w:t>
            </w:r>
            <w:r>
              <w:rPr>
                <w:u w:val="none"/>
              </w:rPr>
              <w:br w:type="textWrapping"/>
            </w:r>
            <w:r>
              <w:rPr>
                <w:u w:val="none"/>
              </w:rPr>
              <w:t>第二天0862-02-01-06</w:t>
            </w:r>
            <w:r>
              <w:rPr>
                <w:u w:val="none"/>
              </w:rPr>
              <w:br w:type="textWrapping"/>
            </w:r>
            <w:r>
              <w:rPr>
                <w:u w:val="none"/>
              </w:rPr>
              <w:t>第三天0862-03-01-06</w:t>
            </w:r>
          </w:p>
        </w:tc>
        <w:tc>
          <w:tcPr>
            <w:tcW w:w="1115" w:type="pct"/>
            <w:tcBorders>
              <w:tl2br w:val="nil"/>
              <w:tr2bl w:val="nil"/>
            </w:tcBorders>
            <w:vAlign w:val="center"/>
          </w:tcPr>
          <w:p>
            <w:pPr>
              <w:pStyle w:val="70"/>
              <w:rPr>
                <w:u w:val="none"/>
              </w:rPr>
            </w:pPr>
            <w:r>
              <w:rPr>
                <w:u w:val="none"/>
              </w:rPr>
              <w:t>氟化物，mg/L</w:t>
            </w:r>
          </w:p>
        </w:tc>
        <w:tc>
          <w:tcPr>
            <w:tcW w:w="621" w:type="pct"/>
            <w:tcBorders>
              <w:tl2br w:val="nil"/>
              <w:tr2bl w:val="nil"/>
            </w:tcBorders>
            <w:vAlign w:val="center"/>
          </w:tcPr>
          <w:p>
            <w:pPr>
              <w:pStyle w:val="70"/>
              <w:rPr>
                <w:u w:val="none"/>
              </w:rPr>
            </w:pPr>
            <w:r>
              <w:rPr>
                <w:u w:val="none"/>
              </w:rPr>
              <w:t>0.153</w:t>
            </w:r>
          </w:p>
        </w:tc>
        <w:tc>
          <w:tcPr>
            <w:tcW w:w="637" w:type="pct"/>
            <w:tcBorders>
              <w:tl2br w:val="nil"/>
              <w:tr2bl w:val="nil"/>
            </w:tcBorders>
            <w:vAlign w:val="center"/>
          </w:tcPr>
          <w:p>
            <w:pPr>
              <w:pStyle w:val="70"/>
              <w:rPr>
                <w:u w:val="none"/>
              </w:rPr>
            </w:pPr>
            <w:r>
              <w:rPr>
                <w:u w:val="none"/>
              </w:rPr>
              <w:t>0.124</w:t>
            </w:r>
          </w:p>
        </w:tc>
        <w:tc>
          <w:tcPr>
            <w:tcW w:w="614" w:type="pct"/>
            <w:tcBorders>
              <w:tl2br w:val="nil"/>
              <w:tr2bl w:val="nil"/>
            </w:tcBorders>
            <w:vAlign w:val="center"/>
          </w:tcPr>
          <w:p>
            <w:pPr>
              <w:pStyle w:val="70"/>
              <w:rPr>
                <w:u w:val="none"/>
              </w:rPr>
            </w:pPr>
            <w:r>
              <w:rPr>
                <w:u w:val="none"/>
              </w:rPr>
              <w:t>0.126</w:t>
            </w:r>
          </w:p>
        </w:tc>
        <w:tc>
          <w:tcPr>
            <w:tcW w:w="431" w:type="pct"/>
            <w:tcBorders>
              <w:tl2br w:val="nil"/>
              <w:tr2bl w:val="nil"/>
            </w:tcBorders>
            <w:vAlign w:val="center"/>
          </w:tcPr>
          <w:p>
            <w:pPr>
              <w:pStyle w:val="70"/>
              <w:rPr>
                <w:u w:val="none"/>
              </w:rPr>
            </w:pPr>
            <w:r>
              <w:rPr>
                <w:u w:val="none"/>
              </w:rPr>
              <w:t>1.0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vAlign w:val="center"/>
          </w:tcPr>
          <w:p>
            <w:pPr>
              <w:pStyle w:val="70"/>
              <w:rPr>
                <w:u w:val="none"/>
              </w:rPr>
            </w:pPr>
          </w:p>
        </w:tc>
        <w:tc>
          <w:tcPr>
            <w:tcW w:w="1204" w:type="pct"/>
            <w:vMerge w:val="restart"/>
            <w:tcBorders>
              <w:tl2br w:val="nil"/>
              <w:tr2bl w:val="nil"/>
            </w:tcBorders>
            <w:vAlign w:val="center"/>
          </w:tcPr>
          <w:p>
            <w:pPr>
              <w:pStyle w:val="70"/>
              <w:rPr>
                <w:u w:val="none"/>
              </w:rPr>
            </w:pPr>
            <w:r>
              <w:rPr>
                <w:u w:val="none"/>
              </w:rPr>
              <w:t>第一天0862-01-01-07</w:t>
            </w:r>
            <w:r>
              <w:rPr>
                <w:u w:val="none"/>
              </w:rPr>
              <w:br w:type="textWrapping"/>
            </w:r>
            <w:r>
              <w:rPr>
                <w:u w:val="none"/>
              </w:rPr>
              <w:t>第二天0862-02-01-07</w:t>
            </w:r>
            <w:r>
              <w:rPr>
                <w:u w:val="none"/>
              </w:rPr>
              <w:br w:type="textWrapping"/>
            </w:r>
            <w:r>
              <w:rPr>
                <w:u w:val="none"/>
              </w:rPr>
              <w:t>第三天0862-03-01-07</w:t>
            </w:r>
          </w:p>
        </w:tc>
        <w:tc>
          <w:tcPr>
            <w:tcW w:w="1115" w:type="pct"/>
            <w:tcBorders>
              <w:tl2br w:val="nil"/>
              <w:tr2bl w:val="nil"/>
            </w:tcBorders>
            <w:vAlign w:val="center"/>
          </w:tcPr>
          <w:p>
            <w:pPr>
              <w:pStyle w:val="70"/>
              <w:rPr>
                <w:u w:val="none"/>
              </w:rPr>
            </w:pPr>
            <w:r>
              <w:rPr>
                <w:u w:val="none"/>
              </w:rPr>
              <w:t>铜，mg/L</w:t>
            </w:r>
          </w:p>
        </w:tc>
        <w:tc>
          <w:tcPr>
            <w:tcW w:w="621" w:type="pct"/>
            <w:tcBorders>
              <w:tl2br w:val="nil"/>
              <w:tr2bl w:val="nil"/>
            </w:tcBorders>
            <w:vAlign w:val="center"/>
          </w:tcPr>
          <w:p>
            <w:pPr>
              <w:pStyle w:val="70"/>
              <w:rPr>
                <w:u w:val="none"/>
              </w:rPr>
            </w:pPr>
            <w:r>
              <w:rPr>
                <w:u w:val="none"/>
              </w:rPr>
              <w:t>0.00042</w:t>
            </w:r>
          </w:p>
        </w:tc>
        <w:tc>
          <w:tcPr>
            <w:tcW w:w="637" w:type="pct"/>
            <w:tcBorders>
              <w:tl2br w:val="nil"/>
              <w:tr2bl w:val="nil"/>
            </w:tcBorders>
            <w:vAlign w:val="center"/>
          </w:tcPr>
          <w:p>
            <w:pPr>
              <w:pStyle w:val="70"/>
              <w:rPr>
                <w:u w:val="none"/>
              </w:rPr>
            </w:pPr>
            <w:r>
              <w:rPr>
                <w:u w:val="none"/>
              </w:rPr>
              <w:t>0.00050</w:t>
            </w:r>
          </w:p>
        </w:tc>
        <w:tc>
          <w:tcPr>
            <w:tcW w:w="614" w:type="pct"/>
            <w:tcBorders>
              <w:tl2br w:val="nil"/>
              <w:tr2bl w:val="nil"/>
            </w:tcBorders>
            <w:vAlign w:val="center"/>
          </w:tcPr>
          <w:p>
            <w:pPr>
              <w:pStyle w:val="70"/>
              <w:rPr>
                <w:u w:val="none"/>
              </w:rPr>
            </w:pPr>
            <w:r>
              <w:rPr>
                <w:u w:val="none"/>
              </w:rPr>
              <w:t>0.00057</w:t>
            </w:r>
          </w:p>
        </w:tc>
        <w:tc>
          <w:tcPr>
            <w:tcW w:w="431" w:type="pct"/>
            <w:tcBorders>
              <w:tl2br w:val="nil"/>
              <w:tr2bl w:val="nil"/>
            </w:tcBorders>
            <w:vAlign w:val="center"/>
          </w:tcPr>
          <w:p>
            <w:pPr>
              <w:pStyle w:val="70"/>
              <w:rPr>
                <w:u w:val="none"/>
              </w:rPr>
            </w:pPr>
            <w:r>
              <w:rPr>
                <w:u w:val="none"/>
              </w:rPr>
              <w:t>1.0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锌，mg/L</w:t>
            </w:r>
          </w:p>
        </w:tc>
        <w:tc>
          <w:tcPr>
            <w:tcW w:w="621" w:type="pct"/>
            <w:tcBorders>
              <w:tl2br w:val="nil"/>
              <w:tr2bl w:val="nil"/>
            </w:tcBorders>
            <w:vAlign w:val="center"/>
          </w:tcPr>
          <w:p>
            <w:pPr>
              <w:pStyle w:val="70"/>
              <w:rPr>
                <w:u w:val="none"/>
              </w:rPr>
            </w:pPr>
            <w:r>
              <w:rPr>
                <w:u w:val="none"/>
              </w:rPr>
              <w:t>0.00180</w:t>
            </w:r>
          </w:p>
        </w:tc>
        <w:tc>
          <w:tcPr>
            <w:tcW w:w="637" w:type="pct"/>
            <w:tcBorders>
              <w:tl2br w:val="nil"/>
              <w:tr2bl w:val="nil"/>
            </w:tcBorders>
            <w:vAlign w:val="center"/>
          </w:tcPr>
          <w:p>
            <w:pPr>
              <w:pStyle w:val="70"/>
              <w:rPr>
                <w:u w:val="none"/>
              </w:rPr>
            </w:pPr>
            <w:r>
              <w:rPr>
                <w:u w:val="none"/>
              </w:rPr>
              <w:t>0.00067L</w:t>
            </w:r>
          </w:p>
        </w:tc>
        <w:tc>
          <w:tcPr>
            <w:tcW w:w="614" w:type="pct"/>
            <w:tcBorders>
              <w:tl2br w:val="nil"/>
              <w:tr2bl w:val="nil"/>
            </w:tcBorders>
            <w:vAlign w:val="center"/>
          </w:tcPr>
          <w:p>
            <w:pPr>
              <w:pStyle w:val="70"/>
              <w:rPr>
                <w:u w:val="none"/>
              </w:rPr>
            </w:pPr>
            <w:r>
              <w:rPr>
                <w:u w:val="none"/>
              </w:rPr>
              <w:t>0.00067L</w:t>
            </w:r>
          </w:p>
        </w:tc>
        <w:tc>
          <w:tcPr>
            <w:tcW w:w="431" w:type="pct"/>
            <w:tcBorders>
              <w:tl2br w:val="nil"/>
              <w:tr2bl w:val="nil"/>
            </w:tcBorders>
            <w:vAlign w:val="center"/>
          </w:tcPr>
          <w:p>
            <w:pPr>
              <w:pStyle w:val="70"/>
              <w:rPr>
                <w:u w:val="none"/>
              </w:rPr>
            </w:pPr>
            <w:r>
              <w:rPr>
                <w:u w:val="none"/>
              </w:rPr>
              <w:t>1.0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铅，mg/L</w:t>
            </w:r>
          </w:p>
        </w:tc>
        <w:tc>
          <w:tcPr>
            <w:tcW w:w="621" w:type="pct"/>
            <w:tcBorders>
              <w:tl2br w:val="nil"/>
              <w:tr2bl w:val="nil"/>
            </w:tcBorders>
            <w:vAlign w:val="center"/>
          </w:tcPr>
          <w:p>
            <w:pPr>
              <w:pStyle w:val="70"/>
              <w:rPr>
                <w:u w:val="none"/>
              </w:rPr>
            </w:pPr>
            <w:r>
              <w:rPr>
                <w:u w:val="none"/>
              </w:rPr>
              <w:t>0.00009L</w:t>
            </w:r>
          </w:p>
        </w:tc>
        <w:tc>
          <w:tcPr>
            <w:tcW w:w="637" w:type="pct"/>
            <w:tcBorders>
              <w:tl2br w:val="nil"/>
              <w:tr2bl w:val="nil"/>
            </w:tcBorders>
            <w:vAlign w:val="center"/>
          </w:tcPr>
          <w:p>
            <w:pPr>
              <w:pStyle w:val="70"/>
              <w:rPr>
                <w:u w:val="none"/>
              </w:rPr>
            </w:pPr>
            <w:r>
              <w:rPr>
                <w:u w:val="none"/>
              </w:rPr>
              <w:t>0.00009L</w:t>
            </w:r>
          </w:p>
        </w:tc>
        <w:tc>
          <w:tcPr>
            <w:tcW w:w="614" w:type="pct"/>
            <w:tcBorders>
              <w:tl2br w:val="nil"/>
              <w:tr2bl w:val="nil"/>
            </w:tcBorders>
            <w:vAlign w:val="center"/>
          </w:tcPr>
          <w:p>
            <w:pPr>
              <w:pStyle w:val="70"/>
              <w:rPr>
                <w:u w:val="none"/>
              </w:rPr>
            </w:pPr>
            <w:r>
              <w:rPr>
                <w:u w:val="none"/>
              </w:rPr>
              <w:t>0.00009L</w:t>
            </w:r>
          </w:p>
        </w:tc>
        <w:tc>
          <w:tcPr>
            <w:tcW w:w="431" w:type="pct"/>
            <w:tcBorders>
              <w:tl2br w:val="nil"/>
              <w:tr2bl w:val="nil"/>
            </w:tcBorders>
            <w:vAlign w:val="center"/>
          </w:tcPr>
          <w:p>
            <w:pPr>
              <w:pStyle w:val="70"/>
              <w:rPr>
                <w:u w:val="none"/>
              </w:rPr>
            </w:pPr>
            <w:r>
              <w:rPr>
                <w:u w:val="none"/>
              </w:rPr>
              <w:t>0.01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镉，mg/L</w:t>
            </w:r>
          </w:p>
        </w:tc>
        <w:tc>
          <w:tcPr>
            <w:tcW w:w="621" w:type="pct"/>
            <w:tcBorders>
              <w:tl2br w:val="nil"/>
              <w:tr2bl w:val="nil"/>
            </w:tcBorders>
            <w:vAlign w:val="center"/>
          </w:tcPr>
          <w:p>
            <w:pPr>
              <w:pStyle w:val="70"/>
              <w:rPr>
                <w:u w:val="none"/>
              </w:rPr>
            </w:pPr>
            <w:r>
              <w:rPr>
                <w:u w:val="none"/>
              </w:rPr>
              <w:t>0.00005L</w:t>
            </w:r>
          </w:p>
        </w:tc>
        <w:tc>
          <w:tcPr>
            <w:tcW w:w="637" w:type="pct"/>
            <w:tcBorders>
              <w:tl2br w:val="nil"/>
              <w:tr2bl w:val="nil"/>
            </w:tcBorders>
            <w:vAlign w:val="center"/>
          </w:tcPr>
          <w:p>
            <w:pPr>
              <w:pStyle w:val="70"/>
              <w:rPr>
                <w:u w:val="none"/>
              </w:rPr>
            </w:pPr>
            <w:r>
              <w:rPr>
                <w:u w:val="none"/>
              </w:rPr>
              <w:t>0.00005L</w:t>
            </w:r>
          </w:p>
        </w:tc>
        <w:tc>
          <w:tcPr>
            <w:tcW w:w="614" w:type="pct"/>
            <w:tcBorders>
              <w:tl2br w:val="nil"/>
              <w:tr2bl w:val="nil"/>
            </w:tcBorders>
            <w:vAlign w:val="center"/>
          </w:tcPr>
          <w:p>
            <w:pPr>
              <w:pStyle w:val="70"/>
              <w:rPr>
                <w:u w:val="none"/>
              </w:rPr>
            </w:pPr>
            <w:r>
              <w:rPr>
                <w:u w:val="none"/>
              </w:rPr>
              <w:t>0.00005L</w:t>
            </w:r>
          </w:p>
        </w:tc>
        <w:tc>
          <w:tcPr>
            <w:tcW w:w="431" w:type="pct"/>
            <w:tcBorders>
              <w:tl2br w:val="nil"/>
              <w:tr2bl w:val="nil"/>
            </w:tcBorders>
            <w:vAlign w:val="center"/>
          </w:tcPr>
          <w:p>
            <w:pPr>
              <w:pStyle w:val="70"/>
              <w:rPr>
                <w:u w:val="none"/>
              </w:rPr>
            </w:pPr>
            <w:r>
              <w:rPr>
                <w:u w:val="none"/>
              </w:rPr>
              <w:t>0.005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铊，mg/L</w:t>
            </w:r>
          </w:p>
        </w:tc>
        <w:tc>
          <w:tcPr>
            <w:tcW w:w="621" w:type="pct"/>
            <w:tcBorders>
              <w:tl2br w:val="nil"/>
              <w:tr2bl w:val="nil"/>
            </w:tcBorders>
            <w:vAlign w:val="center"/>
          </w:tcPr>
          <w:p>
            <w:pPr>
              <w:pStyle w:val="70"/>
              <w:rPr>
                <w:u w:val="none"/>
              </w:rPr>
            </w:pPr>
            <w:r>
              <w:rPr>
                <w:u w:val="none"/>
              </w:rPr>
              <w:t>0.00002</w:t>
            </w:r>
            <w:r>
              <w:rPr>
                <w:rFonts w:hint="eastAsia"/>
                <w:u w:val="none"/>
              </w:rPr>
              <w:t>L</w:t>
            </w:r>
          </w:p>
        </w:tc>
        <w:tc>
          <w:tcPr>
            <w:tcW w:w="637" w:type="pct"/>
            <w:tcBorders>
              <w:tl2br w:val="nil"/>
              <w:tr2bl w:val="nil"/>
            </w:tcBorders>
            <w:vAlign w:val="center"/>
          </w:tcPr>
          <w:p>
            <w:pPr>
              <w:pStyle w:val="70"/>
              <w:rPr>
                <w:u w:val="none"/>
              </w:rPr>
            </w:pPr>
            <w:r>
              <w:rPr>
                <w:u w:val="none"/>
              </w:rPr>
              <w:t>0.00002L</w:t>
            </w:r>
          </w:p>
        </w:tc>
        <w:tc>
          <w:tcPr>
            <w:tcW w:w="614" w:type="pct"/>
            <w:tcBorders>
              <w:tl2br w:val="nil"/>
              <w:tr2bl w:val="nil"/>
            </w:tcBorders>
            <w:vAlign w:val="center"/>
          </w:tcPr>
          <w:p>
            <w:pPr>
              <w:pStyle w:val="70"/>
              <w:rPr>
                <w:u w:val="none"/>
              </w:rPr>
            </w:pPr>
            <w:r>
              <w:rPr>
                <w:u w:val="none"/>
              </w:rPr>
              <w:t>0.00002L</w:t>
            </w:r>
          </w:p>
        </w:tc>
        <w:tc>
          <w:tcPr>
            <w:tcW w:w="431" w:type="pct"/>
            <w:tcBorders>
              <w:tl2br w:val="nil"/>
              <w:tr2bl w:val="nil"/>
            </w:tcBorders>
            <w:vAlign w:val="center"/>
          </w:tcPr>
          <w:p>
            <w:pPr>
              <w:pStyle w:val="70"/>
              <w:rPr>
                <w:u w:val="none"/>
              </w:rPr>
            </w:pPr>
            <w:r>
              <w:rPr>
                <w:rFonts w:hint="eastAsia"/>
                <w:u w:val="none"/>
              </w:rPr>
              <w:t>0.0001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42" w:hRule="atLeast"/>
          <w:jc w:val="center"/>
        </w:trPr>
        <w:tc>
          <w:tcPr>
            <w:tcW w:w="374" w:type="pct"/>
            <w:vMerge w:val="continue"/>
            <w:tcBorders>
              <w:tl2br w:val="nil"/>
              <w:tr2bl w:val="nil"/>
            </w:tcBorders>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铬，mg/L</w:t>
            </w:r>
          </w:p>
        </w:tc>
        <w:tc>
          <w:tcPr>
            <w:tcW w:w="621" w:type="pct"/>
            <w:tcBorders>
              <w:tl2br w:val="nil"/>
              <w:tr2bl w:val="nil"/>
            </w:tcBorders>
            <w:vAlign w:val="center"/>
          </w:tcPr>
          <w:p>
            <w:pPr>
              <w:pStyle w:val="70"/>
              <w:rPr>
                <w:u w:val="none"/>
              </w:rPr>
            </w:pPr>
            <w:r>
              <w:rPr>
                <w:u w:val="none"/>
              </w:rPr>
              <w:t>0.00049</w:t>
            </w:r>
          </w:p>
        </w:tc>
        <w:tc>
          <w:tcPr>
            <w:tcW w:w="637" w:type="pct"/>
            <w:tcBorders>
              <w:tl2br w:val="nil"/>
              <w:tr2bl w:val="nil"/>
            </w:tcBorders>
            <w:vAlign w:val="center"/>
          </w:tcPr>
          <w:p>
            <w:pPr>
              <w:pStyle w:val="70"/>
              <w:rPr>
                <w:u w:val="none"/>
              </w:rPr>
            </w:pPr>
            <w:r>
              <w:rPr>
                <w:u w:val="none"/>
              </w:rPr>
              <w:t>0.00020</w:t>
            </w:r>
          </w:p>
        </w:tc>
        <w:tc>
          <w:tcPr>
            <w:tcW w:w="614" w:type="pct"/>
            <w:tcBorders>
              <w:tl2br w:val="nil"/>
              <w:tr2bl w:val="nil"/>
            </w:tcBorders>
            <w:vAlign w:val="center"/>
          </w:tcPr>
          <w:p>
            <w:pPr>
              <w:pStyle w:val="70"/>
              <w:rPr>
                <w:u w:val="none"/>
              </w:rPr>
            </w:pPr>
            <w:r>
              <w:rPr>
                <w:u w:val="none"/>
              </w:rPr>
              <w:t>0.00019</w:t>
            </w:r>
          </w:p>
        </w:tc>
        <w:tc>
          <w:tcPr>
            <w:tcW w:w="431" w:type="pct"/>
            <w:tcBorders>
              <w:tl2br w:val="nil"/>
              <w:tr2bl w:val="nil"/>
            </w:tcBorders>
            <w:vAlign w:val="center"/>
          </w:tcPr>
          <w:p>
            <w:pPr>
              <w:pStyle w:val="70"/>
              <w:rPr>
                <w:u w:val="none"/>
              </w:rPr>
            </w:pPr>
            <w:r>
              <w:rPr>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529" w:hRule="atLeast"/>
          <w:jc w:val="center"/>
        </w:trPr>
        <w:tc>
          <w:tcPr>
            <w:tcW w:w="374" w:type="pct"/>
            <w:vMerge w:val="continue"/>
            <w:tcBorders>
              <w:tl2br w:val="nil"/>
              <w:tr2bl w:val="nil"/>
            </w:tcBorders>
            <w:vAlign w:val="center"/>
          </w:tcPr>
          <w:p>
            <w:pPr>
              <w:pStyle w:val="70"/>
              <w:rPr>
                <w:u w:val="none"/>
              </w:rPr>
            </w:pPr>
          </w:p>
        </w:tc>
        <w:tc>
          <w:tcPr>
            <w:tcW w:w="1204" w:type="pct"/>
            <w:vMerge w:val="restart"/>
            <w:tcBorders>
              <w:tl2br w:val="nil"/>
              <w:tr2bl w:val="nil"/>
            </w:tcBorders>
            <w:vAlign w:val="center"/>
          </w:tcPr>
          <w:p>
            <w:pPr>
              <w:pStyle w:val="70"/>
              <w:rPr>
                <w:u w:val="none"/>
              </w:rPr>
            </w:pPr>
            <w:r>
              <w:rPr>
                <w:u w:val="none"/>
              </w:rPr>
              <w:t>第一天0862-01-01-08</w:t>
            </w:r>
            <w:r>
              <w:rPr>
                <w:u w:val="none"/>
              </w:rPr>
              <w:br w:type="textWrapping"/>
            </w:r>
            <w:r>
              <w:rPr>
                <w:u w:val="none"/>
              </w:rPr>
              <w:t>第二天0862-02-01-08</w:t>
            </w:r>
            <w:r>
              <w:rPr>
                <w:u w:val="none"/>
              </w:rPr>
              <w:br w:type="textWrapping"/>
            </w:r>
            <w:r>
              <w:rPr>
                <w:u w:val="none"/>
              </w:rPr>
              <w:t>第三天0862-03-01-08</w:t>
            </w:r>
          </w:p>
        </w:tc>
        <w:tc>
          <w:tcPr>
            <w:tcW w:w="1115" w:type="pct"/>
            <w:tcBorders>
              <w:tl2br w:val="nil"/>
              <w:tr2bl w:val="nil"/>
            </w:tcBorders>
            <w:vAlign w:val="center"/>
          </w:tcPr>
          <w:p>
            <w:pPr>
              <w:pStyle w:val="70"/>
              <w:rPr>
                <w:u w:val="none"/>
              </w:rPr>
            </w:pPr>
            <w:r>
              <w:rPr>
                <w:u w:val="none"/>
              </w:rPr>
              <w:t>砷，mg/L</w:t>
            </w:r>
          </w:p>
        </w:tc>
        <w:tc>
          <w:tcPr>
            <w:tcW w:w="621" w:type="pct"/>
            <w:tcBorders>
              <w:tl2br w:val="nil"/>
              <w:tr2bl w:val="nil"/>
            </w:tcBorders>
            <w:vAlign w:val="center"/>
          </w:tcPr>
          <w:p>
            <w:pPr>
              <w:pStyle w:val="70"/>
              <w:rPr>
                <w:u w:val="none"/>
              </w:rPr>
            </w:pPr>
            <w:r>
              <w:rPr>
                <w:u w:val="none"/>
              </w:rPr>
              <w:t>0.0046</w:t>
            </w:r>
          </w:p>
        </w:tc>
        <w:tc>
          <w:tcPr>
            <w:tcW w:w="637" w:type="pct"/>
            <w:tcBorders>
              <w:tl2br w:val="nil"/>
              <w:tr2bl w:val="nil"/>
            </w:tcBorders>
            <w:vAlign w:val="center"/>
          </w:tcPr>
          <w:p>
            <w:pPr>
              <w:pStyle w:val="70"/>
              <w:rPr>
                <w:u w:val="none"/>
              </w:rPr>
            </w:pPr>
            <w:r>
              <w:rPr>
                <w:u w:val="none"/>
              </w:rPr>
              <w:t>0.0041</w:t>
            </w:r>
          </w:p>
        </w:tc>
        <w:tc>
          <w:tcPr>
            <w:tcW w:w="614" w:type="pct"/>
            <w:tcBorders>
              <w:tl2br w:val="nil"/>
              <w:tr2bl w:val="nil"/>
            </w:tcBorders>
            <w:vAlign w:val="center"/>
          </w:tcPr>
          <w:p>
            <w:pPr>
              <w:pStyle w:val="70"/>
              <w:rPr>
                <w:u w:val="none"/>
              </w:rPr>
            </w:pPr>
            <w:r>
              <w:rPr>
                <w:u w:val="none"/>
              </w:rPr>
              <w:t>0.0040</w:t>
            </w:r>
          </w:p>
        </w:tc>
        <w:tc>
          <w:tcPr>
            <w:tcW w:w="431" w:type="pct"/>
            <w:tcBorders>
              <w:tl2br w:val="nil"/>
              <w:tr2bl w:val="nil"/>
            </w:tcBorders>
            <w:vAlign w:val="center"/>
          </w:tcPr>
          <w:p>
            <w:pPr>
              <w:pStyle w:val="70"/>
              <w:rPr>
                <w:u w:val="none"/>
              </w:rPr>
            </w:pPr>
            <w:r>
              <w:rPr>
                <w:u w:val="none"/>
              </w:rPr>
              <w:t>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59" w:hRule="atLeast"/>
          <w:jc w:val="center"/>
        </w:trPr>
        <w:tc>
          <w:tcPr>
            <w:tcW w:w="374" w:type="pct"/>
            <w:vMerge w:val="continue"/>
            <w:tcBorders>
              <w:tl2br w:val="nil"/>
              <w:tr2bl w:val="nil"/>
            </w:tcBorders>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锑，mg/L</w:t>
            </w:r>
          </w:p>
        </w:tc>
        <w:tc>
          <w:tcPr>
            <w:tcW w:w="621" w:type="pct"/>
            <w:tcBorders>
              <w:tl2br w:val="nil"/>
              <w:tr2bl w:val="nil"/>
            </w:tcBorders>
            <w:vAlign w:val="center"/>
          </w:tcPr>
          <w:p>
            <w:pPr>
              <w:pStyle w:val="70"/>
              <w:rPr>
                <w:u w:val="none"/>
              </w:rPr>
            </w:pPr>
            <w:r>
              <w:rPr>
                <w:u w:val="none"/>
              </w:rPr>
              <w:t>0.0047</w:t>
            </w:r>
          </w:p>
        </w:tc>
        <w:tc>
          <w:tcPr>
            <w:tcW w:w="637" w:type="pct"/>
            <w:tcBorders>
              <w:tl2br w:val="nil"/>
              <w:tr2bl w:val="nil"/>
            </w:tcBorders>
            <w:vAlign w:val="center"/>
          </w:tcPr>
          <w:p>
            <w:pPr>
              <w:pStyle w:val="70"/>
              <w:rPr>
                <w:u w:val="none"/>
              </w:rPr>
            </w:pPr>
            <w:r>
              <w:rPr>
                <w:u w:val="none"/>
              </w:rPr>
              <w:t>0.0048</w:t>
            </w:r>
          </w:p>
        </w:tc>
        <w:tc>
          <w:tcPr>
            <w:tcW w:w="614" w:type="pct"/>
            <w:tcBorders>
              <w:tl2br w:val="nil"/>
              <w:tr2bl w:val="nil"/>
            </w:tcBorders>
            <w:vAlign w:val="center"/>
          </w:tcPr>
          <w:p>
            <w:pPr>
              <w:pStyle w:val="70"/>
              <w:rPr>
                <w:u w:val="none"/>
              </w:rPr>
            </w:pPr>
            <w:r>
              <w:rPr>
                <w:rFonts w:hint="eastAsia"/>
                <w:u w:val="none"/>
              </w:rPr>
              <w:t>0.0046</w:t>
            </w:r>
          </w:p>
        </w:tc>
        <w:tc>
          <w:tcPr>
            <w:tcW w:w="431" w:type="pct"/>
            <w:tcBorders>
              <w:tl2br w:val="nil"/>
              <w:tr2bl w:val="nil"/>
            </w:tcBorders>
            <w:vAlign w:val="center"/>
          </w:tcPr>
          <w:p>
            <w:pPr>
              <w:pStyle w:val="70"/>
              <w:rPr>
                <w:u w:val="none"/>
              </w:rPr>
            </w:pPr>
            <w:r>
              <w:rPr>
                <w:rFonts w:hint="eastAsia"/>
                <w:u w:val="none"/>
              </w:rPr>
              <w:t>0.005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861" w:hRule="atLeast"/>
          <w:jc w:val="center"/>
        </w:trPr>
        <w:tc>
          <w:tcPr>
            <w:tcW w:w="374" w:type="pct"/>
            <w:vMerge w:val="restart"/>
            <w:tcBorders>
              <w:tl2br w:val="nil"/>
              <w:tr2bl w:val="nil"/>
            </w:tcBorders>
            <w:vAlign w:val="center"/>
          </w:tcPr>
          <w:p>
            <w:pPr>
              <w:pStyle w:val="70"/>
              <w:rPr>
                <w:u w:val="none"/>
              </w:rPr>
            </w:pPr>
            <w:r>
              <w:rPr>
                <w:u w:val="none"/>
              </w:rPr>
              <w:t>入河排污口上游500m</w:t>
            </w:r>
          </w:p>
        </w:tc>
        <w:tc>
          <w:tcPr>
            <w:tcW w:w="1204" w:type="pct"/>
            <w:tcBorders>
              <w:tl2br w:val="nil"/>
              <w:tr2bl w:val="nil"/>
            </w:tcBorders>
            <w:vAlign w:val="center"/>
          </w:tcPr>
          <w:p>
            <w:pPr>
              <w:pStyle w:val="70"/>
              <w:rPr>
                <w:u w:val="none"/>
              </w:rPr>
            </w:pPr>
            <w:r>
              <w:rPr>
                <w:u w:val="none"/>
              </w:rPr>
              <w:t>第一天0862-01-01-09</w:t>
            </w:r>
            <w:r>
              <w:rPr>
                <w:u w:val="none"/>
              </w:rPr>
              <w:br w:type="textWrapping"/>
            </w:r>
            <w:r>
              <w:rPr>
                <w:u w:val="none"/>
              </w:rPr>
              <w:t>第二天0862-02-01-09</w:t>
            </w:r>
            <w:r>
              <w:rPr>
                <w:u w:val="none"/>
              </w:rPr>
              <w:br w:type="textWrapping"/>
            </w:r>
            <w:r>
              <w:rPr>
                <w:u w:val="none"/>
              </w:rPr>
              <w:t>第三天0862-03-01-09</w:t>
            </w:r>
          </w:p>
        </w:tc>
        <w:tc>
          <w:tcPr>
            <w:tcW w:w="1115" w:type="pct"/>
            <w:tcBorders>
              <w:tl2br w:val="nil"/>
              <w:tr2bl w:val="nil"/>
            </w:tcBorders>
            <w:vAlign w:val="center"/>
          </w:tcPr>
          <w:p>
            <w:pPr>
              <w:pStyle w:val="70"/>
              <w:rPr>
                <w:u w:val="none"/>
              </w:rPr>
            </w:pPr>
            <w:r>
              <w:rPr>
                <w:u w:val="none"/>
              </w:rPr>
              <w:t>硫化物，mg/L</w:t>
            </w:r>
          </w:p>
        </w:tc>
        <w:tc>
          <w:tcPr>
            <w:tcW w:w="621" w:type="pct"/>
            <w:tcBorders>
              <w:tl2br w:val="nil"/>
              <w:tr2bl w:val="nil"/>
            </w:tcBorders>
            <w:vAlign w:val="center"/>
          </w:tcPr>
          <w:p>
            <w:pPr>
              <w:pStyle w:val="70"/>
              <w:rPr>
                <w:u w:val="none"/>
              </w:rPr>
            </w:pPr>
            <w:r>
              <w:rPr>
                <w:u w:val="none"/>
              </w:rPr>
              <w:t>0.01L</w:t>
            </w:r>
          </w:p>
        </w:tc>
        <w:tc>
          <w:tcPr>
            <w:tcW w:w="637" w:type="pct"/>
            <w:tcBorders>
              <w:tl2br w:val="nil"/>
              <w:tr2bl w:val="nil"/>
            </w:tcBorders>
            <w:vAlign w:val="center"/>
          </w:tcPr>
          <w:p>
            <w:pPr>
              <w:pStyle w:val="70"/>
              <w:rPr>
                <w:u w:val="none"/>
              </w:rPr>
            </w:pPr>
            <w:r>
              <w:rPr>
                <w:u w:val="none"/>
              </w:rPr>
              <w:t>0.01L</w:t>
            </w:r>
          </w:p>
        </w:tc>
        <w:tc>
          <w:tcPr>
            <w:tcW w:w="614" w:type="pct"/>
            <w:tcBorders>
              <w:tl2br w:val="nil"/>
              <w:tr2bl w:val="nil"/>
            </w:tcBorders>
            <w:vAlign w:val="center"/>
          </w:tcPr>
          <w:p>
            <w:pPr>
              <w:pStyle w:val="70"/>
              <w:rPr>
                <w:u w:val="none"/>
              </w:rPr>
            </w:pPr>
            <w:r>
              <w:rPr>
                <w:u w:val="none"/>
              </w:rPr>
              <w:t>0.01L</w:t>
            </w:r>
          </w:p>
        </w:tc>
        <w:tc>
          <w:tcPr>
            <w:tcW w:w="431" w:type="pct"/>
            <w:tcBorders>
              <w:tl2br w:val="nil"/>
              <w:tr2bl w:val="nil"/>
            </w:tcBorders>
            <w:vAlign w:val="center"/>
          </w:tcPr>
          <w:p>
            <w:pPr>
              <w:pStyle w:val="70"/>
              <w:rPr>
                <w:u w:val="none"/>
              </w:rPr>
            </w:pPr>
            <w:r>
              <w:rPr>
                <w:u w:val="none"/>
              </w:rPr>
              <w:t>0.1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861" w:hRule="atLeast"/>
          <w:jc w:val="center"/>
        </w:trPr>
        <w:tc>
          <w:tcPr>
            <w:tcW w:w="374" w:type="pct"/>
            <w:vMerge w:val="continue"/>
            <w:tcBorders>
              <w:tl2br w:val="nil"/>
              <w:tr2bl w:val="nil"/>
            </w:tcBorders>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第一天0862-01-01-10</w:t>
            </w:r>
            <w:r>
              <w:rPr>
                <w:u w:val="none"/>
              </w:rPr>
              <w:br w:type="textWrapping"/>
            </w:r>
            <w:r>
              <w:rPr>
                <w:u w:val="none"/>
              </w:rPr>
              <w:t>第二天0862-02-01-10</w:t>
            </w:r>
            <w:r>
              <w:rPr>
                <w:u w:val="none"/>
              </w:rPr>
              <w:br w:type="textWrapping"/>
            </w:r>
            <w:r>
              <w:rPr>
                <w:u w:val="none"/>
              </w:rPr>
              <w:t>第三天0862-03-01-10</w:t>
            </w:r>
          </w:p>
        </w:tc>
        <w:tc>
          <w:tcPr>
            <w:tcW w:w="1115" w:type="pct"/>
            <w:tcBorders>
              <w:tl2br w:val="nil"/>
              <w:tr2bl w:val="nil"/>
            </w:tcBorders>
            <w:vAlign w:val="center"/>
          </w:tcPr>
          <w:p>
            <w:pPr>
              <w:pStyle w:val="70"/>
              <w:rPr>
                <w:u w:val="none"/>
              </w:rPr>
            </w:pPr>
            <w:r>
              <w:rPr>
                <w:u w:val="none"/>
              </w:rPr>
              <w:t>六价铬，mg/L</w:t>
            </w:r>
          </w:p>
        </w:tc>
        <w:tc>
          <w:tcPr>
            <w:tcW w:w="621" w:type="pct"/>
            <w:tcBorders>
              <w:tl2br w:val="nil"/>
              <w:tr2bl w:val="nil"/>
            </w:tcBorders>
            <w:vAlign w:val="center"/>
          </w:tcPr>
          <w:p>
            <w:pPr>
              <w:pStyle w:val="70"/>
              <w:rPr>
                <w:u w:val="none"/>
              </w:rPr>
            </w:pPr>
            <w:r>
              <w:rPr>
                <w:u w:val="none"/>
              </w:rPr>
              <w:t>0.004L</w:t>
            </w:r>
          </w:p>
        </w:tc>
        <w:tc>
          <w:tcPr>
            <w:tcW w:w="637" w:type="pct"/>
            <w:tcBorders>
              <w:tl2br w:val="nil"/>
              <w:tr2bl w:val="nil"/>
            </w:tcBorders>
            <w:vAlign w:val="center"/>
          </w:tcPr>
          <w:p>
            <w:pPr>
              <w:pStyle w:val="70"/>
              <w:rPr>
                <w:u w:val="none"/>
              </w:rPr>
            </w:pPr>
            <w:r>
              <w:rPr>
                <w:u w:val="none"/>
              </w:rPr>
              <w:t>0.004L</w:t>
            </w:r>
          </w:p>
        </w:tc>
        <w:tc>
          <w:tcPr>
            <w:tcW w:w="614" w:type="pct"/>
            <w:tcBorders>
              <w:tl2br w:val="nil"/>
              <w:tr2bl w:val="nil"/>
            </w:tcBorders>
            <w:vAlign w:val="center"/>
          </w:tcPr>
          <w:p>
            <w:pPr>
              <w:pStyle w:val="70"/>
              <w:rPr>
                <w:u w:val="none"/>
              </w:rPr>
            </w:pPr>
            <w:r>
              <w:rPr>
                <w:u w:val="none"/>
              </w:rPr>
              <w:t>0.004L</w:t>
            </w:r>
          </w:p>
        </w:tc>
        <w:tc>
          <w:tcPr>
            <w:tcW w:w="431" w:type="pct"/>
            <w:tcBorders>
              <w:tl2br w:val="nil"/>
              <w:tr2bl w:val="nil"/>
            </w:tcBorders>
            <w:vAlign w:val="center"/>
          </w:tcPr>
          <w:p>
            <w:pPr>
              <w:pStyle w:val="70"/>
              <w:rPr>
                <w:u w:val="none"/>
              </w:rPr>
            </w:pPr>
            <w:r>
              <w:rPr>
                <w:u w:val="none"/>
              </w:rPr>
              <w:t>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74" w:hRule="atLeast"/>
          <w:jc w:val="center"/>
        </w:trPr>
        <w:tc>
          <w:tcPr>
            <w:tcW w:w="374" w:type="pct"/>
            <w:vMerge w:val="restart"/>
            <w:tcBorders>
              <w:tl2br w:val="nil"/>
              <w:tr2bl w:val="nil"/>
            </w:tcBorders>
            <w:noWrap/>
            <w:vAlign w:val="center"/>
          </w:tcPr>
          <w:p>
            <w:pPr>
              <w:pStyle w:val="70"/>
              <w:rPr>
                <w:u w:val="none"/>
              </w:rPr>
            </w:pPr>
            <w:r>
              <w:rPr>
                <w:u w:val="none"/>
              </w:rPr>
              <w:t>入河排污口与资水汇入断面</w:t>
            </w:r>
          </w:p>
        </w:tc>
        <w:tc>
          <w:tcPr>
            <w:tcW w:w="1204" w:type="pct"/>
            <w:tcBorders>
              <w:tl2br w:val="nil"/>
              <w:tr2bl w:val="nil"/>
            </w:tcBorders>
            <w:vAlign w:val="center"/>
          </w:tcPr>
          <w:p>
            <w:pPr>
              <w:pStyle w:val="70"/>
              <w:rPr>
                <w:u w:val="none"/>
              </w:rPr>
            </w:pPr>
            <w:r>
              <w:rPr>
                <w:u w:val="none"/>
              </w:rPr>
              <w:t>/</w:t>
            </w:r>
          </w:p>
        </w:tc>
        <w:tc>
          <w:tcPr>
            <w:tcW w:w="1115" w:type="pct"/>
            <w:tcBorders>
              <w:tl2br w:val="nil"/>
              <w:tr2bl w:val="nil"/>
            </w:tcBorders>
            <w:vAlign w:val="center"/>
          </w:tcPr>
          <w:p>
            <w:pPr>
              <w:pStyle w:val="70"/>
              <w:rPr>
                <w:u w:val="none"/>
              </w:rPr>
            </w:pPr>
            <w:r>
              <w:rPr>
                <w:u w:val="none"/>
              </w:rPr>
              <w:t>pH值，无量纲</w:t>
            </w:r>
          </w:p>
        </w:tc>
        <w:tc>
          <w:tcPr>
            <w:tcW w:w="621" w:type="pct"/>
            <w:tcBorders>
              <w:tl2br w:val="nil"/>
              <w:tr2bl w:val="nil"/>
            </w:tcBorders>
            <w:vAlign w:val="center"/>
          </w:tcPr>
          <w:p>
            <w:pPr>
              <w:pStyle w:val="70"/>
              <w:rPr>
                <w:u w:val="none"/>
              </w:rPr>
            </w:pPr>
            <w:r>
              <w:rPr>
                <w:u w:val="none"/>
              </w:rPr>
              <w:t>8.1</w:t>
            </w:r>
          </w:p>
        </w:tc>
        <w:tc>
          <w:tcPr>
            <w:tcW w:w="637" w:type="pct"/>
            <w:tcBorders>
              <w:tl2br w:val="nil"/>
              <w:tr2bl w:val="nil"/>
            </w:tcBorders>
            <w:vAlign w:val="center"/>
          </w:tcPr>
          <w:p>
            <w:pPr>
              <w:pStyle w:val="70"/>
              <w:rPr>
                <w:u w:val="none"/>
              </w:rPr>
            </w:pPr>
            <w:r>
              <w:rPr>
                <w:u w:val="none"/>
              </w:rPr>
              <w:t>8.4</w:t>
            </w:r>
          </w:p>
        </w:tc>
        <w:tc>
          <w:tcPr>
            <w:tcW w:w="614" w:type="pct"/>
            <w:tcBorders>
              <w:tl2br w:val="nil"/>
              <w:tr2bl w:val="nil"/>
            </w:tcBorders>
            <w:vAlign w:val="center"/>
          </w:tcPr>
          <w:p>
            <w:pPr>
              <w:pStyle w:val="70"/>
              <w:rPr>
                <w:u w:val="none"/>
              </w:rPr>
            </w:pPr>
            <w:r>
              <w:rPr>
                <w:u w:val="none"/>
              </w:rPr>
              <w:t>8.3</w:t>
            </w:r>
          </w:p>
        </w:tc>
        <w:tc>
          <w:tcPr>
            <w:tcW w:w="431" w:type="pct"/>
            <w:tcBorders>
              <w:tl2br w:val="nil"/>
              <w:tr2bl w:val="nil"/>
            </w:tcBorders>
            <w:vAlign w:val="center"/>
          </w:tcPr>
          <w:p>
            <w:pPr>
              <w:pStyle w:val="70"/>
              <w:rPr>
                <w:u w:val="none"/>
              </w:rPr>
            </w:pPr>
            <w:r>
              <w:rPr>
                <w:u w:val="none"/>
              </w:rPr>
              <w:t>6-9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vMerge w:val="restart"/>
            <w:tcBorders>
              <w:tl2br w:val="nil"/>
              <w:tr2bl w:val="nil"/>
            </w:tcBorders>
            <w:vAlign w:val="center"/>
          </w:tcPr>
          <w:p>
            <w:pPr>
              <w:pStyle w:val="70"/>
              <w:rPr>
                <w:u w:val="none"/>
              </w:rPr>
            </w:pPr>
            <w:r>
              <w:rPr>
                <w:u w:val="none"/>
              </w:rPr>
              <w:t>第一天0862-01-02-01</w:t>
            </w:r>
            <w:r>
              <w:rPr>
                <w:u w:val="none"/>
              </w:rPr>
              <w:br w:type="textWrapping"/>
            </w:r>
            <w:r>
              <w:rPr>
                <w:u w:val="none"/>
              </w:rPr>
              <w:t>第二天0862-02-02-01</w:t>
            </w:r>
            <w:r>
              <w:rPr>
                <w:u w:val="none"/>
              </w:rPr>
              <w:br w:type="textWrapping"/>
            </w:r>
            <w:r>
              <w:rPr>
                <w:u w:val="none"/>
              </w:rPr>
              <w:t>第三天0862-03-02-01</w:t>
            </w:r>
          </w:p>
        </w:tc>
        <w:tc>
          <w:tcPr>
            <w:tcW w:w="1115" w:type="pct"/>
            <w:tcBorders>
              <w:tl2br w:val="nil"/>
              <w:tr2bl w:val="nil"/>
            </w:tcBorders>
            <w:vAlign w:val="center"/>
          </w:tcPr>
          <w:p>
            <w:pPr>
              <w:pStyle w:val="70"/>
              <w:rPr>
                <w:u w:val="none"/>
              </w:rPr>
            </w:pPr>
            <w:r>
              <w:rPr>
                <w:u w:val="none"/>
              </w:rPr>
              <w:t>化学需氧量，mg/L</w:t>
            </w:r>
          </w:p>
        </w:tc>
        <w:tc>
          <w:tcPr>
            <w:tcW w:w="621" w:type="pct"/>
            <w:tcBorders>
              <w:tl2br w:val="nil"/>
              <w:tr2bl w:val="nil"/>
            </w:tcBorders>
            <w:vAlign w:val="center"/>
          </w:tcPr>
          <w:p>
            <w:pPr>
              <w:pStyle w:val="70"/>
              <w:rPr>
                <w:u w:val="none"/>
              </w:rPr>
            </w:pPr>
            <w:r>
              <w:rPr>
                <w:u w:val="none"/>
              </w:rPr>
              <w:t>7</w:t>
            </w:r>
          </w:p>
        </w:tc>
        <w:tc>
          <w:tcPr>
            <w:tcW w:w="637" w:type="pct"/>
            <w:tcBorders>
              <w:tl2br w:val="nil"/>
              <w:tr2bl w:val="nil"/>
            </w:tcBorders>
            <w:vAlign w:val="center"/>
          </w:tcPr>
          <w:p>
            <w:pPr>
              <w:pStyle w:val="70"/>
              <w:rPr>
                <w:u w:val="none"/>
              </w:rPr>
            </w:pPr>
            <w:r>
              <w:rPr>
                <w:u w:val="none"/>
              </w:rPr>
              <w:t>7</w:t>
            </w:r>
          </w:p>
        </w:tc>
        <w:tc>
          <w:tcPr>
            <w:tcW w:w="614" w:type="pct"/>
            <w:tcBorders>
              <w:tl2br w:val="nil"/>
              <w:tr2bl w:val="nil"/>
            </w:tcBorders>
            <w:vAlign w:val="center"/>
          </w:tcPr>
          <w:p>
            <w:pPr>
              <w:pStyle w:val="70"/>
              <w:rPr>
                <w:u w:val="none"/>
              </w:rPr>
            </w:pPr>
            <w:r>
              <w:rPr>
                <w:u w:val="none"/>
              </w:rPr>
              <w:t>7</w:t>
            </w:r>
          </w:p>
        </w:tc>
        <w:tc>
          <w:tcPr>
            <w:tcW w:w="431" w:type="pct"/>
            <w:tcBorders>
              <w:tl2br w:val="nil"/>
              <w:tr2bl w:val="nil"/>
            </w:tcBorders>
            <w:vAlign w:val="center"/>
          </w:tcPr>
          <w:p>
            <w:pPr>
              <w:pStyle w:val="70"/>
              <w:rPr>
                <w:u w:val="none"/>
              </w:rPr>
            </w:pPr>
            <w:r>
              <w:rPr>
                <w:u w:val="none"/>
              </w:rPr>
              <w:t>15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87"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氨氮，mg/L</w:t>
            </w:r>
          </w:p>
        </w:tc>
        <w:tc>
          <w:tcPr>
            <w:tcW w:w="621" w:type="pct"/>
            <w:tcBorders>
              <w:tl2br w:val="nil"/>
              <w:tr2bl w:val="nil"/>
            </w:tcBorders>
            <w:vAlign w:val="center"/>
          </w:tcPr>
          <w:p>
            <w:pPr>
              <w:pStyle w:val="70"/>
              <w:rPr>
                <w:u w:val="none"/>
              </w:rPr>
            </w:pPr>
            <w:r>
              <w:rPr>
                <w:u w:val="none"/>
              </w:rPr>
              <w:t>0.083</w:t>
            </w:r>
          </w:p>
        </w:tc>
        <w:tc>
          <w:tcPr>
            <w:tcW w:w="637" w:type="pct"/>
            <w:tcBorders>
              <w:tl2br w:val="nil"/>
              <w:tr2bl w:val="nil"/>
            </w:tcBorders>
            <w:vAlign w:val="center"/>
          </w:tcPr>
          <w:p>
            <w:pPr>
              <w:pStyle w:val="70"/>
              <w:rPr>
                <w:u w:val="none"/>
              </w:rPr>
            </w:pPr>
            <w:r>
              <w:rPr>
                <w:u w:val="none"/>
              </w:rPr>
              <w:t>0.109</w:t>
            </w:r>
          </w:p>
        </w:tc>
        <w:tc>
          <w:tcPr>
            <w:tcW w:w="614" w:type="pct"/>
            <w:tcBorders>
              <w:tl2br w:val="nil"/>
              <w:tr2bl w:val="nil"/>
            </w:tcBorders>
            <w:vAlign w:val="center"/>
          </w:tcPr>
          <w:p>
            <w:pPr>
              <w:pStyle w:val="70"/>
              <w:rPr>
                <w:u w:val="none"/>
              </w:rPr>
            </w:pPr>
            <w:r>
              <w:rPr>
                <w:u w:val="none"/>
              </w:rPr>
              <w:t>0.131</w:t>
            </w:r>
          </w:p>
        </w:tc>
        <w:tc>
          <w:tcPr>
            <w:tcW w:w="431" w:type="pct"/>
            <w:tcBorders>
              <w:tl2br w:val="nil"/>
              <w:tr2bl w:val="nil"/>
            </w:tcBorders>
            <w:vAlign w:val="center"/>
          </w:tcPr>
          <w:p>
            <w:pPr>
              <w:pStyle w:val="70"/>
              <w:rPr>
                <w:u w:val="none"/>
              </w:rPr>
            </w:pPr>
            <w:r>
              <w:rPr>
                <w:u w:val="none"/>
              </w:rPr>
              <w:t>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第一天0862-01-02-02</w:t>
            </w:r>
            <w:r>
              <w:rPr>
                <w:u w:val="none"/>
              </w:rPr>
              <w:br w:type="textWrapping"/>
            </w:r>
            <w:r>
              <w:rPr>
                <w:u w:val="none"/>
              </w:rPr>
              <w:t>第二天0862-02-02-02</w:t>
            </w:r>
            <w:r>
              <w:rPr>
                <w:u w:val="none"/>
              </w:rPr>
              <w:br w:type="textWrapping"/>
            </w:r>
            <w:r>
              <w:rPr>
                <w:u w:val="none"/>
              </w:rPr>
              <w:t>第三天0862-03-02-02</w:t>
            </w:r>
          </w:p>
        </w:tc>
        <w:tc>
          <w:tcPr>
            <w:tcW w:w="1115" w:type="pct"/>
            <w:tcBorders>
              <w:tl2br w:val="nil"/>
              <w:tr2bl w:val="nil"/>
            </w:tcBorders>
            <w:vAlign w:val="center"/>
          </w:tcPr>
          <w:p>
            <w:pPr>
              <w:pStyle w:val="70"/>
              <w:rPr>
                <w:u w:val="none"/>
              </w:rPr>
            </w:pPr>
            <w:r>
              <w:rPr>
                <w:u w:val="none"/>
              </w:rPr>
              <w:t>五日生化需氧量，mg/L</w:t>
            </w:r>
          </w:p>
        </w:tc>
        <w:tc>
          <w:tcPr>
            <w:tcW w:w="621" w:type="pct"/>
            <w:tcBorders>
              <w:tl2br w:val="nil"/>
              <w:tr2bl w:val="nil"/>
            </w:tcBorders>
            <w:vAlign w:val="center"/>
          </w:tcPr>
          <w:p>
            <w:pPr>
              <w:pStyle w:val="70"/>
              <w:rPr>
                <w:u w:val="none"/>
              </w:rPr>
            </w:pPr>
            <w:r>
              <w:rPr>
                <w:u w:val="none"/>
              </w:rPr>
              <w:t>2.2</w:t>
            </w:r>
          </w:p>
        </w:tc>
        <w:tc>
          <w:tcPr>
            <w:tcW w:w="637" w:type="pct"/>
            <w:tcBorders>
              <w:tl2br w:val="nil"/>
              <w:tr2bl w:val="nil"/>
            </w:tcBorders>
            <w:vAlign w:val="center"/>
          </w:tcPr>
          <w:p>
            <w:pPr>
              <w:pStyle w:val="70"/>
              <w:rPr>
                <w:u w:val="none"/>
              </w:rPr>
            </w:pPr>
            <w:r>
              <w:rPr>
                <w:u w:val="none"/>
              </w:rPr>
              <w:t>2.0</w:t>
            </w:r>
          </w:p>
        </w:tc>
        <w:tc>
          <w:tcPr>
            <w:tcW w:w="614" w:type="pct"/>
            <w:tcBorders>
              <w:tl2br w:val="nil"/>
              <w:tr2bl w:val="nil"/>
            </w:tcBorders>
            <w:vAlign w:val="center"/>
          </w:tcPr>
          <w:p>
            <w:pPr>
              <w:pStyle w:val="70"/>
              <w:rPr>
                <w:u w:val="none"/>
              </w:rPr>
            </w:pPr>
            <w:r>
              <w:rPr>
                <w:u w:val="none"/>
              </w:rPr>
              <w:t>2.2</w:t>
            </w:r>
          </w:p>
        </w:tc>
        <w:tc>
          <w:tcPr>
            <w:tcW w:w="431" w:type="pct"/>
            <w:tcBorders>
              <w:tl2br w:val="nil"/>
              <w:tr2bl w:val="nil"/>
            </w:tcBorders>
            <w:vAlign w:val="center"/>
          </w:tcPr>
          <w:p>
            <w:pPr>
              <w:pStyle w:val="70"/>
              <w:rPr>
                <w:u w:val="none"/>
              </w:rPr>
            </w:pPr>
            <w:r>
              <w:rPr>
                <w:u w:val="none"/>
              </w:rPr>
              <w:t>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第一天0862-01-02-03</w:t>
            </w:r>
            <w:r>
              <w:rPr>
                <w:u w:val="none"/>
              </w:rPr>
              <w:br w:type="textWrapping"/>
            </w:r>
            <w:r>
              <w:rPr>
                <w:u w:val="none"/>
              </w:rPr>
              <w:t>第二天0862-02-02-03</w:t>
            </w:r>
            <w:r>
              <w:rPr>
                <w:u w:val="none"/>
              </w:rPr>
              <w:br w:type="textWrapping"/>
            </w:r>
            <w:r>
              <w:rPr>
                <w:u w:val="none"/>
              </w:rPr>
              <w:t>第三天0862-03-02-03</w:t>
            </w:r>
          </w:p>
        </w:tc>
        <w:tc>
          <w:tcPr>
            <w:tcW w:w="1115" w:type="pct"/>
            <w:tcBorders>
              <w:tl2br w:val="nil"/>
              <w:tr2bl w:val="nil"/>
            </w:tcBorders>
            <w:vAlign w:val="center"/>
          </w:tcPr>
          <w:p>
            <w:pPr>
              <w:pStyle w:val="70"/>
              <w:rPr>
                <w:u w:val="none"/>
              </w:rPr>
            </w:pPr>
            <w:r>
              <w:rPr>
                <w:u w:val="none"/>
              </w:rPr>
              <w:t>悬浮物，mg/L</w:t>
            </w:r>
          </w:p>
        </w:tc>
        <w:tc>
          <w:tcPr>
            <w:tcW w:w="621" w:type="pct"/>
            <w:tcBorders>
              <w:tl2br w:val="nil"/>
              <w:tr2bl w:val="nil"/>
            </w:tcBorders>
            <w:vAlign w:val="center"/>
          </w:tcPr>
          <w:p>
            <w:pPr>
              <w:pStyle w:val="70"/>
              <w:rPr>
                <w:u w:val="none"/>
              </w:rPr>
            </w:pPr>
            <w:r>
              <w:rPr>
                <w:u w:val="none"/>
              </w:rPr>
              <w:t>5</w:t>
            </w:r>
          </w:p>
        </w:tc>
        <w:tc>
          <w:tcPr>
            <w:tcW w:w="637" w:type="pct"/>
            <w:tcBorders>
              <w:tl2br w:val="nil"/>
              <w:tr2bl w:val="nil"/>
            </w:tcBorders>
            <w:vAlign w:val="center"/>
          </w:tcPr>
          <w:p>
            <w:pPr>
              <w:pStyle w:val="70"/>
              <w:rPr>
                <w:u w:val="none"/>
              </w:rPr>
            </w:pPr>
            <w:r>
              <w:rPr>
                <w:u w:val="none"/>
              </w:rPr>
              <w:t>5</w:t>
            </w:r>
          </w:p>
        </w:tc>
        <w:tc>
          <w:tcPr>
            <w:tcW w:w="614" w:type="pct"/>
            <w:tcBorders>
              <w:tl2br w:val="nil"/>
              <w:tr2bl w:val="nil"/>
            </w:tcBorders>
            <w:vAlign w:val="center"/>
          </w:tcPr>
          <w:p>
            <w:pPr>
              <w:pStyle w:val="70"/>
              <w:rPr>
                <w:u w:val="none"/>
              </w:rPr>
            </w:pPr>
            <w:r>
              <w:rPr>
                <w:u w:val="none"/>
              </w:rPr>
              <w:t>5</w:t>
            </w:r>
          </w:p>
        </w:tc>
        <w:tc>
          <w:tcPr>
            <w:tcW w:w="431" w:type="pct"/>
            <w:tcBorders>
              <w:tl2br w:val="nil"/>
              <w:tr2bl w:val="nil"/>
            </w:tcBorders>
            <w:vAlign w:val="center"/>
          </w:tcPr>
          <w:p>
            <w:pPr>
              <w:pStyle w:val="70"/>
              <w:rPr>
                <w:u w:val="none"/>
              </w:rPr>
            </w:pPr>
            <w:r>
              <w:rPr>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第一天0862-01-02-04</w:t>
            </w:r>
            <w:r>
              <w:rPr>
                <w:u w:val="none"/>
              </w:rPr>
              <w:br w:type="textWrapping"/>
            </w:r>
            <w:r>
              <w:rPr>
                <w:u w:val="none"/>
              </w:rPr>
              <w:t>第二天0862-02-02-04</w:t>
            </w:r>
            <w:r>
              <w:rPr>
                <w:u w:val="none"/>
              </w:rPr>
              <w:br w:type="textWrapping"/>
            </w:r>
            <w:r>
              <w:rPr>
                <w:u w:val="none"/>
              </w:rPr>
              <w:t>第三天0862-03-02-04</w:t>
            </w:r>
          </w:p>
        </w:tc>
        <w:tc>
          <w:tcPr>
            <w:tcW w:w="1115" w:type="pct"/>
            <w:tcBorders>
              <w:tl2br w:val="nil"/>
              <w:tr2bl w:val="nil"/>
            </w:tcBorders>
            <w:vAlign w:val="center"/>
          </w:tcPr>
          <w:p>
            <w:pPr>
              <w:pStyle w:val="70"/>
              <w:rPr>
                <w:u w:val="none"/>
              </w:rPr>
            </w:pPr>
            <w:r>
              <w:rPr>
                <w:u w:val="none"/>
              </w:rPr>
              <w:t>石油类，mg/L</w:t>
            </w:r>
          </w:p>
        </w:tc>
        <w:tc>
          <w:tcPr>
            <w:tcW w:w="621" w:type="pct"/>
            <w:tcBorders>
              <w:tl2br w:val="nil"/>
              <w:tr2bl w:val="nil"/>
            </w:tcBorders>
            <w:vAlign w:val="center"/>
          </w:tcPr>
          <w:p>
            <w:pPr>
              <w:pStyle w:val="70"/>
              <w:rPr>
                <w:u w:val="none"/>
              </w:rPr>
            </w:pPr>
            <w:r>
              <w:rPr>
                <w:u w:val="none"/>
              </w:rPr>
              <w:t>0.01L</w:t>
            </w:r>
          </w:p>
        </w:tc>
        <w:tc>
          <w:tcPr>
            <w:tcW w:w="637" w:type="pct"/>
            <w:tcBorders>
              <w:tl2br w:val="nil"/>
              <w:tr2bl w:val="nil"/>
            </w:tcBorders>
            <w:vAlign w:val="center"/>
          </w:tcPr>
          <w:p>
            <w:pPr>
              <w:pStyle w:val="70"/>
              <w:rPr>
                <w:u w:val="none"/>
              </w:rPr>
            </w:pPr>
            <w:r>
              <w:rPr>
                <w:u w:val="none"/>
              </w:rPr>
              <w:t>0.01L</w:t>
            </w:r>
          </w:p>
        </w:tc>
        <w:tc>
          <w:tcPr>
            <w:tcW w:w="614" w:type="pct"/>
            <w:tcBorders>
              <w:tl2br w:val="nil"/>
              <w:tr2bl w:val="nil"/>
            </w:tcBorders>
            <w:vAlign w:val="center"/>
          </w:tcPr>
          <w:p>
            <w:pPr>
              <w:pStyle w:val="70"/>
              <w:rPr>
                <w:u w:val="none"/>
              </w:rPr>
            </w:pPr>
            <w:r>
              <w:rPr>
                <w:u w:val="none"/>
              </w:rPr>
              <w:t>0.01L</w:t>
            </w:r>
          </w:p>
        </w:tc>
        <w:tc>
          <w:tcPr>
            <w:tcW w:w="431" w:type="pct"/>
            <w:tcBorders>
              <w:tl2br w:val="nil"/>
              <w:tr2bl w:val="nil"/>
            </w:tcBorders>
            <w:vAlign w:val="center"/>
          </w:tcPr>
          <w:p>
            <w:pPr>
              <w:pStyle w:val="70"/>
              <w:rPr>
                <w:u w:val="none"/>
              </w:rPr>
            </w:pPr>
            <w:r>
              <w:rPr>
                <w:u w:val="none"/>
              </w:rPr>
              <w:t>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第一天0862-01-02-05</w:t>
            </w:r>
            <w:r>
              <w:rPr>
                <w:u w:val="none"/>
              </w:rPr>
              <w:br w:type="textWrapping"/>
            </w:r>
            <w:r>
              <w:rPr>
                <w:u w:val="none"/>
              </w:rPr>
              <w:t>第二天0862-02-02-05</w:t>
            </w:r>
            <w:r>
              <w:rPr>
                <w:u w:val="none"/>
              </w:rPr>
              <w:br w:type="textWrapping"/>
            </w:r>
            <w:r>
              <w:rPr>
                <w:u w:val="none"/>
              </w:rPr>
              <w:t>第三天0862-03-02-05</w:t>
            </w:r>
          </w:p>
        </w:tc>
        <w:tc>
          <w:tcPr>
            <w:tcW w:w="1115" w:type="pct"/>
            <w:tcBorders>
              <w:tl2br w:val="nil"/>
              <w:tr2bl w:val="nil"/>
            </w:tcBorders>
            <w:vAlign w:val="center"/>
          </w:tcPr>
          <w:p>
            <w:pPr>
              <w:pStyle w:val="70"/>
              <w:rPr>
                <w:u w:val="none"/>
              </w:rPr>
            </w:pPr>
            <w:r>
              <w:rPr>
                <w:u w:val="none"/>
              </w:rPr>
              <w:t>总磷，mg/L</w:t>
            </w:r>
          </w:p>
        </w:tc>
        <w:tc>
          <w:tcPr>
            <w:tcW w:w="621" w:type="pct"/>
            <w:tcBorders>
              <w:tl2br w:val="nil"/>
              <w:tr2bl w:val="nil"/>
            </w:tcBorders>
            <w:vAlign w:val="center"/>
          </w:tcPr>
          <w:p>
            <w:pPr>
              <w:pStyle w:val="70"/>
              <w:rPr>
                <w:u w:val="none"/>
              </w:rPr>
            </w:pPr>
            <w:r>
              <w:rPr>
                <w:u w:val="none"/>
              </w:rPr>
              <w:t>0.05</w:t>
            </w:r>
          </w:p>
        </w:tc>
        <w:tc>
          <w:tcPr>
            <w:tcW w:w="637" w:type="pct"/>
            <w:tcBorders>
              <w:tl2br w:val="nil"/>
              <w:tr2bl w:val="nil"/>
            </w:tcBorders>
            <w:vAlign w:val="center"/>
          </w:tcPr>
          <w:p>
            <w:pPr>
              <w:pStyle w:val="70"/>
              <w:rPr>
                <w:u w:val="none"/>
              </w:rPr>
            </w:pPr>
            <w:r>
              <w:rPr>
                <w:u w:val="none"/>
              </w:rPr>
              <w:t>0.06</w:t>
            </w:r>
          </w:p>
        </w:tc>
        <w:tc>
          <w:tcPr>
            <w:tcW w:w="614" w:type="pct"/>
            <w:tcBorders>
              <w:tl2br w:val="nil"/>
              <w:tr2bl w:val="nil"/>
            </w:tcBorders>
            <w:vAlign w:val="center"/>
          </w:tcPr>
          <w:p>
            <w:pPr>
              <w:pStyle w:val="70"/>
              <w:rPr>
                <w:u w:val="none"/>
              </w:rPr>
            </w:pPr>
            <w:r>
              <w:rPr>
                <w:u w:val="none"/>
              </w:rPr>
              <w:t>0.04</w:t>
            </w:r>
          </w:p>
        </w:tc>
        <w:tc>
          <w:tcPr>
            <w:tcW w:w="431" w:type="pct"/>
            <w:tcBorders>
              <w:tl2br w:val="nil"/>
              <w:tr2bl w:val="nil"/>
            </w:tcBorders>
            <w:vAlign w:val="center"/>
          </w:tcPr>
          <w:p>
            <w:pPr>
              <w:pStyle w:val="70"/>
              <w:rPr>
                <w:u w:val="none"/>
              </w:rPr>
            </w:pPr>
            <w:r>
              <w:rPr>
                <w:u w:val="none"/>
              </w:rPr>
              <w:t>0.1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911" w:hRule="atLeast"/>
          <w:jc w:val="center"/>
        </w:trPr>
        <w:tc>
          <w:tcPr>
            <w:tcW w:w="374" w:type="pct"/>
            <w:vMerge w:val="continue"/>
            <w:tcBorders>
              <w:tl2br w:val="nil"/>
              <w:tr2bl w:val="nil"/>
            </w:tcBorders>
            <w:noWrap/>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第一天0862-01-02-06</w:t>
            </w:r>
            <w:r>
              <w:rPr>
                <w:u w:val="none"/>
              </w:rPr>
              <w:br w:type="textWrapping"/>
            </w:r>
            <w:r>
              <w:rPr>
                <w:u w:val="none"/>
              </w:rPr>
              <w:t>第二天0862-02-02-06</w:t>
            </w:r>
            <w:r>
              <w:rPr>
                <w:u w:val="none"/>
              </w:rPr>
              <w:br w:type="textWrapping"/>
            </w:r>
            <w:r>
              <w:rPr>
                <w:u w:val="none"/>
              </w:rPr>
              <w:t>第三天0862-03-02-06</w:t>
            </w:r>
          </w:p>
        </w:tc>
        <w:tc>
          <w:tcPr>
            <w:tcW w:w="1115" w:type="pct"/>
            <w:tcBorders>
              <w:tl2br w:val="nil"/>
              <w:tr2bl w:val="nil"/>
            </w:tcBorders>
            <w:vAlign w:val="center"/>
          </w:tcPr>
          <w:p>
            <w:pPr>
              <w:pStyle w:val="70"/>
              <w:rPr>
                <w:u w:val="none"/>
              </w:rPr>
            </w:pPr>
            <w:r>
              <w:rPr>
                <w:u w:val="none"/>
              </w:rPr>
              <w:t>氟化物，mg/L</w:t>
            </w:r>
          </w:p>
        </w:tc>
        <w:tc>
          <w:tcPr>
            <w:tcW w:w="621" w:type="pct"/>
            <w:tcBorders>
              <w:tl2br w:val="nil"/>
              <w:tr2bl w:val="nil"/>
            </w:tcBorders>
            <w:vAlign w:val="center"/>
          </w:tcPr>
          <w:p>
            <w:pPr>
              <w:pStyle w:val="70"/>
              <w:rPr>
                <w:u w:val="none"/>
              </w:rPr>
            </w:pPr>
            <w:r>
              <w:rPr>
                <w:u w:val="none"/>
              </w:rPr>
              <w:t>0.120</w:t>
            </w:r>
          </w:p>
        </w:tc>
        <w:tc>
          <w:tcPr>
            <w:tcW w:w="637" w:type="pct"/>
            <w:tcBorders>
              <w:tl2br w:val="nil"/>
              <w:tr2bl w:val="nil"/>
            </w:tcBorders>
            <w:vAlign w:val="center"/>
          </w:tcPr>
          <w:p>
            <w:pPr>
              <w:pStyle w:val="70"/>
              <w:rPr>
                <w:u w:val="none"/>
              </w:rPr>
            </w:pPr>
            <w:r>
              <w:rPr>
                <w:u w:val="none"/>
              </w:rPr>
              <w:t>0.119</w:t>
            </w:r>
          </w:p>
        </w:tc>
        <w:tc>
          <w:tcPr>
            <w:tcW w:w="614" w:type="pct"/>
            <w:tcBorders>
              <w:tl2br w:val="nil"/>
              <w:tr2bl w:val="nil"/>
            </w:tcBorders>
            <w:vAlign w:val="center"/>
          </w:tcPr>
          <w:p>
            <w:pPr>
              <w:pStyle w:val="70"/>
              <w:rPr>
                <w:u w:val="none"/>
              </w:rPr>
            </w:pPr>
            <w:r>
              <w:rPr>
                <w:u w:val="none"/>
              </w:rPr>
              <w:t>0.118</w:t>
            </w:r>
          </w:p>
        </w:tc>
        <w:tc>
          <w:tcPr>
            <w:tcW w:w="431" w:type="pct"/>
            <w:tcBorders>
              <w:tl2br w:val="nil"/>
              <w:tr2bl w:val="nil"/>
            </w:tcBorders>
            <w:vAlign w:val="center"/>
          </w:tcPr>
          <w:p>
            <w:pPr>
              <w:pStyle w:val="70"/>
              <w:rPr>
                <w:u w:val="none"/>
              </w:rPr>
            </w:pPr>
            <w:r>
              <w:rPr>
                <w:u w:val="none"/>
              </w:rPr>
              <w:t>1.0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30" w:hRule="atLeast"/>
          <w:jc w:val="center"/>
        </w:trPr>
        <w:tc>
          <w:tcPr>
            <w:tcW w:w="374" w:type="pct"/>
            <w:vMerge w:val="continue"/>
            <w:tcBorders>
              <w:tl2br w:val="nil"/>
              <w:tr2bl w:val="nil"/>
            </w:tcBorders>
            <w:noWrap/>
            <w:vAlign w:val="center"/>
          </w:tcPr>
          <w:p>
            <w:pPr>
              <w:pStyle w:val="70"/>
              <w:rPr>
                <w:u w:val="none"/>
              </w:rPr>
            </w:pPr>
          </w:p>
        </w:tc>
        <w:tc>
          <w:tcPr>
            <w:tcW w:w="1204" w:type="pct"/>
            <w:vMerge w:val="restart"/>
            <w:tcBorders>
              <w:tl2br w:val="nil"/>
              <w:tr2bl w:val="nil"/>
            </w:tcBorders>
            <w:vAlign w:val="center"/>
          </w:tcPr>
          <w:p>
            <w:pPr>
              <w:pStyle w:val="70"/>
              <w:rPr>
                <w:u w:val="none"/>
              </w:rPr>
            </w:pPr>
            <w:r>
              <w:rPr>
                <w:u w:val="none"/>
              </w:rPr>
              <w:t>第一天0862-01-02-07</w:t>
            </w:r>
            <w:r>
              <w:rPr>
                <w:u w:val="none"/>
              </w:rPr>
              <w:br w:type="textWrapping"/>
            </w:r>
            <w:r>
              <w:rPr>
                <w:u w:val="none"/>
              </w:rPr>
              <w:t>第二天0862-02-02-07</w:t>
            </w:r>
            <w:r>
              <w:rPr>
                <w:u w:val="none"/>
              </w:rPr>
              <w:br w:type="textWrapping"/>
            </w:r>
            <w:r>
              <w:rPr>
                <w:u w:val="none"/>
              </w:rPr>
              <w:t>第三天0862-03-02-07</w:t>
            </w:r>
          </w:p>
        </w:tc>
        <w:tc>
          <w:tcPr>
            <w:tcW w:w="1115" w:type="pct"/>
            <w:tcBorders>
              <w:tl2br w:val="nil"/>
              <w:tr2bl w:val="nil"/>
            </w:tcBorders>
            <w:vAlign w:val="center"/>
          </w:tcPr>
          <w:p>
            <w:pPr>
              <w:pStyle w:val="70"/>
              <w:rPr>
                <w:u w:val="none"/>
              </w:rPr>
            </w:pPr>
            <w:r>
              <w:rPr>
                <w:u w:val="none"/>
              </w:rPr>
              <w:t>铜，mg/L</w:t>
            </w:r>
          </w:p>
        </w:tc>
        <w:tc>
          <w:tcPr>
            <w:tcW w:w="621" w:type="pct"/>
            <w:tcBorders>
              <w:tl2br w:val="nil"/>
              <w:tr2bl w:val="nil"/>
            </w:tcBorders>
            <w:vAlign w:val="center"/>
          </w:tcPr>
          <w:p>
            <w:pPr>
              <w:pStyle w:val="70"/>
              <w:rPr>
                <w:u w:val="none"/>
              </w:rPr>
            </w:pPr>
            <w:r>
              <w:rPr>
                <w:u w:val="none"/>
              </w:rPr>
              <w:t>0.00055</w:t>
            </w:r>
          </w:p>
        </w:tc>
        <w:tc>
          <w:tcPr>
            <w:tcW w:w="637" w:type="pct"/>
            <w:tcBorders>
              <w:tl2br w:val="nil"/>
              <w:tr2bl w:val="nil"/>
            </w:tcBorders>
            <w:vAlign w:val="center"/>
          </w:tcPr>
          <w:p>
            <w:pPr>
              <w:pStyle w:val="70"/>
              <w:rPr>
                <w:u w:val="none"/>
              </w:rPr>
            </w:pPr>
            <w:r>
              <w:rPr>
                <w:u w:val="none"/>
              </w:rPr>
              <w:t>0.00051</w:t>
            </w:r>
          </w:p>
        </w:tc>
        <w:tc>
          <w:tcPr>
            <w:tcW w:w="614" w:type="pct"/>
            <w:tcBorders>
              <w:tl2br w:val="nil"/>
              <w:tr2bl w:val="nil"/>
            </w:tcBorders>
            <w:vAlign w:val="center"/>
          </w:tcPr>
          <w:p>
            <w:pPr>
              <w:pStyle w:val="70"/>
              <w:rPr>
                <w:u w:val="none"/>
              </w:rPr>
            </w:pPr>
            <w:r>
              <w:rPr>
                <w:u w:val="none"/>
              </w:rPr>
              <w:t>0.00051</w:t>
            </w:r>
          </w:p>
        </w:tc>
        <w:tc>
          <w:tcPr>
            <w:tcW w:w="431" w:type="pct"/>
            <w:tcBorders>
              <w:tl2br w:val="nil"/>
              <w:tr2bl w:val="nil"/>
            </w:tcBorders>
            <w:vAlign w:val="center"/>
          </w:tcPr>
          <w:p>
            <w:pPr>
              <w:pStyle w:val="70"/>
              <w:rPr>
                <w:u w:val="none"/>
              </w:rPr>
            </w:pPr>
            <w:r>
              <w:rPr>
                <w:u w:val="none"/>
              </w:rPr>
              <w:t>1.0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2"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锌，mg/L</w:t>
            </w:r>
          </w:p>
        </w:tc>
        <w:tc>
          <w:tcPr>
            <w:tcW w:w="621" w:type="pct"/>
            <w:tcBorders>
              <w:tl2br w:val="nil"/>
              <w:tr2bl w:val="nil"/>
            </w:tcBorders>
            <w:vAlign w:val="center"/>
          </w:tcPr>
          <w:p>
            <w:pPr>
              <w:pStyle w:val="70"/>
              <w:rPr>
                <w:u w:val="none"/>
              </w:rPr>
            </w:pPr>
            <w:r>
              <w:rPr>
                <w:u w:val="none"/>
              </w:rPr>
              <w:t>0.00101</w:t>
            </w:r>
          </w:p>
        </w:tc>
        <w:tc>
          <w:tcPr>
            <w:tcW w:w="637" w:type="pct"/>
            <w:tcBorders>
              <w:tl2br w:val="nil"/>
              <w:tr2bl w:val="nil"/>
            </w:tcBorders>
            <w:vAlign w:val="center"/>
          </w:tcPr>
          <w:p>
            <w:pPr>
              <w:pStyle w:val="70"/>
              <w:rPr>
                <w:u w:val="none"/>
              </w:rPr>
            </w:pPr>
            <w:r>
              <w:rPr>
                <w:u w:val="none"/>
              </w:rPr>
              <w:t>0.00067L</w:t>
            </w:r>
          </w:p>
        </w:tc>
        <w:tc>
          <w:tcPr>
            <w:tcW w:w="614" w:type="pct"/>
            <w:tcBorders>
              <w:tl2br w:val="nil"/>
              <w:tr2bl w:val="nil"/>
            </w:tcBorders>
            <w:vAlign w:val="center"/>
          </w:tcPr>
          <w:p>
            <w:pPr>
              <w:pStyle w:val="70"/>
              <w:rPr>
                <w:u w:val="none"/>
              </w:rPr>
            </w:pPr>
            <w:r>
              <w:rPr>
                <w:u w:val="none"/>
              </w:rPr>
              <w:t>0.00067L</w:t>
            </w:r>
          </w:p>
        </w:tc>
        <w:tc>
          <w:tcPr>
            <w:tcW w:w="431" w:type="pct"/>
            <w:tcBorders>
              <w:tl2br w:val="nil"/>
              <w:tr2bl w:val="nil"/>
            </w:tcBorders>
            <w:vAlign w:val="center"/>
          </w:tcPr>
          <w:p>
            <w:pPr>
              <w:pStyle w:val="70"/>
              <w:rPr>
                <w:u w:val="none"/>
              </w:rPr>
            </w:pPr>
            <w:r>
              <w:rPr>
                <w:u w:val="none"/>
              </w:rPr>
              <w:t>1.0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17"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铅，mg/L</w:t>
            </w:r>
          </w:p>
        </w:tc>
        <w:tc>
          <w:tcPr>
            <w:tcW w:w="621" w:type="pct"/>
            <w:tcBorders>
              <w:tl2br w:val="nil"/>
              <w:tr2bl w:val="nil"/>
            </w:tcBorders>
            <w:vAlign w:val="center"/>
          </w:tcPr>
          <w:p>
            <w:pPr>
              <w:pStyle w:val="70"/>
              <w:rPr>
                <w:u w:val="none"/>
              </w:rPr>
            </w:pPr>
            <w:r>
              <w:rPr>
                <w:u w:val="none"/>
              </w:rPr>
              <w:t>0.00009L</w:t>
            </w:r>
          </w:p>
        </w:tc>
        <w:tc>
          <w:tcPr>
            <w:tcW w:w="637" w:type="pct"/>
            <w:tcBorders>
              <w:tl2br w:val="nil"/>
              <w:tr2bl w:val="nil"/>
            </w:tcBorders>
            <w:vAlign w:val="center"/>
          </w:tcPr>
          <w:p>
            <w:pPr>
              <w:pStyle w:val="70"/>
              <w:rPr>
                <w:u w:val="none"/>
              </w:rPr>
            </w:pPr>
            <w:r>
              <w:rPr>
                <w:u w:val="none"/>
              </w:rPr>
              <w:t>0.00009L</w:t>
            </w:r>
          </w:p>
        </w:tc>
        <w:tc>
          <w:tcPr>
            <w:tcW w:w="614" w:type="pct"/>
            <w:tcBorders>
              <w:tl2br w:val="nil"/>
              <w:tr2bl w:val="nil"/>
            </w:tcBorders>
            <w:vAlign w:val="center"/>
          </w:tcPr>
          <w:p>
            <w:pPr>
              <w:pStyle w:val="70"/>
              <w:rPr>
                <w:u w:val="none"/>
              </w:rPr>
            </w:pPr>
            <w:r>
              <w:rPr>
                <w:u w:val="none"/>
              </w:rPr>
              <w:t>0.00009L</w:t>
            </w:r>
          </w:p>
        </w:tc>
        <w:tc>
          <w:tcPr>
            <w:tcW w:w="431" w:type="pct"/>
            <w:tcBorders>
              <w:tl2br w:val="nil"/>
              <w:tr2bl w:val="nil"/>
            </w:tcBorders>
            <w:vAlign w:val="center"/>
          </w:tcPr>
          <w:p>
            <w:pPr>
              <w:pStyle w:val="70"/>
              <w:rPr>
                <w:u w:val="none"/>
              </w:rPr>
            </w:pPr>
            <w:r>
              <w:rPr>
                <w:u w:val="none"/>
              </w:rPr>
              <w:t>0.01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镉，mg/L</w:t>
            </w:r>
          </w:p>
        </w:tc>
        <w:tc>
          <w:tcPr>
            <w:tcW w:w="621" w:type="pct"/>
            <w:tcBorders>
              <w:tl2br w:val="nil"/>
              <w:tr2bl w:val="nil"/>
            </w:tcBorders>
            <w:vAlign w:val="center"/>
          </w:tcPr>
          <w:p>
            <w:pPr>
              <w:pStyle w:val="70"/>
              <w:rPr>
                <w:u w:val="none"/>
              </w:rPr>
            </w:pPr>
            <w:r>
              <w:rPr>
                <w:u w:val="none"/>
              </w:rPr>
              <w:t>0.00005L</w:t>
            </w:r>
          </w:p>
        </w:tc>
        <w:tc>
          <w:tcPr>
            <w:tcW w:w="637" w:type="pct"/>
            <w:tcBorders>
              <w:tl2br w:val="nil"/>
              <w:tr2bl w:val="nil"/>
            </w:tcBorders>
            <w:vAlign w:val="center"/>
          </w:tcPr>
          <w:p>
            <w:pPr>
              <w:pStyle w:val="70"/>
              <w:rPr>
                <w:u w:val="none"/>
              </w:rPr>
            </w:pPr>
            <w:r>
              <w:rPr>
                <w:u w:val="none"/>
              </w:rPr>
              <w:t>0.00005L</w:t>
            </w:r>
          </w:p>
        </w:tc>
        <w:tc>
          <w:tcPr>
            <w:tcW w:w="614" w:type="pct"/>
            <w:tcBorders>
              <w:tl2br w:val="nil"/>
              <w:tr2bl w:val="nil"/>
            </w:tcBorders>
            <w:vAlign w:val="center"/>
          </w:tcPr>
          <w:p>
            <w:pPr>
              <w:pStyle w:val="70"/>
              <w:rPr>
                <w:u w:val="none"/>
              </w:rPr>
            </w:pPr>
            <w:r>
              <w:rPr>
                <w:u w:val="none"/>
              </w:rPr>
              <w:t>0.00005L</w:t>
            </w:r>
          </w:p>
        </w:tc>
        <w:tc>
          <w:tcPr>
            <w:tcW w:w="431" w:type="pct"/>
            <w:tcBorders>
              <w:tl2br w:val="nil"/>
              <w:tr2bl w:val="nil"/>
            </w:tcBorders>
            <w:vAlign w:val="center"/>
          </w:tcPr>
          <w:p>
            <w:pPr>
              <w:pStyle w:val="70"/>
              <w:rPr>
                <w:u w:val="none"/>
              </w:rPr>
            </w:pPr>
            <w:r>
              <w:rPr>
                <w:u w:val="none"/>
              </w:rPr>
              <w:t>0.005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铊，mg/L</w:t>
            </w:r>
          </w:p>
        </w:tc>
        <w:tc>
          <w:tcPr>
            <w:tcW w:w="621" w:type="pct"/>
            <w:tcBorders>
              <w:tl2br w:val="nil"/>
              <w:tr2bl w:val="nil"/>
            </w:tcBorders>
            <w:vAlign w:val="center"/>
          </w:tcPr>
          <w:p>
            <w:pPr>
              <w:pStyle w:val="70"/>
              <w:rPr>
                <w:u w:val="none"/>
              </w:rPr>
            </w:pPr>
            <w:r>
              <w:rPr>
                <w:u w:val="none"/>
              </w:rPr>
              <w:t>0.00002L</w:t>
            </w:r>
          </w:p>
        </w:tc>
        <w:tc>
          <w:tcPr>
            <w:tcW w:w="637" w:type="pct"/>
            <w:tcBorders>
              <w:tl2br w:val="nil"/>
              <w:tr2bl w:val="nil"/>
            </w:tcBorders>
            <w:vAlign w:val="center"/>
          </w:tcPr>
          <w:p>
            <w:pPr>
              <w:pStyle w:val="70"/>
              <w:rPr>
                <w:u w:val="none"/>
              </w:rPr>
            </w:pPr>
            <w:r>
              <w:rPr>
                <w:u w:val="none"/>
              </w:rPr>
              <w:t>0.00002L</w:t>
            </w:r>
          </w:p>
        </w:tc>
        <w:tc>
          <w:tcPr>
            <w:tcW w:w="614" w:type="pct"/>
            <w:tcBorders>
              <w:tl2br w:val="nil"/>
              <w:tr2bl w:val="nil"/>
            </w:tcBorders>
            <w:vAlign w:val="center"/>
          </w:tcPr>
          <w:p>
            <w:pPr>
              <w:pStyle w:val="70"/>
              <w:rPr>
                <w:u w:val="none"/>
              </w:rPr>
            </w:pPr>
            <w:r>
              <w:rPr>
                <w:u w:val="none"/>
              </w:rPr>
              <w:t>0.00002L</w:t>
            </w:r>
          </w:p>
        </w:tc>
        <w:tc>
          <w:tcPr>
            <w:tcW w:w="431" w:type="pct"/>
            <w:tcBorders>
              <w:tl2br w:val="nil"/>
              <w:tr2bl w:val="nil"/>
            </w:tcBorders>
            <w:vAlign w:val="center"/>
          </w:tcPr>
          <w:p>
            <w:pPr>
              <w:pStyle w:val="70"/>
              <w:rPr>
                <w:u w:val="none"/>
              </w:rPr>
            </w:pPr>
            <w:r>
              <w:rPr>
                <w:rFonts w:hint="eastAsia"/>
                <w:u w:val="none"/>
              </w:rPr>
              <w:t>0.0001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79"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铬，mg/L</w:t>
            </w:r>
          </w:p>
        </w:tc>
        <w:tc>
          <w:tcPr>
            <w:tcW w:w="621" w:type="pct"/>
            <w:tcBorders>
              <w:tl2br w:val="nil"/>
              <w:tr2bl w:val="nil"/>
            </w:tcBorders>
            <w:vAlign w:val="center"/>
          </w:tcPr>
          <w:p>
            <w:pPr>
              <w:pStyle w:val="70"/>
              <w:rPr>
                <w:u w:val="none"/>
              </w:rPr>
            </w:pPr>
            <w:r>
              <w:rPr>
                <w:u w:val="none"/>
              </w:rPr>
              <w:t>0.00074</w:t>
            </w:r>
          </w:p>
        </w:tc>
        <w:tc>
          <w:tcPr>
            <w:tcW w:w="637" w:type="pct"/>
            <w:tcBorders>
              <w:tl2br w:val="nil"/>
              <w:tr2bl w:val="nil"/>
            </w:tcBorders>
            <w:vAlign w:val="center"/>
          </w:tcPr>
          <w:p>
            <w:pPr>
              <w:pStyle w:val="70"/>
              <w:rPr>
                <w:u w:val="none"/>
              </w:rPr>
            </w:pPr>
            <w:r>
              <w:rPr>
                <w:u w:val="none"/>
              </w:rPr>
              <w:t>0.00033</w:t>
            </w:r>
          </w:p>
        </w:tc>
        <w:tc>
          <w:tcPr>
            <w:tcW w:w="614" w:type="pct"/>
            <w:tcBorders>
              <w:tl2br w:val="nil"/>
              <w:tr2bl w:val="nil"/>
            </w:tcBorders>
            <w:vAlign w:val="center"/>
          </w:tcPr>
          <w:p>
            <w:pPr>
              <w:pStyle w:val="70"/>
              <w:rPr>
                <w:u w:val="none"/>
              </w:rPr>
            </w:pPr>
            <w:r>
              <w:rPr>
                <w:u w:val="none"/>
              </w:rPr>
              <w:t>0.00011L</w:t>
            </w:r>
          </w:p>
        </w:tc>
        <w:tc>
          <w:tcPr>
            <w:tcW w:w="431" w:type="pct"/>
            <w:tcBorders>
              <w:tl2br w:val="nil"/>
              <w:tr2bl w:val="nil"/>
            </w:tcBorders>
            <w:vAlign w:val="center"/>
          </w:tcPr>
          <w:p>
            <w:pPr>
              <w:pStyle w:val="70"/>
              <w:rPr>
                <w:u w:val="none"/>
              </w:rPr>
            </w:pPr>
            <w:r>
              <w:rPr>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50" w:hRule="atLeast"/>
          <w:jc w:val="center"/>
        </w:trPr>
        <w:tc>
          <w:tcPr>
            <w:tcW w:w="374" w:type="pct"/>
            <w:vMerge w:val="continue"/>
            <w:tcBorders>
              <w:tl2br w:val="nil"/>
              <w:tr2bl w:val="nil"/>
            </w:tcBorders>
            <w:noWrap/>
            <w:vAlign w:val="center"/>
          </w:tcPr>
          <w:p>
            <w:pPr>
              <w:pStyle w:val="70"/>
              <w:rPr>
                <w:u w:val="none"/>
              </w:rPr>
            </w:pPr>
          </w:p>
        </w:tc>
        <w:tc>
          <w:tcPr>
            <w:tcW w:w="1204" w:type="pct"/>
            <w:vMerge w:val="restart"/>
            <w:tcBorders>
              <w:tl2br w:val="nil"/>
              <w:tr2bl w:val="nil"/>
            </w:tcBorders>
            <w:vAlign w:val="center"/>
          </w:tcPr>
          <w:p>
            <w:pPr>
              <w:pStyle w:val="70"/>
              <w:rPr>
                <w:u w:val="none"/>
              </w:rPr>
            </w:pPr>
            <w:r>
              <w:rPr>
                <w:u w:val="none"/>
              </w:rPr>
              <w:t>第一天0862-01-02-08</w:t>
            </w:r>
            <w:r>
              <w:rPr>
                <w:u w:val="none"/>
              </w:rPr>
              <w:br w:type="textWrapping"/>
            </w:r>
            <w:r>
              <w:rPr>
                <w:u w:val="none"/>
              </w:rPr>
              <w:t>第二天0862-02-02-08</w:t>
            </w:r>
            <w:r>
              <w:rPr>
                <w:u w:val="none"/>
              </w:rPr>
              <w:br w:type="textWrapping"/>
            </w:r>
            <w:r>
              <w:rPr>
                <w:u w:val="none"/>
              </w:rPr>
              <w:t>第三天0862-03-02-08</w:t>
            </w:r>
          </w:p>
        </w:tc>
        <w:tc>
          <w:tcPr>
            <w:tcW w:w="1115" w:type="pct"/>
            <w:tcBorders>
              <w:tl2br w:val="nil"/>
              <w:tr2bl w:val="nil"/>
            </w:tcBorders>
            <w:vAlign w:val="center"/>
          </w:tcPr>
          <w:p>
            <w:pPr>
              <w:pStyle w:val="70"/>
              <w:rPr>
                <w:u w:val="none"/>
              </w:rPr>
            </w:pPr>
            <w:r>
              <w:rPr>
                <w:u w:val="none"/>
              </w:rPr>
              <w:t>砷，mg/L</w:t>
            </w:r>
          </w:p>
        </w:tc>
        <w:tc>
          <w:tcPr>
            <w:tcW w:w="621" w:type="pct"/>
            <w:tcBorders>
              <w:tl2br w:val="nil"/>
              <w:tr2bl w:val="nil"/>
            </w:tcBorders>
            <w:vAlign w:val="center"/>
          </w:tcPr>
          <w:p>
            <w:pPr>
              <w:pStyle w:val="70"/>
              <w:rPr>
                <w:u w:val="none"/>
              </w:rPr>
            </w:pPr>
            <w:r>
              <w:rPr>
                <w:u w:val="none"/>
              </w:rPr>
              <w:t>0.0039</w:t>
            </w:r>
          </w:p>
        </w:tc>
        <w:tc>
          <w:tcPr>
            <w:tcW w:w="637" w:type="pct"/>
            <w:tcBorders>
              <w:tl2br w:val="nil"/>
              <w:tr2bl w:val="nil"/>
            </w:tcBorders>
            <w:vAlign w:val="center"/>
          </w:tcPr>
          <w:p>
            <w:pPr>
              <w:pStyle w:val="70"/>
              <w:rPr>
                <w:u w:val="none"/>
              </w:rPr>
            </w:pPr>
            <w:r>
              <w:rPr>
                <w:u w:val="none"/>
              </w:rPr>
              <w:t>0.0033</w:t>
            </w:r>
          </w:p>
        </w:tc>
        <w:tc>
          <w:tcPr>
            <w:tcW w:w="614" w:type="pct"/>
            <w:tcBorders>
              <w:tl2br w:val="nil"/>
              <w:tr2bl w:val="nil"/>
            </w:tcBorders>
            <w:vAlign w:val="center"/>
          </w:tcPr>
          <w:p>
            <w:pPr>
              <w:pStyle w:val="70"/>
              <w:rPr>
                <w:u w:val="none"/>
              </w:rPr>
            </w:pPr>
            <w:r>
              <w:rPr>
                <w:u w:val="none"/>
              </w:rPr>
              <w:t>0.0049</w:t>
            </w:r>
          </w:p>
        </w:tc>
        <w:tc>
          <w:tcPr>
            <w:tcW w:w="431" w:type="pct"/>
            <w:tcBorders>
              <w:tl2br w:val="nil"/>
              <w:tr2bl w:val="nil"/>
            </w:tcBorders>
            <w:vAlign w:val="center"/>
          </w:tcPr>
          <w:p>
            <w:pPr>
              <w:pStyle w:val="70"/>
              <w:rPr>
                <w:u w:val="none"/>
              </w:rPr>
            </w:pPr>
            <w:r>
              <w:rPr>
                <w:u w:val="none"/>
              </w:rPr>
              <w:t>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167"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锑，mg/L</w:t>
            </w:r>
          </w:p>
        </w:tc>
        <w:tc>
          <w:tcPr>
            <w:tcW w:w="621" w:type="pct"/>
            <w:tcBorders>
              <w:tl2br w:val="nil"/>
              <w:tr2bl w:val="nil"/>
            </w:tcBorders>
            <w:vAlign w:val="center"/>
          </w:tcPr>
          <w:p>
            <w:pPr>
              <w:pStyle w:val="70"/>
              <w:rPr>
                <w:u w:val="none"/>
              </w:rPr>
            </w:pPr>
            <w:r>
              <w:rPr>
                <w:u w:val="none"/>
              </w:rPr>
              <w:t>0.0043</w:t>
            </w:r>
          </w:p>
        </w:tc>
        <w:tc>
          <w:tcPr>
            <w:tcW w:w="637" w:type="pct"/>
            <w:tcBorders>
              <w:tl2br w:val="nil"/>
              <w:tr2bl w:val="nil"/>
            </w:tcBorders>
            <w:vAlign w:val="center"/>
          </w:tcPr>
          <w:p>
            <w:pPr>
              <w:pStyle w:val="70"/>
              <w:rPr>
                <w:u w:val="none"/>
              </w:rPr>
            </w:pPr>
            <w:r>
              <w:rPr>
                <w:u w:val="none"/>
              </w:rPr>
              <w:t>0.00</w:t>
            </w:r>
            <w:r>
              <w:rPr>
                <w:rFonts w:hint="eastAsia"/>
                <w:u w:val="none"/>
              </w:rPr>
              <w:t>45</w:t>
            </w:r>
          </w:p>
        </w:tc>
        <w:tc>
          <w:tcPr>
            <w:tcW w:w="614" w:type="pct"/>
            <w:tcBorders>
              <w:tl2br w:val="nil"/>
              <w:tr2bl w:val="nil"/>
            </w:tcBorders>
            <w:vAlign w:val="center"/>
          </w:tcPr>
          <w:p>
            <w:pPr>
              <w:pStyle w:val="70"/>
              <w:rPr>
                <w:u w:val="none"/>
              </w:rPr>
            </w:pPr>
            <w:r>
              <w:rPr>
                <w:u w:val="none"/>
              </w:rPr>
              <w:t>0.0048</w:t>
            </w:r>
          </w:p>
        </w:tc>
        <w:tc>
          <w:tcPr>
            <w:tcW w:w="431" w:type="pct"/>
            <w:tcBorders>
              <w:tl2br w:val="nil"/>
              <w:tr2bl w:val="nil"/>
            </w:tcBorders>
            <w:vAlign w:val="center"/>
          </w:tcPr>
          <w:p>
            <w:pPr>
              <w:pStyle w:val="70"/>
              <w:rPr>
                <w:u w:val="none"/>
              </w:rPr>
            </w:pPr>
            <w:r>
              <w:rPr>
                <w:rFonts w:hint="eastAsia"/>
                <w:u w:val="none"/>
              </w:rPr>
              <w:t>0.005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restart"/>
            <w:tcBorders>
              <w:tl2br w:val="nil"/>
              <w:tr2bl w:val="nil"/>
            </w:tcBorders>
            <w:noWrap/>
            <w:vAlign w:val="center"/>
          </w:tcPr>
          <w:p>
            <w:pPr>
              <w:pStyle w:val="70"/>
              <w:rPr>
                <w:u w:val="none"/>
              </w:rPr>
            </w:pPr>
            <w:r>
              <w:rPr>
                <w:u w:val="none"/>
              </w:rPr>
              <w:t>入河排污口与资水汇入断面</w:t>
            </w:r>
          </w:p>
        </w:tc>
        <w:tc>
          <w:tcPr>
            <w:tcW w:w="1204" w:type="pct"/>
            <w:tcBorders>
              <w:tl2br w:val="nil"/>
              <w:tr2bl w:val="nil"/>
            </w:tcBorders>
            <w:vAlign w:val="center"/>
          </w:tcPr>
          <w:p>
            <w:pPr>
              <w:pStyle w:val="70"/>
              <w:rPr>
                <w:u w:val="none"/>
              </w:rPr>
            </w:pPr>
            <w:r>
              <w:rPr>
                <w:u w:val="none"/>
              </w:rPr>
              <w:t>第一天0862-01-02-09</w:t>
            </w:r>
            <w:r>
              <w:rPr>
                <w:u w:val="none"/>
              </w:rPr>
              <w:br w:type="textWrapping"/>
            </w:r>
            <w:r>
              <w:rPr>
                <w:u w:val="none"/>
              </w:rPr>
              <w:t>第二天0862-02-02-09</w:t>
            </w:r>
            <w:r>
              <w:rPr>
                <w:u w:val="none"/>
              </w:rPr>
              <w:br w:type="textWrapping"/>
            </w:r>
            <w:r>
              <w:rPr>
                <w:u w:val="none"/>
              </w:rPr>
              <w:t>第三天0862-03-02-09</w:t>
            </w:r>
          </w:p>
        </w:tc>
        <w:tc>
          <w:tcPr>
            <w:tcW w:w="1115" w:type="pct"/>
            <w:tcBorders>
              <w:tl2br w:val="nil"/>
              <w:tr2bl w:val="nil"/>
            </w:tcBorders>
            <w:vAlign w:val="center"/>
          </w:tcPr>
          <w:p>
            <w:pPr>
              <w:pStyle w:val="70"/>
              <w:rPr>
                <w:u w:val="none"/>
              </w:rPr>
            </w:pPr>
            <w:r>
              <w:rPr>
                <w:u w:val="none"/>
              </w:rPr>
              <w:t>硫化物，mg/L</w:t>
            </w:r>
          </w:p>
        </w:tc>
        <w:tc>
          <w:tcPr>
            <w:tcW w:w="621" w:type="pct"/>
            <w:tcBorders>
              <w:tl2br w:val="nil"/>
              <w:tr2bl w:val="nil"/>
            </w:tcBorders>
            <w:vAlign w:val="center"/>
          </w:tcPr>
          <w:p>
            <w:pPr>
              <w:pStyle w:val="70"/>
              <w:rPr>
                <w:u w:val="none"/>
              </w:rPr>
            </w:pPr>
            <w:r>
              <w:rPr>
                <w:u w:val="none"/>
              </w:rPr>
              <w:t>0.01L</w:t>
            </w:r>
          </w:p>
        </w:tc>
        <w:tc>
          <w:tcPr>
            <w:tcW w:w="637" w:type="pct"/>
            <w:tcBorders>
              <w:tl2br w:val="nil"/>
              <w:tr2bl w:val="nil"/>
            </w:tcBorders>
            <w:vAlign w:val="center"/>
          </w:tcPr>
          <w:p>
            <w:pPr>
              <w:pStyle w:val="70"/>
              <w:rPr>
                <w:u w:val="none"/>
              </w:rPr>
            </w:pPr>
            <w:r>
              <w:rPr>
                <w:u w:val="none"/>
              </w:rPr>
              <w:t>0.01L</w:t>
            </w:r>
          </w:p>
        </w:tc>
        <w:tc>
          <w:tcPr>
            <w:tcW w:w="614" w:type="pct"/>
            <w:tcBorders>
              <w:tl2br w:val="nil"/>
              <w:tr2bl w:val="nil"/>
            </w:tcBorders>
            <w:vAlign w:val="center"/>
          </w:tcPr>
          <w:p>
            <w:pPr>
              <w:pStyle w:val="70"/>
              <w:rPr>
                <w:u w:val="none"/>
              </w:rPr>
            </w:pPr>
            <w:r>
              <w:rPr>
                <w:u w:val="none"/>
              </w:rPr>
              <w:t>0.01L</w:t>
            </w:r>
          </w:p>
        </w:tc>
        <w:tc>
          <w:tcPr>
            <w:tcW w:w="431" w:type="pct"/>
            <w:tcBorders>
              <w:tl2br w:val="nil"/>
              <w:tr2bl w:val="nil"/>
            </w:tcBorders>
            <w:vAlign w:val="center"/>
          </w:tcPr>
          <w:p>
            <w:pPr>
              <w:pStyle w:val="70"/>
              <w:rPr>
                <w:u w:val="none"/>
              </w:rPr>
            </w:pPr>
            <w:r>
              <w:rPr>
                <w:u w:val="none"/>
              </w:rPr>
              <w:t>0.1</w:t>
            </w:r>
          </w:p>
        </w:tc>
      </w:tr>
      <w:tr>
        <w:tblPrEx>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第一天0862-01-02-10</w:t>
            </w:r>
            <w:r>
              <w:rPr>
                <w:u w:val="none"/>
              </w:rPr>
              <w:br w:type="textWrapping"/>
            </w:r>
            <w:r>
              <w:rPr>
                <w:u w:val="none"/>
              </w:rPr>
              <w:t>第二天0862-02-02-10</w:t>
            </w:r>
            <w:r>
              <w:rPr>
                <w:u w:val="none"/>
              </w:rPr>
              <w:br w:type="textWrapping"/>
            </w:r>
            <w:r>
              <w:rPr>
                <w:u w:val="none"/>
              </w:rPr>
              <w:t>第三天0862-03-02-10</w:t>
            </w:r>
          </w:p>
        </w:tc>
        <w:tc>
          <w:tcPr>
            <w:tcW w:w="1115" w:type="pct"/>
            <w:tcBorders>
              <w:tl2br w:val="nil"/>
              <w:tr2bl w:val="nil"/>
            </w:tcBorders>
            <w:vAlign w:val="center"/>
          </w:tcPr>
          <w:p>
            <w:pPr>
              <w:pStyle w:val="70"/>
              <w:rPr>
                <w:u w:val="none"/>
              </w:rPr>
            </w:pPr>
            <w:r>
              <w:rPr>
                <w:u w:val="none"/>
              </w:rPr>
              <w:t>六价铬，mg/L</w:t>
            </w:r>
          </w:p>
        </w:tc>
        <w:tc>
          <w:tcPr>
            <w:tcW w:w="621" w:type="pct"/>
            <w:tcBorders>
              <w:tl2br w:val="nil"/>
              <w:tr2bl w:val="nil"/>
            </w:tcBorders>
            <w:vAlign w:val="center"/>
          </w:tcPr>
          <w:p>
            <w:pPr>
              <w:pStyle w:val="70"/>
              <w:rPr>
                <w:u w:val="none"/>
              </w:rPr>
            </w:pPr>
            <w:r>
              <w:rPr>
                <w:u w:val="none"/>
              </w:rPr>
              <w:t>0.004L</w:t>
            </w:r>
          </w:p>
        </w:tc>
        <w:tc>
          <w:tcPr>
            <w:tcW w:w="637" w:type="pct"/>
            <w:tcBorders>
              <w:tl2br w:val="nil"/>
              <w:tr2bl w:val="nil"/>
            </w:tcBorders>
            <w:vAlign w:val="center"/>
          </w:tcPr>
          <w:p>
            <w:pPr>
              <w:pStyle w:val="70"/>
              <w:rPr>
                <w:u w:val="none"/>
              </w:rPr>
            </w:pPr>
            <w:r>
              <w:rPr>
                <w:u w:val="none"/>
              </w:rPr>
              <w:t>0.004L</w:t>
            </w:r>
          </w:p>
        </w:tc>
        <w:tc>
          <w:tcPr>
            <w:tcW w:w="614" w:type="pct"/>
            <w:tcBorders>
              <w:tl2br w:val="nil"/>
              <w:tr2bl w:val="nil"/>
            </w:tcBorders>
            <w:vAlign w:val="center"/>
          </w:tcPr>
          <w:p>
            <w:pPr>
              <w:pStyle w:val="70"/>
              <w:rPr>
                <w:u w:val="none"/>
              </w:rPr>
            </w:pPr>
            <w:r>
              <w:rPr>
                <w:u w:val="none"/>
              </w:rPr>
              <w:t>0.004L</w:t>
            </w:r>
          </w:p>
        </w:tc>
        <w:tc>
          <w:tcPr>
            <w:tcW w:w="431" w:type="pct"/>
            <w:tcBorders>
              <w:tl2br w:val="nil"/>
              <w:tr2bl w:val="nil"/>
            </w:tcBorders>
            <w:vAlign w:val="center"/>
          </w:tcPr>
          <w:p>
            <w:pPr>
              <w:pStyle w:val="70"/>
              <w:rPr>
                <w:u w:val="none"/>
              </w:rPr>
            </w:pPr>
            <w:r>
              <w:rPr>
                <w:u w:val="none"/>
              </w:rPr>
              <w:t>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restart"/>
            <w:tcBorders>
              <w:tl2br w:val="nil"/>
              <w:tr2bl w:val="nil"/>
            </w:tcBorders>
            <w:noWrap/>
            <w:vAlign w:val="center"/>
          </w:tcPr>
          <w:p>
            <w:pPr>
              <w:pStyle w:val="70"/>
              <w:rPr>
                <w:u w:val="none"/>
              </w:rPr>
            </w:pPr>
            <w:r>
              <w:rPr>
                <w:u w:val="none"/>
              </w:rPr>
              <w:t>入河排污口下游300m</w:t>
            </w:r>
          </w:p>
        </w:tc>
        <w:tc>
          <w:tcPr>
            <w:tcW w:w="1204" w:type="pct"/>
            <w:tcBorders>
              <w:tl2br w:val="nil"/>
              <w:tr2bl w:val="nil"/>
            </w:tcBorders>
            <w:vAlign w:val="center"/>
          </w:tcPr>
          <w:p>
            <w:pPr>
              <w:pStyle w:val="70"/>
              <w:rPr>
                <w:u w:val="none"/>
              </w:rPr>
            </w:pPr>
            <w:r>
              <w:rPr>
                <w:u w:val="none"/>
              </w:rPr>
              <w:t>/</w:t>
            </w:r>
          </w:p>
        </w:tc>
        <w:tc>
          <w:tcPr>
            <w:tcW w:w="1115" w:type="pct"/>
            <w:tcBorders>
              <w:tl2br w:val="nil"/>
              <w:tr2bl w:val="nil"/>
            </w:tcBorders>
            <w:vAlign w:val="center"/>
          </w:tcPr>
          <w:p>
            <w:pPr>
              <w:pStyle w:val="70"/>
              <w:rPr>
                <w:u w:val="none"/>
              </w:rPr>
            </w:pPr>
            <w:r>
              <w:rPr>
                <w:u w:val="none"/>
              </w:rPr>
              <w:t>pH值，无量纲</w:t>
            </w:r>
          </w:p>
        </w:tc>
        <w:tc>
          <w:tcPr>
            <w:tcW w:w="621" w:type="pct"/>
            <w:tcBorders>
              <w:tl2br w:val="nil"/>
              <w:tr2bl w:val="nil"/>
            </w:tcBorders>
            <w:vAlign w:val="center"/>
          </w:tcPr>
          <w:p>
            <w:pPr>
              <w:pStyle w:val="70"/>
              <w:rPr>
                <w:u w:val="none"/>
              </w:rPr>
            </w:pPr>
            <w:r>
              <w:rPr>
                <w:u w:val="none"/>
              </w:rPr>
              <w:t>7.5</w:t>
            </w:r>
          </w:p>
        </w:tc>
        <w:tc>
          <w:tcPr>
            <w:tcW w:w="637" w:type="pct"/>
            <w:tcBorders>
              <w:tl2br w:val="nil"/>
              <w:tr2bl w:val="nil"/>
            </w:tcBorders>
            <w:vAlign w:val="center"/>
          </w:tcPr>
          <w:p>
            <w:pPr>
              <w:pStyle w:val="70"/>
              <w:rPr>
                <w:u w:val="none"/>
              </w:rPr>
            </w:pPr>
            <w:r>
              <w:rPr>
                <w:u w:val="none"/>
              </w:rPr>
              <w:t>8.3</w:t>
            </w:r>
          </w:p>
        </w:tc>
        <w:tc>
          <w:tcPr>
            <w:tcW w:w="614" w:type="pct"/>
            <w:tcBorders>
              <w:tl2br w:val="nil"/>
              <w:tr2bl w:val="nil"/>
            </w:tcBorders>
            <w:vAlign w:val="center"/>
          </w:tcPr>
          <w:p>
            <w:pPr>
              <w:pStyle w:val="70"/>
              <w:rPr>
                <w:u w:val="none"/>
              </w:rPr>
            </w:pPr>
            <w:r>
              <w:rPr>
                <w:u w:val="none"/>
              </w:rPr>
              <w:t>8.</w:t>
            </w:r>
            <w:r>
              <w:rPr>
                <w:rFonts w:hint="eastAsia"/>
                <w:u w:val="none"/>
              </w:rPr>
              <w:t>2</w:t>
            </w:r>
          </w:p>
        </w:tc>
        <w:tc>
          <w:tcPr>
            <w:tcW w:w="431" w:type="pct"/>
            <w:tcBorders>
              <w:tl2br w:val="nil"/>
              <w:tr2bl w:val="nil"/>
            </w:tcBorders>
            <w:vAlign w:val="center"/>
          </w:tcPr>
          <w:p>
            <w:pPr>
              <w:pStyle w:val="70"/>
              <w:rPr>
                <w:u w:val="none"/>
              </w:rPr>
            </w:pPr>
            <w:r>
              <w:rPr>
                <w:u w:val="none"/>
              </w:rPr>
              <w:t>6-9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vMerge w:val="restart"/>
            <w:tcBorders>
              <w:tl2br w:val="nil"/>
              <w:tr2bl w:val="nil"/>
            </w:tcBorders>
            <w:vAlign w:val="center"/>
          </w:tcPr>
          <w:p>
            <w:pPr>
              <w:pStyle w:val="70"/>
              <w:rPr>
                <w:u w:val="none"/>
              </w:rPr>
            </w:pPr>
            <w:r>
              <w:rPr>
                <w:u w:val="none"/>
              </w:rPr>
              <w:t>第一天0862-01-03-01</w:t>
            </w:r>
            <w:r>
              <w:rPr>
                <w:u w:val="none"/>
              </w:rPr>
              <w:br w:type="textWrapping"/>
            </w:r>
            <w:r>
              <w:rPr>
                <w:u w:val="none"/>
              </w:rPr>
              <w:t>第二天0862-02-03-01</w:t>
            </w:r>
            <w:r>
              <w:rPr>
                <w:u w:val="none"/>
              </w:rPr>
              <w:br w:type="textWrapping"/>
            </w:r>
            <w:r>
              <w:rPr>
                <w:u w:val="none"/>
              </w:rPr>
              <w:t>第三天0862-03-03-01</w:t>
            </w:r>
          </w:p>
        </w:tc>
        <w:tc>
          <w:tcPr>
            <w:tcW w:w="1115" w:type="pct"/>
            <w:tcBorders>
              <w:tl2br w:val="nil"/>
              <w:tr2bl w:val="nil"/>
            </w:tcBorders>
            <w:vAlign w:val="center"/>
          </w:tcPr>
          <w:p>
            <w:pPr>
              <w:pStyle w:val="70"/>
              <w:rPr>
                <w:u w:val="none"/>
              </w:rPr>
            </w:pPr>
            <w:r>
              <w:rPr>
                <w:u w:val="none"/>
              </w:rPr>
              <w:t>化学需氧量，mg/L</w:t>
            </w:r>
          </w:p>
        </w:tc>
        <w:tc>
          <w:tcPr>
            <w:tcW w:w="621" w:type="pct"/>
            <w:tcBorders>
              <w:tl2br w:val="nil"/>
              <w:tr2bl w:val="nil"/>
            </w:tcBorders>
            <w:vAlign w:val="center"/>
          </w:tcPr>
          <w:p>
            <w:pPr>
              <w:pStyle w:val="70"/>
              <w:rPr>
                <w:u w:val="none"/>
              </w:rPr>
            </w:pPr>
            <w:r>
              <w:rPr>
                <w:u w:val="none"/>
              </w:rPr>
              <w:t>6</w:t>
            </w:r>
          </w:p>
        </w:tc>
        <w:tc>
          <w:tcPr>
            <w:tcW w:w="637" w:type="pct"/>
            <w:tcBorders>
              <w:tl2br w:val="nil"/>
              <w:tr2bl w:val="nil"/>
            </w:tcBorders>
            <w:vAlign w:val="center"/>
          </w:tcPr>
          <w:p>
            <w:pPr>
              <w:pStyle w:val="70"/>
              <w:rPr>
                <w:u w:val="none"/>
              </w:rPr>
            </w:pPr>
            <w:r>
              <w:rPr>
                <w:u w:val="none"/>
              </w:rPr>
              <w:t>7</w:t>
            </w:r>
          </w:p>
        </w:tc>
        <w:tc>
          <w:tcPr>
            <w:tcW w:w="614" w:type="pct"/>
            <w:tcBorders>
              <w:tl2br w:val="nil"/>
              <w:tr2bl w:val="nil"/>
            </w:tcBorders>
            <w:vAlign w:val="center"/>
          </w:tcPr>
          <w:p>
            <w:pPr>
              <w:pStyle w:val="70"/>
              <w:rPr>
                <w:u w:val="none"/>
              </w:rPr>
            </w:pPr>
            <w:r>
              <w:rPr>
                <w:u w:val="none"/>
              </w:rPr>
              <w:t>7</w:t>
            </w:r>
          </w:p>
        </w:tc>
        <w:tc>
          <w:tcPr>
            <w:tcW w:w="431" w:type="pct"/>
            <w:tcBorders>
              <w:tl2br w:val="nil"/>
              <w:tr2bl w:val="nil"/>
            </w:tcBorders>
            <w:vAlign w:val="center"/>
          </w:tcPr>
          <w:p>
            <w:pPr>
              <w:pStyle w:val="70"/>
              <w:rPr>
                <w:u w:val="none"/>
              </w:rPr>
            </w:pPr>
            <w:r>
              <w:rPr>
                <w:u w:val="none"/>
              </w:rPr>
              <w:t>15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17"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氨氮，mg/L</w:t>
            </w:r>
          </w:p>
        </w:tc>
        <w:tc>
          <w:tcPr>
            <w:tcW w:w="621" w:type="pct"/>
            <w:tcBorders>
              <w:tl2br w:val="nil"/>
              <w:tr2bl w:val="nil"/>
            </w:tcBorders>
            <w:vAlign w:val="center"/>
          </w:tcPr>
          <w:p>
            <w:pPr>
              <w:pStyle w:val="70"/>
              <w:rPr>
                <w:u w:val="none"/>
              </w:rPr>
            </w:pPr>
            <w:r>
              <w:rPr>
                <w:u w:val="none"/>
              </w:rPr>
              <w:t>0.064</w:t>
            </w:r>
          </w:p>
        </w:tc>
        <w:tc>
          <w:tcPr>
            <w:tcW w:w="637" w:type="pct"/>
            <w:tcBorders>
              <w:tl2br w:val="nil"/>
              <w:tr2bl w:val="nil"/>
            </w:tcBorders>
            <w:vAlign w:val="center"/>
          </w:tcPr>
          <w:p>
            <w:pPr>
              <w:pStyle w:val="70"/>
              <w:rPr>
                <w:u w:val="none"/>
              </w:rPr>
            </w:pPr>
            <w:r>
              <w:rPr>
                <w:u w:val="none"/>
              </w:rPr>
              <w:t>0.083</w:t>
            </w:r>
          </w:p>
        </w:tc>
        <w:tc>
          <w:tcPr>
            <w:tcW w:w="614" w:type="pct"/>
            <w:tcBorders>
              <w:tl2br w:val="nil"/>
              <w:tr2bl w:val="nil"/>
            </w:tcBorders>
            <w:vAlign w:val="center"/>
          </w:tcPr>
          <w:p>
            <w:pPr>
              <w:pStyle w:val="70"/>
              <w:rPr>
                <w:u w:val="none"/>
              </w:rPr>
            </w:pPr>
            <w:r>
              <w:rPr>
                <w:u w:val="none"/>
              </w:rPr>
              <w:t>0.075</w:t>
            </w:r>
          </w:p>
        </w:tc>
        <w:tc>
          <w:tcPr>
            <w:tcW w:w="431" w:type="pct"/>
            <w:tcBorders>
              <w:tl2br w:val="nil"/>
              <w:tr2bl w:val="nil"/>
            </w:tcBorders>
            <w:vAlign w:val="center"/>
          </w:tcPr>
          <w:p>
            <w:pPr>
              <w:pStyle w:val="70"/>
              <w:rPr>
                <w:u w:val="none"/>
              </w:rPr>
            </w:pPr>
            <w:r>
              <w:rPr>
                <w:u w:val="none"/>
              </w:rPr>
              <w:t>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第一天0862-01-03-02</w:t>
            </w:r>
            <w:r>
              <w:rPr>
                <w:u w:val="none"/>
              </w:rPr>
              <w:br w:type="textWrapping"/>
            </w:r>
            <w:r>
              <w:rPr>
                <w:u w:val="none"/>
              </w:rPr>
              <w:t>第二天0862-02-03-02</w:t>
            </w:r>
            <w:r>
              <w:rPr>
                <w:u w:val="none"/>
              </w:rPr>
              <w:br w:type="textWrapping"/>
            </w:r>
            <w:r>
              <w:rPr>
                <w:u w:val="none"/>
              </w:rPr>
              <w:t>第三天0862-03-03-02</w:t>
            </w:r>
          </w:p>
        </w:tc>
        <w:tc>
          <w:tcPr>
            <w:tcW w:w="1115" w:type="pct"/>
            <w:tcBorders>
              <w:tl2br w:val="nil"/>
              <w:tr2bl w:val="nil"/>
            </w:tcBorders>
            <w:vAlign w:val="center"/>
          </w:tcPr>
          <w:p>
            <w:pPr>
              <w:pStyle w:val="70"/>
              <w:rPr>
                <w:u w:val="none"/>
              </w:rPr>
            </w:pPr>
            <w:r>
              <w:rPr>
                <w:u w:val="none"/>
              </w:rPr>
              <w:t>五日生化需氧量，mg/L</w:t>
            </w:r>
          </w:p>
        </w:tc>
        <w:tc>
          <w:tcPr>
            <w:tcW w:w="621" w:type="pct"/>
            <w:tcBorders>
              <w:tl2br w:val="nil"/>
              <w:tr2bl w:val="nil"/>
            </w:tcBorders>
            <w:vAlign w:val="center"/>
          </w:tcPr>
          <w:p>
            <w:pPr>
              <w:pStyle w:val="70"/>
              <w:rPr>
                <w:u w:val="none"/>
              </w:rPr>
            </w:pPr>
            <w:r>
              <w:rPr>
                <w:u w:val="none"/>
              </w:rPr>
              <w:t>2.0</w:t>
            </w:r>
          </w:p>
        </w:tc>
        <w:tc>
          <w:tcPr>
            <w:tcW w:w="637" w:type="pct"/>
            <w:tcBorders>
              <w:tl2br w:val="nil"/>
              <w:tr2bl w:val="nil"/>
            </w:tcBorders>
            <w:vAlign w:val="center"/>
          </w:tcPr>
          <w:p>
            <w:pPr>
              <w:pStyle w:val="70"/>
              <w:rPr>
                <w:u w:val="none"/>
              </w:rPr>
            </w:pPr>
            <w:r>
              <w:rPr>
                <w:u w:val="none"/>
              </w:rPr>
              <w:t>2.1</w:t>
            </w:r>
          </w:p>
        </w:tc>
        <w:tc>
          <w:tcPr>
            <w:tcW w:w="614" w:type="pct"/>
            <w:tcBorders>
              <w:tl2br w:val="nil"/>
              <w:tr2bl w:val="nil"/>
            </w:tcBorders>
            <w:vAlign w:val="center"/>
          </w:tcPr>
          <w:p>
            <w:pPr>
              <w:pStyle w:val="70"/>
              <w:rPr>
                <w:u w:val="none"/>
              </w:rPr>
            </w:pPr>
            <w:r>
              <w:rPr>
                <w:u w:val="none"/>
              </w:rPr>
              <w:t>1.8</w:t>
            </w:r>
          </w:p>
        </w:tc>
        <w:tc>
          <w:tcPr>
            <w:tcW w:w="431" w:type="pct"/>
            <w:tcBorders>
              <w:tl2br w:val="nil"/>
              <w:tr2bl w:val="nil"/>
            </w:tcBorders>
            <w:vAlign w:val="center"/>
          </w:tcPr>
          <w:p>
            <w:pPr>
              <w:pStyle w:val="70"/>
              <w:rPr>
                <w:u w:val="none"/>
              </w:rPr>
            </w:pPr>
            <w:r>
              <w:rPr>
                <w:u w:val="none"/>
              </w:rPr>
              <w:t>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第一天0862-01-03-03</w:t>
            </w:r>
            <w:r>
              <w:rPr>
                <w:u w:val="none"/>
              </w:rPr>
              <w:br w:type="textWrapping"/>
            </w:r>
            <w:r>
              <w:rPr>
                <w:u w:val="none"/>
              </w:rPr>
              <w:t>第二天0862-02-03-03</w:t>
            </w:r>
            <w:r>
              <w:rPr>
                <w:u w:val="none"/>
              </w:rPr>
              <w:br w:type="textWrapping"/>
            </w:r>
            <w:r>
              <w:rPr>
                <w:u w:val="none"/>
              </w:rPr>
              <w:t>第三天0862-03-03-03</w:t>
            </w:r>
          </w:p>
        </w:tc>
        <w:tc>
          <w:tcPr>
            <w:tcW w:w="1115" w:type="pct"/>
            <w:tcBorders>
              <w:tl2br w:val="nil"/>
              <w:tr2bl w:val="nil"/>
            </w:tcBorders>
            <w:vAlign w:val="center"/>
          </w:tcPr>
          <w:p>
            <w:pPr>
              <w:pStyle w:val="70"/>
              <w:rPr>
                <w:u w:val="none"/>
              </w:rPr>
            </w:pPr>
            <w:r>
              <w:rPr>
                <w:u w:val="none"/>
              </w:rPr>
              <w:t>悬浮物，mg/L</w:t>
            </w:r>
          </w:p>
        </w:tc>
        <w:tc>
          <w:tcPr>
            <w:tcW w:w="621" w:type="pct"/>
            <w:tcBorders>
              <w:tl2br w:val="nil"/>
              <w:tr2bl w:val="nil"/>
            </w:tcBorders>
            <w:vAlign w:val="center"/>
          </w:tcPr>
          <w:p>
            <w:pPr>
              <w:pStyle w:val="70"/>
              <w:rPr>
                <w:u w:val="none"/>
              </w:rPr>
            </w:pPr>
            <w:r>
              <w:rPr>
                <w:u w:val="none"/>
              </w:rPr>
              <w:t>5</w:t>
            </w:r>
          </w:p>
        </w:tc>
        <w:tc>
          <w:tcPr>
            <w:tcW w:w="637" w:type="pct"/>
            <w:tcBorders>
              <w:tl2br w:val="nil"/>
              <w:tr2bl w:val="nil"/>
            </w:tcBorders>
            <w:vAlign w:val="center"/>
          </w:tcPr>
          <w:p>
            <w:pPr>
              <w:pStyle w:val="70"/>
              <w:rPr>
                <w:u w:val="none"/>
              </w:rPr>
            </w:pPr>
            <w:r>
              <w:rPr>
                <w:u w:val="none"/>
              </w:rPr>
              <w:t>7</w:t>
            </w:r>
          </w:p>
        </w:tc>
        <w:tc>
          <w:tcPr>
            <w:tcW w:w="614" w:type="pct"/>
            <w:tcBorders>
              <w:tl2br w:val="nil"/>
              <w:tr2bl w:val="nil"/>
            </w:tcBorders>
            <w:vAlign w:val="center"/>
          </w:tcPr>
          <w:p>
            <w:pPr>
              <w:pStyle w:val="70"/>
              <w:rPr>
                <w:u w:val="none"/>
              </w:rPr>
            </w:pPr>
            <w:r>
              <w:rPr>
                <w:u w:val="none"/>
              </w:rPr>
              <w:t>5</w:t>
            </w:r>
          </w:p>
        </w:tc>
        <w:tc>
          <w:tcPr>
            <w:tcW w:w="431" w:type="pct"/>
            <w:tcBorders>
              <w:tl2br w:val="nil"/>
              <w:tr2bl w:val="nil"/>
            </w:tcBorders>
            <w:vAlign w:val="center"/>
          </w:tcPr>
          <w:p>
            <w:pPr>
              <w:pStyle w:val="70"/>
              <w:rPr>
                <w:u w:val="none"/>
              </w:rPr>
            </w:pPr>
            <w:r>
              <w:rPr>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第一天0862-01-03-04</w:t>
            </w:r>
            <w:r>
              <w:rPr>
                <w:u w:val="none"/>
              </w:rPr>
              <w:br w:type="textWrapping"/>
            </w:r>
            <w:r>
              <w:rPr>
                <w:u w:val="none"/>
              </w:rPr>
              <w:t>第二天0862-02-03-04</w:t>
            </w:r>
            <w:r>
              <w:rPr>
                <w:u w:val="none"/>
              </w:rPr>
              <w:br w:type="textWrapping"/>
            </w:r>
            <w:r>
              <w:rPr>
                <w:u w:val="none"/>
              </w:rPr>
              <w:t>第三天0862-03-03-04</w:t>
            </w:r>
          </w:p>
        </w:tc>
        <w:tc>
          <w:tcPr>
            <w:tcW w:w="1115" w:type="pct"/>
            <w:tcBorders>
              <w:tl2br w:val="nil"/>
              <w:tr2bl w:val="nil"/>
            </w:tcBorders>
            <w:vAlign w:val="center"/>
          </w:tcPr>
          <w:p>
            <w:pPr>
              <w:pStyle w:val="70"/>
              <w:rPr>
                <w:u w:val="none"/>
              </w:rPr>
            </w:pPr>
            <w:r>
              <w:rPr>
                <w:u w:val="none"/>
              </w:rPr>
              <w:t>石油类，mg/L</w:t>
            </w:r>
          </w:p>
        </w:tc>
        <w:tc>
          <w:tcPr>
            <w:tcW w:w="621" w:type="pct"/>
            <w:tcBorders>
              <w:tl2br w:val="nil"/>
              <w:tr2bl w:val="nil"/>
            </w:tcBorders>
            <w:vAlign w:val="center"/>
          </w:tcPr>
          <w:p>
            <w:pPr>
              <w:pStyle w:val="70"/>
              <w:rPr>
                <w:u w:val="none"/>
              </w:rPr>
            </w:pPr>
            <w:r>
              <w:rPr>
                <w:u w:val="none"/>
              </w:rPr>
              <w:t>0.01L</w:t>
            </w:r>
          </w:p>
        </w:tc>
        <w:tc>
          <w:tcPr>
            <w:tcW w:w="637" w:type="pct"/>
            <w:tcBorders>
              <w:tl2br w:val="nil"/>
              <w:tr2bl w:val="nil"/>
            </w:tcBorders>
            <w:vAlign w:val="center"/>
          </w:tcPr>
          <w:p>
            <w:pPr>
              <w:pStyle w:val="70"/>
              <w:rPr>
                <w:u w:val="none"/>
              </w:rPr>
            </w:pPr>
            <w:r>
              <w:rPr>
                <w:u w:val="none"/>
              </w:rPr>
              <w:t>0.01L</w:t>
            </w:r>
          </w:p>
        </w:tc>
        <w:tc>
          <w:tcPr>
            <w:tcW w:w="614" w:type="pct"/>
            <w:tcBorders>
              <w:tl2br w:val="nil"/>
              <w:tr2bl w:val="nil"/>
            </w:tcBorders>
            <w:vAlign w:val="center"/>
          </w:tcPr>
          <w:p>
            <w:pPr>
              <w:pStyle w:val="70"/>
              <w:rPr>
                <w:u w:val="none"/>
              </w:rPr>
            </w:pPr>
            <w:r>
              <w:rPr>
                <w:u w:val="none"/>
              </w:rPr>
              <w:t>0.01L</w:t>
            </w:r>
          </w:p>
        </w:tc>
        <w:tc>
          <w:tcPr>
            <w:tcW w:w="431" w:type="pct"/>
            <w:tcBorders>
              <w:tl2br w:val="nil"/>
              <w:tr2bl w:val="nil"/>
            </w:tcBorders>
            <w:vAlign w:val="center"/>
          </w:tcPr>
          <w:p>
            <w:pPr>
              <w:pStyle w:val="70"/>
              <w:rPr>
                <w:u w:val="none"/>
              </w:rPr>
            </w:pPr>
            <w:r>
              <w:rPr>
                <w:u w:val="none"/>
              </w:rPr>
              <w:t>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第一天0862-01-03-05</w:t>
            </w:r>
            <w:r>
              <w:rPr>
                <w:u w:val="none"/>
              </w:rPr>
              <w:br w:type="textWrapping"/>
            </w:r>
            <w:r>
              <w:rPr>
                <w:u w:val="none"/>
              </w:rPr>
              <w:t>第二天0862-02-03-05</w:t>
            </w:r>
            <w:r>
              <w:rPr>
                <w:u w:val="none"/>
              </w:rPr>
              <w:br w:type="textWrapping"/>
            </w:r>
            <w:r>
              <w:rPr>
                <w:u w:val="none"/>
              </w:rPr>
              <w:t>第三天0862-03-03-05</w:t>
            </w:r>
          </w:p>
        </w:tc>
        <w:tc>
          <w:tcPr>
            <w:tcW w:w="1115" w:type="pct"/>
            <w:tcBorders>
              <w:tl2br w:val="nil"/>
              <w:tr2bl w:val="nil"/>
            </w:tcBorders>
            <w:vAlign w:val="center"/>
          </w:tcPr>
          <w:p>
            <w:pPr>
              <w:pStyle w:val="70"/>
              <w:rPr>
                <w:u w:val="none"/>
              </w:rPr>
            </w:pPr>
            <w:r>
              <w:rPr>
                <w:u w:val="none"/>
              </w:rPr>
              <w:t>总磷，mg/L</w:t>
            </w:r>
          </w:p>
        </w:tc>
        <w:tc>
          <w:tcPr>
            <w:tcW w:w="621" w:type="pct"/>
            <w:tcBorders>
              <w:tl2br w:val="nil"/>
              <w:tr2bl w:val="nil"/>
            </w:tcBorders>
            <w:vAlign w:val="center"/>
          </w:tcPr>
          <w:p>
            <w:pPr>
              <w:pStyle w:val="70"/>
              <w:rPr>
                <w:u w:val="none"/>
              </w:rPr>
            </w:pPr>
            <w:r>
              <w:rPr>
                <w:u w:val="none"/>
              </w:rPr>
              <w:t>0.04</w:t>
            </w:r>
          </w:p>
        </w:tc>
        <w:tc>
          <w:tcPr>
            <w:tcW w:w="637" w:type="pct"/>
            <w:tcBorders>
              <w:tl2br w:val="nil"/>
              <w:tr2bl w:val="nil"/>
            </w:tcBorders>
            <w:vAlign w:val="center"/>
          </w:tcPr>
          <w:p>
            <w:pPr>
              <w:pStyle w:val="70"/>
              <w:rPr>
                <w:u w:val="none"/>
              </w:rPr>
            </w:pPr>
            <w:r>
              <w:rPr>
                <w:u w:val="none"/>
              </w:rPr>
              <w:t>0.05</w:t>
            </w:r>
          </w:p>
        </w:tc>
        <w:tc>
          <w:tcPr>
            <w:tcW w:w="614" w:type="pct"/>
            <w:tcBorders>
              <w:tl2br w:val="nil"/>
              <w:tr2bl w:val="nil"/>
            </w:tcBorders>
            <w:vAlign w:val="center"/>
          </w:tcPr>
          <w:p>
            <w:pPr>
              <w:pStyle w:val="70"/>
              <w:rPr>
                <w:u w:val="none"/>
              </w:rPr>
            </w:pPr>
            <w:r>
              <w:rPr>
                <w:u w:val="none"/>
              </w:rPr>
              <w:t>0.06</w:t>
            </w:r>
          </w:p>
        </w:tc>
        <w:tc>
          <w:tcPr>
            <w:tcW w:w="431" w:type="pct"/>
            <w:tcBorders>
              <w:tl2br w:val="nil"/>
              <w:tr2bl w:val="nil"/>
            </w:tcBorders>
            <w:vAlign w:val="center"/>
          </w:tcPr>
          <w:p>
            <w:pPr>
              <w:pStyle w:val="70"/>
              <w:rPr>
                <w:u w:val="none"/>
              </w:rPr>
            </w:pPr>
            <w:r>
              <w:rPr>
                <w:u w:val="none"/>
              </w:rPr>
              <w:t>0.1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第一天0862-01-03-06</w:t>
            </w:r>
            <w:r>
              <w:rPr>
                <w:u w:val="none"/>
              </w:rPr>
              <w:br w:type="textWrapping"/>
            </w:r>
            <w:r>
              <w:rPr>
                <w:u w:val="none"/>
              </w:rPr>
              <w:t>第二天0862-02-03-06</w:t>
            </w:r>
            <w:r>
              <w:rPr>
                <w:u w:val="none"/>
              </w:rPr>
              <w:br w:type="textWrapping"/>
            </w:r>
            <w:r>
              <w:rPr>
                <w:u w:val="none"/>
              </w:rPr>
              <w:t>第三天0862-03-03-06</w:t>
            </w:r>
          </w:p>
        </w:tc>
        <w:tc>
          <w:tcPr>
            <w:tcW w:w="1115" w:type="pct"/>
            <w:tcBorders>
              <w:tl2br w:val="nil"/>
              <w:tr2bl w:val="nil"/>
            </w:tcBorders>
            <w:vAlign w:val="center"/>
          </w:tcPr>
          <w:p>
            <w:pPr>
              <w:pStyle w:val="70"/>
              <w:rPr>
                <w:u w:val="none"/>
              </w:rPr>
            </w:pPr>
            <w:r>
              <w:rPr>
                <w:u w:val="none"/>
              </w:rPr>
              <w:t>氟化物，mg/L</w:t>
            </w:r>
          </w:p>
        </w:tc>
        <w:tc>
          <w:tcPr>
            <w:tcW w:w="621" w:type="pct"/>
            <w:tcBorders>
              <w:tl2br w:val="nil"/>
              <w:tr2bl w:val="nil"/>
            </w:tcBorders>
            <w:vAlign w:val="center"/>
          </w:tcPr>
          <w:p>
            <w:pPr>
              <w:pStyle w:val="70"/>
              <w:rPr>
                <w:u w:val="none"/>
              </w:rPr>
            </w:pPr>
            <w:r>
              <w:rPr>
                <w:u w:val="none"/>
              </w:rPr>
              <w:t>0.113</w:t>
            </w:r>
          </w:p>
        </w:tc>
        <w:tc>
          <w:tcPr>
            <w:tcW w:w="637" w:type="pct"/>
            <w:tcBorders>
              <w:tl2br w:val="nil"/>
              <w:tr2bl w:val="nil"/>
            </w:tcBorders>
            <w:vAlign w:val="center"/>
          </w:tcPr>
          <w:p>
            <w:pPr>
              <w:pStyle w:val="70"/>
              <w:rPr>
                <w:u w:val="none"/>
              </w:rPr>
            </w:pPr>
            <w:r>
              <w:rPr>
                <w:u w:val="none"/>
              </w:rPr>
              <w:t>0.117</w:t>
            </w:r>
          </w:p>
        </w:tc>
        <w:tc>
          <w:tcPr>
            <w:tcW w:w="614" w:type="pct"/>
            <w:tcBorders>
              <w:tl2br w:val="nil"/>
              <w:tr2bl w:val="nil"/>
            </w:tcBorders>
            <w:vAlign w:val="center"/>
          </w:tcPr>
          <w:p>
            <w:pPr>
              <w:pStyle w:val="70"/>
              <w:rPr>
                <w:u w:val="none"/>
              </w:rPr>
            </w:pPr>
            <w:r>
              <w:rPr>
                <w:u w:val="none"/>
              </w:rPr>
              <w:t>0.133</w:t>
            </w:r>
          </w:p>
        </w:tc>
        <w:tc>
          <w:tcPr>
            <w:tcW w:w="431" w:type="pct"/>
            <w:tcBorders>
              <w:tl2br w:val="nil"/>
              <w:tr2bl w:val="nil"/>
            </w:tcBorders>
            <w:vAlign w:val="center"/>
          </w:tcPr>
          <w:p>
            <w:pPr>
              <w:pStyle w:val="70"/>
              <w:rPr>
                <w:u w:val="none"/>
              </w:rPr>
            </w:pPr>
            <w:r>
              <w:rPr>
                <w:u w:val="none"/>
              </w:rPr>
              <w:t>1.0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2" w:hRule="atLeast"/>
          <w:jc w:val="center"/>
        </w:trPr>
        <w:tc>
          <w:tcPr>
            <w:tcW w:w="374" w:type="pct"/>
            <w:vMerge w:val="continue"/>
            <w:tcBorders>
              <w:tl2br w:val="nil"/>
              <w:tr2bl w:val="nil"/>
            </w:tcBorders>
            <w:noWrap/>
            <w:vAlign w:val="center"/>
          </w:tcPr>
          <w:p>
            <w:pPr>
              <w:pStyle w:val="70"/>
              <w:rPr>
                <w:u w:val="none"/>
              </w:rPr>
            </w:pPr>
          </w:p>
        </w:tc>
        <w:tc>
          <w:tcPr>
            <w:tcW w:w="1204" w:type="pct"/>
            <w:vMerge w:val="restart"/>
            <w:tcBorders>
              <w:tl2br w:val="nil"/>
              <w:tr2bl w:val="nil"/>
            </w:tcBorders>
            <w:vAlign w:val="center"/>
          </w:tcPr>
          <w:p>
            <w:pPr>
              <w:pStyle w:val="70"/>
              <w:rPr>
                <w:u w:val="none"/>
              </w:rPr>
            </w:pPr>
            <w:r>
              <w:rPr>
                <w:u w:val="none"/>
              </w:rPr>
              <w:t>第一天0862-01-03-07</w:t>
            </w:r>
            <w:r>
              <w:rPr>
                <w:u w:val="none"/>
              </w:rPr>
              <w:br w:type="textWrapping"/>
            </w:r>
            <w:r>
              <w:rPr>
                <w:u w:val="none"/>
              </w:rPr>
              <w:t>第二天0862-02-03-07</w:t>
            </w:r>
            <w:r>
              <w:rPr>
                <w:u w:val="none"/>
              </w:rPr>
              <w:br w:type="textWrapping"/>
            </w:r>
            <w:r>
              <w:rPr>
                <w:u w:val="none"/>
              </w:rPr>
              <w:t>第三天0862-03-03-07</w:t>
            </w:r>
          </w:p>
        </w:tc>
        <w:tc>
          <w:tcPr>
            <w:tcW w:w="1115" w:type="pct"/>
            <w:tcBorders>
              <w:tl2br w:val="nil"/>
              <w:tr2bl w:val="nil"/>
            </w:tcBorders>
            <w:vAlign w:val="center"/>
          </w:tcPr>
          <w:p>
            <w:pPr>
              <w:pStyle w:val="70"/>
              <w:rPr>
                <w:u w:val="none"/>
              </w:rPr>
            </w:pPr>
            <w:r>
              <w:rPr>
                <w:u w:val="none"/>
              </w:rPr>
              <w:t>铜，mg/L</w:t>
            </w:r>
          </w:p>
        </w:tc>
        <w:tc>
          <w:tcPr>
            <w:tcW w:w="621" w:type="pct"/>
            <w:tcBorders>
              <w:tl2br w:val="nil"/>
              <w:tr2bl w:val="nil"/>
            </w:tcBorders>
            <w:vAlign w:val="center"/>
          </w:tcPr>
          <w:p>
            <w:pPr>
              <w:pStyle w:val="70"/>
              <w:rPr>
                <w:u w:val="none"/>
              </w:rPr>
            </w:pPr>
            <w:r>
              <w:rPr>
                <w:u w:val="none"/>
              </w:rPr>
              <w:t>0.00067</w:t>
            </w:r>
          </w:p>
        </w:tc>
        <w:tc>
          <w:tcPr>
            <w:tcW w:w="637" w:type="pct"/>
            <w:tcBorders>
              <w:tl2br w:val="nil"/>
              <w:tr2bl w:val="nil"/>
            </w:tcBorders>
            <w:vAlign w:val="center"/>
          </w:tcPr>
          <w:p>
            <w:pPr>
              <w:pStyle w:val="70"/>
              <w:rPr>
                <w:u w:val="none"/>
              </w:rPr>
            </w:pPr>
            <w:r>
              <w:rPr>
                <w:u w:val="none"/>
              </w:rPr>
              <w:t>0.00061</w:t>
            </w:r>
          </w:p>
        </w:tc>
        <w:tc>
          <w:tcPr>
            <w:tcW w:w="614" w:type="pct"/>
            <w:tcBorders>
              <w:tl2br w:val="nil"/>
              <w:tr2bl w:val="nil"/>
            </w:tcBorders>
            <w:vAlign w:val="center"/>
          </w:tcPr>
          <w:p>
            <w:pPr>
              <w:pStyle w:val="70"/>
              <w:rPr>
                <w:u w:val="none"/>
              </w:rPr>
            </w:pPr>
            <w:r>
              <w:rPr>
                <w:u w:val="none"/>
              </w:rPr>
              <w:t>0.00046</w:t>
            </w:r>
          </w:p>
        </w:tc>
        <w:tc>
          <w:tcPr>
            <w:tcW w:w="431" w:type="pct"/>
            <w:tcBorders>
              <w:tl2br w:val="nil"/>
              <w:tr2bl w:val="nil"/>
            </w:tcBorders>
            <w:vAlign w:val="center"/>
          </w:tcPr>
          <w:p>
            <w:pPr>
              <w:pStyle w:val="70"/>
              <w:rPr>
                <w:u w:val="none"/>
              </w:rPr>
            </w:pPr>
            <w:r>
              <w:rPr>
                <w:u w:val="none"/>
              </w:rPr>
              <w:t>1.0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30"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锌，mg/L</w:t>
            </w:r>
          </w:p>
        </w:tc>
        <w:tc>
          <w:tcPr>
            <w:tcW w:w="621" w:type="pct"/>
            <w:tcBorders>
              <w:tl2br w:val="nil"/>
              <w:tr2bl w:val="nil"/>
            </w:tcBorders>
            <w:vAlign w:val="center"/>
          </w:tcPr>
          <w:p>
            <w:pPr>
              <w:pStyle w:val="70"/>
              <w:rPr>
                <w:u w:val="none"/>
              </w:rPr>
            </w:pPr>
            <w:r>
              <w:rPr>
                <w:u w:val="none"/>
              </w:rPr>
              <w:t>0.00139</w:t>
            </w:r>
          </w:p>
        </w:tc>
        <w:tc>
          <w:tcPr>
            <w:tcW w:w="637" w:type="pct"/>
            <w:tcBorders>
              <w:tl2br w:val="nil"/>
              <w:tr2bl w:val="nil"/>
            </w:tcBorders>
            <w:vAlign w:val="center"/>
          </w:tcPr>
          <w:p>
            <w:pPr>
              <w:pStyle w:val="70"/>
              <w:rPr>
                <w:u w:val="none"/>
              </w:rPr>
            </w:pPr>
            <w:r>
              <w:rPr>
                <w:u w:val="none"/>
              </w:rPr>
              <w:t>0.00190</w:t>
            </w:r>
          </w:p>
        </w:tc>
        <w:tc>
          <w:tcPr>
            <w:tcW w:w="614" w:type="pct"/>
            <w:tcBorders>
              <w:tl2br w:val="nil"/>
              <w:tr2bl w:val="nil"/>
            </w:tcBorders>
            <w:vAlign w:val="center"/>
          </w:tcPr>
          <w:p>
            <w:pPr>
              <w:pStyle w:val="70"/>
              <w:rPr>
                <w:u w:val="none"/>
              </w:rPr>
            </w:pPr>
            <w:r>
              <w:rPr>
                <w:u w:val="none"/>
              </w:rPr>
              <w:t>0.00067L</w:t>
            </w:r>
          </w:p>
        </w:tc>
        <w:tc>
          <w:tcPr>
            <w:tcW w:w="431" w:type="pct"/>
            <w:tcBorders>
              <w:tl2br w:val="nil"/>
              <w:tr2bl w:val="nil"/>
            </w:tcBorders>
            <w:vAlign w:val="center"/>
          </w:tcPr>
          <w:p>
            <w:pPr>
              <w:pStyle w:val="70"/>
              <w:rPr>
                <w:u w:val="none"/>
              </w:rPr>
            </w:pPr>
            <w:r>
              <w:rPr>
                <w:u w:val="none"/>
              </w:rPr>
              <w:t>1.0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55"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铅，mg/L</w:t>
            </w:r>
          </w:p>
        </w:tc>
        <w:tc>
          <w:tcPr>
            <w:tcW w:w="621" w:type="pct"/>
            <w:tcBorders>
              <w:tl2br w:val="nil"/>
              <w:tr2bl w:val="nil"/>
            </w:tcBorders>
            <w:vAlign w:val="center"/>
          </w:tcPr>
          <w:p>
            <w:pPr>
              <w:pStyle w:val="70"/>
              <w:rPr>
                <w:u w:val="none"/>
              </w:rPr>
            </w:pPr>
            <w:r>
              <w:rPr>
                <w:u w:val="none"/>
              </w:rPr>
              <w:t>0.00009L</w:t>
            </w:r>
          </w:p>
        </w:tc>
        <w:tc>
          <w:tcPr>
            <w:tcW w:w="637" w:type="pct"/>
            <w:tcBorders>
              <w:tl2br w:val="nil"/>
              <w:tr2bl w:val="nil"/>
            </w:tcBorders>
            <w:vAlign w:val="center"/>
          </w:tcPr>
          <w:p>
            <w:pPr>
              <w:pStyle w:val="70"/>
              <w:rPr>
                <w:u w:val="none"/>
              </w:rPr>
            </w:pPr>
            <w:r>
              <w:rPr>
                <w:u w:val="none"/>
              </w:rPr>
              <w:t>0.00009L</w:t>
            </w:r>
          </w:p>
        </w:tc>
        <w:tc>
          <w:tcPr>
            <w:tcW w:w="614" w:type="pct"/>
            <w:tcBorders>
              <w:tl2br w:val="nil"/>
              <w:tr2bl w:val="nil"/>
            </w:tcBorders>
            <w:vAlign w:val="center"/>
          </w:tcPr>
          <w:p>
            <w:pPr>
              <w:pStyle w:val="70"/>
              <w:rPr>
                <w:u w:val="none"/>
              </w:rPr>
            </w:pPr>
            <w:r>
              <w:rPr>
                <w:u w:val="none"/>
              </w:rPr>
              <w:t>0.00009L</w:t>
            </w:r>
          </w:p>
        </w:tc>
        <w:tc>
          <w:tcPr>
            <w:tcW w:w="431" w:type="pct"/>
            <w:tcBorders>
              <w:tl2br w:val="nil"/>
              <w:tr2bl w:val="nil"/>
            </w:tcBorders>
            <w:vAlign w:val="center"/>
          </w:tcPr>
          <w:p>
            <w:pPr>
              <w:pStyle w:val="70"/>
              <w:rPr>
                <w:u w:val="none"/>
              </w:rPr>
            </w:pPr>
            <w:r>
              <w:rPr>
                <w:u w:val="none"/>
              </w:rPr>
              <w:t>0.01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92"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镉，mg/L</w:t>
            </w:r>
          </w:p>
        </w:tc>
        <w:tc>
          <w:tcPr>
            <w:tcW w:w="621" w:type="pct"/>
            <w:tcBorders>
              <w:tl2br w:val="nil"/>
              <w:tr2bl w:val="nil"/>
            </w:tcBorders>
            <w:vAlign w:val="center"/>
          </w:tcPr>
          <w:p>
            <w:pPr>
              <w:pStyle w:val="70"/>
              <w:rPr>
                <w:u w:val="none"/>
              </w:rPr>
            </w:pPr>
            <w:r>
              <w:rPr>
                <w:u w:val="none"/>
              </w:rPr>
              <w:t>0.00005L</w:t>
            </w:r>
          </w:p>
        </w:tc>
        <w:tc>
          <w:tcPr>
            <w:tcW w:w="637" w:type="pct"/>
            <w:tcBorders>
              <w:tl2br w:val="nil"/>
              <w:tr2bl w:val="nil"/>
            </w:tcBorders>
            <w:vAlign w:val="center"/>
          </w:tcPr>
          <w:p>
            <w:pPr>
              <w:pStyle w:val="70"/>
              <w:rPr>
                <w:u w:val="none"/>
              </w:rPr>
            </w:pPr>
            <w:r>
              <w:rPr>
                <w:u w:val="none"/>
              </w:rPr>
              <w:t>0.00005L</w:t>
            </w:r>
          </w:p>
        </w:tc>
        <w:tc>
          <w:tcPr>
            <w:tcW w:w="614" w:type="pct"/>
            <w:tcBorders>
              <w:tl2br w:val="nil"/>
              <w:tr2bl w:val="nil"/>
            </w:tcBorders>
            <w:vAlign w:val="center"/>
          </w:tcPr>
          <w:p>
            <w:pPr>
              <w:pStyle w:val="70"/>
              <w:rPr>
                <w:u w:val="none"/>
              </w:rPr>
            </w:pPr>
            <w:r>
              <w:rPr>
                <w:u w:val="none"/>
              </w:rPr>
              <w:t>0.00005L</w:t>
            </w:r>
          </w:p>
        </w:tc>
        <w:tc>
          <w:tcPr>
            <w:tcW w:w="431" w:type="pct"/>
            <w:tcBorders>
              <w:tl2br w:val="nil"/>
              <w:tr2bl w:val="nil"/>
            </w:tcBorders>
            <w:vAlign w:val="center"/>
          </w:tcPr>
          <w:p>
            <w:pPr>
              <w:pStyle w:val="70"/>
              <w:rPr>
                <w:u w:val="none"/>
              </w:rPr>
            </w:pPr>
            <w:r>
              <w:rPr>
                <w:u w:val="none"/>
              </w:rPr>
              <w:t>0.005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29"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铊，mg/L</w:t>
            </w:r>
          </w:p>
        </w:tc>
        <w:tc>
          <w:tcPr>
            <w:tcW w:w="621" w:type="pct"/>
            <w:tcBorders>
              <w:tl2br w:val="nil"/>
              <w:tr2bl w:val="nil"/>
            </w:tcBorders>
            <w:vAlign w:val="center"/>
          </w:tcPr>
          <w:p>
            <w:pPr>
              <w:pStyle w:val="70"/>
              <w:rPr>
                <w:u w:val="none"/>
              </w:rPr>
            </w:pPr>
            <w:r>
              <w:rPr>
                <w:u w:val="none"/>
              </w:rPr>
              <w:t>0.00002L</w:t>
            </w:r>
          </w:p>
        </w:tc>
        <w:tc>
          <w:tcPr>
            <w:tcW w:w="637" w:type="pct"/>
            <w:tcBorders>
              <w:tl2br w:val="nil"/>
              <w:tr2bl w:val="nil"/>
            </w:tcBorders>
            <w:vAlign w:val="center"/>
          </w:tcPr>
          <w:p>
            <w:pPr>
              <w:pStyle w:val="70"/>
              <w:rPr>
                <w:u w:val="none"/>
              </w:rPr>
            </w:pPr>
            <w:r>
              <w:rPr>
                <w:u w:val="none"/>
              </w:rPr>
              <w:t>0.00002L</w:t>
            </w:r>
          </w:p>
        </w:tc>
        <w:tc>
          <w:tcPr>
            <w:tcW w:w="614" w:type="pct"/>
            <w:tcBorders>
              <w:tl2br w:val="nil"/>
              <w:tr2bl w:val="nil"/>
            </w:tcBorders>
            <w:vAlign w:val="center"/>
          </w:tcPr>
          <w:p>
            <w:pPr>
              <w:pStyle w:val="70"/>
              <w:rPr>
                <w:u w:val="none"/>
              </w:rPr>
            </w:pPr>
            <w:r>
              <w:rPr>
                <w:u w:val="none"/>
              </w:rPr>
              <w:t>0.00002L</w:t>
            </w:r>
          </w:p>
        </w:tc>
        <w:tc>
          <w:tcPr>
            <w:tcW w:w="431" w:type="pct"/>
            <w:tcBorders>
              <w:tl2br w:val="nil"/>
              <w:tr2bl w:val="nil"/>
            </w:tcBorders>
            <w:vAlign w:val="center"/>
          </w:tcPr>
          <w:p>
            <w:pPr>
              <w:pStyle w:val="70"/>
              <w:rPr>
                <w:u w:val="none"/>
              </w:rPr>
            </w:pPr>
            <w:r>
              <w:rPr>
                <w:rFonts w:hint="eastAsia"/>
                <w:u w:val="none"/>
              </w:rPr>
              <w:t>0.0001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30"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铬，mg/L</w:t>
            </w:r>
          </w:p>
        </w:tc>
        <w:tc>
          <w:tcPr>
            <w:tcW w:w="621" w:type="pct"/>
            <w:tcBorders>
              <w:tl2br w:val="nil"/>
              <w:tr2bl w:val="nil"/>
            </w:tcBorders>
            <w:vAlign w:val="center"/>
          </w:tcPr>
          <w:p>
            <w:pPr>
              <w:pStyle w:val="70"/>
              <w:rPr>
                <w:u w:val="none"/>
              </w:rPr>
            </w:pPr>
            <w:r>
              <w:rPr>
                <w:u w:val="none"/>
              </w:rPr>
              <w:t>0.00054</w:t>
            </w:r>
          </w:p>
        </w:tc>
        <w:tc>
          <w:tcPr>
            <w:tcW w:w="637" w:type="pct"/>
            <w:tcBorders>
              <w:tl2br w:val="nil"/>
              <w:tr2bl w:val="nil"/>
            </w:tcBorders>
            <w:vAlign w:val="center"/>
          </w:tcPr>
          <w:p>
            <w:pPr>
              <w:pStyle w:val="70"/>
              <w:rPr>
                <w:u w:val="none"/>
              </w:rPr>
            </w:pPr>
            <w:r>
              <w:rPr>
                <w:u w:val="none"/>
              </w:rPr>
              <w:t>0.00013</w:t>
            </w:r>
          </w:p>
        </w:tc>
        <w:tc>
          <w:tcPr>
            <w:tcW w:w="614" w:type="pct"/>
            <w:tcBorders>
              <w:tl2br w:val="nil"/>
              <w:tr2bl w:val="nil"/>
            </w:tcBorders>
            <w:vAlign w:val="center"/>
          </w:tcPr>
          <w:p>
            <w:pPr>
              <w:pStyle w:val="70"/>
              <w:rPr>
                <w:u w:val="none"/>
              </w:rPr>
            </w:pPr>
            <w:r>
              <w:rPr>
                <w:u w:val="none"/>
              </w:rPr>
              <w:t>0.00021</w:t>
            </w:r>
          </w:p>
        </w:tc>
        <w:tc>
          <w:tcPr>
            <w:tcW w:w="431" w:type="pct"/>
            <w:tcBorders>
              <w:tl2br w:val="nil"/>
              <w:tr2bl w:val="nil"/>
            </w:tcBorders>
            <w:vAlign w:val="center"/>
          </w:tcPr>
          <w:p>
            <w:pPr>
              <w:pStyle w:val="70"/>
              <w:rPr>
                <w:u w:val="none"/>
              </w:rPr>
            </w:pPr>
            <w:r>
              <w:rPr>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87" w:hRule="atLeast"/>
          <w:jc w:val="center"/>
        </w:trPr>
        <w:tc>
          <w:tcPr>
            <w:tcW w:w="374" w:type="pct"/>
            <w:vMerge w:val="continue"/>
            <w:tcBorders>
              <w:tl2br w:val="nil"/>
              <w:tr2bl w:val="nil"/>
            </w:tcBorders>
            <w:noWrap/>
            <w:vAlign w:val="center"/>
          </w:tcPr>
          <w:p>
            <w:pPr>
              <w:pStyle w:val="70"/>
              <w:rPr>
                <w:u w:val="none"/>
              </w:rPr>
            </w:pPr>
          </w:p>
        </w:tc>
        <w:tc>
          <w:tcPr>
            <w:tcW w:w="1204" w:type="pct"/>
            <w:vMerge w:val="restart"/>
            <w:tcBorders>
              <w:tl2br w:val="nil"/>
              <w:tr2bl w:val="nil"/>
            </w:tcBorders>
            <w:vAlign w:val="center"/>
          </w:tcPr>
          <w:p>
            <w:pPr>
              <w:pStyle w:val="70"/>
              <w:rPr>
                <w:u w:val="none"/>
              </w:rPr>
            </w:pPr>
            <w:r>
              <w:rPr>
                <w:u w:val="none"/>
              </w:rPr>
              <w:t>第一天0862-01-03-08</w:t>
            </w:r>
            <w:r>
              <w:rPr>
                <w:u w:val="none"/>
              </w:rPr>
              <w:br w:type="textWrapping"/>
            </w:r>
            <w:r>
              <w:rPr>
                <w:u w:val="none"/>
              </w:rPr>
              <w:t>第二天0862-02-03-08</w:t>
            </w:r>
            <w:r>
              <w:rPr>
                <w:u w:val="none"/>
              </w:rPr>
              <w:br w:type="textWrapping"/>
            </w:r>
            <w:r>
              <w:rPr>
                <w:u w:val="none"/>
              </w:rPr>
              <w:t>第三天0862-03-03-08</w:t>
            </w:r>
          </w:p>
        </w:tc>
        <w:tc>
          <w:tcPr>
            <w:tcW w:w="1115" w:type="pct"/>
            <w:tcBorders>
              <w:tl2br w:val="nil"/>
              <w:tr2bl w:val="nil"/>
            </w:tcBorders>
            <w:vAlign w:val="center"/>
          </w:tcPr>
          <w:p>
            <w:pPr>
              <w:pStyle w:val="70"/>
              <w:rPr>
                <w:u w:val="none"/>
              </w:rPr>
            </w:pPr>
            <w:r>
              <w:rPr>
                <w:u w:val="none"/>
              </w:rPr>
              <w:t>砷，mg/L</w:t>
            </w:r>
          </w:p>
        </w:tc>
        <w:tc>
          <w:tcPr>
            <w:tcW w:w="621" w:type="pct"/>
            <w:tcBorders>
              <w:tl2br w:val="nil"/>
              <w:tr2bl w:val="nil"/>
            </w:tcBorders>
            <w:vAlign w:val="center"/>
          </w:tcPr>
          <w:p>
            <w:pPr>
              <w:pStyle w:val="70"/>
              <w:rPr>
                <w:u w:val="none"/>
              </w:rPr>
            </w:pPr>
            <w:r>
              <w:rPr>
                <w:u w:val="none"/>
              </w:rPr>
              <w:t>0.0041</w:t>
            </w:r>
          </w:p>
        </w:tc>
        <w:tc>
          <w:tcPr>
            <w:tcW w:w="637" w:type="pct"/>
            <w:tcBorders>
              <w:tl2br w:val="nil"/>
              <w:tr2bl w:val="nil"/>
            </w:tcBorders>
            <w:vAlign w:val="center"/>
          </w:tcPr>
          <w:p>
            <w:pPr>
              <w:pStyle w:val="70"/>
              <w:rPr>
                <w:u w:val="none"/>
              </w:rPr>
            </w:pPr>
            <w:r>
              <w:rPr>
                <w:u w:val="none"/>
              </w:rPr>
              <w:t>0.0046</w:t>
            </w:r>
          </w:p>
        </w:tc>
        <w:tc>
          <w:tcPr>
            <w:tcW w:w="614" w:type="pct"/>
            <w:tcBorders>
              <w:tl2br w:val="nil"/>
              <w:tr2bl w:val="nil"/>
            </w:tcBorders>
            <w:vAlign w:val="center"/>
          </w:tcPr>
          <w:p>
            <w:pPr>
              <w:pStyle w:val="70"/>
              <w:rPr>
                <w:u w:val="none"/>
              </w:rPr>
            </w:pPr>
            <w:r>
              <w:rPr>
                <w:u w:val="none"/>
              </w:rPr>
              <w:t>0.0045</w:t>
            </w:r>
          </w:p>
        </w:tc>
        <w:tc>
          <w:tcPr>
            <w:tcW w:w="431" w:type="pct"/>
            <w:tcBorders>
              <w:tl2br w:val="nil"/>
              <w:tr2bl w:val="nil"/>
            </w:tcBorders>
            <w:vAlign w:val="center"/>
          </w:tcPr>
          <w:p>
            <w:pPr>
              <w:pStyle w:val="70"/>
              <w:rPr>
                <w:u w:val="none"/>
              </w:rPr>
            </w:pPr>
            <w:r>
              <w:rPr>
                <w:u w:val="none"/>
              </w:rPr>
              <w:t>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锑，mg/L</w:t>
            </w:r>
          </w:p>
        </w:tc>
        <w:tc>
          <w:tcPr>
            <w:tcW w:w="621" w:type="pct"/>
            <w:tcBorders>
              <w:tl2br w:val="nil"/>
              <w:tr2bl w:val="nil"/>
            </w:tcBorders>
            <w:vAlign w:val="center"/>
          </w:tcPr>
          <w:p>
            <w:pPr>
              <w:pStyle w:val="70"/>
              <w:rPr>
                <w:u w:val="none"/>
              </w:rPr>
            </w:pPr>
            <w:r>
              <w:rPr>
                <w:u w:val="none"/>
              </w:rPr>
              <w:t>0.0050</w:t>
            </w:r>
          </w:p>
        </w:tc>
        <w:tc>
          <w:tcPr>
            <w:tcW w:w="637" w:type="pct"/>
            <w:tcBorders>
              <w:tl2br w:val="nil"/>
              <w:tr2bl w:val="nil"/>
            </w:tcBorders>
            <w:vAlign w:val="center"/>
          </w:tcPr>
          <w:p>
            <w:pPr>
              <w:pStyle w:val="70"/>
              <w:rPr>
                <w:u w:val="none"/>
              </w:rPr>
            </w:pPr>
            <w:r>
              <w:rPr>
                <w:u w:val="none"/>
              </w:rPr>
              <w:t>0.0047</w:t>
            </w:r>
          </w:p>
        </w:tc>
        <w:tc>
          <w:tcPr>
            <w:tcW w:w="614" w:type="pct"/>
            <w:tcBorders>
              <w:tl2br w:val="nil"/>
              <w:tr2bl w:val="nil"/>
            </w:tcBorders>
            <w:vAlign w:val="center"/>
          </w:tcPr>
          <w:p>
            <w:pPr>
              <w:pStyle w:val="70"/>
              <w:rPr>
                <w:u w:val="none"/>
              </w:rPr>
            </w:pPr>
            <w:r>
              <w:rPr>
                <w:u w:val="none"/>
              </w:rPr>
              <w:t>0.0043</w:t>
            </w:r>
          </w:p>
        </w:tc>
        <w:tc>
          <w:tcPr>
            <w:tcW w:w="431" w:type="pct"/>
            <w:tcBorders>
              <w:tl2br w:val="nil"/>
              <w:tr2bl w:val="nil"/>
            </w:tcBorders>
            <w:vAlign w:val="center"/>
          </w:tcPr>
          <w:p>
            <w:pPr>
              <w:pStyle w:val="70"/>
              <w:rPr>
                <w:u w:val="none"/>
              </w:rPr>
            </w:pPr>
            <w:r>
              <w:rPr>
                <w:rFonts w:hint="eastAsia"/>
                <w:u w:val="none"/>
              </w:rPr>
              <w:t>0.005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restart"/>
            <w:tcBorders>
              <w:tl2br w:val="nil"/>
              <w:tr2bl w:val="nil"/>
            </w:tcBorders>
            <w:noWrap/>
            <w:vAlign w:val="center"/>
          </w:tcPr>
          <w:p>
            <w:pPr>
              <w:pStyle w:val="70"/>
              <w:rPr>
                <w:u w:val="none"/>
              </w:rPr>
            </w:pPr>
            <w:r>
              <w:rPr>
                <w:u w:val="none"/>
              </w:rPr>
              <w:t>入河排污口下游300m</w:t>
            </w:r>
          </w:p>
        </w:tc>
        <w:tc>
          <w:tcPr>
            <w:tcW w:w="1204" w:type="pct"/>
            <w:tcBorders>
              <w:tl2br w:val="nil"/>
              <w:tr2bl w:val="nil"/>
            </w:tcBorders>
            <w:vAlign w:val="center"/>
          </w:tcPr>
          <w:p>
            <w:pPr>
              <w:pStyle w:val="70"/>
              <w:rPr>
                <w:u w:val="none"/>
              </w:rPr>
            </w:pPr>
            <w:r>
              <w:rPr>
                <w:u w:val="none"/>
              </w:rPr>
              <w:t>第一天0862-01-03-09</w:t>
            </w:r>
            <w:r>
              <w:rPr>
                <w:u w:val="none"/>
              </w:rPr>
              <w:br w:type="textWrapping"/>
            </w:r>
            <w:r>
              <w:rPr>
                <w:u w:val="none"/>
              </w:rPr>
              <w:t>第二天0862-02-03-09</w:t>
            </w:r>
            <w:r>
              <w:rPr>
                <w:u w:val="none"/>
              </w:rPr>
              <w:br w:type="textWrapping"/>
            </w:r>
            <w:r>
              <w:rPr>
                <w:u w:val="none"/>
              </w:rPr>
              <w:t>第三天0862-03-03-09</w:t>
            </w:r>
          </w:p>
        </w:tc>
        <w:tc>
          <w:tcPr>
            <w:tcW w:w="1115" w:type="pct"/>
            <w:tcBorders>
              <w:tl2br w:val="nil"/>
              <w:tr2bl w:val="nil"/>
            </w:tcBorders>
            <w:vAlign w:val="center"/>
          </w:tcPr>
          <w:p>
            <w:pPr>
              <w:pStyle w:val="70"/>
              <w:rPr>
                <w:u w:val="none"/>
              </w:rPr>
            </w:pPr>
            <w:r>
              <w:rPr>
                <w:u w:val="none"/>
              </w:rPr>
              <w:t>硫化物，mg/L</w:t>
            </w:r>
          </w:p>
        </w:tc>
        <w:tc>
          <w:tcPr>
            <w:tcW w:w="621" w:type="pct"/>
            <w:tcBorders>
              <w:tl2br w:val="nil"/>
              <w:tr2bl w:val="nil"/>
            </w:tcBorders>
            <w:vAlign w:val="center"/>
          </w:tcPr>
          <w:p>
            <w:pPr>
              <w:pStyle w:val="70"/>
              <w:rPr>
                <w:u w:val="none"/>
              </w:rPr>
            </w:pPr>
            <w:r>
              <w:rPr>
                <w:u w:val="none"/>
              </w:rPr>
              <w:t>0.01L</w:t>
            </w:r>
          </w:p>
        </w:tc>
        <w:tc>
          <w:tcPr>
            <w:tcW w:w="637" w:type="pct"/>
            <w:tcBorders>
              <w:tl2br w:val="nil"/>
              <w:tr2bl w:val="nil"/>
            </w:tcBorders>
            <w:vAlign w:val="center"/>
          </w:tcPr>
          <w:p>
            <w:pPr>
              <w:pStyle w:val="70"/>
              <w:rPr>
                <w:u w:val="none"/>
              </w:rPr>
            </w:pPr>
            <w:r>
              <w:rPr>
                <w:u w:val="none"/>
              </w:rPr>
              <w:t>0.01L</w:t>
            </w:r>
          </w:p>
        </w:tc>
        <w:tc>
          <w:tcPr>
            <w:tcW w:w="614" w:type="pct"/>
            <w:tcBorders>
              <w:tl2br w:val="nil"/>
              <w:tr2bl w:val="nil"/>
            </w:tcBorders>
            <w:vAlign w:val="center"/>
          </w:tcPr>
          <w:p>
            <w:pPr>
              <w:pStyle w:val="70"/>
              <w:rPr>
                <w:u w:val="none"/>
              </w:rPr>
            </w:pPr>
            <w:r>
              <w:rPr>
                <w:u w:val="none"/>
              </w:rPr>
              <w:t>0.01L</w:t>
            </w:r>
          </w:p>
        </w:tc>
        <w:tc>
          <w:tcPr>
            <w:tcW w:w="431" w:type="pct"/>
            <w:tcBorders>
              <w:tl2br w:val="nil"/>
              <w:tr2bl w:val="nil"/>
            </w:tcBorders>
            <w:vAlign w:val="center"/>
          </w:tcPr>
          <w:p>
            <w:pPr>
              <w:pStyle w:val="70"/>
              <w:rPr>
                <w:u w:val="none"/>
              </w:rPr>
            </w:pPr>
            <w:r>
              <w:rPr>
                <w:u w:val="none"/>
              </w:rPr>
              <w:t>0.1</w:t>
            </w:r>
          </w:p>
        </w:tc>
      </w:tr>
      <w:tr>
        <w:tblPrEx>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第一天0862-01-03-10</w:t>
            </w:r>
            <w:r>
              <w:rPr>
                <w:u w:val="none"/>
              </w:rPr>
              <w:br w:type="textWrapping"/>
            </w:r>
            <w:r>
              <w:rPr>
                <w:u w:val="none"/>
              </w:rPr>
              <w:t>第二天0862-02-03-10</w:t>
            </w:r>
            <w:r>
              <w:rPr>
                <w:u w:val="none"/>
              </w:rPr>
              <w:br w:type="textWrapping"/>
            </w:r>
            <w:r>
              <w:rPr>
                <w:u w:val="none"/>
              </w:rPr>
              <w:t>第三天0862-03-03-10</w:t>
            </w:r>
          </w:p>
        </w:tc>
        <w:tc>
          <w:tcPr>
            <w:tcW w:w="1115" w:type="pct"/>
            <w:tcBorders>
              <w:tl2br w:val="nil"/>
              <w:tr2bl w:val="nil"/>
            </w:tcBorders>
            <w:vAlign w:val="center"/>
          </w:tcPr>
          <w:p>
            <w:pPr>
              <w:pStyle w:val="70"/>
              <w:rPr>
                <w:u w:val="none"/>
              </w:rPr>
            </w:pPr>
            <w:r>
              <w:rPr>
                <w:u w:val="none"/>
              </w:rPr>
              <w:t>六价铬，mg/L</w:t>
            </w:r>
          </w:p>
        </w:tc>
        <w:tc>
          <w:tcPr>
            <w:tcW w:w="621" w:type="pct"/>
            <w:tcBorders>
              <w:tl2br w:val="nil"/>
              <w:tr2bl w:val="nil"/>
            </w:tcBorders>
            <w:vAlign w:val="center"/>
          </w:tcPr>
          <w:p>
            <w:pPr>
              <w:pStyle w:val="70"/>
              <w:rPr>
                <w:u w:val="none"/>
              </w:rPr>
            </w:pPr>
            <w:r>
              <w:rPr>
                <w:u w:val="none"/>
              </w:rPr>
              <w:t>0.004L</w:t>
            </w:r>
          </w:p>
        </w:tc>
        <w:tc>
          <w:tcPr>
            <w:tcW w:w="637" w:type="pct"/>
            <w:tcBorders>
              <w:tl2br w:val="nil"/>
              <w:tr2bl w:val="nil"/>
            </w:tcBorders>
            <w:vAlign w:val="center"/>
          </w:tcPr>
          <w:p>
            <w:pPr>
              <w:pStyle w:val="70"/>
              <w:rPr>
                <w:u w:val="none"/>
              </w:rPr>
            </w:pPr>
            <w:r>
              <w:rPr>
                <w:u w:val="none"/>
              </w:rPr>
              <w:t>0.004L</w:t>
            </w:r>
          </w:p>
        </w:tc>
        <w:tc>
          <w:tcPr>
            <w:tcW w:w="614" w:type="pct"/>
            <w:tcBorders>
              <w:tl2br w:val="nil"/>
              <w:tr2bl w:val="nil"/>
            </w:tcBorders>
            <w:vAlign w:val="center"/>
          </w:tcPr>
          <w:p>
            <w:pPr>
              <w:pStyle w:val="70"/>
              <w:rPr>
                <w:u w:val="none"/>
              </w:rPr>
            </w:pPr>
            <w:r>
              <w:rPr>
                <w:u w:val="none"/>
              </w:rPr>
              <w:t>0.004L</w:t>
            </w:r>
          </w:p>
        </w:tc>
        <w:tc>
          <w:tcPr>
            <w:tcW w:w="431" w:type="pct"/>
            <w:tcBorders>
              <w:tl2br w:val="nil"/>
              <w:tr2bl w:val="nil"/>
            </w:tcBorders>
            <w:vAlign w:val="center"/>
          </w:tcPr>
          <w:p>
            <w:pPr>
              <w:pStyle w:val="70"/>
              <w:rPr>
                <w:u w:val="none"/>
              </w:rPr>
            </w:pPr>
            <w:r>
              <w:rPr>
                <w:u w:val="none"/>
              </w:rPr>
              <w:t>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restart"/>
            <w:tcBorders>
              <w:tl2br w:val="nil"/>
              <w:tr2bl w:val="nil"/>
            </w:tcBorders>
            <w:noWrap/>
            <w:vAlign w:val="center"/>
          </w:tcPr>
          <w:p>
            <w:pPr>
              <w:pStyle w:val="70"/>
              <w:rPr>
                <w:u w:val="none"/>
              </w:rPr>
            </w:pPr>
            <w:r>
              <w:rPr>
                <w:u w:val="none"/>
              </w:rPr>
              <w:t>入河排污口下游600m</w:t>
            </w:r>
          </w:p>
        </w:tc>
        <w:tc>
          <w:tcPr>
            <w:tcW w:w="1204" w:type="pct"/>
            <w:tcBorders>
              <w:tl2br w:val="nil"/>
              <w:tr2bl w:val="nil"/>
            </w:tcBorders>
            <w:vAlign w:val="center"/>
          </w:tcPr>
          <w:p>
            <w:pPr>
              <w:pStyle w:val="70"/>
              <w:rPr>
                <w:u w:val="none"/>
              </w:rPr>
            </w:pPr>
            <w:r>
              <w:rPr>
                <w:u w:val="none"/>
              </w:rPr>
              <w:t>/</w:t>
            </w:r>
          </w:p>
        </w:tc>
        <w:tc>
          <w:tcPr>
            <w:tcW w:w="1115" w:type="pct"/>
            <w:tcBorders>
              <w:tl2br w:val="nil"/>
              <w:tr2bl w:val="nil"/>
            </w:tcBorders>
            <w:vAlign w:val="center"/>
          </w:tcPr>
          <w:p>
            <w:pPr>
              <w:pStyle w:val="70"/>
              <w:rPr>
                <w:u w:val="none"/>
              </w:rPr>
            </w:pPr>
            <w:r>
              <w:rPr>
                <w:u w:val="none"/>
              </w:rPr>
              <w:t>pH值，无量纲</w:t>
            </w:r>
          </w:p>
        </w:tc>
        <w:tc>
          <w:tcPr>
            <w:tcW w:w="621" w:type="pct"/>
            <w:tcBorders>
              <w:tl2br w:val="nil"/>
              <w:tr2bl w:val="nil"/>
            </w:tcBorders>
            <w:vAlign w:val="center"/>
          </w:tcPr>
          <w:p>
            <w:pPr>
              <w:pStyle w:val="70"/>
              <w:rPr>
                <w:u w:val="none"/>
              </w:rPr>
            </w:pPr>
            <w:r>
              <w:rPr>
                <w:u w:val="none"/>
              </w:rPr>
              <w:t>8.0</w:t>
            </w:r>
          </w:p>
        </w:tc>
        <w:tc>
          <w:tcPr>
            <w:tcW w:w="637" w:type="pct"/>
            <w:tcBorders>
              <w:tl2br w:val="nil"/>
              <w:tr2bl w:val="nil"/>
            </w:tcBorders>
            <w:vAlign w:val="center"/>
          </w:tcPr>
          <w:p>
            <w:pPr>
              <w:pStyle w:val="70"/>
              <w:rPr>
                <w:u w:val="none"/>
              </w:rPr>
            </w:pPr>
            <w:r>
              <w:rPr>
                <w:u w:val="none"/>
              </w:rPr>
              <w:t>8.2</w:t>
            </w:r>
          </w:p>
        </w:tc>
        <w:tc>
          <w:tcPr>
            <w:tcW w:w="614" w:type="pct"/>
            <w:tcBorders>
              <w:tl2br w:val="nil"/>
              <w:tr2bl w:val="nil"/>
            </w:tcBorders>
            <w:vAlign w:val="center"/>
          </w:tcPr>
          <w:p>
            <w:pPr>
              <w:pStyle w:val="70"/>
              <w:rPr>
                <w:u w:val="none"/>
              </w:rPr>
            </w:pPr>
            <w:r>
              <w:rPr>
                <w:u w:val="none"/>
              </w:rPr>
              <w:t>8.3</w:t>
            </w:r>
          </w:p>
        </w:tc>
        <w:tc>
          <w:tcPr>
            <w:tcW w:w="431" w:type="pct"/>
            <w:tcBorders>
              <w:tl2br w:val="nil"/>
              <w:tr2bl w:val="nil"/>
            </w:tcBorders>
            <w:vAlign w:val="center"/>
          </w:tcPr>
          <w:p>
            <w:pPr>
              <w:pStyle w:val="70"/>
              <w:rPr>
                <w:u w:val="none"/>
              </w:rPr>
            </w:pPr>
            <w:r>
              <w:rPr>
                <w:u w:val="none"/>
              </w:rPr>
              <w:t>6-9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vMerge w:val="restart"/>
            <w:tcBorders>
              <w:tl2br w:val="nil"/>
              <w:tr2bl w:val="nil"/>
            </w:tcBorders>
            <w:vAlign w:val="center"/>
          </w:tcPr>
          <w:p>
            <w:pPr>
              <w:pStyle w:val="70"/>
              <w:rPr>
                <w:u w:val="none"/>
              </w:rPr>
            </w:pPr>
            <w:r>
              <w:rPr>
                <w:u w:val="none"/>
              </w:rPr>
              <w:t>第一天0862-01-04-01</w:t>
            </w:r>
            <w:r>
              <w:rPr>
                <w:u w:val="none"/>
              </w:rPr>
              <w:br w:type="textWrapping"/>
            </w:r>
            <w:r>
              <w:rPr>
                <w:u w:val="none"/>
              </w:rPr>
              <w:t>第二天0862-02-04-01</w:t>
            </w:r>
            <w:r>
              <w:rPr>
                <w:u w:val="none"/>
              </w:rPr>
              <w:br w:type="textWrapping"/>
            </w:r>
            <w:r>
              <w:rPr>
                <w:u w:val="none"/>
              </w:rPr>
              <w:t>第三天0862-03-04-01</w:t>
            </w:r>
          </w:p>
        </w:tc>
        <w:tc>
          <w:tcPr>
            <w:tcW w:w="1115" w:type="pct"/>
            <w:tcBorders>
              <w:tl2br w:val="nil"/>
              <w:tr2bl w:val="nil"/>
            </w:tcBorders>
            <w:vAlign w:val="center"/>
          </w:tcPr>
          <w:p>
            <w:pPr>
              <w:pStyle w:val="70"/>
              <w:rPr>
                <w:u w:val="none"/>
              </w:rPr>
            </w:pPr>
            <w:r>
              <w:rPr>
                <w:u w:val="none"/>
              </w:rPr>
              <w:t>化学需氧量，mg/L</w:t>
            </w:r>
          </w:p>
        </w:tc>
        <w:tc>
          <w:tcPr>
            <w:tcW w:w="621" w:type="pct"/>
            <w:tcBorders>
              <w:tl2br w:val="nil"/>
              <w:tr2bl w:val="nil"/>
            </w:tcBorders>
            <w:vAlign w:val="center"/>
          </w:tcPr>
          <w:p>
            <w:pPr>
              <w:pStyle w:val="70"/>
              <w:rPr>
                <w:u w:val="none"/>
              </w:rPr>
            </w:pPr>
            <w:r>
              <w:rPr>
                <w:u w:val="none"/>
              </w:rPr>
              <w:t>8</w:t>
            </w:r>
          </w:p>
        </w:tc>
        <w:tc>
          <w:tcPr>
            <w:tcW w:w="637" w:type="pct"/>
            <w:tcBorders>
              <w:tl2br w:val="nil"/>
              <w:tr2bl w:val="nil"/>
            </w:tcBorders>
            <w:vAlign w:val="center"/>
          </w:tcPr>
          <w:p>
            <w:pPr>
              <w:pStyle w:val="70"/>
              <w:rPr>
                <w:u w:val="none"/>
              </w:rPr>
            </w:pPr>
            <w:r>
              <w:rPr>
                <w:u w:val="none"/>
              </w:rPr>
              <w:t>8</w:t>
            </w:r>
          </w:p>
        </w:tc>
        <w:tc>
          <w:tcPr>
            <w:tcW w:w="614" w:type="pct"/>
            <w:tcBorders>
              <w:tl2br w:val="nil"/>
              <w:tr2bl w:val="nil"/>
            </w:tcBorders>
            <w:vAlign w:val="center"/>
          </w:tcPr>
          <w:p>
            <w:pPr>
              <w:pStyle w:val="70"/>
              <w:rPr>
                <w:u w:val="none"/>
              </w:rPr>
            </w:pPr>
            <w:r>
              <w:rPr>
                <w:u w:val="none"/>
              </w:rPr>
              <w:t>8</w:t>
            </w:r>
          </w:p>
        </w:tc>
        <w:tc>
          <w:tcPr>
            <w:tcW w:w="431" w:type="pct"/>
            <w:tcBorders>
              <w:tl2br w:val="nil"/>
              <w:tr2bl w:val="nil"/>
            </w:tcBorders>
            <w:vAlign w:val="center"/>
          </w:tcPr>
          <w:p>
            <w:pPr>
              <w:pStyle w:val="70"/>
              <w:rPr>
                <w:u w:val="none"/>
              </w:rPr>
            </w:pPr>
            <w:r>
              <w:rPr>
                <w:u w:val="none"/>
              </w:rPr>
              <w:t>15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04"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氨氮，mg/L</w:t>
            </w:r>
          </w:p>
        </w:tc>
        <w:tc>
          <w:tcPr>
            <w:tcW w:w="621" w:type="pct"/>
            <w:tcBorders>
              <w:tl2br w:val="nil"/>
              <w:tr2bl w:val="nil"/>
            </w:tcBorders>
            <w:vAlign w:val="center"/>
          </w:tcPr>
          <w:p>
            <w:pPr>
              <w:pStyle w:val="70"/>
              <w:rPr>
                <w:u w:val="none"/>
              </w:rPr>
            </w:pPr>
            <w:r>
              <w:rPr>
                <w:u w:val="none"/>
              </w:rPr>
              <w:t>0.055</w:t>
            </w:r>
          </w:p>
        </w:tc>
        <w:tc>
          <w:tcPr>
            <w:tcW w:w="637" w:type="pct"/>
            <w:tcBorders>
              <w:tl2br w:val="nil"/>
              <w:tr2bl w:val="nil"/>
            </w:tcBorders>
            <w:vAlign w:val="center"/>
          </w:tcPr>
          <w:p>
            <w:pPr>
              <w:pStyle w:val="70"/>
              <w:rPr>
                <w:u w:val="none"/>
              </w:rPr>
            </w:pPr>
            <w:r>
              <w:rPr>
                <w:u w:val="none"/>
              </w:rPr>
              <w:t>0.075</w:t>
            </w:r>
          </w:p>
        </w:tc>
        <w:tc>
          <w:tcPr>
            <w:tcW w:w="614" w:type="pct"/>
            <w:tcBorders>
              <w:tl2br w:val="nil"/>
              <w:tr2bl w:val="nil"/>
            </w:tcBorders>
            <w:vAlign w:val="center"/>
          </w:tcPr>
          <w:p>
            <w:pPr>
              <w:pStyle w:val="70"/>
              <w:rPr>
                <w:u w:val="none"/>
              </w:rPr>
            </w:pPr>
            <w:r>
              <w:rPr>
                <w:u w:val="none"/>
              </w:rPr>
              <w:t>0.097</w:t>
            </w:r>
          </w:p>
        </w:tc>
        <w:tc>
          <w:tcPr>
            <w:tcW w:w="431" w:type="pct"/>
            <w:tcBorders>
              <w:tl2br w:val="nil"/>
              <w:tr2bl w:val="nil"/>
            </w:tcBorders>
            <w:vAlign w:val="center"/>
          </w:tcPr>
          <w:p>
            <w:pPr>
              <w:pStyle w:val="70"/>
              <w:rPr>
                <w:u w:val="none"/>
              </w:rPr>
            </w:pPr>
            <w:r>
              <w:rPr>
                <w:u w:val="none"/>
              </w:rPr>
              <w:t>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第一天0862-01-04-02</w:t>
            </w:r>
            <w:r>
              <w:rPr>
                <w:u w:val="none"/>
              </w:rPr>
              <w:br w:type="textWrapping"/>
            </w:r>
            <w:r>
              <w:rPr>
                <w:u w:val="none"/>
              </w:rPr>
              <w:t>第二天0862-02-04-02</w:t>
            </w:r>
            <w:r>
              <w:rPr>
                <w:u w:val="none"/>
              </w:rPr>
              <w:br w:type="textWrapping"/>
            </w:r>
            <w:r>
              <w:rPr>
                <w:u w:val="none"/>
              </w:rPr>
              <w:t>第三天0862-03-04-02</w:t>
            </w:r>
          </w:p>
        </w:tc>
        <w:tc>
          <w:tcPr>
            <w:tcW w:w="1115" w:type="pct"/>
            <w:tcBorders>
              <w:tl2br w:val="nil"/>
              <w:tr2bl w:val="nil"/>
            </w:tcBorders>
            <w:vAlign w:val="center"/>
          </w:tcPr>
          <w:p>
            <w:pPr>
              <w:pStyle w:val="70"/>
              <w:rPr>
                <w:u w:val="none"/>
              </w:rPr>
            </w:pPr>
            <w:r>
              <w:rPr>
                <w:u w:val="none"/>
              </w:rPr>
              <w:t>五日生化需氧量，mg/L</w:t>
            </w:r>
          </w:p>
        </w:tc>
        <w:tc>
          <w:tcPr>
            <w:tcW w:w="621" w:type="pct"/>
            <w:tcBorders>
              <w:tl2br w:val="nil"/>
              <w:tr2bl w:val="nil"/>
            </w:tcBorders>
            <w:vAlign w:val="center"/>
          </w:tcPr>
          <w:p>
            <w:pPr>
              <w:pStyle w:val="70"/>
              <w:rPr>
                <w:u w:val="none"/>
              </w:rPr>
            </w:pPr>
            <w:r>
              <w:rPr>
                <w:u w:val="none"/>
              </w:rPr>
              <w:t>2.4</w:t>
            </w:r>
          </w:p>
        </w:tc>
        <w:tc>
          <w:tcPr>
            <w:tcW w:w="637" w:type="pct"/>
            <w:tcBorders>
              <w:tl2br w:val="nil"/>
              <w:tr2bl w:val="nil"/>
            </w:tcBorders>
            <w:vAlign w:val="center"/>
          </w:tcPr>
          <w:p>
            <w:pPr>
              <w:pStyle w:val="70"/>
              <w:rPr>
                <w:u w:val="none"/>
              </w:rPr>
            </w:pPr>
            <w:r>
              <w:rPr>
                <w:u w:val="none"/>
              </w:rPr>
              <w:t>2.2</w:t>
            </w:r>
          </w:p>
        </w:tc>
        <w:tc>
          <w:tcPr>
            <w:tcW w:w="614" w:type="pct"/>
            <w:tcBorders>
              <w:tl2br w:val="nil"/>
              <w:tr2bl w:val="nil"/>
            </w:tcBorders>
            <w:vAlign w:val="center"/>
          </w:tcPr>
          <w:p>
            <w:pPr>
              <w:pStyle w:val="70"/>
              <w:rPr>
                <w:u w:val="none"/>
              </w:rPr>
            </w:pPr>
            <w:r>
              <w:rPr>
                <w:u w:val="none"/>
              </w:rPr>
              <w:t>2.2</w:t>
            </w:r>
          </w:p>
        </w:tc>
        <w:tc>
          <w:tcPr>
            <w:tcW w:w="431" w:type="pct"/>
            <w:tcBorders>
              <w:tl2br w:val="nil"/>
              <w:tr2bl w:val="nil"/>
            </w:tcBorders>
            <w:vAlign w:val="center"/>
          </w:tcPr>
          <w:p>
            <w:pPr>
              <w:pStyle w:val="70"/>
              <w:rPr>
                <w:u w:val="none"/>
              </w:rPr>
            </w:pPr>
            <w:r>
              <w:rPr>
                <w:u w:val="none"/>
              </w:rPr>
              <w:t>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第一天0862-01-04-03</w:t>
            </w:r>
            <w:r>
              <w:rPr>
                <w:u w:val="none"/>
              </w:rPr>
              <w:br w:type="textWrapping"/>
            </w:r>
            <w:r>
              <w:rPr>
                <w:u w:val="none"/>
              </w:rPr>
              <w:t>第二天0862-02-04-03</w:t>
            </w:r>
            <w:r>
              <w:rPr>
                <w:u w:val="none"/>
              </w:rPr>
              <w:br w:type="textWrapping"/>
            </w:r>
            <w:r>
              <w:rPr>
                <w:u w:val="none"/>
              </w:rPr>
              <w:t>第三天0862-03-04-03</w:t>
            </w:r>
          </w:p>
        </w:tc>
        <w:tc>
          <w:tcPr>
            <w:tcW w:w="1115" w:type="pct"/>
            <w:tcBorders>
              <w:tl2br w:val="nil"/>
              <w:tr2bl w:val="nil"/>
            </w:tcBorders>
            <w:vAlign w:val="center"/>
          </w:tcPr>
          <w:p>
            <w:pPr>
              <w:pStyle w:val="70"/>
              <w:rPr>
                <w:u w:val="none"/>
              </w:rPr>
            </w:pPr>
            <w:r>
              <w:rPr>
                <w:u w:val="none"/>
              </w:rPr>
              <w:t>悬浮物，mg/L</w:t>
            </w:r>
          </w:p>
        </w:tc>
        <w:tc>
          <w:tcPr>
            <w:tcW w:w="621" w:type="pct"/>
            <w:tcBorders>
              <w:tl2br w:val="nil"/>
              <w:tr2bl w:val="nil"/>
            </w:tcBorders>
            <w:vAlign w:val="center"/>
          </w:tcPr>
          <w:p>
            <w:pPr>
              <w:pStyle w:val="70"/>
              <w:rPr>
                <w:u w:val="none"/>
              </w:rPr>
            </w:pPr>
            <w:r>
              <w:rPr>
                <w:u w:val="none"/>
              </w:rPr>
              <w:t>6</w:t>
            </w:r>
          </w:p>
        </w:tc>
        <w:tc>
          <w:tcPr>
            <w:tcW w:w="637" w:type="pct"/>
            <w:tcBorders>
              <w:tl2br w:val="nil"/>
              <w:tr2bl w:val="nil"/>
            </w:tcBorders>
            <w:vAlign w:val="center"/>
          </w:tcPr>
          <w:p>
            <w:pPr>
              <w:pStyle w:val="70"/>
              <w:rPr>
                <w:u w:val="none"/>
              </w:rPr>
            </w:pPr>
            <w:r>
              <w:rPr>
                <w:u w:val="none"/>
              </w:rPr>
              <w:t>6</w:t>
            </w:r>
          </w:p>
        </w:tc>
        <w:tc>
          <w:tcPr>
            <w:tcW w:w="614" w:type="pct"/>
            <w:tcBorders>
              <w:tl2br w:val="nil"/>
              <w:tr2bl w:val="nil"/>
            </w:tcBorders>
            <w:vAlign w:val="center"/>
          </w:tcPr>
          <w:p>
            <w:pPr>
              <w:pStyle w:val="70"/>
              <w:rPr>
                <w:u w:val="none"/>
              </w:rPr>
            </w:pPr>
            <w:r>
              <w:rPr>
                <w:u w:val="none"/>
              </w:rPr>
              <w:t>5</w:t>
            </w:r>
          </w:p>
        </w:tc>
        <w:tc>
          <w:tcPr>
            <w:tcW w:w="431" w:type="pct"/>
            <w:tcBorders>
              <w:tl2br w:val="nil"/>
              <w:tr2bl w:val="nil"/>
            </w:tcBorders>
            <w:vAlign w:val="center"/>
          </w:tcPr>
          <w:p>
            <w:pPr>
              <w:pStyle w:val="70"/>
              <w:rPr>
                <w:u w:val="none"/>
              </w:rPr>
            </w:pPr>
            <w:r>
              <w:rPr>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第一天0862-01-04-04</w:t>
            </w:r>
            <w:r>
              <w:rPr>
                <w:u w:val="none"/>
              </w:rPr>
              <w:br w:type="textWrapping"/>
            </w:r>
            <w:r>
              <w:rPr>
                <w:u w:val="none"/>
              </w:rPr>
              <w:t>第二天0862-02-04-04</w:t>
            </w:r>
            <w:r>
              <w:rPr>
                <w:u w:val="none"/>
              </w:rPr>
              <w:br w:type="textWrapping"/>
            </w:r>
            <w:r>
              <w:rPr>
                <w:u w:val="none"/>
              </w:rPr>
              <w:t>第三天0862-03-04-04</w:t>
            </w:r>
          </w:p>
        </w:tc>
        <w:tc>
          <w:tcPr>
            <w:tcW w:w="1115" w:type="pct"/>
            <w:tcBorders>
              <w:tl2br w:val="nil"/>
              <w:tr2bl w:val="nil"/>
            </w:tcBorders>
            <w:vAlign w:val="center"/>
          </w:tcPr>
          <w:p>
            <w:pPr>
              <w:pStyle w:val="70"/>
              <w:rPr>
                <w:u w:val="none"/>
              </w:rPr>
            </w:pPr>
            <w:r>
              <w:rPr>
                <w:u w:val="none"/>
              </w:rPr>
              <w:t>石油类，mg/L</w:t>
            </w:r>
          </w:p>
        </w:tc>
        <w:tc>
          <w:tcPr>
            <w:tcW w:w="621" w:type="pct"/>
            <w:tcBorders>
              <w:tl2br w:val="nil"/>
              <w:tr2bl w:val="nil"/>
            </w:tcBorders>
            <w:vAlign w:val="center"/>
          </w:tcPr>
          <w:p>
            <w:pPr>
              <w:pStyle w:val="70"/>
              <w:rPr>
                <w:u w:val="none"/>
              </w:rPr>
            </w:pPr>
            <w:r>
              <w:rPr>
                <w:u w:val="none"/>
              </w:rPr>
              <w:t>0.01L</w:t>
            </w:r>
          </w:p>
        </w:tc>
        <w:tc>
          <w:tcPr>
            <w:tcW w:w="637" w:type="pct"/>
            <w:tcBorders>
              <w:tl2br w:val="nil"/>
              <w:tr2bl w:val="nil"/>
            </w:tcBorders>
            <w:vAlign w:val="center"/>
          </w:tcPr>
          <w:p>
            <w:pPr>
              <w:pStyle w:val="70"/>
              <w:rPr>
                <w:u w:val="none"/>
              </w:rPr>
            </w:pPr>
            <w:r>
              <w:rPr>
                <w:u w:val="none"/>
              </w:rPr>
              <w:t>0.01L</w:t>
            </w:r>
          </w:p>
        </w:tc>
        <w:tc>
          <w:tcPr>
            <w:tcW w:w="614" w:type="pct"/>
            <w:tcBorders>
              <w:tl2br w:val="nil"/>
              <w:tr2bl w:val="nil"/>
            </w:tcBorders>
            <w:vAlign w:val="center"/>
          </w:tcPr>
          <w:p>
            <w:pPr>
              <w:pStyle w:val="70"/>
              <w:rPr>
                <w:u w:val="none"/>
              </w:rPr>
            </w:pPr>
            <w:r>
              <w:rPr>
                <w:u w:val="none"/>
              </w:rPr>
              <w:t>0.01L</w:t>
            </w:r>
          </w:p>
        </w:tc>
        <w:tc>
          <w:tcPr>
            <w:tcW w:w="431" w:type="pct"/>
            <w:tcBorders>
              <w:tl2br w:val="nil"/>
              <w:tr2bl w:val="nil"/>
            </w:tcBorders>
            <w:vAlign w:val="center"/>
          </w:tcPr>
          <w:p>
            <w:pPr>
              <w:pStyle w:val="70"/>
              <w:rPr>
                <w:u w:val="none"/>
              </w:rPr>
            </w:pPr>
            <w:r>
              <w:rPr>
                <w:u w:val="none"/>
              </w:rPr>
              <w:t>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第一天0862-01-04-05</w:t>
            </w:r>
            <w:r>
              <w:rPr>
                <w:u w:val="none"/>
              </w:rPr>
              <w:br w:type="textWrapping"/>
            </w:r>
            <w:r>
              <w:rPr>
                <w:u w:val="none"/>
              </w:rPr>
              <w:t>第二天0862-02-04-05</w:t>
            </w:r>
            <w:r>
              <w:rPr>
                <w:u w:val="none"/>
              </w:rPr>
              <w:br w:type="textWrapping"/>
            </w:r>
            <w:r>
              <w:rPr>
                <w:u w:val="none"/>
              </w:rPr>
              <w:t>第三天0862-03-04-05</w:t>
            </w:r>
          </w:p>
        </w:tc>
        <w:tc>
          <w:tcPr>
            <w:tcW w:w="1115" w:type="pct"/>
            <w:tcBorders>
              <w:tl2br w:val="nil"/>
              <w:tr2bl w:val="nil"/>
            </w:tcBorders>
            <w:vAlign w:val="center"/>
          </w:tcPr>
          <w:p>
            <w:pPr>
              <w:pStyle w:val="70"/>
              <w:rPr>
                <w:u w:val="none"/>
              </w:rPr>
            </w:pPr>
            <w:r>
              <w:rPr>
                <w:u w:val="none"/>
              </w:rPr>
              <w:t>总磷，mg/L</w:t>
            </w:r>
          </w:p>
        </w:tc>
        <w:tc>
          <w:tcPr>
            <w:tcW w:w="621" w:type="pct"/>
            <w:tcBorders>
              <w:tl2br w:val="nil"/>
              <w:tr2bl w:val="nil"/>
            </w:tcBorders>
            <w:vAlign w:val="center"/>
          </w:tcPr>
          <w:p>
            <w:pPr>
              <w:pStyle w:val="70"/>
              <w:rPr>
                <w:u w:val="none"/>
              </w:rPr>
            </w:pPr>
            <w:r>
              <w:rPr>
                <w:u w:val="none"/>
              </w:rPr>
              <w:t>0</w:t>
            </w:r>
            <w:r>
              <w:rPr>
                <w:rFonts w:hint="eastAsia"/>
                <w:u w:val="none"/>
              </w:rPr>
              <w:t>.06</w:t>
            </w:r>
          </w:p>
        </w:tc>
        <w:tc>
          <w:tcPr>
            <w:tcW w:w="637" w:type="pct"/>
            <w:tcBorders>
              <w:tl2br w:val="nil"/>
              <w:tr2bl w:val="nil"/>
            </w:tcBorders>
            <w:vAlign w:val="center"/>
          </w:tcPr>
          <w:p>
            <w:pPr>
              <w:pStyle w:val="70"/>
              <w:rPr>
                <w:u w:val="none"/>
              </w:rPr>
            </w:pPr>
            <w:r>
              <w:rPr>
                <w:rFonts w:hint="eastAsia"/>
                <w:u w:val="none"/>
              </w:rPr>
              <w:t>0.07</w:t>
            </w:r>
          </w:p>
        </w:tc>
        <w:tc>
          <w:tcPr>
            <w:tcW w:w="614" w:type="pct"/>
            <w:tcBorders>
              <w:tl2br w:val="nil"/>
              <w:tr2bl w:val="nil"/>
            </w:tcBorders>
            <w:vAlign w:val="center"/>
          </w:tcPr>
          <w:p>
            <w:pPr>
              <w:pStyle w:val="70"/>
              <w:rPr>
                <w:u w:val="none"/>
              </w:rPr>
            </w:pPr>
            <w:r>
              <w:rPr>
                <w:u w:val="none"/>
              </w:rPr>
              <w:t>0.</w:t>
            </w:r>
            <w:r>
              <w:rPr>
                <w:rFonts w:hint="eastAsia"/>
                <w:u w:val="none"/>
              </w:rPr>
              <w:t>07</w:t>
            </w:r>
          </w:p>
        </w:tc>
        <w:tc>
          <w:tcPr>
            <w:tcW w:w="431" w:type="pct"/>
            <w:tcBorders>
              <w:tl2br w:val="nil"/>
              <w:tr2bl w:val="nil"/>
            </w:tcBorders>
            <w:vAlign w:val="center"/>
          </w:tcPr>
          <w:p>
            <w:pPr>
              <w:pStyle w:val="70"/>
              <w:rPr>
                <w:u w:val="none"/>
              </w:rPr>
            </w:pPr>
            <w:r>
              <w:rPr>
                <w:u w:val="none"/>
              </w:rPr>
              <w:t>0.1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第一天0862-01-04-06</w:t>
            </w:r>
            <w:r>
              <w:rPr>
                <w:u w:val="none"/>
              </w:rPr>
              <w:br w:type="textWrapping"/>
            </w:r>
            <w:r>
              <w:rPr>
                <w:u w:val="none"/>
              </w:rPr>
              <w:t>第二天0862-02-04-06</w:t>
            </w:r>
            <w:r>
              <w:rPr>
                <w:u w:val="none"/>
              </w:rPr>
              <w:br w:type="textWrapping"/>
            </w:r>
            <w:r>
              <w:rPr>
                <w:u w:val="none"/>
              </w:rPr>
              <w:t>第三天0862-03-04-06</w:t>
            </w:r>
          </w:p>
        </w:tc>
        <w:tc>
          <w:tcPr>
            <w:tcW w:w="1115" w:type="pct"/>
            <w:tcBorders>
              <w:tl2br w:val="nil"/>
              <w:tr2bl w:val="nil"/>
            </w:tcBorders>
            <w:vAlign w:val="center"/>
          </w:tcPr>
          <w:p>
            <w:pPr>
              <w:pStyle w:val="70"/>
              <w:rPr>
                <w:u w:val="none"/>
              </w:rPr>
            </w:pPr>
            <w:r>
              <w:rPr>
                <w:u w:val="none"/>
              </w:rPr>
              <w:t>氟化物，mg/L</w:t>
            </w:r>
          </w:p>
        </w:tc>
        <w:tc>
          <w:tcPr>
            <w:tcW w:w="621" w:type="pct"/>
            <w:tcBorders>
              <w:tl2br w:val="nil"/>
              <w:tr2bl w:val="nil"/>
            </w:tcBorders>
            <w:vAlign w:val="center"/>
          </w:tcPr>
          <w:p>
            <w:pPr>
              <w:pStyle w:val="70"/>
              <w:rPr>
                <w:u w:val="none"/>
              </w:rPr>
            </w:pPr>
            <w:r>
              <w:rPr>
                <w:u w:val="none"/>
              </w:rPr>
              <w:t>0.133</w:t>
            </w:r>
          </w:p>
        </w:tc>
        <w:tc>
          <w:tcPr>
            <w:tcW w:w="637" w:type="pct"/>
            <w:tcBorders>
              <w:tl2br w:val="nil"/>
              <w:tr2bl w:val="nil"/>
            </w:tcBorders>
            <w:vAlign w:val="center"/>
          </w:tcPr>
          <w:p>
            <w:pPr>
              <w:pStyle w:val="70"/>
              <w:rPr>
                <w:u w:val="none"/>
              </w:rPr>
            </w:pPr>
            <w:r>
              <w:rPr>
                <w:u w:val="none"/>
              </w:rPr>
              <w:t>0.112</w:t>
            </w:r>
          </w:p>
        </w:tc>
        <w:tc>
          <w:tcPr>
            <w:tcW w:w="614" w:type="pct"/>
            <w:tcBorders>
              <w:tl2br w:val="nil"/>
              <w:tr2bl w:val="nil"/>
            </w:tcBorders>
            <w:vAlign w:val="center"/>
          </w:tcPr>
          <w:p>
            <w:pPr>
              <w:pStyle w:val="70"/>
              <w:rPr>
                <w:u w:val="none"/>
              </w:rPr>
            </w:pPr>
            <w:r>
              <w:rPr>
                <w:u w:val="none"/>
              </w:rPr>
              <w:t>0.110</w:t>
            </w:r>
          </w:p>
        </w:tc>
        <w:tc>
          <w:tcPr>
            <w:tcW w:w="431" w:type="pct"/>
            <w:tcBorders>
              <w:tl2br w:val="nil"/>
              <w:tr2bl w:val="nil"/>
            </w:tcBorders>
            <w:vAlign w:val="center"/>
          </w:tcPr>
          <w:p>
            <w:pPr>
              <w:pStyle w:val="70"/>
              <w:rPr>
                <w:u w:val="none"/>
              </w:rPr>
            </w:pPr>
            <w:r>
              <w:rPr>
                <w:u w:val="none"/>
              </w:rPr>
              <w:t>1.0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00" w:hRule="atLeast"/>
          <w:jc w:val="center"/>
        </w:trPr>
        <w:tc>
          <w:tcPr>
            <w:tcW w:w="374" w:type="pct"/>
            <w:vMerge w:val="continue"/>
            <w:tcBorders>
              <w:tl2br w:val="nil"/>
              <w:tr2bl w:val="nil"/>
            </w:tcBorders>
            <w:noWrap/>
            <w:vAlign w:val="center"/>
          </w:tcPr>
          <w:p>
            <w:pPr>
              <w:pStyle w:val="70"/>
              <w:rPr>
                <w:u w:val="none"/>
              </w:rPr>
            </w:pPr>
          </w:p>
        </w:tc>
        <w:tc>
          <w:tcPr>
            <w:tcW w:w="1204" w:type="pct"/>
            <w:vMerge w:val="restart"/>
            <w:tcBorders>
              <w:tl2br w:val="nil"/>
              <w:tr2bl w:val="nil"/>
            </w:tcBorders>
            <w:vAlign w:val="center"/>
          </w:tcPr>
          <w:p>
            <w:pPr>
              <w:pStyle w:val="70"/>
              <w:rPr>
                <w:u w:val="none"/>
              </w:rPr>
            </w:pPr>
            <w:r>
              <w:rPr>
                <w:u w:val="none"/>
              </w:rPr>
              <w:t>第一天0862-01-04-07</w:t>
            </w:r>
            <w:r>
              <w:rPr>
                <w:u w:val="none"/>
              </w:rPr>
              <w:br w:type="textWrapping"/>
            </w:r>
            <w:r>
              <w:rPr>
                <w:u w:val="none"/>
              </w:rPr>
              <w:t>第二天0862-02-04-07</w:t>
            </w:r>
            <w:r>
              <w:rPr>
                <w:u w:val="none"/>
              </w:rPr>
              <w:br w:type="textWrapping"/>
            </w:r>
            <w:r>
              <w:rPr>
                <w:u w:val="none"/>
              </w:rPr>
              <w:t>第三天0862-03-04-07</w:t>
            </w:r>
          </w:p>
        </w:tc>
        <w:tc>
          <w:tcPr>
            <w:tcW w:w="1115" w:type="pct"/>
            <w:tcBorders>
              <w:tl2br w:val="nil"/>
              <w:tr2bl w:val="nil"/>
            </w:tcBorders>
            <w:vAlign w:val="center"/>
          </w:tcPr>
          <w:p>
            <w:pPr>
              <w:pStyle w:val="70"/>
              <w:rPr>
                <w:u w:val="none"/>
              </w:rPr>
            </w:pPr>
            <w:r>
              <w:rPr>
                <w:u w:val="none"/>
              </w:rPr>
              <w:t>铜，mg/L</w:t>
            </w:r>
          </w:p>
        </w:tc>
        <w:tc>
          <w:tcPr>
            <w:tcW w:w="621" w:type="pct"/>
            <w:tcBorders>
              <w:tl2br w:val="nil"/>
              <w:tr2bl w:val="nil"/>
            </w:tcBorders>
            <w:vAlign w:val="center"/>
          </w:tcPr>
          <w:p>
            <w:pPr>
              <w:pStyle w:val="70"/>
              <w:rPr>
                <w:u w:val="none"/>
              </w:rPr>
            </w:pPr>
            <w:r>
              <w:rPr>
                <w:u w:val="none"/>
              </w:rPr>
              <w:t>0.00039</w:t>
            </w:r>
          </w:p>
        </w:tc>
        <w:tc>
          <w:tcPr>
            <w:tcW w:w="637" w:type="pct"/>
            <w:tcBorders>
              <w:tl2br w:val="nil"/>
              <w:tr2bl w:val="nil"/>
            </w:tcBorders>
            <w:vAlign w:val="center"/>
          </w:tcPr>
          <w:p>
            <w:pPr>
              <w:pStyle w:val="70"/>
              <w:rPr>
                <w:u w:val="none"/>
              </w:rPr>
            </w:pPr>
            <w:r>
              <w:rPr>
                <w:u w:val="none"/>
              </w:rPr>
              <w:t>0.00071</w:t>
            </w:r>
          </w:p>
        </w:tc>
        <w:tc>
          <w:tcPr>
            <w:tcW w:w="614" w:type="pct"/>
            <w:tcBorders>
              <w:tl2br w:val="nil"/>
              <w:tr2bl w:val="nil"/>
            </w:tcBorders>
            <w:vAlign w:val="center"/>
          </w:tcPr>
          <w:p>
            <w:pPr>
              <w:pStyle w:val="70"/>
              <w:rPr>
                <w:u w:val="none"/>
              </w:rPr>
            </w:pPr>
            <w:r>
              <w:rPr>
                <w:u w:val="none"/>
              </w:rPr>
              <w:t>0.00063</w:t>
            </w:r>
          </w:p>
        </w:tc>
        <w:tc>
          <w:tcPr>
            <w:tcW w:w="431" w:type="pct"/>
            <w:tcBorders>
              <w:tl2br w:val="nil"/>
              <w:tr2bl w:val="nil"/>
            </w:tcBorders>
            <w:vAlign w:val="center"/>
          </w:tcPr>
          <w:p>
            <w:pPr>
              <w:pStyle w:val="70"/>
              <w:rPr>
                <w:u w:val="none"/>
              </w:rPr>
            </w:pPr>
            <w:r>
              <w:rPr>
                <w:u w:val="none"/>
              </w:rPr>
              <w:t>1.0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2"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锌，mg/L</w:t>
            </w:r>
          </w:p>
        </w:tc>
        <w:tc>
          <w:tcPr>
            <w:tcW w:w="621" w:type="pct"/>
            <w:tcBorders>
              <w:tl2br w:val="nil"/>
              <w:tr2bl w:val="nil"/>
            </w:tcBorders>
            <w:vAlign w:val="center"/>
          </w:tcPr>
          <w:p>
            <w:pPr>
              <w:pStyle w:val="70"/>
              <w:rPr>
                <w:u w:val="none"/>
              </w:rPr>
            </w:pPr>
            <w:r>
              <w:rPr>
                <w:u w:val="none"/>
              </w:rPr>
              <w:t>0.00067L</w:t>
            </w:r>
          </w:p>
        </w:tc>
        <w:tc>
          <w:tcPr>
            <w:tcW w:w="637" w:type="pct"/>
            <w:tcBorders>
              <w:tl2br w:val="nil"/>
              <w:tr2bl w:val="nil"/>
            </w:tcBorders>
            <w:vAlign w:val="center"/>
          </w:tcPr>
          <w:p>
            <w:pPr>
              <w:pStyle w:val="70"/>
              <w:rPr>
                <w:u w:val="none"/>
              </w:rPr>
            </w:pPr>
            <w:r>
              <w:rPr>
                <w:u w:val="none"/>
              </w:rPr>
              <w:t>0.00067L</w:t>
            </w:r>
          </w:p>
        </w:tc>
        <w:tc>
          <w:tcPr>
            <w:tcW w:w="614" w:type="pct"/>
            <w:tcBorders>
              <w:tl2br w:val="nil"/>
              <w:tr2bl w:val="nil"/>
            </w:tcBorders>
            <w:vAlign w:val="center"/>
          </w:tcPr>
          <w:p>
            <w:pPr>
              <w:pStyle w:val="70"/>
              <w:rPr>
                <w:u w:val="none"/>
              </w:rPr>
            </w:pPr>
            <w:r>
              <w:rPr>
                <w:u w:val="none"/>
              </w:rPr>
              <w:t>0.00067L</w:t>
            </w:r>
          </w:p>
        </w:tc>
        <w:tc>
          <w:tcPr>
            <w:tcW w:w="431" w:type="pct"/>
            <w:tcBorders>
              <w:tl2br w:val="nil"/>
              <w:tr2bl w:val="nil"/>
            </w:tcBorders>
            <w:vAlign w:val="center"/>
          </w:tcPr>
          <w:p>
            <w:pPr>
              <w:pStyle w:val="70"/>
              <w:rPr>
                <w:u w:val="none"/>
              </w:rPr>
            </w:pPr>
            <w:r>
              <w:rPr>
                <w:u w:val="none"/>
              </w:rPr>
              <w:t>1.0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55"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铅，mg/L</w:t>
            </w:r>
          </w:p>
        </w:tc>
        <w:tc>
          <w:tcPr>
            <w:tcW w:w="621" w:type="pct"/>
            <w:tcBorders>
              <w:tl2br w:val="nil"/>
              <w:tr2bl w:val="nil"/>
            </w:tcBorders>
            <w:vAlign w:val="center"/>
          </w:tcPr>
          <w:p>
            <w:pPr>
              <w:pStyle w:val="70"/>
              <w:rPr>
                <w:u w:val="none"/>
              </w:rPr>
            </w:pPr>
            <w:r>
              <w:rPr>
                <w:u w:val="none"/>
              </w:rPr>
              <w:t>0.00009L</w:t>
            </w:r>
          </w:p>
        </w:tc>
        <w:tc>
          <w:tcPr>
            <w:tcW w:w="637" w:type="pct"/>
            <w:tcBorders>
              <w:tl2br w:val="nil"/>
              <w:tr2bl w:val="nil"/>
            </w:tcBorders>
            <w:vAlign w:val="center"/>
          </w:tcPr>
          <w:p>
            <w:pPr>
              <w:pStyle w:val="70"/>
              <w:rPr>
                <w:u w:val="none"/>
              </w:rPr>
            </w:pPr>
            <w:r>
              <w:rPr>
                <w:u w:val="none"/>
              </w:rPr>
              <w:t>0.00009L</w:t>
            </w:r>
          </w:p>
        </w:tc>
        <w:tc>
          <w:tcPr>
            <w:tcW w:w="614" w:type="pct"/>
            <w:tcBorders>
              <w:tl2br w:val="nil"/>
              <w:tr2bl w:val="nil"/>
            </w:tcBorders>
            <w:vAlign w:val="center"/>
          </w:tcPr>
          <w:p>
            <w:pPr>
              <w:pStyle w:val="70"/>
              <w:rPr>
                <w:u w:val="none"/>
              </w:rPr>
            </w:pPr>
            <w:r>
              <w:rPr>
                <w:u w:val="none"/>
              </w:rPr>
              <w:t>0.00009L</w:t>
            </w:r>
          </w:p>
        </w:tc>
        <w:tc>
          <w:tcPr>
            <w:tcW w:w="431" w:type="pct"/>
            <w:tcBorders>
              <w:tl2br w:val="nil"/>
              <w:tr2bl w:val="nil"/>
            </w:tcBorders>
            <w:vAlign w:val="center"/>
          </w:tcPr>
          <w:p>
            <w:pPr>
              <w:pStyle w:val="70"/>
              <w:rPr>
                <w:u w:val="none"/>
              </w:rPr>
            </w:pPr>
            <w:r>
              <w:rPr>
                <w:u w:val="none"/>
              </w:rPr>
              <w:t>0.01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12"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镉，mg/L</w:t>
            </w:r>
          </w:p>
        </w:tc>
        <w:tc>
          <w:tcPr>
            <w:tcW w:w="621" w:type="pct"/>
            <w:tcBorders>
              <w:tl2br w:val="nil"/>
              <w:tr2bl w:val="nil"/>
            </w:tcBorders>
            <w:vAlign w:val="center"/>
          </w:tcPr>
          <w:p>
            <w:pPr>
              <w:pStyle w:val="70"/>
              <w:rPr>
                <w:u w:val="none"/>
              </w:rPr>
            </w:pPr>
            <w:r>
              <w:rPr>
                <w:u w:val="none"/>
              </w:rPr>
              <w:t>0.00005L</w:t>
            </w:r>
          </w:p>
        </w:tc>
        <w:tc>
          <w:tcPr>
            <w:tcW w:w="637" w:type="pct"/>
            <w:tcBorders>
              <w:tl2br w:val="nil"/>
              <w:tr2bl w:val="nil"/>
            </w:tcBorders>
            <w:vAlign w:val="center"/>
          </w:tcPr>
          <w:p>
            <w:pPr>
              <w:pStyle w:val="70"/>
              <w:rPr>
                <w:u w:val="none"/>
              </w:rPr>
            </w:pPr>
            <w:r>
              <w:rPr>
                <w:u w:val="none"/>
              </w:rPr>
              <w:t>0.00005L</w:t>
            </w:r>
          </w:p>
        </w:tc>
        <w:tc>
          <w:tcPr>
            <w:tcW w:w="614" w:type="pct"/>
            <w:tcBorders>
              <w:tl2br w:val="nil"/>
              <w:tr2bl w:val="nil"/>
            </w:tcBorders>
            <w:vAlign w:val="center"/>
          </w:tcPr>
          <w:p>
            <w:pPr>
              <w:pStyle w:val="70"/>
              <w:rPr>
                <w:u w:val="none"/>
              </w:rPr>
            </w:pPr>
            <w:r>
              <w:rPr>
                <w:u w:val="none"/>
              </w:rPr>
              <w:t>0.00005L</w:t>
            </w:r>
          </w:p>
        </w:tc>
        <w:tc>
          <w:tcPr>
            <w:tcW w:w="431" w:type="pct"/>
            <w:tcBorders>
              <w:tl2br w:val="nil"/>
              <w:tr2bl w:val="nil"/>
            </w:tcBorders>
            <w:vAlign w:val="center"/>
          </w:tcPr>
          <w:p>
            <w:pPr>
              <w:pStyle w:val="70"/>
              <w:rPr>
                <w:u w:val="none"/>
              </w:rPr>
            </w:pPr>
            <w:r>
              <w:rPr>
                <w:u w:val="none"/>
              </w:rPr>
              <w:t>0.005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37"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铊，mg/L</w:t>
            </w:r>
          </w:p>
        </w:tc>
        <w:tc>
          <w:tcPr>
            <w:tcW w:w="621" w:type="pct"/>
            <w:tcBorders>
              <w:tl2br w:val="nil"/>
              <w:tr2bl w:val="nil"/>
            </w:tcBorders>
            <w:vAlign w:val="center"/>
          </w:tcPr>
          <w:p>
            <w:pPr>
              <w:pStyle w:val="70"/>
              <w:rPr>
                <w:u w:val="none"/>
              </w:rPr>
            </w:pPr>
            <w:r>
              <w:rPr>
                <w:u w:val="none"/>
              </w:rPr>
              <w:t>0.00002L</w:t>
            </w:r>
          </w:p>
        </w:tc>
        <w:tc>
          <w:tcPr>
            <w:tcW w:w="637" w:type="pct"/>
            <w:tcBorders>
              <w:tl2br w:val="nil"/>
              <w:tr2bl w:val="nil"/>
            </w:tcBorders>
            <w:vAlign w:val="center"/>
          </w:tcPr>
          <w:p>
            <w:pPr>
              <w:pStyle w:val="70"/>
              <w:rPr>
                <w:u w:val="none"/>
              </w:rPr>
            </w:pPr>
            <w:r>
              <w:rPr>
                <w:u w:val="none"/>
              </w:rPr>
              <w:t>0.00002L</w:t>
            </w:r>
          </w:p>
        </w:tc>
        <w:tc>
          <w:tcPr>
            <w:tcW w:w="614" w:type="pct"/>
            <w:tcBorders>
              <w:tl2br w:val="nil"/>
              <w:tr2bl w:val="nil"/>
            </w:tcBorders>
            <w:vAlign w:val="center"/>
          </w:tcPr>
          <w:p>
            <w:pPr>
              <w:pStyle w:val="70"/>
              <w:rPr>
                <w:u w:val="none"/>
              </w:rPr>
            </w:pPr>
            <w:r>
              <w:rPr>
                <w:u w:val="none"/>
              </w:rPr>
              <w:t>0.00002L</w:t>
            </w:r>
          </w:p>
        </w:tc>
        <w:tc>
          <w:tcPr>
            <w:tcW w:w="431" w:type="pct"/>
            <w:tcBorders>
              <w:tl2br w:val="nil"/>
              <w:tr2bl w:val="nil"/>
            </w:tcBorders>
            <w:vAlign w:val="center"/>
          </w:tcPr>
          <w:p>
            <w:pPr>
              <w:pStyle w:val="70"/>
              <w:rPr>
                <w:u w:val="none"/>
              </w:rPr>
            </w:pPr>
            <w:r>
              <w:rPr>
                <w:rFonts w:hint="eastAsia"/>
                <w:u w:val="none"/>
              </w:rPr>
              <w:t>0.0001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67"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铬，mg/L</w:t>
            </w:r>
          </w:p>
        </w:tc>
        <w:tc>
          <w:tcPr>
            <w:tcW w:w="621" w:type="pct"/>
            <w:tcBorders>
              <w:tl2br w:val="nil"/>
              <w:tr2bl w:val="nil"/>
            </w:tcBorders>
            <w:vAlign w:val="center"/>
          </w:tcPr>
          <w:p>
            <w:pPr>
              <w:pStyle w:val="70"/>
              <w:rPr>
                <w:u w:val="none"/>
              </w:rPr>
            </w:pPr>
            <w:r>
              <w:rPr>
                <w:u w:val="none"/>
              </w:rPr>
              <w:t>0.00063</w:t>
            </w:r>
          </w:p>
        </w:tc>
        <w:tc>
          <w:tcPr>
            <w:tcW w:w="637" w:type="pct"/>
            <w:tcBorders>
              <w:tl2br w:val="nil"/>
              <w:tr2bl w:val="nil"/>
            </w:tcBorders>
            <w:vAlign w:val="center"/>
          </w:tcPr>
          <w:p>
            <w:pPr>
              <w:pStyle w:val="70"/>
              <w:rPr>
                <w:u w:val="none"/>
              </w:rPr>
            </w:pPr>
            <w:r>
              <w:rPr>
                <w:u w:val="none"/>
              </w:rPr>
              <w:t>0.00028</w:t>
            </w:r>
          </w:p>
        </w:tc>
        <w:tc>
          <w:tcPr>
            <w:tcW w:w="614" w:type="pct"/>
            <w:tcBorders>
              <w:tl2br w:val="nil"/>
              <w:tr2bl w:val="nil"/>
            </w:tcBorders>
            <w:vAlign w:val="center"/>
          </w:tcPr>
          <w:p>
            <w:pPr>
              <w:pStyle w:val="70"/>
              <w:rPr>
                <w:u w:val="none"/>
              </w:rPr>
            </w:pPr>
            <w:r>
              <w:rPr>
                <w:u w:val="none"/>
              </w:rPr>
              <w:t>0.00032</w:t>
            </w:r>
          </w:p>
        </w:tc>
        <w:tc>
          <w:tcPr>
            <w:tcW w:w="431" w:type="pct"/>
            <w:tcBorders>
              <w:tl2br w:val="nil"/>
              <w:tr2bl w:val="nil"/>
            </w:tcBorders>
            <w:vAlign w:val="center"/>
          </w:tcPr>
          <w:p>
            <w:pPr>
              <w:pStyle w:val="70"/>
              <w:rPr>
                <w:u w:val="none"/>
              </w:rPr>
            </w:pPr>
            <w:r>
              <w:rPr>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99" w:hRule="atLeast"/>
          <w:jc w:val="center"/>
        </w:trPr>
        <w:tc>
          <w:tcPr>
            <w:tcW w:w="374" w:type="pct"/>
            <w:vMerge w:val="continue"/>
            <w:tcBorders>
              <w:tl2br w:val="nil"/>
              <w:tr2bl w:val="nil"/>
            </w:tcBorders>
            <w:noWrap/>
            <w:vAlign w:val="center"/>
          </w:tcPr>
          <w:p>
            <w:pPr>
              <w:pStyle w:val="70"/>
              <w:rPr>
                <w:u w:val="none"/>
              </w:rPr>
            </w:pPr>
          </w:p>
        </w:tc>
        <w:tc>
          <w:tcPr>
            <w:tcW w:w="1204" w:type="pct"/>
            <w:vMerge w:val="restart"/>
            <w:tcBorders>
              <w:tl2br w:val="nil"/>
              <w:tr2bl w:val="nil"/>
            </w:tcBorders>
            <w:vAlign w:val="center"/>
          </w:tcPr>
          <w:p>
            <w:pPr>
              <w:pStyle w:val="70"/>
              <w:rPr>
                <w:u w:val="none"/>
              </w:rPr>
            </w:pPr>
            <w:r>
              <w:rPr>
                <w:u w:val="none"/>
              </w:rPr>
              <w:t>第一天0862-01-04-08</w:t>
            </w:r>
            <w:r>
              <w:rPr>
                <w:u w:val="none"/>
              </w:rPr>
              <w:br w:type="textWrapping"/>
            </w:r>
            <w:r>
              <w:rPr>
                <w:u w:val="none"/>
              </w:rPr>
              <w:t>第二天0862-02-04-08</w:t>
            </w:r>
            <w:r>
              <w:rPr>
                <w:u w:val="none"/>
              </w:rPr>
              <w:br w:type="textWrapping"/>
            </w:r>
            <w:r>
              <w:rPr>
                <w:u w:val="none"/>
              </w:rPr>
              <w:t>第三天0862-03-04-08</w:t>
            </w:r>
          </w:p>
        </w:tc>
        <w:tc>
          <w:tcPr>
            <w:tcW w:w="1115" w:type="pct"/>
            <w:tcBorders>
              <w:tl2br w:val="nil"/>
              <w:tr2bl w:val="nil"/>
            </w:tcBorders>
            <w:vAlign w:val="center"/>
          </w:tcPr>
          <w:p>
            <w:pPr>
              <w:pStyle w:val="70"/>
              <w:rPr>
                <w:u w:val="none"/>
              </w:rPr>
            </w:pPr>
            <w:r>
              <w:rPr>
                <w:u w:val="none"/>
              </w:rPr>
              <w:t>砷，mg/L</w:t>
            </w:r>
          </w:p>
        </w:tc>
        <w:tc>
          <w:tcPr>
            <w:tcW w:w="621" w:type="pct"/>
            <w:tcBorders>
              <w:tl2br w:val="nil"/>
              <w:tr2bl w:val="nil"/>
            </w:tcBorders>
            <w:vAlign w:val="center"/>
          </w:tcPr>
          <w:p>
            <w:pPr>
              <w:pStyle w:val="70"/>
              <w:rPr>
                <w:u w:val="none"/>
              </w:rPr>
            </w:pPr>
            <w:r>
              <w:rPr>
                <w:u w:val="none"/>
              </w:rPr>
              <w:t>0.0042</w:t>
            </w:r>
          </w:p>
        </w:tc>
        <w:tc>
          <w:tcPr>
            <w:tcW w:w="637" w:type="pct"/>
            <w:tcBorders>
              <w:tl2br w:val="nil"/>
              <w:tr2bl w:val="nil"/>
            </w:tcBorders>
            <w:vAlign w:val="center"/>
          </w:tcPr>
          <w:p>
            <w:pPr>
              <w:pStyle w:val="70"/>
              <w:rPr>
                <w:u w:val="none"/>
              </w:rPr>
            </w:pPr>
            <w:r>
              <w:rPr>
                <w:u w:val="none"/>
              </w:rPr>
              <w:t>0.0042</w:t>
            </w:r>
          </w:p>
        </w:tc>
        <w:tc>
          <w:tcPr>
            <w:tcW w:w="614" w:type="pct"/>
            <w:tcBorders>
              <w:tl2br w:val="nil"/>
              <w:tr2bl w:val="nil"/>
            </w:tcBorders>
            <w:vAlign w:val="center"/>
          </w:tcPr>
          <w:p>
            <w:pPr>
              <w:pStyle w:val="70"/>
              <w:rPr>
                <w:u w:val="none"/>
              </w:rPr>
            </w:pPr>
            <w:r>
              <w:rPr>
                <w:u w:val="none"/>
              </w:rPr>
              <w:t>0.0040</w:t>
            </w:r>
          </w:p>
        </w:tc>
        <w:tc>
          <w:tcPr>
            <w:tcW w:w="431" w:type="pct"/>
            <w:tcBorders>
              <w:tl2br w:val="nil"/>
              <w:tr2bl w:val="nil"/>
            </w:tcBorders>
            <w:vAlign w:val="center"/>
          </w:tcPr>
          <w:p>
            <w:pPr>
              <w:pStyle w:val="70"/>
              <w:rPr>
                <w:u w:val="none"/>
              </w:rPr>
            </w:pPr>
            <w:r>
              <w:rPr>
                <w:u w:val="none"/>
              </w:rPr>
              <w:t>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7"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锑，mg/L</w:t>
            </w:r>
          </w:p>
        </w:tc>
        <w:tc>
          <w:tcPr>
            <w:tcW w:w="621" w:type="pct"/>
            <w:tcBorders>
              <w:tl2br w:val="nil"/>
              <w:tr2bl w:val="nil"/>
            </w:tcBorders>
            <w:vAlign w:val="center"/>
          </w:tcPr>
          <w:p>
            <w:pPr>
              <w:pStyle w:val="70"/>
              <w:rPr>
                <w:u w:val="none"/>
              </w:rPr>
            </w:pPr>
            <w:r>
              <w:rPr>
                <w:u w:val="none"/>
              </w:rPr>
              <w:t>0.0037</w:t>
            </w:r>
          </w:p>
        </w:tc>
        <w:tc>
          <w:tcPr>
            <w:tcW w:w="637" w:type="pct"/>
            <w:tcBorders>
              <w:tl2br w:val="nil"/>
              <w:tr2bl w:val="nil"/>
            </w:tcBorders>
            <w:vAlign w:val="center"/>
          </w:tcPr>
          <w:p>
            <w:pPr>
              <w:pStyle w:val="70"/>
              <w:rPr>
                <w:u w:val="none"/>
              </w:rPr>
            </w:pPr>
            <w:r>
              <w:rPr>
                <w:u w:val="none"/>
              </w:rPr>
              <w:t>0.0039</w:t>
            </w:r>
          </w:p>
        </w:tc>
        <w:tc>
          <w:tcPr>
            <w:tcW w:w="614" w:type="pct"/>
            <w:tcBorders>
              <w:tl2br w:val="nil"/>
              <w:tr2bl w:val="nil"/>
            </w:tcBorders>
            <w:vAlign w:val="center"/>
          </w:tcPr>
          <w:p>
            <w:pPr>
              <w:pStyle w:val="70"/>
              <w:rPr>
                <w:u w:val="none"/>
              </w:rPr>
            </w:pPr>
            <w:r>
              <w:rPr>
                <w:u w:val="none"/>
              </w:rPr>
              <w:t>0.0033</w:t>
            </w:r>
          </w:p>
        </w:tc>
        <w:tc>
          <w:tcPr>
            <w:tcW w:w="431" w:type="pct"/>
            <w:tcBorders>
              <w:tl2br w:val="nil"/>
              <w:tr2bl w:val="nil"/>
            </w:tcBorders>
            <w:vAlign w:val="center"/>
          </w:tcPr>
          <w:p>
            <w:pPr>
              <w:pStyle w:val="70"/>
              <w:rPr>
                <w:u w:val="none"/>
              </w:rPr>
            </w:pPr>
            <w:r>
              <w:rPr>
                <w:rFonts w:hint="eastAsia"/>
                <w:u w:val="none"/>
              </w:rPr>
              <w:t>0.005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restart"/>
            <w:tcBorders>
              <w:tl2br w:val="nil"/>
              <w:tr2bl w:val="nil"/>
            </w:tcBorders>
            <w:noWrap/>
            <w:vAlign w:val="center"/>
          </w:tcPr>
          <w:p>
            <w:pPr>
              <w:pStyle w:val="70"/>
              <w:rPr>
                <w:u w:val="none"/>
              </w:rPr>
            </w:pPr>
            <w:r>
              <w:rPr>
                <w:u w:val="none"/>
              </w:rPr>
              <w:t>入河排污口下游600m</w:t>
            </w:r>
          </w:p>
        </w:tc>
        <w:tc>
          <w:tcPr>
            <w:tcW w:w="1204" w:type="pct"/>
            <w:tcBorders>
              <w:tl2br w:val="nil"/>
              <w:tr2bl w:val="nil"/>
            </w:tcBorders>
            <w:vAlign w:val="center"/>
          </w:tcPr>
          <w:p>
            <w:pPr>
              <w:pStyle w:val="70"/>
              <w:rPr>
                <w:u w:val="none"/>
              </w:rPr>
            </w:pPr>
            <w:r>
              <w:rPr>
                <w:u w:val="none"/>
              </w:rPr>
              <w:t>第一天0862-01-04-09</w:t>
            </w:r>
            <w:r>
              <w:rPr>
                <w:u w:val="none"/>
              </w:rPr>
              <w:br w:type="textWrapping"/>
            </w:r>
            <w:r>
              <w:rPr>
                <w:u w:val="none"/>
              </w:rPr>
              <w:t>第二天0862-02-04-09</w:t>
            </w:r>
            <w:r>
              <w:rPr>
                <w:u w:val="none"/>
              </w:rPr>
              <w:br w:type="textWrapping"/>
            </w:r>
            <w:r>
              <w:rPr>
                <w:u w:val="none"/>
              </w:rPr>
              <w:t>第三天0862-03-04-09</w:t>
            </w:r>
          </w:p>
        </w:tc>
        <w:tc>
          <w:tcPr>
            <w:tcW w:w="1115" w:type="pct"/>
            <w:tcBorders>
              <w:tl2br w:val="nil"/>
              <w:tr2bl w:val="nil"/>
            </w:tcBorders>
            <w:vAlign w:val="center"/>
          </w:tcPr>
          <w:p>
            <w:pPr>
              <w:pStyle w:val="70"/>
              <w:rPr>
                <w:u w:val="none"/>
              </w:rPr>
            </w:pPr>
            <w:r>
              <w:rPr>
                <w:u w:val="none"/>
              </w:rPr>
              <w:t>硫化物，mg/L</w:t>
            </w:r>
          </w:p>
        </w:tc>
        <w:tc>
          <w:tcPr>
            <w:tcW w:w="621" w:type="pct"/>
            <w:tcBorders>
              <w:tl2br w:val="nil"/>
              <w:tr2bl w:val="nil"/>
            </w:tcBorders>
            <w:vAlign w:val="center"/>
          </w:tcPr>
          <w:p>
            <w:pPr>
              <w:pStyle w:val="70"/>
              <w:rPr>
                <w:u w:val="none"/>
              </w:rPr>
            </w:pPr>
            <w:r>
              <w:rPr>
                <w:u w:val="none"/>
              </w:rPr>
              <w:t>0.01L</w:t>
            </w:r>
          </w:p>
        </w:tc>
        <w:tc>
          <w:tcPr>
            <w:tcW w:w="637" w:type="pct"/>
            <w:tcBorders>
              <w:tl2br w:val="nil"/>
              <w:tr2bl w:val="nil"/>
            </w:tcBorders>
            <w:vAlign w:val="center"/>
          </w:tcPr>
          <w:p>
            <w:pPr>
              <w:pStyle w:val="70"/>
              <w:rPr>
                <w:u w:val="none"/>
              </w:rPr>
            </w:pPr>
            <w:r>
              <w:rPr>
                <w:u w:val="none"/>
              </w:rPr>
              <w:t>0.01L</w:t>
            </w:r>
          </w:p>
        </w:tc>
        <w:tc>
          <w:tcPr>
            <w:tcW w:w="614" w:type="pct"/>
            <w:tcBorders>
              <w:tl2br w:val="nil"/>
              <w:tr2bl w:val="nil"/>
            </w:tcBorders>
            <w:vAlign w:val="center"/>
          </w:tcPr>
          <w:p>
            <w:pPr>
              <w:pStyle w:val="70"/>
              <w:rPr>
                <w:u w:val="none"/>
              </w:rPr>
            </w:pPr>
            <w:r>
              <w:rPr>
                <w:u w:val="none"/>
              </w:rPr>
              <w:t>0.01L</w:t>
            </w:r>
          </w:p>
        </w:tc>
        <w:tc>
          <w:tcPr>
            <w:tcW w:w="431" w:type="pct"/>
            <w:tcBorders>
              <w:tl2br w:val="nil"/>
              <w:tr2bl w:val="nil"/>
            </w:tcBorders>
            <w:vAlign w:val="center"/>
          </w:tcPr>
          <w:p>
            <w:pPr>
              <w:pStyle w:val="70"/>
              <w:rPr>
                <w:u w:val="none"/>
              </w:rPr>
            </w:pPr>
            <w:r>
              <w:rPr>
                <w:u w:val="none"/>
              </w:rPr>
              <w:t>0.1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第一天0862-01-04-10</w:t>
            </w:r>
            <w:r>
              <w:rPr>
                <w:u w:val="none"/>
              </w:rPr>
              <w:br w:type="textWrapping"/>
            </w:r>
            <w:r>
              <w:rPr>
                <w:u w:val="none"/>
              </w:rPr>
              <w:t>第二天0862-02-04-10</w:t>
            </w:r>
            <w:r>
              <w:rPr>
                <w:u w:val="none"/>
              </w:rPr>
              <w:br w:type="textWrapping"/>
            </w:r>
            <w:r>
              <w:rPr>
                <w:u w:val="none"/>
              </w:rPr>
              <w:t>第三天0862-03-04-10</w:t>
            </w:r>
          </w:p>
        </w:tc>
        <w:tc>
          <w:tcPr>
            <w:tcW w:w="1115" w:type="pct"/>
            <w:tcBorders>
              <w:tl2br w:val="nil"/>
              <w:tr2bl w:val="nil"/>
            </w:tcBorders>
            <w:vAlign w:val="center"/>
          </w:tcPr>
          <w:p>
            <w:pPr>
              <w:pStyle w:val="70"/>
              <w:rPr>
                <w:u w:val="none"/>
              </w:rPr>
            </w:pPr>
            <w:r>
              <w:rPr>
                <w:u w:val="none"/>
              </w:rPr>
              <w:t>六价铬，mg/L</w:t>
            </w:r>
          </w:p>
        </w:tc>
        <w:tc>
          <w:tcPr>
            <w:tcW w:w="621" w:type="pct"/>
            <w:tcBorders>
              <w:tl2br w:val="nil"/>
              <w:tr2bl w:val="nil"/>
            </w:tcBorders>
            <w:vAlign w:val="center"/>
          </w:tcPr>
          <w:p>
            <w:pPr>
              <w:pStyle w:val="70"/>
              <w:rPr>
                <w:u w:val="none"/>
              </w:rPr>
            </w:pPr>
            <w:r>
              <w:rPr>
                <w:u w:val="none"/>
              </w:rPr>
              <w:t>0.004L</w:t>
            </w:r>
          </w:p>
        </w:tc>
        <w:tc>
          <w:tcPr>
            <w:tcW w:w="637" w:type="pct"/>
            <w:tcBorders>
              <w:tl2br w:val="nil"/>
              <w:tr2bl w:val="nil"/>
            </w:tcBorders>
            <w:vAlign w:val="center"/>
          </w:tcPr>
          <w:p>
            <w:pPr>
              <w:pStyle w:val="70"/>
              <w:rPr>
                <w:u w:val="none"/>
              </w:rPr>
            </w:pPr>
            <w:r>
              <w:rPr>
                <w:u w:val="none"/>
              </w:rPr>
              <w:t>0.004L</w:t>
            </w:r>
          </w:p>
        </w:tc>
        <w:tc>
          <w:tcPr>
            <w:tcW w:w="614" w:type="pct"/>
            <w:tcBorders>
              <w:tl2br w:val="nil"/>
              <w:tr2bl w:val="nil"/>
            </w:tcBorders>
            <w:vAlign w:val="center"/>
          </w:tcPr>
          <w:p>
            <w:pPr>
              <w:pStyle w:val="70"/>
              <w:rPr>
                <w:u w:val="none"/>
              </w:rPr>
            </w:pPr>
            <w:r>
              <w:rPr>
                <w:u w:val="none"/>
              </w:rPr>
              <w:t>0.004L</w:t>
            </w:r>
          </w:p>
        </w:tc>
        <w:tc>
          <w:tcPr>
            <w:tcW w:w="431" w:type="pct"/>
            <w:tcBorders>
              <w:tl2br w:val="nil"/>
              <w:tr2bl w:val="nil"/>
            </w:tcBorders>
            <w:vAlign w:val="center"/>
          </w:tcPr>
          <w:p>
            <w:pPr>
              <w:pStyle w:val="70"/>
              <w:rPr>
                <w:u w:val="none"/>
              </w:rPr>
            </w:pPr>
            <w:r>
              <w:rPr>
                <w:u w:val="none"/>
              </w:rPr>
              <w:t>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restart"/>
            <w:tcBorders>
              <w:tl2br w:val="nil"/>
              <w:tr2bl w:val="nil"/>
            </w:tcBorders>
            <w:noWrap/>
            <w:vAlign w:val="center"/>
          </w:tcPr>
          <w:p>
            <w:pPr>
              <w:pStyle w:val="70"/>
              <w:rPr>
                <w:u w:val="none"/>
              </w:rPr>
            </w:pPr>
            <w:r>
              <w:rPr>
                <w:u w:val="none"/>
              </w:rPr>
              <w:t>入河排污口下游1500m</w:t>
            </w:r>
          </w:p>
        </w:tc>
        <w:tc>
          <w:tcPr>
            <w:tcW w:w="1204" w:type="pct"/>
            <w:tcBorders>
              <w:tl2br w:val="nil"/>
              <w:tr2bl w:val="nil"/>
            </w:tcBorders>
            <w:vAlign w:val="center"/>
          </w:tcPr>
          <w:p>
            <w:pPr>
              <w:pStyle w:val="70"/>
              <w:rPr>
                <w:u w:val="none"/>
              </w:rPr>
            </w:pPr>
            <w:r>
              <w:rPr>
                <w:u w:val="none"/>
              </w:rPr>
              <w:t>/</w:t>
            </w:r>
          </w:p>
        </w:tc>
        <w:tc>
          <w:tcPr>
            <w:tcW w:w="1115" w:type="pct"/>
            <w:tcBorders>
              <w:tl2br w:val="nil"/>
              <w:tr2bl w:val="nil"/>
            </w:tcBorders>
            <w:vAlign w:val="center"/>
          </w:tcPr>
          <w:p>
            <w:pPr>
              <w:pStyle w:val="70"/>
              <w:rPr>
                <w:u w:val="none"/>
              </w:rPr>
            </w:pPr>
            <w:r>
              <w:rPr>
                <w:u w:val="none"/>
              </w:rPr>
              <w:t>pH值，无量纲</w:t>
            </w:r>
          </w:p>
        </w:tc>
        <w:tc>
          <w:tcPr>
            <w:tcW w:w="621" w:type="pct"/>
            <w:tcBorders>
              <w:tl2br w:val="nil"/>
              <w:tr2bl w:val="nil"/>
            </w:tcBorders>
            <w:vAlign w:val="center"/>
          </w:tcPr>
          <w:p>
            <w:pPr>
              <w:pStyle w:val="70"/>
              <w:rPr>
                <w:u w:val="none"/>
              </w:rPr>
            </w:pPr>
            <w:r>
              <w:rPr>
                <w:u w:val="none"/>
              </w:rPr>
              <w:t>8.1</w:t>
            </w:r>
          </w:p>
        </w:tc>
        <w:tc>
          <w:tcPr>
            <w:tcW w:w="637" w:type="pct"/>
            <w:tcBorders>
              <w:tl2br w:val="nil"/>
              <w:tr2bl w:val="nil"/>
            </w:tcBorders>
            <w:vAlign w:val="center"/>
          </w:tcPr>
          <w:p>
            <w:pPr>
              <w:pStyle w:val="70"/>
              <w:rPr>
                <w:u w:val="none"/>
              </w:rPr>
            </w:pPr>
            <w:r>
              <w:rPr>
                <w:u w:val="none"/>
              </w:rPr>
              <w:t>8.3</w:t>
            </w:r>
          </w:p>
        </w:tc>
        <w:tc>
          <w:tcPr>
            <w:tcW w:w="614" w:type="pct"/>
            <w:tcBorders>
              <w:tl2br w:val="nil"/>
              <w:tr2bl w:val="nil"/>
            </w:tcBorders>
            <w:vAlign w:val="center"/>
          </w:tcPr>
          <w:p>
            <w:pPr>
              <w:pStyle w:val="70"/>
              <w:rPr>
                <w:u w:val="none"/>
              </w:rPr>
            </w:pPr>
            <w:r>
              <w:rPr>
                <w:u w:val="none"/>
              </w:rPr>
              <w:t>8.2</w:t>
            </w:r>
          </w:p>
        </w:tc>
        <w:tc>
          <w:tcPr>
            <w:tcW w:w="431" w:type="pct"/>
            <w:tcBorders>
              <w:tl2br w:val="nil"/>
              <w:tr2bl w:val="nil"/>
            </w:tcBorders>
            <w:vAlign w:val="center"/>
          </w:tcPr>
          <w:p>
            <w:pPr>
              <w:pStyle w:val="70"/>
              <w:rPr>
                <w:u w:val="none"/>
              </w:rPr>
            </w:pPr>
            <w:r>
              <w:rPr>
                <w:u w:val="none"/>
              </w:rPr>
              <w:t>6-9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vMerge w:val="restart"/>
            <w:tcBorders>
              <w:tl2br w:val="nil"/>
              <w:tr2bl w:val="nil"/>
            </w:tcBorders>
            <w:vAlign w:val="center"/>
          </w:tcPr>
          <w:p>
            <w:pPr>
              <w:pStyle w:val="70"/>
              <w:rPr>
                <w:u w:val="none"/>
              </w:rPr>
            </w:pPr>
            <w:r>
              <w:rPr>
                <w:u w:val="none"/>
              </w:rPr>
              <w:t>第一天0862-01-05-01</w:t>
            </w:r>
            <w:r>
              <w:rPr>
                <w:u w:val="none"/>
              </w:rPr>
              <w:br w:type="textWrapping"/>
            </w:r>
            <w:r>
              <w:rPr>
                <w:u w:val="none"/>
              </w:rPr>
              <w:t>第二天0862-02-05-01</w:t>
            </w:r>
            <w:r>
              <w:rPr>
                <w:u w:val="none"/>
              </w:rPr>
              <w:br w:type="textWrapping"/>
            </w:r>
            <w:r>
              <w:rPr>
                <w:u w:val="none"/>
              </w:rPr>
              <w:t>第三天0862-03-05-01</w:t>
            </w:r>
          </w:p>
        </w:tc>
        <w:tc>
          <w:tcPr>
            <w:tcW w:w="1115" w:type="pct"/>
            <w:tcBorders>
              <w:tl2br w:val="nil"/>
              <w:tr2bl w:val="nil"/>
            </w:tcBorders>
            <w:vAlign w:val="center"/>
          </w:tcPr>
          <w:p>
            <w:pPr>
              <w:pStyle w:val="70"/>
              <w:rPr>
                <w:u w:val="none"/>
              </w:rPr>
            </w:pPr>
            <w:r>
              <w:rPr>
                <w:u w:val="none"/>
              </w:rPr>
              <w:t>化学需氧量，mg/L</w:t>
            </w:r>
          </w:p>
        </w:tc>
        <w:tc>
          <w:tcPr>
            <w:tcW w:w="621" w:type="pct"/>
            <w:tcBorders>
              <w:tl2br w:val="nil"/>
              <w:tr2bl w:val="nil"/>
            </w:tcBorders>
            <w:vAlign w:val="center"/>
          </w:tcPr>
          <w:p>
            <w:pPr>
              <w:pStyle w:val="70"/>
              <w:rPr>
                <w:u w:val="none"/>
              </w:rPr>
            </w:pPr>
            <w:r>
              <w:rPr>
                <w:u w:val="none"/>
              </w:rPr>
              <w:t>5</w:t>
            </w:r>
          </w:p>
        </w:tc>
        <w:tc>
          <w:tcPr>
            <w:tcW w:w="637" w:type="pct"/>
            <w:tcBorders>
              <w:tl2br w:val="nil"/>
              <w:tr2bl w:val="nil"/>
            </w:tcBorders>
            <w:vAlign w:val="center"/>
          </w:tcPr>
          <w:p>
            <w:pPr>
              <w:pStyle w:val="70"/>
              <w:rPr>
                <w:u w:val="none"/>
              </w:rPr>
            </w:pPr>
            <w:r>
              <w:rPr>
                <w:u w:val="none"/>
              </w:rPr>
              <w:t>6</w:t>
            </w:r>
          </w:p>
        </w:tc>
        <w:tc>
          <w:tcPr>
            <w:tcW w:w="614" w:type="pct"/>
            <w:tcBorders>
              <w:tl2br w:val="nil"/>
              <w:tr2bl w:val="nil"/>
            </w:tcBorders>
            <w:vAlign w:val="center"/>
          </w:tcPr>
          <w:p>
            <w:pPr>
              <w:pStyle w:val="70"/>
              <w:rPr>
                <w:u w:val="none"/>
              </w:rPr>
            </w:pPr>
            <w:r>
              <w:rPr>
                <w:u w:val="none"/>
              </w:rPr>
              <w:t>7</w:t>
            </w:r>
          </w:p>
        </w:tc>
        <w:tc>
          <w:tcPr>
            <w:tcW w:w="431" w:type="pct"/>
            <w:tcBorders>
              <w:tl2br w:val="nil"/>
              <w:tr2bl w:val="nil"/>
            </w:tcBorders>
            <w:vAlign w:val="center"/>
          </w:tcPr>
          <w:p>
            <w:pPr>
              <w:pStyle w:val="70"/>
              <w:rPr>
                <w:u w:val="none"/>
              </w:rPr>
            </w:pPr>
            <w:r>
              <w:rPr>
                <w:u w:val="none"/>
              </w:rPr>
              <w:t>15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54"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氨氮，mg/L</w:t>
            </w:r>
          </w:p>
        </w:tc>
        <w:tc>
          <w:tcPr>
            <w:tcW w:w="621" w:type="pct"/>
            <w:tcBorders>
              <w:tl2br w:val="nil"/>
              <w:tr2bl w:val="nil"/>
            </w:tcBorders>
            <w:vAlign w:val="center"/>
          </w:tcPr>
          <w:p>
            <w:pPr>
              <w:pStyle w:val="70"/>
              <w:rPr>
                <w:u w:val="none"/>
              </w:rPr>
            </w:pPr>
            <w:r>
              <w:rPr>
                <w:u w:val="none"/>
              </w:rPr>
              <w:t>0.162</w:t>
            </w:r>
          </w:p>
        </w:tc>
        <w:tc>
          <w:tcPr>
            <w:tcW w:w="637" w:type="pct"/>
            <w:tcBorders>
              <w:tl2br w:val="nil"/>
              <w:tr2bl w:val="nil"/>
            </w:tcBorders>
            <w:vAlign w:val="center"/>
          </w:tcPr>
          <w:p>
            <w:pPr>
              <w:pStyle w:val="70"/>
              <w:rPr>
                <w:u w:val="none"/>
              </w:rPr>
            </w:pPr>
            <w:r>
              <w:rPr>
                <w:u w:val="none"/>
              </w:rPr>
              <w:t>0.190</w:t>
            </w:r>
          </w:p>
        </w:tc>
        <w:tc>
          <w:tcPr>
            <w:tcW w:w="614" w:type="pct"/>
            <w:tcBorders>
              <w:tl2br w:val="nil"/>
              <w:tr2bl w:val="nil"/>
            </w:tcBorders>
            <w:vAlign w:val="center"/>
          </w:tcPr>
          <w:p>
            <w:pPr>
              <w:pStyle w:val="70"/>
              <w:rPr>
                <w:u w:val="none"/>
              </w:rPr>
            </w:pPr>
            <w:r>
              <w:rPr>
                <w:u w:val="none"/>
              </w:rPr>
              <w:t>0.134</w:t>
            </w:r>
          </w:p>
        </w:tc>
        <w:tc>
          <w:tcPr>
            <w:tcW w:w="431" w:type="pct"/>
            <w:tcBorders>
              <w:tl2br w:val="nil"/>
              <w:tr2bl w:val="nil"/>
            </w:tcBorders>
            <w:vAlign w:val="center"/>
          </w:tcPr>
          <w:p>
            <w:pPr>
              <w:pStyle w:val="70"/>
              <w:rPr>
                <w:u w:val="none"/>
              </w:rPr>
            </w:pPr>
            <w:r>
              <w:rPr>
                <w:u w:val="none"/>
              </w:rPr>
              <w:t>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第一天0862-01-05-02</w:t>
            </w:r>
            <w:r>
              <w:rPr>
                <w:u w:val="none"/>
              </w:rPr>
              <w:br w:type="textWrapping"/>
            </w:r>
            <w:r>
              <w:rPr>
                <w:u w:val="none"/>
              </w:rPr>
              <w:t>第二天0862-02-05-02</w:t>
            </w:r>
            <w:r>
              <w:rPr>
                <w:u w:val="none"/>
              </w:rPr>
              <w:br w:type="textWrapping"/>
            </w:r>
            <w:r>
              <w:rPr>
                <w:u w:val="none"/>
              </w:rPr>
              <w:t>第三天0862-03-05-02</w:t>
            </w:r>
          </w:p>
        </w:tc>
        <w:tc>
          <w:tcPr>
            <w:tcW w:w="1115" w:type="pct"/>
            <w:tcBorders>
              <w:tl2br w:val="nil"/>
              <w:tr2bl w:val="nil"/>
            </w:tcBorders>
            <w:vAlign w:val="center"/>
          </w:tcPr>
          <w:p>
            <w:pPr>
              <w:pStyle w:val="70"/>
              <w:rPr>
                <w:u w:val="none"/>
              </w:rPr>
            </w:pPr>
            <w:r>
              <w:rPr>
                <w:u w:val="none"/>
              </w:rPr>
              <w:t>五日生化需氧量，mg/L</w:t>
            </w:r>
          </w:p>
        </w:tc>
        <w:tc>
          <w:tcPr>
            <w:tcW w:w="621" w:type="pct"/>
            <w:tcBorders>
              <w:tl2br w:val="nil"/>
              <w:tr2bl w:val="nil"/>
            </w:tcBorders>
            <w:vAlign w:val="center"/>
          </w:tcPr>
          <w:p>
            <w:pPr>
              <w:pStyle w:val="70"/>
              <w:rPr>
                <w:u w:val="none"/>
              </w:rPr>
            </w:pPr>
            <w:r>
              <w:rPr>
                <w:u w:val="none"/>
              </w:rPr>
              <w:t>1.4</w:t>
            </w:r>
          </w:p>
        </w:tc>
        <w:tc>
          <w:tcPr>
            <w:tcW w:w="637" w:type="pct"/>
            <w:tcBorders>
              <w:tl2br w:val="nil"/>
              <w:tr2bl w:val="nil"/>
            </w:tcBorders>
            <w:vAlign w:val="center"/>
          </w:tcPr>
          <w:p>
            <w:pPr>
              <w:pStyle w:val="70"/>
              <w:rPr>
                <w:u w:val="none"/>
              </w:rPr>
            </w:pPr>
            <w:r>
              <w:rPr>
                <w:u w:val="none"/>
              </w:rPr>
              <w:t>1.6</w:t>
            </w:r>
          </w:p>
        </w:tc>
        <w:tc>
          <w:tcPr>
            <w:tcW w:w="614" w:type="pct"/>
            <w:tcBorders>
              <w:tl2br w:val="nil"/>
              <w:tr2bl w:val="nil"/>
            </w:tcBorders>
            <w:vAlign w:val="center"/>
          </w:tcPr>
          <w:p>
            <w:pPr>
              <w:pStyle w:val="70"/>
              <w:rPr>
                <w:u w:val="none"/>
              </w:rPr>
            </w:pPr>
            <w:r>
              <w:rPr>
                <w:u w:val="none"/>
              </w:rPr>
              <w:t>1.8</w:t>
            </w:r>
          </w:p>
        </w:tc>
        <w:tc>
          <w:tcPr>
            <w:tcW w:w="431" w:type="pct"/>
            <w:tcBorders>
              <w:tl2br w:val="nil"/>
              <w:tr2bl w:val="nil"/>
            </w:tcBorders>
            <w:vAlign w:val="center"/>
          </w:tcPr>
          <w:p>
            <w:pPr>
              <w:pStyle w:val="70"/>
              <w:rPr>
                <w:u w:val="none"/>
              </w:rPr>
            </w:pPr>
            <w:r>
              <w:rPr>
                <w:u w:val="none"/>
              </w:rPr>
              <w:t>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第一天0862-01-05-03</w:t>
            </w:r>
            <w:r>
              <w:rPr>
                <w:u w:val="none"/>
              </w:rPr>
              <w:br w:type="textWrapping"/>
            </w:r>
            <w:r>
              <w:rPr>
                <w:u w:val="none"/>
              </w:rPr>
              <w:t>第二天0862-02-05-03</w:t>
            </w:r>
            <w:r>
              <w:rPr>
                <w:u w:val="none"/>
              </w:rPr>
              <w:br w:type="textWrapping"/>
            </w:r>
            <w:r>
              <w:rPr>
                <w:u w:val="none"/>
              </w:rPr>
              <w:t>第三天0862-03-05-03</w:t>
            </w:r>
          </w:p>
        </w:tc>
        <w:tc>
          <w:tcPr>
            <w:tcW w:w="1115" w:type="pct"/>
            <w:tcBorders>
              <w:tl2br w:val="nil"/>
              <w:tr2bl w:val="nil"/>
            </w:tcBorders>
            <w:vAlign w:val="center"/>
          </w:tcPr>
          <w:p>
            <w:pPr>
              <w:pStyle w:val="70"/>
              <w:rPr>
                <w:u w:val="none"/>
              </w:rPr>
            </w:pPr>
            <w:r>
              <w:rPr>
                <w:u w:val="none"/>
              </w:rPr>
              <w:t>悬浮物，mg/L</w:t>
            </w:r>
          </w:p>
        </w:tc>
        <w:tc>
          <w:tcPr>
            <w:tcW w:w="621" w:type="pct"/>
            <w:tcBorders>
              <w:tl2br w:val="nil"/>
              <w:tr2bl w:val="nil"/>
            </w:tcBorders>
            <w:vAlign w:val="center"/>
          </w:tcPr>
          <w:p>
            <w:pPr>
              <w:pStyle w:val="70"/>
              <w:rPr>
                <w:u w:val="none"/>
              </w:rPr>
            </w:pPr>
            <w:r>
              <w:rPr>
                <w:u w:val="none"/>
              </w:rPr>
              <w:t>6</w:t>
            </w:r>
          </w:p>
        </w:tc>
        <w:tc>
          <w:tcPr>
            <w:tcW w:w="637" w:type="pct"/>
            <w:tcBorders>
              <w:tl2br w:val="nil"/>
              <w:tr2bl w:val="nil"/>
            </w:tcBorders>
            <w:vAlign w:val="center"/>
          </w:tcPr>
          <w:p>
            <w:pPr>
              <w:pStyle w:val="70"/>
              <w:rPr>
                <w:u w:val="none"/>
              </w:rPr>
            </w:pPr>
            <w:r>
              <w:rPr>
                <w:u w:val="none"/>
              </w:rPr>
              <w:t>6</w:t>
            </w:r>
          </w:p>
        </w:tc>
        <w:tc>
          <w:tcPr>
            <w:tcW w:w="614" w:type="pct"/>
            <w:tcBorders>
              <w:tl2br w:val="nil"/>
              <w:tr2bl w:val="nil"/>
            </w:tcBorders>
            <w:vAlign w:val="center"/>
          </w:tcPr>
          <w:p>
            <w:pPr>
              <w:pStyle w:val="70"/>
              <w:rPr>
                <w:u w:val="none"/>
              </w:rPr>
            </w:pPr>
            <w:r>
              <w:rPr>
                <w:u w:val="none"/>
              </w:rPr>
              <w:t>6</w:t>
            </w:r>
          </w:p>
        </w:tc>
        <w:tc>
          <w:tcPr>
            <w:tcW w:w="431" w:type="pct"/>
            <w:tcBorders>
              <w:tl2br w:val="nil"/>
              <w:tr2bl w:val="nil"/>
            </w:tcBorders>
            <w:vAlign w:val="center"/>
          </w:tcPr>
          <w:p>
            <w:pPr>
              <w:pStyle w:val="70"/>
              <w:rPr>
                <w:u w:val="none"/>
              </w:rPr>
            </w:pPr>
            <w:r>
              <w:rPr>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第一天0862-01-05-04</w:t>
            </w:r>
            <w:r>
              <w:rPr>
                <w:u w:val="none"/>
              </w:rPr>
              <w:br w:type="textWrapping"/>
            </w:r>
            <w:r>
              <w:rPr>
                <w:u w:val="none"/>
              </w:rPr>
              <w:t>第二天0862-02-05-04</w:t>
            </w:r>
            <w:r>
              <w:rPr>
                <w:u w:val="none"/>
              </w:rPr>
              <w:br w:type="textWrapping"/>
            </w:r>
            <w:r>
              <w:rPr>
                <w:u w:val="none"/>
              </w:rPr>
              <w:t>第三天0862-03-05-04</w:t>
            </w:r>
          </w:p>
        </w:tc>
        <w:tc>
          <w:tcPr>
            <w:tcW w:w="1115" w:type="pct"/>
            <w:tcBorders>
              <w:tl2br w:val="nil"/>
              <w:tr2bl w:val="nil"/>
            </w:tcBorders>
            <w:vAlign w:val="center"/>
          </w:tcPr>
          <w:p>
            <w:pPr>
              <w:pStyle w:val="70"/>
              <w:rPr>
                <w:u w:val="none"/>
              </w:rPr>
            </w:pPr>
            <w:r>
              <w:rPr>
                <w:u w:val="none"/>
              </w:rPr>
              <w:t>石油类，mg/L</w:t>
            </w:r>
          </w:p>
        </w:tc>
        <w:tc>
          <w:tcPr>
            <w:tcW w:w="621" w:type="pct"/>
            <w:tcBorders>
              <w:tl2br w:val="nil"/>
              <w:tr2bl w:val="nil"/>
            </w:tcBorders>
            <w:vAlign w:val="center"/>
          </w:tcPr>
          <w:p>
            <w:pPr>
              <w:pStyle w:val="70"/>
              <w:rPr>
                <w:u w:val="none"/>
              </w:rPr>
            </w:pPr>
            <w:r>
              <w:rPr>
                <w:u w:val="none"/>
              </w:rPr>
              <w:t>0.01L</w:t>
            </w:r>
          </w:p>
        </w:tc>
        <w:tc>
          <w:tcPr>
            <w:tcW w:w="637" w:type="pct"/>
            <w:tcBorders>
              <w:tl2br w:val="nil"/>
              <w:tr2bl w:val="nil"/>
            </w:tcBorders>
            <w:vAlign w:val="center"/>
          </w:tcPr>
          <w:p>
            <w:pPr>
              <w:pStyle w:val="70"/>
              <w:rPr>
                <w:u w:val="none"/>
              </w:rPr>
            </w:pPr>
            <w:r>
              <w:rPr>
                <w:u w:val="none"/>
              </w:rPr>
              <w:t>0.01L</w:t>
            </w:r>
          </w:p>
        </w:tc>
        <w:tc>
          <w:tcPr>
            <w:tcW w:w="614" w:type="pct"/>
            <w:tcBorders>
              <w:tl2br w:val="nil"/>
              <w:tr2bl w:val="nil"/>
            </w:tcBorders>
            <w:vAlign w:val="center"/>
          </w:tcPr>
          <w:p>
            <w:pPr>
              <w:pStyle w:val="70"/>
              <w:rPr>
                <w:u w:val="none"/>
              </w:rPr>
            </w:pPr>
            <w:r>
              <w:rPr>
                <w:u w:val="none"/>
              </w:rPr>
              <w:t>0.01L</w:t>
            </w:r>
          </w:p>
        </w:tc>
        <w:tc>
          <w:tcPr>
            <w:tcW w:w="431" w:type="pct"/>
            <w:tcBorders>
              <w:tl2br w:val="nil"/>
              <w:tr2bl w:val="nil"/>
            </w:tcBorders>
            <w:vAlign w:val="center"/>
          </w:tcPr>
          <w:p>
            <w:pPr>
              <w:pStyle w:val="70"/>
              <w:rPr>
                <w:u w:val="none"/>
              </w:rPr>
            </w:pPr>
            <w:r>
              <w:rPr>
                <w:u w:val="none"/>
              </w:rPr>
              <w:t>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第一天0862-01-05-05</w:t>
            </w:r>
            <w:r>
              <w:rPr>
                <w:u w:val="none"/>
              </w:rPr>
              <w:br w:type="textWrapping"/>
            </w:r>
            <w:r>
              <w:rPr>
                <w:u w:val="none"/>
              </w:rPr>
              <w:t>第二天0862-02-05-05</w:t>
            </w:r>
            <w:r>
              <w:rPr>
                <w:u w:val="none"/>
              </w:rPr>
              <w:br w:type="textWrapping"/>
            </w:r>
            <w:r>
              <w:rPr>
                <w:u w:val="none"/>
              </w:rPr>
              <w:t>第三天0862-03-05-05</w:t>
            </w:r>
          </w:p>
        </w:tc>
        <w:tc>
          <w:tcPr>
            <w:tcW w:w="1115" w:type="pct"/>
            <w:tcBorders>
              <w:tl2br w:val="nil"/>
              <w:tr2bl w:val="nil"/>
            </w:tcBorders>
            <w:vAlign w:val="center"/>
          </w:tcPr>
          <w:p>
            <w:pPr>
              <w:pStyle w:val="70"/>
              <w:rPr>
                <w:u w:val="none"/>
              </w:rPr>
            </w:pPr>
            <w:r>
              <w:rPr>
                <w:u w:val="none"/>
              </w:rPr>
              <w:t>总磷，mg/L</w:t>
            </w:r>
          </w:p>
        </w:tc>
        <w:tc>
          <w:tcPr>
            <w:tcW w:w="621" w:type="pct"/>
            <w:tcBorders>
              <w:tl2br w:val="nil"/>
              <w:tr2bl w:val="nil"/>
            </w:tcBorders>
            <w:vAlign w:val="center"/>
          </w:tcPr>
          <w:p>
            <w:pPr>
              <w:pStyle w:val="70"/>
              <w:rPr>
                <w:u w:val="none"/>
              </w:rPr>
            </w:pPr>
            <w:r>
              <w:rPr>
                <w:u w:val="none"/>
              </w:rPr>
              <w:t>0.05</w:t>
            </w:r>
          </w:p>
        </w:tc>
        <w:tc>
          <w:tcPr>
            <w:tcW w:w="637" w:type="pct"/>
            <w:tcBorders>
              <w:tl2br w:val="nil"/>
              <w:tr2bl w:val="nil"/>
            </w:tcBorders>
            <w:vAlign w:val="center"/>
          </w:tcPr>
          <w:p>
            <w:pPr>
              <w:pStyle w:val="70"/>
              <w:rPr>
                <w:u w:val="none"/>
              </w:rPr>
            </w:pPr>
            <w:r>
              <w:rPr>
                <w:u w:val="none"/>
              </w:rPr>
              <w:t>0.04</w:t>
            </w:r>
          </w:p>
        </w:tc>
        <w:tc>
          <w:tcPr>
            <w:tcW w:w="614" w:type="pct"/>
            <w:tcBorders>
              <w:tl2br w:val="nil"/>
              <w:tr2bl w:val="nil"/>
            </w:tcBorders>
            <w:vAlign w:val="center"/>
          </w:tcPr>
          <w:p>
            <w:pPr>
              <w:pStyle w:val="70"/>
              <w:rPr>
                <w:u w:val="none"/>
              </w:rPr>
            </w:pPr>
            <w:r>
              <w:rPr>
                <w:u w:val="none"/>
              </w:rPr>
              <w:t>0.07</w:t>
            </w:r>
          </w:p>
        </w:tc>
        <w:tc>
          <w:tcPr>
            <w:tcW w:w="431" w:type="pct"/>
            <w:tcBorders>
              <w:tl2br w:val="nil"/>
              <w:tr2bl w:val="nil"/>
            </w:tcBorders>
            <w:vAlign w:val="center"/>
          </w:tcPr>
          <w:p>
            <w:pPr>
              <w:pStyle w:val="70"/>
              <w:rPr>
                <w:u w:val="none"/>
              </w:rPr>
            </w:pPr>
            <w:r>
              <w:rPr>
                <w:u w:val="none"/>
              </w:rPr>
              <w:t>0.1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第一天0862-01-05-06</w:t>
            </w:r>
            <w:r>
              <w:rPr>
                <w:u w:val="none"/>
              </w:rPr>
              <w:br w:type="textWrapping"/>
            </w:r>
            <w:r>
              <w:rPr>
                <w:u w:val="none"/>
              </w:rPr>
              <w:t>第二天0862-02-05-06</w:t>
            </w:r>
            <w:r>
              <w:rPr>
                <w:u w:val="none"/>
              </w:rPr>
              <w:br w:type="textWrapping"/>
            </w:r>
            <w:r>
              <w:rPr>
                <w:u w:val="none"/>
              </w:rPr>
              <w:t>第三天0862-03-05-06</w:t>
            </w:r>
          </w:p>
        </w:tc>
        <w:tc>
          <w:tcPr>
            <w:tcW w:w="1115" w:type="pct"/>
            <w:tcBorders>
              <w:tl2br w:val="nil"/>
              <w:tr2bl w:val="nil"/>
            </w:tcBorders>
            <w:vAlign w:val="center"/>
          </w:tcPr>
          <w:p>
            <w:pPr>
              <w:pStyle w:val="70"/>
              <w:rPr>
                <w:u w:val="none"/>
              </w:rPr>
            </w:pPr>
            <w:r>
              <w:rPr>
                <w:u w:val="none"/>
              </w:rPr>
              <w:t>氟化物，mg/L</w:t>
            </w:r>
          </w:p>
        </w:tc>
        <w:tc>
          <w:tcPr>
            <w:tcW w:w="621" w:type="pct"/>
            <w:tcBorders>
              <w:tl2br w:val="nil"/>
              <w:tr2bl w:val="nil"/>
            </w:tcBorders>
            <w:vAlign w:val="center"/>
          </w:tcPr>
          <w:p>
            <w:pPr>
              <w:pStyle w:val="70"/>
              <w:rPr>
                <w:u w:val="none"/>
              </w:rPr>
            </w:pPr>
            <w:r>
              <w:rPr>
                <w:u w:val="none"/>
              </w:rPr>
              <w:t>0.114</w:t>
            </w:r>
          </w:p>
        </w:tc>
        <w:tc>
          <w:tcPr>
            <w:tcW w:w="637" w:type="pct"/>
            <w:tcBorders>
              <w:tl2br w:val="nil"/>
              <w:tr2bl w:val="nil"/>
            </w:tcBorders>
            <w:vAlign w:val="center"/>
          </w:tcPr>
          <w:p>
            <w:pPr>
              <w:pStyle w:val="70"/>
              <w:rPr>
                <w:u w:val="none"/>
              </w:rPr>
            </w:pPr>
            <w:r>
              <w:rPr>
                <w:u w:val="none"/>
              </w:rPr>
              <w:t>0.112</w:t>
            </w:r>
          </w:p>
        </w:tc>
        <w:tc>
          <w:tcPr>
            <w:tcW w:w="614" w:type="pct"/>
            <w:tcBorders>
              <w:tl2br w:val="nil"/>
              <w:tr2bl w:val="nil"/>
            </w:tcBorders>
            <w:vAlign w:val="center"/>
          </w:tcPr>
          <w:p>
            <w:pPr>
              <w:pStyle w:val="70"/>
              <w:rPr>
                <w:u w:val="none"/>
              </w:rPr>
            </w:pPr>
            <w:r>
              <w:rPr>
                <w:u w:val="none"/>
              </w:rPr>
              <w:t>0.116</w:t>
            </w:r>
          </w:p>
        </w:tc>
        <w:tc>
          <w:tcPr>
            <w:tcW w:w="431" w:type="pct"/>
            <w:tcBorders>
              <w:tl2br w:val="nil"/>
              <w:tr2bl w:val="nil"/>
            </w:tcBorders>
            <w:vAlign w:val="center"/>
          </w:tcPr>
          <w:p>
            <w:pPr>
              <w:pStyle w:val="70"/>
              <w:rPr>
                <w:u w:val="none"/>
              </w:rPr>
            </w:pPr>
            <w:r>
              <w:rPr>
                <w:u w:val="none"/>
              </w:rPr>
              <w:t>1.0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42" w:hRule="atLeast"/>
          <w:jc w:val="center"/>
        </w:trPr>
        <w:tc>
          <w:tcPr>
            <w:tcW w:w="374" w:type="pct"/>
            <w:vMerge w:val="continue"/>
            <w:tcBorders>
              <w:tl2br w:val="nil"/>
              <w:tr2bl w:val="nil"/>
            </w:tcBorders>
            <w:noWrap/>
            <w:vAlign w:val="center"/>
          </w:tcPr>
          <w:p>
            <w:pPr>
              <w:pStyle w:val="70"/>
              <w:rPr>
                <w:u w:val="none"/>
              </w:rPr>
            </w:pPr>
          </w:p>
        </w:tc>
        <w:tc>
          <w:tcPr>
            <w:tcW w:w="1204" w:type="pct"/>
            <w:vMerge w:val="restart"/>
            <w:tcBorders>
              <w:tl2br w:val="nil"/>
              <w:tr2bl w:val="nil"/>
            </w:tcBorders>
            <w:vAlign w:val="center"/>
          </w:tcPr>
          <w:p>
            <w:pPr>
              <w:pStyle w:val="70"/>
              <w:rPr>
                <w:u w:val="none"/>
              </w:rPr>
            </w:pPr>
            <w:r>
              <w:rPr>
                <w:u w:val="none"/>
              </w:rPr>
              <w:t>第一天0862-01-05-07</w:t>
            </w:r>
            <w:r>
              <w:rPr>
                <w:u w:val="none"/>
              </w:rPr>
              <w:br w:type="textWrapping"/>
            </w:r>
            <w:r>
              <w:rPr>
                <w:u w:val="none"/>
              </w:rPr>
              <w:t>第二天0862-02-05-07</w:t>
            </w:r>
            <w:r>
              <w:rPr>
                <w:u w:val="none"/>
              </w:rPr>
              <w:br w:type="textWrapping"/>
            </w:r>
            <w:r>
              <w:rPr>
                <w:u w:val="none"/>
              </w:rPr>
              <w:t>第三天0862-03-05-07</w:t>
            </w:r>
          </w:p>
        </w:tc>
        <w:tc>
          <w:tcPr>
            <w:tcW w:w="1115" w:type="pct"/>
            <w:tcBorders>
              <w:tl2br w:val="nil"/>
              <w:tr2bl w:val="nil"/>
            </w:tcBorders>
            <w:vAlign w:val="center"/>
          </w:tcPr>
          <w:p>
            <w:pPr>
              <w:pStyle w:val="70"/>
              <w:rPr>
                <w:u w:val="none"/>
              </w:rPr>
            </w:pPr>
            <w:r>
              <w:rPr>
                <w:u w:val="none"/>
              </w:rPr>
              <w:t>铜，mg/L</w:t>
            </w:r>
          </w:p>
        </w:tc>
        <w:tc>
          <w:tcPr>
            <w:tcW w:w="621" w:type="pct"/>
            <w:tcBorders>
              <w:tl2br w:val="nil"/>
              <w:tr2bl w:val="nil"/>
            </w:tcBorders>
            <w:vAlign w:val="center"/>
          </w:tcPr>
          <w:p>
            <w:pPr>
              <w:pStyle w:val="70"/>
              <w:rPr>
                <w:u w:val="none"/>
              </w:rPr>
            </w:pPr>
            <w:r>
              <w:rPr>
                <w:u w:val="none"/>
              </w:rPr>
              <w:t>0.00031</w:t>
            </w:r>
          </w:p>
        </w:tc>
        <w:tc>
          <w:tcPr>
            <w:tcW w:w="637" w:type="pct"/>
            <w:tcBorders>
              <w:tl2br w:val="nil"/>
              <w:tr2bl w:val="nil"/>
            </w:tcBorders>
            <w:vAlign w:val="center"/>
          </w:tcPr>
          <w:p>
            <w:pPr>
              <w:pStyle w:val="70"/>
              <w:rPr>
                <w:u w:val="none"/>
              </w:rPr>
            </w:pPr>
            <w:r>
              <w:rPr>
                <w:u w:val="none"/>
              </w:rPr>
              <w:t>0.00051</w:t>
            </w:r>
          </w:p>
        </w:tc>
        <w:tc>
          <w:tcPr>
            <w:tcW w:w="614" w:type="pct"/>
            <w:tcBorders>
              <w:tl2br w:val="nil"/>
              <w:tr2bl w:val="nil"/>
            </w:tcBorders>
            <w:vAlign w:val="center"/>
          </w:tcPr>
          <w:p>
            <w:pPr>
              <w:pStyle w:val="70"/>
              <w:rPr>
                <w:u w:val="none"/>
              </w:rPr>
            </w:pPr>
            <w:r>
              <w:rPr>
                <w:u w:val="none"/>
              </w:rPr>
              <w:t>0.00068</w:t>
            </w:r>
          </w:p>
        </w:tc>
        <w:tc>
          <w:tcPr>
            <w:tcW w:w="431" w:type="pct"/>
            <w:tcBorders>
              <w:tl2br w:val="nil"/>
              <w:tr2bl w:val="nil"/>
            </w:tcBorders>
            <w:vAlign w:val="center"/>
          </w:tcPr>
          <w:p>
            <w:pPr>
              <w:pStyle w:val="70"/>
              <w:rPr>
                <w:u w:val="none"/>
              </w:rPr>
            </w:pPr>
            <w:r>
              <w:rPr>
                <w:u w:val="none"/>
              </w:rPr>
              <w:t>1.0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79"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锌，mg/L</w:t>
            </w:r>
          </w:p>
        </w:tc>
        <w:tc>
          <w:tcPr>
            <w:tcW w:w="621" w:type="pct"/>
            <w:tcBorders>
              <w:tl2br w:val="nil"/>
              <w:tr2bl w:val="nil"/>
            </w:tcBorders>
            <w:vAlign w:val="center"/>
          </w:tcPr>
          <w:p>
            <w:pPr>
              <w:pStyle w:val="70"/>
              <w:rPr>
                <w:u w:val="none"/>
              </w:rPr>
            </w:pPr>
            <w:r>
              <w:rPr>
                <w:u w:val="none"/>
              </w:rPr>
              <w:t>0.00067L</w:t>
            </w:r>
          </w:p>
        </w:tc>
        <w:tc>
          <w:tcPr>
            <w:tcW w:w="637" w:type="pct"/>
            <w:tcBorders>
              <w:tl2br w:val="nil"/>
              <w:tr2bl w:val="nil"/>
            </w:tcBorders>
            <w:vAlign w:val="center"/>
          </w:tcPr>
          <w:p>
            <w:pPr>
              <w:pStyle w:val="70"/>
              <w:rPr>
                <w:u w:val="none"/>
              </w:rPr>
            </w:pPr>
            <w:r>
              <w:rPr>
                <w:u w:val="none"/>
              </w:rPr>
              <w:t>0.00067L</w:t>
            </w:r>
          </w:p>
        </w:tc>
        <w:tc>
          <w:tcPr>
            <w:tcW w:w="614" w:type="pct"/>
            <w:tcBorders>
              <w:tl2br w:val="nil"/>
              <w:tr2bl w:val="nil"/>
            </w:tcBorders>
            <w:vAlign w:val="center"/>
          </w:tcPr>
          <w:p>
            <w:pPr>
              <w:pStyle w:val="70"/>
              <w:rPr>
                <w:u w:val="none"/>
              </w:rPr>
            </w:pPr>
            <w:r>
              <w:rPr>
                <w:u w:val="none"/>
              </w:rPr>
              <w:t>0.00067L</w:t>
            </w:r>
          </w:p>
        </w:tc>
        <w:tc>
          <w:tcPr>
            <w:tcW w:w="431" w:type="pct"/>
            <w:tcBorders>
              <w:tl2br w:val="nil"/>
              <w:tr2bl w:val="nil"/>
            </w:tcBorders>
            <w:vAlign w:val="center"/>
          </w:tcPr>
          <w:p>
            <w:pPr>
              <w:pStyle w:val="70"/>
              <w:rPr>
                <w:u w:val="none"/>
              </w:rPr>
            </w:pPr>
            <w:r>
              <w:rPr>
                <w:u w:val="none"/>
              </w:rPr>
              <w:t>1.0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30"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铅，mg/L</w:t>
            </w:r>
          </w:p>
        </w:tc>
        <w:tc>
          <w:tcPr>
            <w:tcW w:w="621" w:type="pct"/>
            <w:tcBorders>
              <w:tl2br w:val="nil"/>
              <w:tr2bl w:val="nil"/>
            </w:tcBorders>
            <w:vAlign w:val="center"/>
          </w:tcPr>
          <w:p>
            <w:pPr>
              <w:pStyle w:val="70"/>
              <w:rPr>
                <w:u w:val="none"/>
              </w:rPr>
            </w:pPr>
            <w:r>
              <w:rPr>
                <w:u w:val="none"/>
              </w:rPr>
              <w:t>0.00009L</w:t>
            </w:r>
          </w:p>
        </w:tc>
        <w:tc>
          <w:tcPr>
            <w:tcW w:w="637" w:type="pct"/>
            <w:tcBorders>
              <w:tl2br w:val="nil"/>
              <w:tr2bl w:val="nil"/>
            </w:tcBorders>
            <w:vAlign w:val="center"/>
          </w:tcPr>
          <w:p>
            <w:pPr>
              <w:pStyle w:val="70"/>
              <w:rPr>
                <w:u w:val="none"/>
              </w:rPr>
            </w:pPr>
            <w:r>
              <w:rPr>
                <w:u w:val="none"/>
              </w:rPr>
              <w:t>0.00009L</w:t>
            </w:r>
          </w:p>
        </w:tc>
        <w:tc>
          <w:tcPr>
            <w:tcW w:w="614" w:type="pct"/>
            <w:tcBorders>
              <w:tl2br w:val="nil"/>
              <w:tr2bl w:val="nil"/>
            </w:tcBorders>
            <w:vAlign w:val="center"/>
          </w:tcPr>
          <w:p>
            <w:pPr>
              <w:pStyle w:val="70"/>
              <w:rPr>
                <w:u w:val="none"/>
              </w:rPr>
            </w:pPr>
            <w:r>
              <w:rPr>
                <w:u w:val="none"/>
              </w:rPr>
              <w:t>0.00009L</w:t>
            </w:r>
          </w:p>
        </w:tc>
        <w:tc>
          <w:tcPr>
            <w:tcW w:w="431" w:type="pct"/>
            <w:tcBorders>
              <w:tl2br w:val="nil"/>
              <w:tr2bl w:val="nil"/>
            </w:tcBorders>
            <w:vAlign w:val="center"/>
          </w:tcPr>
          <w:p>
            <w:pPr>
              <w:pStyle w:val="70"/>
              <w:rPr>
                <w:u w:val="none"/>
              </w:rPr>
            </w:pPr>
            <w:r>
              <w:rPr>
                <w:u w:val="none"/>
              </w:rPr>
              <w:t>0.01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67"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镉，mg/L</w:t>
            </w:r>
          </w:p>
        </w:tc>
        <w:tc>
          <w:tcPr>
            <w:tcW w:w="621" w:type="pct"/>
            <w:tcBorders>
              <w:tl2br w:val="nil"/>
              <w:tr2bl w:val="nil"/>
            </w:tcBorders>
            <w:vAlign w:val="center"/>
          </w:tcPr>
          <w:p>
            <w:pPr>
              <w:pStyle w:val="70"/>
              <w:rPr>
                <w:u w:val="none"/>
              </w:rPr>
            </w:pPr>
            <w:r>
              <w:rPr>
                <w:u w:val="none"/>
              </w:rPr>
              <w:t>0.00005L</w:t>
            </w:r>
          </w:p>
        </w:tc>
        <w:tc>
          <w:tcPr>
            <w:tcW w:w="637" w:type="pct"/>
            <w:tcBorders>
              <w:tl2br w:val="nil"/>
              <w:tr2bl w:val="nil"/>
            </w:tcBorders>
            <w:vAlign w:val="center"/>
          </w:tcPr>
          <w:p>
            <w:pPr>
              <w:pStyle w:val="70"/>
              <w:rPr>
                <w:u w:val="none"/>
              </w:rPr>
            </w:pPr>
            <w:r>
              <w:rPr>
                <w:u w:val="none"/>
              </w:rPr>
              <w:t>0.00005L</w:t>
            </w:r>
          </w:p>
        </w:tc>
        <w:tc>
          <w:tcPr>
            <w:tcW w:w="614" w:type="pct"/>
            <w:tcBorders>
              <w:tl2br w:val="nil"/>
              <w:tr2bl w:val="nil"/>
            </w:tcBorders>
            <w:vAlign w:val="center"/>
          </w:tcPr>
          <w:p>
            <w:pPr>
              <w:pStyle w:val="70"/>
              <w:rPr>
                <w:u w:val="none"/>
              </w:rPr>
            </w:pPr>
            <w:r>
              <w:rPr>
                <w:u w:val="none"/>
              </w:rPr>
              <w:t>0.00005L</w:t>
            </w:r>
          </w:p>
        </w:tc>
        <w:tc>
          <w:tcPr>
            <w:tcW w:w="431" w:type="pct"/>
            <w:tcBorders>
              <w:tl2br w:val="nil"/>
              <w:tr2bl w:val="nil"/>
            </w:tcBorders>
            <w:vAlign w:val="center"/>
          </w:tcPr>
          <w:p>
            <w:pPr>
              <w:pStyle w:val="70"/>
              <w:rPr>
                <w:u w:val="none"/>
              </w:rPr>
            </w:pPr>
            <w:r>
              <w:rPr>
                <w:u w:val="none"/>
              </w:rPr>
              <w:t>0.005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04"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铊，mg/L</w:t>
            </w:r>
          </w:p>
        </w:tc>
        <w:tc>
          <w:tcPr>
            <w:tcW w:w="621" w:type="pct"/>
            <w:tcBorders>
              <w:tl2br w:val="nil"/>
              <w:tr2bl w:val="nil"/>
            </w:tcBorders>
            <w:vAlign w:val="center"/>
          </w:tcPr>
          <w:p>
            <w:pPr>
              <w:pStyle w:val="70"/>
              <w:rPr>
                <w:u w:val="none"/>
              </w:rPr>
            </w:pPr>
            <w:r>
              <w:rPr>
                <w:u w:val="none"/>
              </w:rPr>
              <w:t>0.00002L</w:t>
            </w:r>
          </w:p>
        </w:tc>
        <w:tc>
          <w:tcPr>
            <w:tcW w:w="637" w:type="pct"/>
            <w:tcBorders>
              <w:tl2br w:val="nil"/>
              <w:tr2bl w:val="nil"/>
            </w:tcBorders>
            <w:vAlign w:val="center"/>
          </w:tcPr>
          <w:p>
            <w:pPr>
              <w:pStyle w:val="70"/>
              <w:rPr>
                <w:u w:val="none"/>
              </w:rPr>
            </w:pPr>
            <w:r>
              <w:rPr>
                <w:u w:val="none"/>
              </w:rPr>
              <w:t>0.00002L</w:t>
            </w:r>
          </w:p>
        </w:tc>
        <w:tc>
          <w:tcPr>
            <w:tcW w:w="614" w:type="pct"/>
            <w:tcBorders>
              <w:tl2br w:val="nil"/>
              <w:tr2bl w:val="nil"/>
            </w:tcBorders>
            <w:vAlign w:val="center"/>
          </w:tcPr>
          <w:p>
            <w:pPr>
              <w:pStyle w:val="70"/>
              <w:rPr>
                <w:u w:val="none"/>
              </w:rPr>
            </w:pPr>
            <w:r>
              <w:rPr>
                <w:u w:val="none"/>
              </w:rPr>
              <w:t>0.00002L</w:t>
            </w:r>
          </w:p>
        </w:tc>
        <w:tc>
          <w:tcPr>
            <w:tcW w:w="431" w:type="pct"/>
            <w:tcBorders>
              <w:tl2br w:val="nil"/>
              <w:tr2bl w:val="nil"/>
            </w:tcBorders>
            <w:vAlign w:val="center"/>
          </w:tcPr>
          <w:p>
            <w:pPr>
              <w:pStyle w:val="70"/>
              <w:rPr>
                <w:u w:val="none"/>
              </w:rPr>
            </w:pPr>
            <w:r>
              <w:rPr>
                <w:rFonts w:hint="eastAsia"/>
                <w:u w:val="none"/>
              </w:rPr>
              <w:t>0.0001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92"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铬，mg/L</w:t>
            </w:r>
          </w:p>
        </w:tc>
        <w:tc>
          <w:tcPr>
            <w:tcW w:w="621" w:type="pct"/>
            <w:tcBorders>
              <w:tl2br w:val="nil"/>
              <w:tr2bl w:val="nil"/>
            </w:tcBorders>
            <w:vAlign w:val="center"/>
          </w:tcPr>
          <w:p>
            <w:pPr>
              <w:pStyle w:val="70"/>
              <w:rPr>
                <w:u w:val="none"/>
              </w:rPr>
            </w:pPr>
            <w:r>
              <w:rPr>
                <w:u w:val="none"/>
              </w:rPr>
              <w:t>0.00041</w:t>
            </w:r>
          </w:p>
        </w:tc>
        <w:tc>
          <w:tcPr>
            <w:tcW w:w="637" w:type="pct"/>
            <w:tcBorders>
              <w:tl2br w:val="nil"/>
              <w:tr2bl w:val="nil"/>
            </w:tcBorders>
            <w:vAlign w:val="center"/>
          </w:tcPr>
          <w:p>
            <w:pPr>
              <w:pStyle w:val="70"/>
              <w:rPr>
                <w:u w:val="none"/>
              </w:rPr>
            </w:pPr>
            <w:r>
              <w:rPr>
                <w:u w:val="none"/>
              </w:rPr>
              <w:t>0.00018</w:t>
            </w:r>
          </w:p>
        </w:tc>
        <w:tc>
          <w:tcPr>
            <w:tcW w:w="614" w:type="pct"/>
            <w:tcBorders>
              <w:tl2br w:val="nil"/>
              <w:tr2bl w:val="nil"/>
            </w:tcBorders>
            <w:vAlign w:val="center"/>
          </w:tcPr>
          <w:p>
            <w:pPr>
              <w:pStyle w:val="70"/>
              <w:rPr>
                <w:u w:val="none"/>
              </w:rPr>
            </w:pPr>
            <w:r>
              <w:rPr>
                <w:u w:val="none"/>
              </w:rPr>
              <w:t>0.00011L</w:t>
            </w:r>
          </w:p>
        </w:tc>
        <w:tc>
          <w:tcPr>
            <w:tcW w:w="431" w:type="pct"/>
            <w:tcBorders>
              <w:tl2br w:val="nil"/>
              <w:tr2bl w:val="nil"/>
            </w:tcBorders>
            <w:vAlign w:val="center"/>
          </w:tcPr>
          <w:p>
            <w:pPr>
              <w:pStyle w:val="70"/>
              <w:rPr>
                <w:u w:val="none"/>
              </w:rPr>
            </w:pPr>
            <w:r>
              <w:rPr>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92" w:hRule="atLeast"/>
          <w:jc w:val="center"/>
        </w:trPr>
        <w:tc>
          <w:tcPr>
            <w:tcW w:w="374" w:type="pct"/>
            <w:vMerge w:val="continue"/>
            <w:tcBorders>
              <w:tl2br w:val="nil"/>
              <w:tr2bl w:val="nil"/>
            </w:tcBorders>
            <w:noWrap/>
            <w:vAlign w:val="center"/>
          </w:tcPr>
          <w:p>
            <w:pPr>
              <w:pStyle w:val="70"/>
              <w:rPr>
                <w:u w:val="none"/>
              </w:rPr>
            </w:pPr>
          </w:p>
        </w:tc>
        <w:tc>
          <w:tcPr>
            <w:tcW w:w="1204" w:type="pct"/>
            <w:vMerge w:val="restart"/>
            <w:tcBorders>
              <w:tl2br w:val="nil"/>
              <w:tr2bl w:val="nil"/>
            </w:tcBorders>
            <w:vAlign w:val="center"/>
          </w:tcPr>
          <w:p>
            <w:pPr>
              <w:pStyle w:val="70"/>
              <w:rPr>
                <w:u w:val="none"/>
              </w:rPr>
            </w:pPr>
            <w:r>
              <w:rPr>
                <w:u w:val="none"/>
              </w:rPr>
              <w:t>第一天0862-01-05-08</w:t>
            </w:r>
            <w:r>
              <w:rPr>
                <w:u w:val="none"/>
              </w:rPr>
              <w:br w:type="textWrapping"/>
            </w:r>
            <w:r>
              <w:rPr>
                <w:u w:val="none"/>
              </w:rPr>
              <w:t>第二天0862-02-05-08</w:t>
            </w:r>
            <w:r>
              <w:rPr>
                <w:u w:val="none"/>
              </w:rPr>
              <w:br w:type="textWrapping"/>
            </w:r>
            <w:r>
              <w:rPr>
                <w:u w:val="none"/>
              </w:rPr>
              <w:t>第三天0862-03-05-08</w:t>
            </w:r>
          </w:p>
        </w:tc>
        <w:tc>
          <w:tcPr>
            <w:tcW w:w="1115" w:type="pct"/>
            <w:tcBorders>
              <w:tl2br w:val="nil"/>
              <w:tr2bl w:val="nil"/>
            </w:tcBorders>
            <w:vAlign w:val="center"/>
          </w:tcPr>
          <w:p>
            <w:pPr>
              <w:pStyle w:val="70"/>
              <w:rPr>
                <w:u w:val="none"/>
              </w:rPr>
            </w:pPr>
            <w:r>
              <w:rPr>
                <w:u w:val="none"/>
              </w:rPr>
              <w:t>砷，mg/L</w:t>
            </w:r>
          </w:p>
        </w:tc>
        <w:tc>
          <w:tcPr>
            <w:tcW w:w="621" w:type="pct"/>
            <w:tcBorders>
              <w:tl2br w:val="nil"/>
              <w:tr2bl w:val="nil"/>
            </w:tcBorders>
            <w:vAlign w:val="center"/>
          </w:tcPr>
          <w:p>
            <w:pPr>
              <w:pStyle w:val="70"/>
              <w:rPr>
                <w:u w:val="none"/>
              </w:rPr>
            </w:pPr>
            <w:r>
              <w:rPr>
                <w:u w:val="none"/>
              </w:rPr>
              <w:t>0.0042</w:t>
            </w:r>
          </w:p>
        </w:tc>
        <w:tc>
          <w:tcPr>
            <w:tcW w:w="637" w:type="pct"/>
            <w:tcBorders>
              <w:tl2br w:val="nil"/>
              <w:tr2bl w:val="nil"/>
            </w:tcBorders>
            <w:vAlign w:val="center"/>
          </w:tcPr>
          <w:p>
            <w:pPr>
              <w:pStyle w:val="70"/>
              <w:rPr>
                <w:u w:val="none"/>
              </w:rPr>
            </w:pPr>
            <w:r>
              <w:rPr>
                <w:u w:val="none"/>
              </w:rPr>
              <w:t>0.0040</w:t>
            </w:r>
          </w:p>
        </w:tc>
        <w:tc>
          <w:tcPr>
            <w:tcW w:w="614" w:type="pct"/>
            <w:tcBorders>
              <w:tl2br w:val="nil"/>
              <w:tr2bl w:val="nil"/>
            </w:tcBorders>
            <w:vAlign w:val="center"/>
          </w:tcPr>
          <w:p>
            <w:pPr>
              <w:pStyle w:val="70"/>
              <w:rPr>
                <w:u w:val="none"/>
              </w:rPr>
            </w:pPr>
            <w:r>
              <w:rPr>
                <w:u w:val="none"/>
              </w:rPr>
              <w:t>0.0030</w:t>
            </w:r>
          </w:p>
        </w:tc>
        <w:tc>
          <w:tcPr>
            <w:tcW w:w="431" w:type="pct"/>
            <w:tcBorders>
              <w:tl2br w:val="nil"/>
              <w:tr2bl w:val="nil"/>
            </w:tcBorders>
            <w:vAlign w:val="center"/>
          </w:tcPr>
          <w:p>
            <w:pPr>
              <w:pStyle w:val="70"/>
              <w:rPr>
                <w:u w:val="none"/>
              </w:rPr>
            </w:pPr>
            <w:r>
              <w:rPr>
                <w:u w:val="none"/>
              </w:rPr>
              <w:t>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锑，mg/L</w:t>
            </w:r>
          </w:p>
        </w:tc>
        <w:tc>
          <w:tcPr>
            <w:tcW w:w="621" w:type="pct"/>
            <w:tcBorders>
              <w:tl2br w:val="nil"/>
              <w:tr2bl w:val="nil"/>
            </w:tcBorders>
            <w:vAlign w:val="center"/>
          </w:tcPr>
          <w:p>
            <w:pPr>
              <w:pStyle w:val="70"/>
              <w:rPr>
                <w:u w:val="none"/>
              </w:rPr>
            </w:pPr>
            <w:r>
              <w:rPr>
                <w:u w:val="none"/>
              </w:rPr>
              <w:t>0.0048</w:t>
            </w:r>
          </w:p>
        </w:tc>
        <w:tc>
          <w:tcPr>
            <w:tcW w:w="637" w:type="pct"/>
            <w:tcBorders>
              <w:tl2br w:val="nil"/>
              <w:tr2bl w:val="nil"/>
            </w:tcBorders>
            <w:vAlign w:val="center"/>
          </w:tcPr>
          <w:p>
            <w:pPr>
              <w:pStyle w:val="70"/>
              <w:rPr>
                <w:u w:val="none"/>
              </w:rPr>
            </w:pPr>
            <w:r>
              <w:rPr>
                <w:u w:val="none"/>
              </w:rPr>
              <w:t>0.0049</w:t>
            </w:r>
          </w:p>
        </w:tc>
        <w:tc>
          <w:tcPr>
            <w:tcW w:w="614" w:type="pct"/>
            <w:tcBorders>
              <w:tl2br w:val="nil"/>
              <w:tr2bl w:val="nil"/>
            </w:tcBorders>
            <w:vAlign w:val="center"/>
          </w:tcPr>
          <w:p>
            <w:pPr>
              <w:pStyle w:val="70"/>
              <w:rPr>
                <w:u w:val="none"/>
              </w:rPr>
            </w:pPr>
            <w:r>
              <w:rPr>
                <w:u w:val="none"/>
              </w:rPr>
              <w:t>0.0035</w:t>
            </w:r>
          </w:p>
        </w:tc>
        <w:tc>
          <w:tcPr>
            <w:tcW w:w="431" w:type="pct"/>
            <w:tcBorders>
              <w:tl2br w:val="nil"/>
              <w:tr2bl w:val="nil"/>
            </w:tcBorders>
            <w:vAlign w:val="center"/>
          </w:tcPr>
          <w:p>
            <w:pPr>
              <w:pStyle w:val="70"/>
              <w:rPr>
                <w:u w:val="none"/>
              </w:rPr>
            </w:pPr>
            <w:r>
              <w:rPr>
                <w:rFonts w:hint="eastAsia"/>
                <w:u w:val="none"/>
              </w:rPr>
              <w:t>0.005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restart"/>
            <w:tcBorders>
              <w:tl2br w:val="nil"/>
              <w:tr2bl w:val="nil"/>
            </w:tcBorders>
            <w:noWrap/>
            <w:vAlign w:val="center"/>
          </w:tcPr>
          <w:p>
            <w:pPr>
              <w:pStyle w:val="70"/>
              <w:rPr>
                <w:u w:val="none"/>
              </w:rPr>
            </w:pPr>
            <w:r>
              <w:rPr>
                <w:u w:val="none"/>
              </w:rPr>
              <w:t>入河排污口下游1500m</w:t>
            </w:r>
          </w:p>
        </w:tc>
        <w:tc>
          <w:tcPr>
            <w:tcW w:w="1204" w:type="pct"/>
            <w:tcBorders>
              <w:tl2br w:val="nil"/>
              <w:tr2bl w:val="nil"/>
            </w:tcBorders>
            <w:vAlign w:val="center"/>
          </w:tcPr>
          <w:p>
            <w:pPr>
              <w:pStyle w:val="70"/>
              <w:rPr>
                <w:u w:val="none"/>
              </w:rPr>
            </w:pPr>
            <w:r>
              <w:rPr>
                <w:u w:val="none"/>
              </w:rPr>
              <w:t>第一天0862-01-05-09</w:t>
            </w:r>
            <w:r>
              <w:rPr>
                <w:u w:val="none"/>
              </w:rPr>
              <w:br w:type="textWrapping"/>
            </w:r>
            <w:r>
              <w:rPr>
                <w:u w:val="none"/>
              </w:rPr>
              <w:t>第二天0862-02-05-09</w:t>
            </w:r>
            <w:r>
              <w:rPr>
                <w:u w:val="none"/>
              </w:rPr>
              <w:br w:type="textWrapping"/>
            </w:r>
            <w:r>
              <w:rPr>
                <w:u w:val="none"/>
              </w:rPr>
              <w:t>第三天0862-03-05-09</w:t>
            </w:r>
          </w:p>
        </w:tc>
        <w:tc>
          <w:tcPr>
            <w:tcW w:w="1115" w:type="pct"/>
            <w:tcBorders>
              <w:tl2br w:val="nil"/>
              <w:tr2bl w:val="nil"/>
            </w:tcBorders>
            <w:vAlign w:val="center"/>
          </w:tcPr>
          <w:p>
            <w:pPr>
              <w:pStyle w:val="70"/>
              <w:rPr>
                <w:u w:val="none"/>
              </w:rPr>
            </w:pPr>
            <w:r>
              <w:rPr>
                <w:u w:val="none"/>
              </w:rPr>
              <w:t>硫化物，mg/L</w:t>
            </w:r>
          </w:p>
        </w:tc>
        <w:tc>
          <w:tcPr>
            <w:tcW w:w="621" w:type="pct"/>
            <w:tcBorders>
              <w:tl2br w:val="nil"/>
              <w:tr2bl w:val="nil"/>
            </w:tcBorders>
            <w:vAlign w:val="center"/>
          </w:tcPr>
          <w:p>
            <w:pPr>
              <w:pStyle w:val="70"/>
              <w:rPr>
                <w:u w:val="none"/>
              </w:rPr>
            </w:pPr>
            <w:r>
              <w:rPr>
                <w:u w:val="none"/>
              </w:rPr>
              <w:t>0.01L</w:t>
            </w:r>
          </w:p>
        </w:tc>
        <w:tc>
          <w:tcPr>
            <w:tcW w:w="637" w:type="pct"/>
            <w:tcBorders>
              <w:tl2br w:val="nil"/>
              <w:tr2bl w:val="nil"/>
            </w:tcBorders>
            <w:vAlign w:val="center"/>
          </w:tcPr>
          <w:p>
            <w:pPr>
              <w:pStyle w:val="70"/>
              <w:rPr>
                <w:u w:val="none"/>
              </w:rPr>
            </w:pPr>
            <w:r>
              <w:rPr>
                <w:u w:val="none"/>
              </w:rPr>
              <w:t>0.01L</w:t>
            </w:r>
          </w:p>
        </w:tc>
        <w:tc>
          <w:tcPr>
            <w:tcW w:w="614" w:type="pct"/>
            <w:tcBorders>
              <w:tl2br w:val="nil"/>
              <w:tr2bl w:val="nil"/>
            </w:tcBorders>
            <w:vAlign w:val="center"/>
          </w:tcPr>
          <w:p>
            <w:pPr>
              <w:pStyle w:val="70"/>
              <w:rPr>
                <w:u w:val="none"/>
              </w:rPr>
            </w:pPr>
            <w:r>
              <w:rPr>
                <w:u w:val="none"/>
              </w:rPr>
              <w:t>0.01L</w:t>
            </w:r>
          </w:p>
        </w:tc>
        <w:tc>
          <w:tcPr>
            <w:tcW w:w="431" w:type="pct"/>
            <w:tcBorders>
              <w:tl2br w:val="nil"/>
              <w:tr2bl w:val="nil"/>
            </w:tcBorders>
            <w:vAlign w:val="center"/>
          </w:tcPr>
          <w:p>
            <w:pPr>
              <w:pStyle w:val="70"/>
              <w:rPr>
                <w:u w:val="none"/>
              </w:rPr>
            </w:pPr>
            <w:r>
              <w:rPr>
                <w:u w:val="none"/>
              </w:rPr>
              <w:t>0.1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第一天0862-01-05-10</w:t>
            </w:r>
            <w:r>
              <w:rPr>
                <w:u w:val="none"/>
              </w:rPr>
              <w:br w:type="textWrapping"/>
            </w:r>
            <w:r>
              <w:rPr>
                <w:u w:val="none"/>
              </w:rPr>
              <w:t>第二天0862-02-05-10</w:t>
            </w:r>
            <w:r>
              <w:rPr>
                <w:u w:val="none"/>
              </w:rPr>
              <w:br w:type="textWrapping"/>
            </w:r>
            <w:r>
              <w:rPr>
                <w:u w:val="none"/>
              </w:rPr>
              <w:t>第三天0862-03-05-10</w:t>
            </w:r>
          </w:p>
        </w:tc>
        <w:tc>
          <w:tcPr>
            <w:tcW w:w="1115" w:type="pct"/>
            <w:tcBorders>
              <w:tl2br w:val="nil"/>
              <w:tr2bl w:val="nil"/>
            </w:tcBorders>
            <w:vAlign w:val="center"/>
          </w:tcPr>
          <w:p>
            <w:pPr>
              <w:pStyle w:val="70"/>
              <w:rPr>
                <w:u w:val="none"/>
              </w:rPr>
            </w:pPr>
            <w:r>
              <w:rPr>
                <w:u w:val="none"/>
              </w:rPr>
              <w:t>六价铬，mg/L</w:t>
            </w:r>
          </w:p>
        </w:tc>
        <w:tc>
          <w:tcPr>
            <w:tcW w:w="621" w:type="pct"/>
            <w:tcBorders>
              <w:tl2br w:val="nil"/>
              <w:tr2bl w:val="nil"/>
            </w:tcBorders>
            <w:vAlign w:val="center"/>
          </w:tcPr>
          <w:p>
            <w:pPr>
              <w:pStyle w:val="70"/>
              <w:rPr>
                <w:u w:val="none"/>
              </w:rPr>
            </w:pPr>
            <w:r>
              <w:rPr>
                <w:u w:val="none"/>
              </w:rPr>
              <w:t>0.004L</w:t>
            </w:r>
          </w:p>
        </w:tc>
        <w:tc>
          <w:tcPr>
            <w:tcW w:w="637" w:type="pct"/>
            <w:tcBorders>
              <w:tl2br w:val="nil"/>
              <w:tr2bl w:val="nil"/>
            </w:tcBorders>
            <w:vAlign w:val="center"/>
          </w:tcPr>
          <w:p>
            <w:pPr>
              <w:pStyle w:val="70"/>
              <w:rPr>
                <w:u w:val="none"/>
              </w:rPr>
            </w:pPr>
            <w:r>
              <w:rPr>
                <w:u w:val="none"/>
              </w:rPr>
              <w:t>0.004L</w:t>
            </w:r>
          </w:p>
        </w:tc>
        <w:tc>
          <w:tcPr>
            <w:tcW w:w="614" w:type="pct"/>
            <w:tcBorders>
              <w:tl2br w:val="nil"/>
              <w:tr2bl w:val="nil"/>
            </w:tcBorders>
            <w:vAlign w:val="center"/>
          </w:tcPr>
          <w:p>
            <w:pPr>
              <w:pStyle w:val="70"/>
              <w:rPr>
                <w:u w:val="none"/>
              </w:rPr>
            </w:pPr>
            <w:r>
              <w:rPr>
                <w:u w:val="none"/>
              </w:rPr>
              <w:t>0.004L</w:t>
            </w:r>
          </w:p>
        </w:tc>
        <w:tc>
          <w:tcPr>
            <w:tcW w:w="431" w:type="pct"/>
            <w:tcBorders>
              <w:tl2br w:val="nil"/>
              <w:tr2bl w:val="nil"/>
            </w:tcBorders>
            <w:vAlign w:val="center"/>
          </w:tcPr>
          <w:p>
            <w:pPr>
              <w:pStyle w:val="70"/>
              <w:rPr>
                <w:u w:val="none"/>
              </w:rPr>
            </w:pPr>
            <w:r>
              <w:rPr>
                <w:u w:val="none"/>
              </w:rPr>
              <w:t>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restart"/>
            <w:tcBorders>
              <w:tl2br w:val="nil"/>
              <w:tr2bl w:val="nil"/>
            </w:tcBorders>
            <w:noWrap/>
            <w:vAlign w:val="center"/>
          </w:tcPr>
          <w:p>
            <w:pPr>
              <w:pStyle w:val="70"/>
              <w:rPr>
                <w:u w:val="none"/>
              </w:rPr>
            </w:pPr>
            <w:r>
              <w:rPr>
                <w:u w:val="none"/>
              </w:rPr>
              <w:t>入河排污口下游3000m</w:t>
            </w:r>
          </w:p>
        </w:tc>
        <w:tc>
          <w:tcPr>
            <w:tcW w:w="1204" w:type="pct"/>
            <w:tcBorders>
              <w:tl2br w:val="nil"/>
              <w:tr2bl w:val="nil"/>
            </w:tcBorders>
            <w:vAlign w:val="center"/>
          </w:tcPr>
          <w:p>
            <w:pPr>
              <w:pStyle w:val="70"/>
              <w:rPr>
                <w:u w:val="none"/>
              </w:rPr>
            </w:pPr>
            <w:r>
              <w:rPr>
                <w:u w:val="none"/>
              </w:rPr>
              <w:t>/</w:t>
            </w:r>
          </w:p>
        </w:tc>
        <w:tc>
          <w:tcPr>
            <w:tcW w:w="1115" w:type="pct"/>
            <w:tcBorders>
              <w:tl2br w:val="nil"/>
              <w:tr2bl w:val="nil"/>
            </w:tcBorders>
            <w:vAlign w:val="center"/>
          </w:tcPr>
          <w:p>
            <w:pPr>
              <w:pStyle w:val="70"/>
              <w:rPr>
                <w:u w:val="none"/>
              </w:rPr>
            </w:pPr>
            <w:r>
              <w:rPr>
                <w:u w:val="none"/>
              </w:rPr>
              <w:t>pH值，无量纲</w:t>
            </w:r>
          </w:p>
        </w:tc>
        <w:tc>
          <w:tcPr>
            <w:tcW w:w="621" w:type="pct"/>
            <w:tcBorders>
              <w:tl2br w:val="nil"/>
              <w:tr2bl w:val="nil"/>
            </w:tcBorders>
            <w:vAlign w:val="center"/>
          </w:tcPr>
          <w:p>
            <w:pPr>
              <w:pStyle w:val="70"/>
              <w:rPr>
                <w:u w:val="none"/>
              </w:rPr>
            </w:pPr>
            <w:r>
              <w:rPr>
                <w:u w:val="none"/>
              </w:rPr>
              <w:t>8.1</w:t>
            </w:r>
          </w:p>
        </w:tc>
        <w:tc>
          <w:tcPr>
            <w:tcW w:w="637" w:type="pct"/>
            <w:tcBorders>
              <w:tl2br w:val="nil"/>
              <w:tr2bl w:val="nil"/>
            </w:tcBorders>
            <w:vAlign w:val="center"/>
          </w:tcPr>
          <w:p>
            <w:pPr>
              <w:pStyle w:val="70"/>
              <w:rPr>
                <w:u w:val="none"/>
              </w:rPr>
            </w:pPr>
            <w:r>
              <w:rPr>
                <w:u w:val="none"/>
              </w:rPr>
              <w:t>8.2</w:t>
            </w:r>
          </w:p>
        </w:tc>
        <w:tc>
          <w:tcPr>
            <w:tcW w:w="614" w:type="pct"/>
            <w:tcBorders>
              <w:tl2br w:val="nil"/>
              <w:tr2bl w:val="nil"/>
            </w:tcBorders>
            <w:vAlign w:val="center"/>
          </w:tcPr>
          <w:p>
            <w:pPr>
              <w:pStyle w:val="70"/>
              <w:rPr>
                <w:u w:val="none"/>
              </w:rPr>
            </w:pPr>
            <w:r>
              <w:rPr>
                <w:u w:val="none"/>
              </w:rPr>
              <w:t>8.1</w:t>
            </w:r>
          </w:p>
        </w:tc>
        <w:tc>
          <w:tcPr>
            <w:tcW w:w="431" w:type="pct"/>
            <w:tcBorders>
              <w:tl2br w:val="nil"/>
              <w:tr2bl w:val="nil"/>
            </w:tcBorders>
            <w:vAlign w:val="center"/>
          </w:tcPr>
          <w:p>
            <w:pPr>
              <w:pStyle w:val="70"/>
              <w:rPr>
                <w:u w:val="none"/>
              </w:rPr>
            </w:pPr>
            <w:r>
              <w:rPr>
                <w:u w:val="none"/>
              </w:rPr>
              <w:t>6-9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vMerge w:val="restart"/>
            <w:tcBorders>
              <w:tl2br w:val="nil"/>
              <w:tr2bl w:val="nil"/>
            </w:tcBorders>
            <w:vAlign w:val="center"/>
          </w:tcPr>
          <w:p>
            <w:pPr>
              <w:pStyle w:val="70"/>
              <w:rPr>
                <w:u w:val="none"/>
              </w:rPr>
            </w:pPr>
            <w:r>
              <w:rPr>
                <w:u w:val="none"/>
              </w:rPr>
              <w:t>第一天0862-01-06-01</w:t>
            </w:r>
            <w:r>
              <w:rPr>
                <w:u w:val="none"/>
              </w:rPr>
              <w:br w:type="textWrapping"/>
            </w:r>
            <w:r>
              <w:rPr>
                <w:u w:val="none"/>
              </w:rPr>
              <w:t>第二天0862-02-06-01</w:t>
            </w:r>
            <w:r>
              <w:rPr>
                <w:u w:val="none"/>
              </w:rPr>
              <w:br w:type="textWrapping"/>
            </w:r>
            <w:r>
              <w:rPr>
                <w:u w:val="none"/>
              </w:rPr>
              <w:t>第三天0862-03-06-01</w:t>
            </w:r>
          </w:p>
        </w:tc>
        <w:tc>
          <w:tcPr>
            <w:tcW w:w="1115" w:type="pct"/>
            <w:tcBorders>
              <w:tl2br w:val="nil"/>
              <w:tr2bl w:val="nil"/>
            </w:tcBorders>
            <w:vAlign w:val="center"/>
          </w:tcPr>
          <w:p>
            <w:pPr>
              <w:pStyle w:val="70"/>
              <w:rPr>
                <w:u w:val="none"/>
              </w:rPr>
            </w:pPr>
            <w:r>
              <w:rPr>
                <w:u w:val="none"/>
              </w:rPr>
              <w:t>化学需氧量，mg/L</w:t>
            </w:r>
          </w:p>
        </w:tc>
        <w:tc>
          <w:tcPr>
            <w:tcW w:w="621" w:type="pct"/>
            <w:tcBorders>
              <w:tl2br w:val="nil"/>
              <w:tr2bl w:val="nil"/>
            </w:tcBorders>
            <w:vAlign w:val="center"/>
          </w:tcPr>
          <w:p>
            <w:pPr>
              <w:pStyle w:val="70"/>
              <w:rPr>
                <w:u w:val="none"/>
              </w:rPr>
            </w:pPr>
            <w:r>
              <w:rPr>
                <w:u w:val="none"/>
              </w:rPr>
              <w:t>7</w:t>
            </w:r>
          </w:p>
        </w:tc>
        <w:tc>
          <w:tcPr>
            <w:tcW w:w="637" w:type="pct"/>
            <w:tcBorders>
              <w:tl2br w:val="nil"/>
              <w:tr2bl w:val="nil"/>
            </w:tcBorders>
            <w:vAlign w:val="center"/>
          </w:tcPr>
          <w:p>
            <w:pPr>
              <w:pStyle w:val="70"/>
              <w:rPr>
                <w:u w:val="none"/>
              </w:rPr>
            </w:pPr>
            <w:r>
              <w:rPr>
                <w:u w:val="none"/>
              </w:rPr>
              <w:t>8</w:t>
            </w:r>
          </w:p>
        </w:tc>
        <w:tc>
          <w:tcPr>
            <w:tcW w:w="614" w:type="pct"/>
            <w:tcBorders>
              <w:tl2br w:val="nil"/>
              <w:tr2bl w:val="nil"/>
            </w:tcBorders>
            <w:vAlign w:val="center"/>
          </w:tcPr>
          <w:p>
            <w:pPr>
              <w:pStyle w:val="70"/>
              <w:rPr>
                <w:u w:val="none"/>
              </w:rPr>
            </w:pPr>
            <w:r>
              <w:rPr>
                <w:u w:val="none"/>
              </w:rPr>
              <w:t>8</w:t>
            </w:r>
          </w:p>
        </w:tc>
        <w:tc>
          <w:tcPr>
            <w:tcW w:w="431" w:type="pct"/>
            <w:tcBorders>
              <w:tl2br w:val="nil"/>
              <w:tr2bl w:val="nil"/>
            </w:tcBorders>
            <w:vAlign w:val="center"/>
          </w:tcPr>
          <w:p>
            <w:pPr>
              <w:pStyle w:val="70"/>
              <w:rPr>
                <w:u w:val="none"/>
              </w:rPr>
            </w:pPr>
            <w:r>
              <w:rPr>
                <w:u w:val="none"/>
              </w:rPr>
              <w:t>15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氨氮，mg/L</w:t>
            </w:r>
          </w:p>
        </w:tc>
        <w:tc>
          <w:tcPr>
            <w:tcW w:w="621" w:type="pct"/>
            <w:tcBorders>
              <w:tl2br w:val="nil"/>
              <w:tr2bl w:val="nil"/>
            </w:tcBorders>
            <w:vAlign w:val="center"/>
          </w:tcPr>
          <w:p>
            <w:pPr>
              <w:pStyle w:val="70"/>
              <w:rPr>
                <w:u w:val="none"/>
              </w:rPr>
            </w:pPr>
            <w:r>
              <w:rPr>
                <w:u w:val="none"/>
              </w:rPr>
              <w:t>0.095</w:t>
            </w:r>
          </w:p>
        </w:tc>
        <w:tc>
          <w:tcPr>
            <w:tcW w:w="637" w:type="pct"/>
            <w:tcBorders>
              <w:tl2br w:val="nil"/>
              <w:tr2bl w:val="nil"/>
            </w:tcBorders>
            <w:vAlign w:val="center"/>
          </w:tcPr>
          <w:p>
            <w:pPr>
              <w:pStyle w:val="70"/>
              <w:rPr>
                <w:u w:val="none"/>
              </w:rPr>
            </w:pPr>
            <w:r>
              <w:rPr>
                <w:u w:val="none"/>
              </w:rPr>
              <w:t>0.126</w:t>
            </w:r>
          </w:p>
        </w:tc>
        <w:tc>
          <w:tcPr>
            <w:tcW w:w="614" w:type="pct"/>
            <w:tcBorders>
              <w:tl2br w:val="nil"/>
              <w:tr2bl w:val="nil"/>
            </w:tcBorders>
            <w:vAlign w:val="center"/>
          </w:tcPr>
          <w:p>
            <w:pPr>
              <w:pStyle w:val="70"/>
              <w:rPr>
                <w:u w:val="none"/>
              </w:rPr>
            </w:pPr>
            <w:r>
              <w:rPr>
                <w:u w:val="none"/>
              </w:rPr>
              <w:t>0.072</w:t>
            </w:r>
          </w:p>
        </w:tc>
        <w:tc>
          <w:tcPr>
            <w:tcW w:w="431" w:type="pct"/>
            <w:tcBorders>
              <w:tl2br w:val="nil"/>
              <w:tr2bl w:val="nil"/>
            </w:tcBorders>
            <w:vAlign w:val="center"/>
          </w:tcPr>
          <w:p>
            <w:pPr>
              <w:pStyle w:val="70"/>
              <w:rPr>
                <w:u w:val="none"/>
              </w:rPr>
            </w:pPr>
            <w:r>
              <w:rPr>
                <w:u w:val="none"/>
              </w:rPr>
              <w:t>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861" w:hRule="atLeast"/>
          <w:jc w:val="center"/>
        </w:trPr>
        <w:tc>
          <w:tcPr>
            <w:tcW w:w="374" w:type="pct"/>
            <w:vMerge w:val="continue"/>
            <w:tcBorders>
              <w:tl2br w:val="nil"/>
              <w:tr2bl w:val="nil"/>
            </w:tcBorders>
            <w:noWrap/>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第一天0862-01-06-02</w:t>
            </w:r>
            <w:r>
              <w:rPr>
                <w:u w:val="none"/>
              </w:rPr>
              <w:br w:type="textWrapping"/>
            </w:r>
            <w:r>
              <w:rPr>
                <w:u w:val="none"/>
              </w:rPr>
              <w:t>第二天0862-02-06-02</w:t>
            </w:r>
            <w:r>
              <w:rPr>
                <w:u w:val="none"/>
              </w:rPr>
              <w:br w:type="textWrapping"/>
            </w:r>
            <w:r>
              <w:rPr>
                <w:u w:val="none"/>
              </w:rPr>
              <w:t>第三天0862-03-06-02</w:t>
            </w:r>
          </w:p>
        </w:tc>
        <w:tc>
          <w:tcPr>
            <w:tcW w:w="1115" w:type="pct"/>
            <w:tcBorders>
              <w:tl2br w:val="nil"/>
              <w:tr2bl w:val="nil"/>
            </w:tcBorders>
            <w:vAlign w:val="center"/>
          </w:tcPr>
          <w:p>
            <w:pPr>
              <w:pStyle w:val="70"/>
              <w:rPr>
                <w:u w:val="none"/>
              </w:rPr>
            </w:pPr>
            <w:r>
              <w:rPr>
                <w:u w:val="none"/>
              </w:rPr>
              <w:t>五日生化需氧量，mg/L</w:t>
            </w:r>
          </w:p>
        </w:tc>
        <w:tc>
          <w:tcPr>
            <w:tcW w:w="621" w:type="pct"/>
            <w:tcBorders>
              <w:tl2br w:val="nil"/>
              <w:tr2bl w:val="nil"/>
            </w:tcBorders>
            <w:vAlign w:val="center"/>
          </w:tcPr>
          <w:p>
            <w:pPr>
              <w:pStyle w:val="70"/>
              <w:rPr>
                <w:u w:val="none"/>
              </w:rPr>
            </w:pPr>
            <w:r>
              <w:rPr>
                <w:u w:val="none"/>
              </w:rPr>
              <w:t>2.0</w:t>
            </w:r>
          </w:p>
        </w:tc>
        <w:tc>
          <w:tcPr>
            <w:tcW w:w="637" w:type="pct"/>
            <w:tcBorders>
              <w:tl2br w:val="nil"/>
              <w:tr2bl w:val="nil"/>
            </w:tcBorders>
            <w:vAlign w:val="center"/>
          </w:tcPr>
          <w:p>
            <w:pPr>
              <w:pStyle w:val="70"/>
              <w:rPr>
                <w:u w:val="none"/>
              </w:rPr>
            </w:pPr>
            <w:r>
              <w:rPr>
                <w:u w:val="none"/>
              </w:rPr>
              <w:t>2.3</w:t>
            </w:r>
          </w:p>
        </w:tc>
        <w:tc>
          <w:tcPr>
            <w:tcW w:w="614" w:type="pct"/>
            <w:tcBorders>
              <w:tl2br w:val="nil"/>
              <w:tr2bl w:val="nil"/>
            </w:tcBorders>
            <w:vAlign w:val="center"/>
          </w:tcPr>
          <w:p>
            <w:pPr>
              <w:pStyle w:val="70"/>
              <w:rPr>
                <w:u w:val="none"/>
              </w:rPr>
            </w:pPr>
            <w:r>
              <w:rPr>
                <w:u w:val="none"/>
              </w:rPr>
              <w:t>2.3</w:t>
            </w:r>
          </w:p>
        </w:tc>
        <w:tc>
          <w:tcPr>
            <w:tcW w:w="431" w:type="pct"/>
            <w:tcBorders>
              <w:tl2br w:val="nil"/>
              <w:tr2bl w:val="nil"/>
            </w:tcBorders>
            <w:vAlign w:val="center"/>
          </w:tcPr>
          <w:p>
            <w:pPr>
              <w:pStyle w:val="70"/>
              <w:rPr>
                <w:u w:val="none"/>
              </w:rPr>
            </w:pPr>
            <w:r>
              <w:rPr>
                <w:u w:val="none"/>
              </w:rPr>
              <w:t>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736" w:hRule="atLeast"/>
          <w:jc w:val="center"/>
        </w:trPr>
        <w:tc>
          <w:tcPr>
            <w:tcW w:w="374" w:type="pct"/>
            <w:vMerge w:val="continue"/>
            <w:tcBorders>
              <w:tl2br w:val="nil"/>
              <w:tr2bl w:val="nil"/>
            </w:tcBorders>
            <w:noWrap/>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第一天0862-01-06-03</w:t>
            </w:r>
            <w:r>
              <w:rPr>
                <w:u w:val="none"/>
              </w:rPr>
              <w:br w:type="textWrapping"/>
            </w:r>
            <w:r>
              <w:rPr>
                <w:u w:val="none"/>
              </w:rPr>
              <w:t>第二天0862-02-06-03</w:t>
            </w:r>
            <w:r>
              <w:rPr>
                <w:u w:val="none"/>
              </w:rPr>
              <w:br w:type="textWrapping"/>
            </w:r>
            <w:r>
              <w:rPr>
                <w:u w:val="none"/>
              </w:rPr>
              <w:t>第三天0862-03-06-03</w:t>
            </w:r>
          </w:p>
        </w:tc>
        <w:tc>
          <w:tcPr>
            <w:tcW w:w="1115" w:type="pct"/>
            <w:tcBorders>
              <w:tl2br w:val="nil"/>
              <w:tr2bl w:val="nil"/>
            </w:tcBorders>
            <w:vAlign w:val="center"/>
          </w:tcPr>
          <w:p>
            <w:pPr>
              <w:pStyle w:val="70"/>
              <w:rPr>
                <w:u w:val="none"/>
              </w:rPr>
            </w:pPr>
            <w:r>
              <w:rPr>
                <w:u w:val="none"/>
              </w:rPr>
              <w:t>悬浮物，mg/L</w:t>
            </w:r>
          </w:p>
        </w:tc>
        <w:tc>
          <w:tcPr>
            <w:tcW w:w="621" w:type="pct"/>
            <w:tcBorders>
              <w:tl2br w:val="nil"/>
              <w:tr2bl w:val="nil"/>
            </w:tcBorders>
            <w:vAlign w:val="center"/>
          </w:tcPr>
          <w:p>
            <w:pPr>
              <w:pStyle w:val="70"/>
              <w:rPr>
                <w:u w:val="none"/>
              </w:rPr>
            </w:pPr>
            <w:r>
              <w:rPr>
                <w:u w:val="none"/>
              </w:rPr>
              <w:t>6</w:t>
            </w:r>
          </w:p>
        </w:tc>
        <w:tc>
          <w:tcPr>
            <w:tcW w:w="637" w:type="pct"/>
            <w:tcBorders>
              <w:tl2br w:val="nil"/>
              <w:tr2bl w:val="nil"/>
            </w:tcBorders>
            <w:vAlign w:val="center"/>
          </w:tcPr>
          <w:p>
            <w:pPr>
              <w:pStyle w:val="70"/>
              <w:rPr>
                <w:u w:val="none"/>
              </w:rPr>
            </w:pPr>
            <w:r>
              <w:rPr>
                <w:u w:val="none"/>
              </w:rPr>
              <w:t>6</w:t>
            </w:r>
          </w:p>
        </w:tc>
        <w:tc>
          <w:tcPr>
            <w:tcW w:w="614" w:type="pct"/>
            <w:tcBorders>
              <w:tl2br w:val="nil"/>
              <w:tr2bl w:val="nil"/>
            </w:tcBorders>
            <w:vAlign w:val="center"/>
          </w:tcPr>
          <w:p>
            <w:pPr>
              <w:pStyle w:val="70"/>
              <w:rPr>
                <w:u w:val="none"/>
              </w:rPr>
            </w:pPr>
            <w:r>
              <w:rPr>
                <w:u w:val="none"/>
              </w:rPr>
              <w:t>6</w:t>
            </w:r>
          </w:p>
        </w:tc>
        <w:tc>
          <w:tcPr>
            <w:tcW w:w="431" w:type="pct"/>
            <w:tcBorders>
              <w:tl2br w:val="nil"/>
              <w:tr2bl w:val="nil"/>
            </w:tcBorders>
            <w:vAlign w:val="center"/>
          </w:tcPr>
          <w:p>
            <w:pPr>
              <w:pStyle w:val="70"/>
              <w:rPr>
                <w:u w:val="none"/>
              </w:rPr>
            </w:pPr>
            <w:r>
              <w:rPr>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874" w:hRule="atLeast"/>
          <w:jc w:val="center"/>
        </w:trPr>
        <w:tc>
          <w:tcPr>
            <w:tcW w:w="374" w:type="pct"/>
            <w:vMerge w:val="continue"/>
            <w:tcBorders>
              <w:tl2br w:val="nil"/>
              <w:tr2bl w:val="nil"/>
            </w:tcBorders>
            <w:noWrap/>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第一天0862-01-06-04</w:t>
            </w:r>
            <w:r>
              <w:rPr>
                <w:u w:val="none"/>
              </w:rPr>
              <w:br w:type="textWrapping"/>
            </w:r>
            <w:r>
              <w:rPr>
                <w:u w:val="none"/>
              </w:rPr>
              <w:t>第二天0862-02-06-04</w:t>
            </w:r>
            <w:r>
              <w:rPr>
                <w:u w:val="none"/>
              </w:rPr>
              <w:br w:type="textWrapping"/>
            </w:r>
            <w:r>
              <w:rPr>
                <w:u w:val="none"/>
              </w:rPr>
              <w:t>第三天0862-03-06-04</w:t>
            </w:r>
          </w:p>
        </w:tc>
        <w:tc>
          <w:tcPr>
            <w:tcW w:w="1115" w:type="pct"/>
            <w:tcBorders>
              <w:tl2br w:val="nil"/>
              <w:tr2bl w:val="nil"/>
            </w:tcBorders>
            <w:vAlign w:val="center"/>
          </w:tcPr>
          <w:p>
            <w:pPr>
              <w:pStyle w:val="70"/>
              <w:rPr>
                <w:u w:val="none"/>
              </w:rPr>
            </w:pPr>
            <w:r>
              <w:rPr>
                <w:u w:val="none"/>
              </w:rPr>
              <w:t>石油类，mg/L</w:t>
            </w:r>
          </w:p>
        </w:tc>
        <w:tc>
          <w:tcPr>
            <w:tcW w:w="621" w:type="pct"/>
            <w:tcBorders>
              <w:tl2br w:val="nil"/>
              <w:tr2bl w:val="nil"/>
            </w:tcBorders>
            <w:vAlign w:val="center"/>
          </w:tcPr>
          <w:p>
            <w:pPr>
              <w:pStyle w:val="70"/>
              <w:rPr>
                <w:u w:val="none"/>
              </w:rPr>
            </w:pPr>
            <w:r>
              <w:rPr>
                <w:u w:val="none"/>
              </w:rPr>
              <w:t>0.01L</w:t>
            </w:r>
          </w:p>
        </w:tc>
        <w:tc>
          <w:tcPr>
            <w:tcW w:w="637" w:type="pct"/>
            <w:tcBorders>
              <w:tl2br w:val="nil"/>
              <w:tr2bl w:val="nil"/>
            </w:tcBorders>
            <w:vAlign w:val="center"/>
          </w:tcPr>
          <w:p>
            <w:pPr>
              <w:pStyle w:val="70"/>
              <w:rPr>
                <w:u w:val="none"/>
              </w:rPr>
            </w:pPr>
            <w:r>
              <w:rPr>
                <w:u w:val="none"/>
              </w:rPr>
              <w:t>0.01L</w:t>
            </w:r>
          </w:p>
        </w:tc>
        <w:tc>
          <w:tcPr>
            <w:tcW w:w="614" w:type="pct"/>
            <w:tcBorders>
              <w:tl2br w:val="nil"/>
              <w:tr2bl w:val="nil"/>
            </w:tcBorders>
            <w:vAlign w:val="center"/>
          </w:tcPr>
          <w:p>
            <w:pPr>
              <w:pStyle w:val="70"/>
              <w:rPr>
                <w:u w:val="none"/>
              </w:rPr>
            </w:pPr>
            <w:r>
              <w:rPr>
                <w:u w:val="none"/>
              </w:rPr>
              <w:t>0.01L</w:t>
            </w:r>
          </w:p>
        </w:tc>
        <w:tc>
          <w:tcPr>
            <w:tcW w:w="431" w:type="pct"/>
            <w:tcBorders>
              <w:tl2br w:val="nil"/>
              <w:tr2bl w:val="nil"/>
            </w:tcBorders>
            <w:vAlign w:val="center"/>
          </w:tcPr>
          <w:p>
            <w:pPr>
              <w:pStyle w:val="70"/>
              <w:rPr>
                <w:u w:val="none"/>
              </w:rPr>
            </w:pPr>
            <w:r>
              <w:rPr>
                <w:u w:val="none"/>
              </w:rPr>
              <w:t>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761" w:hRule="atLeast"/>
          <w:jc w:val="center"/>
        </w:trPr>
        <w:tc>
          <w:tcPr>
            <w:tcW w:w="374" w:type="pct"/>
            <w:vMerge w:val="continue"/>
            <w:tcBorders>
              <w:tl2br w:val="nil"/>
              <w:tr2bl w:val="nil"/>
            </w:tcBorders>
            <w:noWrap/>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第一天0862-01-06-05</w:t>
            </w:r>
            <w:r>
              <w:rPr>
                <w:u w:val="none"/>
              </w:rPr>
              <w:br w:type="textWrapping"/>
            </w:r>
            <w:r>
              <w:rPr>
                <w:u w:val="none"/>
              </w:rPr>
              <w:t>第二天0862-02-06-05</w:t>
            </w:r>
            <w:r>
              <w:rPr>
                <w:u w:val="none"/>
              </w:rPr>
              <w:br w:type="textWrapping"/>
            </w:r>
            <w:r>
              <w:rPr>
                <w:u w:val="none"/>
              </w:rPr>
              <w:t>第三天0862-03-06-05</w:t>
            </w:r>
          </w:p>
        </w:tc>
        <w:tc>
          <w:tcPr>
            <w:tcW w:w="1115" w:type="pct"/>
            <w:tcBorders>
              <w:tl2br w:val="nil"/>
              <w:tr2bl w:val="nil"/>
            </w:tcBorders>
            <w:vAlign w:val="center"/>
          </w:tcPr>
          <w:p>
            <w:pPr>
              <w:pStyle w:val="70"/>
              <w:rPr>
                <w:u w:val="none"/>
              </w:rPr>
            </w:pPr>
            <w:r>
              <w:rPr>
                <w:u w:val="none"/>
              </w:rPr>
              <w:t>总磷，mg/L</w:t>
            </w:r>
          </w:p>
        </w:tc>
        <w:tc>
          <w:tcPr>
            <w:tcW w:w="621" w:type="pct"/>
            <w:tcBorders>
              <w:tl2br w:val="nil"/>
              <w:tr2bl w:val="nil"/>
            </w:tcBorders>
            <w:vAlign w:val="center"/>
          </w:tcPr>
          <w:p>
            <w:pPr>
              <w:pStyle w:val="70"/>
              <w:rPr>
                <w:u w:val="none"/>
              </w:rPr>
            </w:pPr>
            <w:r>
              <w:rPr>
                <w:u w:val="none"/>
              </w:rPr>
              <w:t>0.05</w:t>
            </w:r>
          </w:p>
        </w:tc>
        <w:tc>
          <w:tcPr>
            <w:tcW w:w="637" w:type="pct"/>
            <w:tcBorders>
              <w:tl2br w:val="nil"/>
              <w:tr2bl w:val="nil"/>
            </w:tcBorders>
            <w:vAlign w:val="center"/>
          </w:tcPr>
          <w:p>
            <w:pPr>
              <w:pStyle w:val="70"/>
              <w:rPr>
                <w:u w:val="none"/>
              </w:rPr>
            </w:pPr>
            <w:r>
              <w:rPr>
                <w:u w:val="none"/>
              </w:rPr>
              <w:t>0.06</w:t>
            </w:r>
          </w:p>
        </w:tc>
        <w:tc>
          <w:tcPr>
            <w:tcW w:w="614" w:type="pct"/>
            <w:tcBorders>
              <w:tl2br w:val="nil"/>
              <w:tr2bl w:val="nil"/>
            </w:tcBorders>
            <w:vAlign w:val="center"/>
          </w:tcPr>
          <w:p>
            <w:pPr>
              <w:pStyle w:val="70"/>
              <w:rPr>
                <w:u w:val="none"/>
              </w:rPr>
            </w:pPr>
            <w:r>
              <w:rPr>
                <w:u w:val="none"/>
              </w:rPr>
              <w:t>0.06</w:t>
            </w:r>
          </w:p>
        </w:tc>
        <w:tc>
          <w:tcPr>
            <w:tcW w:w="431" w:type="pct"/>
            <w:tcBorders>
              <w:tl2br w:val="nil"/>
              <w:tr2bl w:val="nil"/>
            </w:tcBorders>
            <w:vAlign w:val="center"/>
          </w:tcPr>
          <w:p>
            <w:pPr>
              <w:pStyle w:val="70"/>
              <w:rPr>
                <w:u w:val="none"/>
              </w:rPr>
            </w:pPr>
            <w:r>
              <w:rPr>
                <w:u w:val="none"/>
              </w:rPr>
              <w:t>0.1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第一天0862-01-06-06</w:t>
            </w:r>
            <w:r>
              <w:rPr>
                <w:u w:val="none"/>
              </w:rPr>
              <w:br w:type="textWrapping"/>
            </w:r>
            <w:r>
              <w:rPr>
                <w:u w:val="none"/>
              </w:rPr>
              <w:t>第二天0862-02-06-06</w:t>
            </w:r>
            <w:r>
              <w:rPr>
                <w:u w:val="none"/>
              </w:rPr>
              <w:br w:type="textWrapping"/>
            </w:r>
            <w:r>
              <w:rPr>
                <w:u w:val="none"/>
              </w:rPr>
              <w:t>第三天0862-03-06-06</w:t>
            </w:r>
          </w:p>
        </w:tc>
        <w:tc>
          <w:tcPr>
            <w:tcW w:w="1115" w:type="pct"/>
            <w:tcBorders>
              <w:tl2br w:val="nil"/>
              <w:tr2bl w:val="nil"/>
            </w:tcBorders>
            <w:vAlign w:val="center"/>
          </w:tcPr>
          <w:p>
            <w:pPr>
              <w:pStyle w:val="70"/>
              <w:rPr>
                <w:u w:val="none"/>
              </w:rPr>
            </w:pPr>
            <w:r>
              <w:rPr>
                <w:u w:val="none"/>
              </w:rPr>
              <w:t>氟化物，mg/L</w:t>
            </w:r>
          </w:p>
        </w:tc>
        <w:tc>
          <w:tcPr>
            <w:tcW w:w="621" w:type="pct"/>
            <w:tcBorders>
              <w:tl2br w:val="nil"/>
              <w:tr2bl w:val="nil"/>
            </w:tcBorders>
            <w:vAlign w:val="center"/>
          </w:tcPr>
          <w:p>
            <w:pPr>
              <w:pStyle w:val="70"/>
              <w:rPr>
                <w:u w:val="none"/>
              </w:rPr>
            </w:pPr>
            <w:r>
              <w:rPr>
                <w:u w:val="none"/>
              </w:rPr>
              <w:t>0.116</w:t>
            </w:r>
          </w:p>
        </w:tc>
        <w:tc>
          <w:tcPr>
            <w:tcW w:w="637" w:type="pct"/>
            <w:tcBorders>
              <w:tl2br w:val="nil"/>
              <w:tr2bl w:val="nil"/>
            </w:tcBorders>
            <w:vAlign w:val="center"/>
          </w:tcPr>
          <w:p>
            <w:pPr>
              <w:pStyle w:val="70"/>
              <w:rPr>
                <w:u w:val="none"/>
              </w:rPr>
            </w:pPr>
            <w:r>
              <w:rPr>
                <w:u w:val="none"/>
              </w:rPr>
              <w:t>0.115</w:t>
            </w:r>
          </w:p>
        </w:tc>
        <w:tc>
          <w:tcPr>
            <w:tcW w:w="614" w:type="pct"/>
            <w:tcBorders>
              <w:tl2br w:val="nil"/>
              <w:tr2bl w:val="nil"/>
            </w:tcBorders>
            <w:vAlign w:val="center"/>
          </w:tcPr>
          <w:p>
            <w:pPr>
              <w:pStyle w:val="70"/>
              <w:rPr>
                <w:u w:val="none"/>
              </w:rPr>
            </w:pPr>
            <w:r>
              <w:rPr>
                <w:u w:val="none"/>
              </w:rPr>
              <w:t>0.123</w:t>
            </w:r>
          </w:p>
        </w:tc>
        <w:tc>
          <w:tcPr>
            <w:tcW w:w="431" w:type="pct"/>
            <w:tcBorders>
              <w:tl2br w:val="nil"/>
              <w:tr2bl w:val="nil"/>
            </w:tcBorders>
            <w:vAlign w:val="center"/>
          </w:tcPr>
          <w:p>
            <w:pPr>
              <w:pStyle w:val="70"/>
              <w:rPr>
                <w:u w:val="none"/>
              </w:rPr>
            </w:pPr>
            <w:r>
              <w:rPr>
                <w:u w:val="none"/>
              </w:rPr>
              <w:t>1.0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67" w:hRule="atLeast"/>
          <w:jc w:val="center"/>
        </w:trPr>
        <w:tc>
          <w:tcPr>
            <w:tcW w:w="374" w:type="pct"/>
            <w:vMerge w:val="continue"/>
            <w:tcBorders>
              <w:tl2br w:val="nil"/>
              <w:tr2bl w:val="nil"/>
            </w:tcBorders>
            <w:noWrap/>
            <w:vAlign w:val="center"/>
          </w:tcPr>
          <w:p>
            <w:pPr>
              <w:pStyle w:val="70"/>
              <w:rPr>
                <w:u w:val="none"/>
              </w:rPr>
            </w:pPr>
          </w:p>
        </w:tc>
        <w:tc>
          <w:tcPr>
            <w:tcW w:w="1204" w:type="pct"/>
            <w:vMerge w:val="restart"/>
            <w:tcBorders>
              <w:tl2br w:val="nil"/>
              <w:tr2bl w:val="nil"/>
            </w:tcBorders>
            <w:vAlign w:val="center"/>
          </w:tcPr>
          <w:p>
            <w:pPr>
              <w:pStyle w:val="70"/>
              <w:rPr>
                <w:u w:val="none"/>
              </w:rPr>
            </w:pPr>
            <w:r>
              <w:rPr>
                <w:u w:val="none"/>
              </w:rPr>
              <w:t>第一天0862-01-06-07</w:t>
            </w:r>
            <w:r>
              <w:rPr>
                <w:u w:val="none"/>
              </w:rPr>
              <w:br w:type="textWrapping"/>
            </w:r>
            <w:r>
              <w:rPr>
                <w:u w:val="none"/>
              </w:rPr>
              <w:t>第二天0862-02-06-07</w:t>
            </w:r>
            <w:r>
              <w:rPr>
                <w:u w:val="none"/>
              </w:rPr>
              <w:br w:type="textWrapping"/>
            </w:r>
            <w:r>
              <w:rPr>
                <w:u w:val="none"/>
              </w:rPr>
              <w:t>第三天0862-03-06-07</w:t>
            </w:r>
          </w:p>
        </w:tc>
        <w:tc>
          <w:tcPr>
            <w:tcW w:w="1115" w:type="pct"/>
            <w:tcBorders>
              <w:tl2br w:val="nil"/>
              <w:tr2bl w:val="nil"/>
            </w:tcBorders>
            <w:vAlign w:val="center"/>
          </w:tcPr>
          <w:p>
            <w:pPr>
              <w:pStyle w:val="70"/>
              <w:rPr>
                <w:u w:val="none"/>
              </w:rPr>
            </w:pPr>
            <w:r>
              <w:rPr>
                <w:u w:val="none"/>
              </w:rPr>
              <w:t>铜，mg/L</w:t>
            </w:r>
          </w:p>
        </w:tc>
        <w:tc>
          <w:tcPr>
            <w:tcW w:w="621" w:type="pct"/>
            <w:tcBorders>
              <w:tl2br w:val="nil"/>
              <w:tr2bl w:val="nil"/>
            </w:tcBorders>
            <w:vAlign w:val="center"/>
          </w:tcPr>
          <w:p>
            <w:pPr>
              <w:pStyle w:val="70"/>
              <w:rPr>
                <w:u w:val="none"/>
              </w:rPr>
            </w:pPr>
            <w:r>
              <w:rPr>
                <w:u w:val="none"/>
              </w:rPr>
              <w:t>0.00033</w:t>
            </w:r>
          </w:p>
        </w:tc>
        <w:tc>
          <w:tcPr>
            <w:tcW w:w="637" w:type="pct"/>
            <w:tcBorders>
              <w:tl2br w:val="nil"/>
              <w:tr2bl w:val="nil"/>
            </w:tcBorders>
            <w:vAlign w:val="center"/>
          </w:tcPr>
          <w:p>
            <w:pPr>
              <w:pStyle w:val="70"/>
              <w:rPr>
                <w:u w:val="none"/>
              </w:rPr>
            </w:pPr>
            <w:r>
              <w:rPr>
                <w:u w:val="none"/>
              </w:rPr>
              <w:t>0.00050</w:t>
            </w:r>
          </w:p>
        </w:tc>
        <w:tc>
          <w:tcPr>
            <w:tcW w:w="614" w:type="pct"/>
            <w:tcBorders>
              <w:tl2br w:val="nil"/>
              <w:tr2bl w:val="nil"/>
            </w:tcBorders>
            <w:vAlign w:val="center"/>
          </w:tcPr>
          <w:p>
            <w:pPr>
              <w:pStyle w:val="70"/>
              <w:rPr>
                <w:u w:val="none"/>
              </w:rPr>
            </w:pPr>
            <w:r>
              <w:rPr>
                <w:u w:val="none"/>
              </w:rPr>
              <w:t>0.00054</w:t>
            </w:r>
          </w:p>
        </w:tc>
        <w:tc>
          <w:tcPr>
            <w:tcW w:w="431" w:type="pct"/>
            <w:tcBorders>
              <w:tl2br w:val="nil"/>
              <w:tr2bl w:val="nil"/>
            </w:tcBorders>
            <w:vAlign w:val="center"/>
          </w:tcPr>
          <w:p>
            <w:pPr>
              <w:pStyle w:val="70"/>
              <w:rPr>
                <w:u w:val="none"/>
              </w:rPr>
            </w:pPr>
            <w:r>
              <w:rPr>
                <w:u w:val="none"/>
              </w:rPr>
              <w:t>1.0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63"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锌，mg/L</w:t>
            </w:r>
          </w:p>
        </w:tc>
        <w:tc>
          <w:tcPr>
            <w:tcW w:w="621" w:type="pct"/>
            <w:tcBorders>
              <w:tl2br w:val="nil"/>
              <w:tr2bl w:val="nil"/>
            </w:tcBorders>
            <w:vAlign w:val="center"/>
          </w:tcPr>
          <w:p>
            <w:pPr>
              <w:pStyle w:val="70"/>
              <w:rPr>
                <w:u w:val="none"/>
              </w:rPr>
            </w:pPr>
            <w:r>
              <w:rPr>
                <w:u w:val="none"/>
              </w:rPr>
              <w:t>0.00067L</w:t>
            </w:r>
          </w:p>
        </w:tc>
        <w:tc>
          <w:tcPr>
            <w:tcW w:w="637" w:type="pct"/>
            <w:tcBorders>
              <w:tl2br w:val="nil"/>
              <w:tr2bl w:val="nil"/>
            </w:tcBorders>
            <w:vAlign w:val="center"/>
          </w:tcPr>
          <w:p>
            <w:pPr>
              <w:pStyle w:val="70"/>
              <w:rPr>
                <w:u w:val="none"/>
              </w:rPr>
            </w:pPr>
            <w:r>
              <w:rPr>
                <w:u w:val="none"/>
              </w:rPr>
              <w:t>0.00067L</w:t>
            </w:r>
          </w:p>
        </w:tc>
        <w:tc>
          <w:tcPr>
            <w:tcW w:w="614" w:type="pct"/>
            <w:tcBorders>
              <w:tl2br w:val="nil"/>
              <w:tr2bl w:val="nil"/>
            </w:tcBorders>
            <w:vAlign w:val="center"/>
          </w:tcPr>
          <w:p>
            <w:pPr>
              <w:pStyle w:val="70"/>
              <w:rPr>
                <w:u w:val="none"/>
              </w:rPr>
            </w:pPr>
            <w:r>
              <w:rPr>
                <w:u w:val="none"/>
              </w:rPr>
              <w:t>0.00067L</w:t>
            </w:r>
          </w:p>
        </w:tc>
        <w:tc>
          <w:tcPr>
            <w:tcW w:w="431" w:type="pct"/>
            <w:tcBorders>
              <w:tl2br w:val="nil"/>
              <w:tr2bl w:val="nil"/>
            </w:tcBorders>
            <w:vAlign w:val="center"/>
          </w:tcPr>
          <w:p>
            <w:pPr>
              <w:pStyle w:val="70"/>
              <w:rPr>
                <w:u w:val="none"/>
              </w:rPr>
            </w:pPr>
            <w:r>
              <w:rPr>
                <w:u w:val="none"/>
              </w:rPr>
              <w:t>1.0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92"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铅，mg/L</w:t>
            </w:r>
          </w:p>
        </w:tc>
        <w:tc>
          <w:tcPr>
            <w:tcW w:w="621" w:type="pct"/>
            <w:tcBorders>
              <w:tl2br w:val="nil"/>
              <w:tr2bl w:val="nil"/>
            </w:tcBorders>
            <w:vAlign w:val="center"/>
          </w:tcPr>
          <w:p>
            <w:pPr>
              <w:pStyle w:val="70"/>
              <w:rPr>
                <w:u w:val="none"/>
              </w:rPr>
            </w:pPr>
            <w:r>
              <w:rPr>
                <w:u w:val="none"/>
              </w:rPr>
              <w:t>0.00009L</w:t>
            </w:r>
          </w:p>
        </w:tc>
        <w:tc>
          <w:tcPr>
            <w:tcW w:w="637" w:type="pct"/>
            <w:tcBorders>
              <w:tl2br w:val="nil"/>
              <w:tr2bl w:val="nil"/>
            </w:tcBorders>
            <w:vAlign w:val="center"/>
          </w:tcPr>
          <w:p>
            <w:pPr>
              <w:pStyle w:val="70"/>
              <w:rPr>
                <w:u w:val="none"/>
              </w:rPr>
            </w:pPr>
            <w:r>
              <w:rPr>
                <w:u w:val="none"/>
              </w:rPr>
              <w:t>0.00009L</w:t>
            </w:r>
          </w:p>
        </w:tc>
        <w:tc>
          <w:tcPr>
            <w:tcW w:w="614" w:type="pct"/>
            <w:tcBorders>
              <w:tl2br w:val="nil"/>
              <w:tr2bl w:val="nil"/>
            </w:tcBorders>
            <w:vAlign w:val="center"/>
          </w:tcPr>
          <w:p>
            <w:pPr>
              <w:pStyle w:val="70"/>
              <w:rPr>
                <w:u w:val="none"/>
              </w:rPr>
            </w:pPr>
            <w:r>
              <w:rPr>
                <w:u w:val="none"/>
              </w:rPr>
              <w:t>0.00009L</w:t>
            </w:r>
          </w:p>
        </w:tc>
        <w:tc>
          <w:tcPr>
            <w:tcW w:w="431" w:type="pct"/>
            <w:tcBorders>
              <w:tl2br w:val="nil"/>
              <w:tr2bl w:val="nil"/>
            </w:tcBorders>
            <w:vAlign w:val="center"/>
          </w:tcPr>
          <w:p>
            <w:pPr>
              <w:pStyle w:val="70"/>
              <w:rPr>
                <w:u w:val="none"/>
              </w:rPr>
            </w:pPr>
            <w:r>
              <w:rPr>
                <w:u w:val="none"/>
              </w:rPr>
              <w:t>0.01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74"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镉，mg/L</w:t>
            </w:r>
          </w:p>
        </w:tc>
        <w:tc>
          <w:tcPr>
            <w:tcW w:w="621" w:type="pct"/>
            <w:tcBorders>
              <w:tl2br w:val="nil"/>
              <w:tr2bl w:val="nil"/>
            </w:tcBorders>
            <w:vAlign w:val="center"/>
          </w:tcPr>
          <w:p>
            <w:pPr>
              <w:pStyle w:val="70"/>
              <w:rPr>
                <w:u w:val="none"/>
              </w:rPr>
            </w:pPr>
            <w:r>
              <w:rPr>
                <w:u w:val="none"/>
              </w:rPr>
              <w:t>0.00005L</w:t>
            </w:r>
          </w:p>
        </w:tc>
        <w:tc>
          <w:tcPr>
            <w:tcW w:w="637" w:type="pct"/>
            <w:tcBorders>
              <w:tl2br w:val="nil"/>
              <w:tr2bl w:val="nil"/>
            </w:tcBorders>
            <w:vAlign w:val="center"/>
          </w:tcPr>
          <w:p>
            <w:pPr>
              <w:pStyle w:val="70"/>
              <w:rPr>
                <w:u w:val="none"/>
              </w:rPr>
            </w:pPr>
            <w:r>
              <w:rPr>
                <w:u w:val="none"/>
              </w:rPr>
              <w:t>0.00005L</w:t>
            </w:r>
          </w:p>
        </w:tc>
        <w:tc>
          <w:tcPr>
            <w:tcW w:w="614" w:type="pct"/>
            <w:tcBorders>
              <w:tl2br w:val="nil"/>
              <w:tr2bl w:val="nil"/>
            </w:tcBorders>
            <w:vAlign w:val="center"/>
          </w:tcPr>
          <w:p>
            <w:pPr>
              <w:pStyle w:val="70"/>
              <w:rPr>
                <w:u w:val="none"/>
              </w:rPr>
            </w:pPr>
            <w:r>
              <w:rPr>
                <w:u w:val="none"/>
              </w:rPr>
              <w:t>0.00005L</w:t>
            </w:r>
          </w:p>
        </w:tc>
        <w:tc>
          <w:tcPr>
            <w:tcW w:w="431" w:type="pct"/>
            <w:tcBorders>
              <w:tl2br w:val="nil"/>
              <w:tr2bl w:val="nil"/>
            </w:tcBorders>
            <w:vAlign w:val="center"/>
          </w:tcPr>
          <w:p>
            <w:pPr>
              <w:pStyle w:val="70"/>
              <w:rPr>
                <w:u w:val="none"/>
              </w:rPr>
            </w:pPr>
            <w:r>
              <w:rPr>
                <w:u w:val="none"/>
              </w:rPr>
              <w:t>0.005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54"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铊，mg/L</w:t>
            </w:r>
          </w:p>
        </w:tc>
        <w:tc>
          <w:tcPr>
            <w:tcW w:w="621" w:type="pct"/>
            <w:tcBorders>
              <w:tl2br w:val="nil"/>
              <w:tr2bl w:val="nil"/>
            </w:tcBorders>
            <w:vAlign w:val="center"/>
          </w:tcPr>
          <w:p>
            <w:pPr>
              <w:pStyle w:val="70"/>
              <w:rPr>
                <w:u w:val="none"/>
              </w:rPr>
            </w:pPr>
            <w:r>
              <w:rPr>
                <w:u w:val="none"/>
              </w:rPr>
              <w:t>0.00002L</w:t>
            </w:r>
          </w:p>
        </w:tc>
        <w:tc>
          <w:tcPr>
            <w:tcW w:w="637" w:type="pct"/>
            <w:tcBorders>
              <w:tl2br w:val="nil"/>
              <w:tr2bl w:val="nil"/>
            </w:tcBorders>
            <w:vAlign w:val="center"/>
          </w:tcPr>
          <w:p>
            <w:pPr>
              <w:pStyle w:val="70"/>
              <w:rPr>
                <w:u w:val="none"/>
              </w:rPr>
            </w:pPr>
            <w:r>
              <w:rPr>
                <w:u w:val="none"/>
              </w:rPr>
              <w:t>0.00002L</w:t>
            </w:r>
          </w:p>
        </w:tc>
        <w:tc>
          <w:tcPr>
            <w:tcW w:w="614" w:type="pct"/>
            <w:tcBorders>
              <w:tl2br w:val="nil"/>
              <w:tr2bl w:val="nil"/>
            </w:tcBorders>
            <w:vAlign w:val="center"/>
          </w:tcPr>
          <w:p>
            <w:pPr>
              <w:pStyle w:val="70"/>
              <w:rPr>
                <w:u w:val="none"/>
              </w:rPr>
            </w:pPr>
            <w:r>
              <w:rPr>
                <w:u w:val="none"/>
              </w:rPr>
              <w:t>0.00002L</w:t>
            </w:r>
          </w:p>
        </w:tc>
        <w:tc>
          <w:tcPr>
            <w:tcW w:w="431" w:type="pct"/>
            <w:tcBorders>
              <w:tl2br w:val="nil"/>
              <w:tr2bl w:val="nil"/>
            </w:tcBorders>
            <w:vAlign w:val="center"/>
          </w:tcPr>
          <w:p>
            <w:pPr>
              <w:pStyle w:val="70"/>
              <w:rPr>
                <w:u w:val="none"/>
              </w:rPr>
            </w:pPr>
            <w:r>
              <w:rPr>
                <w:rFonts w:hint="eastAsia"/>
                <w:u w:val="none"/>
              </w:rPr>
              <w:t>0.0001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24"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铬，mg/L</w:t>
            </w:r>
          </w:p>
        </w:tc>
        <w:tc>
          <w:tcPr>
            <w:tcW w:w="621" w:type="pct"/>
            <w:tcBorders>
              <w:tl2br w:val="nil"/>
              <w:tr2bl w:val="nil"/>
            </w:tcBorders>
            <w:vAlign w:val="center"/>
          </w:tcPr>
          <w:p>
            <w:pPr>
              <w:pStyle w:val="70"/>
              <w:rPr>
                <w:u w:val="none"/>
              </w:rPr>
            </w:pPr>
            <w:r>
              <w:rPr>
                <w:u w:val="none"/>
              </w:rPr>
              <w:t>0.00028</w:t>
            </w:r>
          </w:p>
        </w:tc>
        <w:tc>
          <w:tcPr>
            <w:tcW w:w="637" w:type="pct"/>
            <w:tcBorders>
              <w:tl2br w:val="nil"/>
              <w:tr2bl w:val="nil"/>
            </w:tcBorders>
            <w:vAlign w:val="center"/>
          </w:tcPr>
          <w:p>
            <w:pPr>
              <w:pStyle w:val="70"/>
              <w:rPr>
                <w:u w:val="none"/>
              </w:rPr>
            </w:pPr>
            <w:r>
              <w:rPr>
                <w:u w:val="none"/>
              </w:rPr>
              <w:t>0.00011L</w:t>
            </w:r>
          </w:p>
        </w:tc>
        <w:tc>
          <w:tcPr>
            <w:tcW w:w="614" w:type="pct"/>
            <w:tcBorders>
              <w:tl2br w:val="nil"/>
              <w:tr2bl w:val="nil"/>
            </w:tcBorders>
            <w:vAlign w:val="center"/>
          </w:tcPr>
          <w:p>
            <w:pPr>
              <w:pStyle w:val="70"/>
              <w:rPr>
                <w:u w:val="none"/>
              </w:rPr>
            </w:pPr>
            <w:r>
              <w:rPr>
                <w:u w:val="none"/>
              </w:rPr>
              <w:t>0.00027</w:t>
            </w:r>
          </w:p>
        </w:tc>
        <w:tc>
          <w:tcPr>
            <w:tcW w:w="431" w:type="pct"/>
            <w:tcBorders>
              <w:tl2br w:val="nil"/>
              <w:tr2bl w:val="nil"/>
            </w:tcBorders>
            <w:vAlign w:val="center"/>
          </w:tcPr>
          <w:p>
            <w:pPr>
              <w:pStyle w:val="70"/>
              <w:rPr>
                <w:u w:val="none"/>
              </w:rPr>
            </w:pPr>
            <w:r>
              <w:rPr>
                <w:u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29" w:hRule="atLeast"/>
          <w:jc w:val="center"/>
        </w:trPr>
        <w:tc>
          <w:tcPr>
            <w:tcW w:w="374" w:type="pct"/>
            <w:vMerge w:val="continue"/>
            <w:tcBorders>
              <w:tl2br w:val="nil"/>
              <w:tr2bl w:val="nil"/>
            </w:tcBorders>
            <w:noWrap/>
            <w:vAlign w:val="center"/>
          </w:tcPr>
          <w:p>
            <w:pPr>
              <w:pStyle w:val="70"/>
              <w:rPr>
                <w:u w:val="none"/>
              </w:rPr>
            </w:pPr>
          </w:p>
        </w:tc>
        <w:tc>
          <w:tcPr>
            <w:tcW w:w="1204" w:type="pct"/>
            <w:vMerge w:val="restart"/>
            <w:tcBorders>
              <w:tl2br w:val="nil"/>
              <w:tr2bl w:val="nil"/>
            </w:tcBorders>
            <w:vAlign w:val="center"/>
          </w:tcPr>
          <w:p>
            <w:pPr>
              <w:pStyle w:val="70"/>
              <w:rPr>
                <w:u w:val="none"/>
              </w:rPr>
            </w:pPr>
            <w:r>
              <w:rPr>
                <w:u w:val="none"/>
              </w:rPr>
              <w:t>第一天0862-01-06-08</w:t>
            </w:r>
            <w:r>
              <w:rPr>
                <w:u w:val="none"/>
              </w:rPr>
              <w:br w:type="textWrapping"/>
            </w:r>
            <w:r>
              <w:rPr>
                <w:u w:val="none"/>
              </w:rPr>
              <w:t>第二天0862-02-06-08</w:t>
            </w:r>
            <w:r>
              <w:rPr>
                <w:u w:val="none"/>
              </w:rPr>
              <w:br w:type="textWrapping"/>
            </w:r>
            <w:r>
              <w:rPr>
                <w:u w:val="none"/>
              </w:rPr>
              <w:t>第三天0862-03-06-08</w:t>
            </w:r>
          </w:p>
        </w:tc>
        <w:tc>
          <w:tcPr>
            <w:tcW w:w="1115" w:type="pct"/>
            <w:tcBorders>
              <w:tl2br w:val="nil"/>
              <w:tr2bl w:val="nil"/>
            </w:tcBorders>
            <w:vAlign w:val="center"/>
          </w:tcPr>
          <w:p>
            <w:pPr>
              <w:pStyle w:val="70"/>
              <w:rPr>
                <w:u w:val="none"/>
              </w:rPr>
            </w:pPr>
            <w:r>
              <w:rPr>
                <w:u w:val="none"/>
              </w:rPr>
              <w:t>砷，mg/L</w:t>
            </w:r>
          </w:p>
        </w:tc>
        <w:tc>
          <w:tcPr>
            <w:tcW w:w="621" w:type="pct"/>
            <w:tcBorders>
              <w:tl2br w:val="nil"/>
              <w:tr2bl w:val="nil"/>
            </w:tcBorders>
            <w:vAlign w:val="center"/>
          </w:tcPr>
          <w:p>
            <w:pPr>
              <w:pStyle w:val="70"/>
              <w:rPr>
                <w:u w:val="none"/>
              </w:rPr>
            </w:pPr>
            <w:r>
              <w:rPr>
                <w:u w:val="none"/>
              </w:rPr>
              <w:t>0.0045</w:t>
            </w:r>
          </w:p>
        </w:tc>
        <w:tc>
          <w:tcPr>
            <w:tcW w:w="637" w:type="pct"/>
            <w:tcBorders>
              <w:tl2br w:val="nil"/>
              <w:tr2bl w:val="nil"/>
            </w:tcBorders>
            <w:vAlign w:val="center"/>
          </w:tcPr>
          <w:p>
            <w:pPr>
              <w:pStyle w:val="70"/>
              <w:rPr>
                <w:u w:val="none"/>
              </w:rPr>
            </w:pPr>
            <w:r>
              <w:rPr>
                <w:u w:val="none"/>
              </w:rPr>
              <w:t>0.0047</w:t>
            </w:r>
          </w:p>
        </w:tc>
        <w:tc>
          <w:tcPr>
            <w:tcW w:w="614" w:type="pct"/>
            <w:tcBorders>
              <w:tl2br w:val="nil"/>
              <w:tr2bl w:val="nil"/>
            </w:tcBorders>
            <w:vAlign w:val="center"/>
          </w:tcPr>
          <w:p>
            <w:pPr>
              <w:pStyle w:val="70"/>
              <w:rPr>
                <w:u w:val="none"/>
              </w:rPr>
            </w:pPr>
            <w:r>
              <w:rPr>
                <w:u w:val="none"/>
              </w:rPr>
              <w:t>0.0039</w:t>
            </w:r>
          </w:p>
        </w:tc>
        <w:tc>
          <w:tcPr>
            <w:tcW w:w="431" w:type="pct"/>
            <w:tcBorders>
              <w:tl2br w:val="nil"/>
              <w:tr2bl w:val="nil"/>
            </w:tcBorders>
            <w:vAlign w:val="center"/>
          </w:tcPr>
          <w:p>
            <w:pPr>
              <w:pStyle w:val="70"/>
              <w:rPr>
                <w:u w:val="none"/>
              </w:rPr>
            </w:pPr>
            <w:r>
              <w:rPr>
                <w:u w:val="none"/>
              </w:rPr>
              <w:t>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05" w:hRule="atLeast"/>
          <w:jc w:val="center"/>
        </w:trPr>
        <w:tc>
          <w:tcPr>
            <w:tcW w:w="374" w:type="pct"/>
            <w:vMerge w:val="continue"/>
            <w:tcBorders>
              <w:tl2br w:val="nil"/>
              <w:tr2bl w:val="nil"/>
            </w:tcBorders>
            <w:noWrap/>
            <w:vAlign w:val="center"/>
          </w:tcPr>
          <w:p>
            <w:pPr>
              <w:pStyle w:val="70"/>
              <w:rPr>
                <w:u w:val="none"/>
              </w:rPr>
            </w:pPr>
          </w:p>
        </w:tc>
        <w:tc>
          <w:tcPr>
            <w:tcW w:w="1204" w:type="pct"/>
            <w:vMerge w:val="continue"/>
            <w:tcBorders>
              <w:tl2br w:val="nil"/>
              <w:tr2bl w:val="nil"/>
            </w:tcBorders>
            <w:vAlign w:val="center"/>
          </w:tcPr>
          <w:p>
            <w:pPr>
              <w:pStyle w:val="70"/>
              <w:rPr>
                <w:u w:val="none"/>
              </w:rPr>
            </w:pPr>
          </w:p>
        </w:tc>
        <w:tc>
          <w:tcPr>
            <w:tcW w:w="1115" w:type="pct"/>
            <w:tcBorders>
              <w:tl2br w:val="nil"/>
              <w:tr2bl w:val="nil"/>
            </w:tcBorders>
            <w:vAlign w:val="center"/>
          </w:tcPr>
          <w:p>
            <w:pPr>
              <w:pStyle w:val="70"/>
              <w:rPr>
                <w:u w:val="none"/>
              </w:rPr>
            </w:pPr>
            <w:r>
              <w:rPr>
                <w:u w:val="none"/>
              </w:rPr>
              <w:t>锑，mg/L</w:t>
            </w:r>
          </w:p>
        </w:tc>
        <w:tc>
          <w:tcPr>
            <w:tcW w:w="621" w:type="pct"/>
            <w:tcBorders>
              <w:tl2br w:val="nil"/>
              <w:tr2bl w:val="nil"/>
            </w:tcBorders>
            <w:vAlign w:val="center"/>
          </w:tcPr>
          <w:p>
            <w:pPr>
              <w:pStyle w:val="70"/>
              <w:rPr>
                <w:u w:val="none"/>
              </w:rPr>
            </w:pPr>
            <w:r>
              <w:rPr>
                <w:u w:val="none"/>
              </w:rPr>
              <w:t>0.0045</w:t>
            </w:r>
          </w:p>
        </w:tc>
        <w:tc>
          <w:tcPr>
            <w:tcW w:w="637" w:type="pct"/>
            <w:tcBorders>
              <w:tl2br w:val="nil"/>
              <w:tr2bl w:val="nil"/>
            </w:tcBorders>
            <w:vAlign w:val="center"/>
          </w:tcPr>
          <w:p>
            <w:pPr>
              <w:pStyle w:val="70"/>
              <w:rPr>
                <w:u w:val="none"/>
              </w:rPr>
            </w:pPr>
            <w:r>
              <w:rPr>
                <w:u w:val="none"/>
              </w:rPr>
              <w:t>0.0048</w:t>
            </w:r>
          </w:p>
        </w:tc>
        <w:tc>
          <w:tcPr>
            <w:tcW w:w="614" w:type="pct"/>
            <w:tcBorders>
              <w:tl2br w:val="nil"/>
              <w:tr2bl w:val="nil"/>
            </w:tcBorders>
            <w:vAlign w:val="center"/>
          </w:tcPr>
          <w:p>
            <w:pPr>
              <w:pStyle w:val="70"/>
              <w:rPr>
                <w:u w:val="none"/>
              </w:rPr>
            </w:pPr>
            <w:r>
              <w:rPr>
                <w:u w:val="none"/>
              </w:rPr>
              <w:t>0.00</w:t>
            </w:r>
            <w:r>
              <w:rPr>
                <w:rFonts w:hint="eastAsia"/>
                <w:u w:val="none"/>
              </w:rPr>
              <w:t>46</w:t>
            </w:r>
          </w:p>
        </w:tc>
        <w:tc>
          <w:tcPr>
            <w:tcW w:w="431" w:type="pct"/>
            <w:tcBorders>
              <w:tl2br w:val="nil"/>
              <w:tr2bl w:val="nil"/>
            </w:tcBorders>
            <w:vAlign w:val="center"/>
          </w:tcPr>
          <w:p>
            <w:pPr>
              <w:pStyle w:val="70"/>
              <w:rPr>
                <w:u w:val="none"/>
              </w:rPr>
            </w:pPr>
            <w:r>
              <w:rPr>
                <w:rFonts w:hint="eastAsia"/>
                <w:u w:val="none"/>
              </w:rPr>
              <w:t>0.005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restart"/>
            <w:tcBorders>
              <w:tl2br w:val="nil"/>
              <w:tr2bl w:val="nil"/>
            </w:tcBorders>
            <w:noWrap/>
            <w:vAlign w:val="center"/>
          </w:tcPr>
          <w:p>
            <w:pPr>
              <w:pStyle w:val="70"/>
              <w:rPr>
                <w:u w:val="none"/>
              </w:rPr>
            </w:pPr>
            <w:r>
              <w:rPr>
                <w:u w:val="none"/>
              </w:rPr>
              <w:t>入河排污口下游3000m</w:t>
            </w:r>
          </w:p>
        </w:tc>
        <w:tc>
          <w:tcPr>
            <w:tcW w:w="1204" w:type="pct"/>
            <w:tcBorders>
              <w:tl2br w:val="nil"/>
              <w:tr2bl w:val="nil"/>
            </w:tcBorders>
            <w:vAlign w:val="center"/>
          </w:tcPr>
          <w:p>
            <w:pPr>
              <w:pStyle w:val="70"/>
              <w:rPr>
                <w:u w:val="none"/>
              </w:rPr>
            </w:pPr>
            <w:r>
              <w:rPr>
                <w:u w:val="none"/>
              </w:rPr>
              <w:t>第一天0862-01-06-09</w:t>
            </w:r>
            <w:r>
              <w:rPr>
                <w:u w:val="none"/>
              </w:rPr>
              <w:br w:type="textWrapping"/>
            </w:r>
            <w:r>
              <w:rPr>
                <w:u w:val="none"/>
              </w:rPr>
              <w:t>第二天0862-02-06-09</w:t>
            </w:r>
            <w:r>
              <w:rPr>
                <w:u w:val="none"/>
              </w:rPr>
              <w:br w:type="textWrapping"/>
            </w:r>
            <w:r>
              <w:rPr>
                <w:u w:val="none"/>
              </w:rPr>
              <w:t>第三天0862-03-06-09</w:t>
            </w:r>
          </w:p>
        </w:tc>
        <w:tc>
          <w:tcPr>
            <w:tcW w:w="1115" w:type="pct"/>
            <w:tcBorders>
              <w:tl2br w:val="nil"/>
              <w:tr2bl w:val="nil"/>
            </w:tcBorders>
            <w:vAlign w:val="center"/>
          </w:tcPr>
          <w:p>
            <w:pPr>
              <w:pStyle w:val="70"/>
              <w:rPr>
                <w:u w:val="none"/>
              </w:rPr>
            </w:pPr>
            <w:r>
              <w:rPr>
                <w:u w:val="none"/>
              </w:rPr>
              <w:t>硫化物，mg/L</w:t>
            </w:r>
          </w:p>
        </w:tc>
        <w:tc>
          <w:tcPr>
            <w:tcW w:w="621" w:type="pct"/>
            <w:tcBorders>
              <w:tl2br w:val="nil"/>
              <w:tr2bl w:val="nil"/>
            </w:tcBorders>
            <w:vAlign w:val="center"/>
          </w:tcPr>
          <w:p>
            <w:pPr>
              <w:pStyle w:val="70"/>
              <w:rPr>
                <w:u w:val="none"/>
              </w:rPr>
            </w:pPr>
            <w:r>
              <w:rPr>
                <w:u w:val="none"/>
              </w:rPr>
              <w:t>0.01L</w:t>
            </w:r>
          </w:p>
        </w:tc>
        <w:tc>
          <w:tcPr>
            <w:tcW w:w="637" w:type="pct"/>
            <w:tcBorders>
              <w:tl2br w:val="nil"/>
              <w:tr2bl w:val="nil"/>
            </w:tcBorders>
            <w:vAlign w:val="center"/>
          </w:tcPr>
          <w:p>
            <w:pPr>
              <w:pStyle w:val="70"/>
              <w:rPr>
                <w:u w:val="none"/>
              </w:rPr>
            </w:pPr>
            <w:r>
              <w:rPr>
                <w:u w:val="none"/>
              </w:rPr>
              <w:t>0.01L</w:t>
            </w:r>
          </w:p>
        </w:tc>
        <w:tc>
          <w:tcPr>
            <w:tcW w:w="614" w:type="pct"/>
            <w:tcBorders>
              <w:tl2br w:val="nil"/>
              <w:tr2bl w:val="nil"/>
            </w:tcBorders>
            <w:vAlign w:val="center"/>
          </w:tcPr>
          <w:p>
            <w:pPr>
              <w:pStyle w:val="70"/>
              <w:rPr>
                <w:u w:val="none"/>
              </w:rPr>
            </w:pPr>
            <w:r>
              <w:rPr>
                <w:u w:val="none"/>
              </w:rPr>
              <w:t>0.01L</w:t>
            </w:r>
          </w:p>
        </w:tc>
        <w:tc>
          <w:tcPr>
            <w:tcW w:w="431" w:type="pct"/>
            <w:tcBorders>
              <w:tl2br w:val="nil"/>
              <w:tr2bl w:val="nil"/>
            </w:tcBorders>
            <w:vAlign w:val="center"/>
          </w:tcPr>
          <w:p>
            <w:pPr>
              <w:pStyle w:val="70"/>
              <w:rPr>
                <w:u w:val="none"/>
              </w:rPr>
            </w:pPr>
            <w:r>
              <w:rPr>
                <w:u w:val="none"/>
              </w:rPr>
              <w:t>0.1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vMerge w:val="continue"/>
            <w:tcBorders>
              <w:tl2br w:val="nil"/>
              <w:tr2bl w:val="nil"/>
            </w:tcBorders>
            <w:noWrap/>
            <w:vAlign w:val="center"/>
          </w:tcPr>
          <w:p>
            <w:pPr>
              <w:pStyle w:val="70"/>
              <w:rPr>
                <w:u w:val="none"/>
              </w:rPr>
            </w:pPr>
          </w:p>
        </w:tc>
        <w:tc>
          <w:tcPr>
            <w:tcW w:w="1204" w:type="pct"/>
            <w:tcBorders>
              <w:tl2br w:val="nil"/>
              <w:tr2bl w:val="nil"/>
            </w:tcBorders>
            <w:vAlign w:val="center"/>
          </w:tcPr>
          <w:p>
            <w:pPr>
              <w:pStyle w:val="70"/>
              <w:rPr>
                <w:u w:val="none"/>
              </w:rPr>
            </w:pPr>
            <w:r>
              <w:rPr>
                <w:u w:val="none"/>
              </w:rPr>
              <w:t>第一天0862-01-06-10</w:t>
            </w:r>
            <w:r>
              <w:rPr>
                <w:u w:val="none"/>
              </w:rPr>
              <w:br w:type="textWrapping"/>
            </w:r>
            <w:r>
              <w:rPr>
                <w:u w:val="none"/>
              </w:rPr>
              <w:t>第二天0862-02-06-10</w:t>
            </w:r>
            <w:r>
              <w:rPr>
                <w:u w:val="none"/>
              </w:rPr>
              <w:br w:type="textWrapping"/>
            </w:r>
            <w:r>
              <w:rPr>
                <w:u w:val="none"/>
              </w:rPr>
              <w:t>第三天0862-03-06-10</w:t>
            </w:r>
          </w:p>
        </w:tc>
        <w:tc>
          <w:tcPr>
            <w:tcW w:w="1115" w:type="pct"/>
            <w:tcBorders>
              <w:tl2br w:val="nil"/>
              <w:tr2bl w:val="nil"/>
            </w:tcBorders>
            <w:vAlign w:val="center"/>
          </w:tcPr>
          <w:p>
            <w:pPr>
              <w:pStyle w:val="70"/>
              <w:rPr>
                <w:u w:val="none"/>
              </w:rPr>
            </w:pPr>
            <w:r>
              <w:rPr>
                <w:u w:val="none"/>
              </w:rPr>
              <w:t>六价铬，mg/L</w:t>
            </w:r>
          </w:p>
        </w:tc>
        <w:tc>
          <w:tcPr>
            <w:tcW w:w="621" w:type="pct"/>
            <w:tcBorders>
              <w:tl2br w:val="nil"/>
              <w:tr2bl w:val="nil"/>
            </w:tcBorders>
            <w:vAlign w:val="center"/>
          </w:tcPr>
          <w:p>
            <w:pPr>
              <w:pStyle w:val="70"/>
              <w:rPr>
                <w:u w:val="none"/>
              </w:rPr>
            </w:pPr>
            <w:r>
              <w:rPr>
                <w:u w:val="none"/>
              </w:rPr>
              <w:t>0.004L</w:t>
            </w:r>
          </w:p>
        </w:tc>
        <w:tc>
          <w:tcPr>
            <w:tcW w:w="637" w:type="pct"/>
            <w:tcBorders>
              <w:tl2br w:val="nil"/>
              <w:tr2bl w:val="nil"/>
            </w:tcBorders>
            <w:vAlign w:val="center"/>
          </w:tcPr>
          <w:p>
            <w:pPr>
              <w:pStyle w:val="70"/>
              <w:rPr>
                <w:u w:val="none"/>
              </w:rPr>
            </w:pPr>
            <w:r>
              <w:rPr>
                <w:u w:val="none"/>
              </w:rPr>
              <w:t>0.004L</w:t>
            </w:r>
          </w:p>
        </w:tc>
        <w:tc>
          <w:tcPr>
            <w:tcW w:w="614" w:type="pct"/>
            <w:tcBorders>
              <w:tl2br w:val="nil"/>
              <w:tr2bl w:val="nil"/>
            </w:tcBorders>
            <w:vAlign w:val="center"/>
          </w:tcPr>
          <w:p>
            <w:pPr>
              <w:pStyle w:val="70"/>
              <w:rPr>
                <w:u w:val="none"/>
              </w:rPr>
            </w:pPr>
            <w:r>
              <w:rPr>
                <w:u w:val="none"/>
              </w:rPr>
              <w:t>0.004L</w:t>
            </w:r>
          </w:p>
        </w:tc>
        <w:tc>
          <w:tcPr>
            <w:tcW w:w="431" w:type="pct"/>
            <w:tcBorders>
              <w:tl2br w:val="nil"/>
              <w:tr2bl w:val="nil"/>
            </w:tcBorders>
            <w:vAlign w:val="center"/>
          </w:tcPr>
          <w:p>
            <w:pPr>
              <w:pStyle w:val="70"/>
              <w:rPr>
                <w:u w:val="none"/>
              </w:rPr>
            </w:pPr>
            <w:r>
              <w:rPr>
                <w:u w:val="none"/>
              </w:rPr>
              <w:t>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4" w:type="pct"/>
            <w:tcBorders>
              <w:tl2br w:val="nil"/>
              <w:tr2bl w:val="nil"/>
            </w:tcBorders>
            <w:vAlign w:val="center"/>
          </w:tcPr>
          <w:p>
            <w:pPr>
              <w:pStyle w:val="70"/>
              <w:rPr>
                <w:u w:val="none"/>
              </w:rPr>
            </w:pPr>
            <w:r>
              <w:rPr>
                <w:u w:val="none"/>
              </w:rPr>
              <w:t>备注</w:t>
            </w:r>
          </w:p>
        </w:tc>
        <w:tc>
          <w:tcPr>
            <w:tcW w:w="4625" w:type="pct"/>
            <w:gridSpan w:val="6"/>
            <w:tcBorders>
              <w:tl2br w:val="nil"/>
              <w:tr2bl w:val="nil"/>
            </w:tcBorders>
            <w:vAlign w:val="center"/>
          </w:tcPr>
          <w:p>
            <w:pPr>
              <w:pStyle w:val="70"/>
              <w:rPr>
                <w:u w:val="none"/>
              </w:rPr>
            </w:pPr>
            <w:r>
              <w:rPr>
                <w:u w:val="none"/>
              </w:rPr>
              <w:t>参考限值来源：参考《地表水环境质量标准》GB3838-20</w:t>
            </w:r>
            <w:r>
              <w:rPr>
                <w:rFonts w:hint="eastAsia"/>
                <w:u w:val="none"/>
              </w:rPr>
              <w:t>0</w:t>
            </w:r>
            <w:r>
              <w:rPr>
                <w:u w:val="none"/>
              </w:rPr>
              <w:t>2标准限值要求。</w:t>
            </w:r>
          </w:p>
        </w:tc>
      </w:tr>
    </w:tbl>
    <w:p>
      <w:pPr>
        <w:ind w:firstLine="480"/>
        <w:rPr>
          <w:rFonts w:hint="eastAsia"/>
          <w:u w:val="none"/>
        </w:rPr>
      </w:pPr>
      <w:r>
        <w:rPr>
          <w:rFonts w:hint="eastAsia"/>
          <w:u w:val="none"/>
        </w:rPr>
        <w:t>由</w:t>
      </w:r>
      <w:r>
        <w:rPr>
          <w:u w:val="none"/>
        </w:rPr>
        <w:t>监测结果可知，</w:t>
      </w:r>
      <w:r>
        <w:rPr>
          <w:rFonts w:hint="eastAsia"/>
          <w:u w:val="none"/>
        </w:rPr>
        <w:t>资水枯水期各断面监测因子均能满足</w:t>
      </w:r>
      <w:r>
        <w:rPr>
          <w:u w:val="none"/>
        </w:rPr>
        <w:t>《地表水环境质量标准》（GB3838-2002）中</w:t>
      </w:r>
      <w:r>
        <w:rPr>
          <w:rFonts w:hint="eastAsia"/>
          <w:u w:val="none"/>
        </w:rPr>
        <w:t>Ⅱ</w:t>
      </w:r>
      <w:r>
        <w:rPr>
          <w:u w:val="none"/>
        </w:rPr>
        <w:t>类标准</w:t>
      </w:r>
      <w:r>
        <w:rPr>
          <w:rFonts w:hint="eastAsia"/>
          <w:u w:val="none"/>
        </w:rPr>
        <w:t>。</w:t>
      </w:r>
    </w:p>
    <w:p>
      <w:pPr>
        <w:pStyle w:val="4"/>
        <w:bidi w:val="0"/>
        <w:rPr>
          <w:sz w:val="30"/>
          <w:szCs w:val="30"/>
          <w:u w:val="none"/>
        </w:rPr>
      </w:pPr>
      <w:bookmarkStart w:id="37" w:name="_Toc5080"/>
      <w:r>
        <w:rPr>
          <w:rFonts w:hint="eastAsia"/>
          <w:sz w:val="30"/>
          <w:szCs w:val="30"/>
          <w:u w:val="none"/>
        </w:rPr>
        <w:t>3.1</w:t>
      </w:r>
      <w:r>
        <w:rPr>
          <w:rFonts w:hint="eastAsia"/>
          <w:sz w:val="30"/>
          <w:szCs w:val="30"/>
          <w:u w:val="none"/>
          <w:lang w:val="en-US" w:eastAsia="zh-CN"/>
        </w:rPr>
        <w:t>.2</w:t>
      </w:r>
      <w:r>
        <w:rPr>
          <w:rFonts w:hint="eastAsia"/>
          <w:u w:val="none"/>
          <w:lang w:val="en-US" w:eastAsia="zh-CN"/>
        </w:rPr>
        <w:t>引用监测</w:t>
      </w:r>
      <w:bookmarkEnd w:id="37"/>
    </w:p>
    <w:p>
      <w:pPr>
        <w:bidi w:val="0"/>
        <w:rPr>
          <w:rFonts w:hint="eastAsia"/>
          <w:u w:val="none"/>
        </w:rPr>
      </w:pPr>
      <w:r>
        <w:rPr>
          <w:u w:val="none"/>
        </w:rPr>
        <w:t>为了解项目所在区域地表水环境质量现状，本评价收集了《</w:t>
      </w:r>
      <w:r>
        <w:rPr>
          <w:rFonts w:hint="eastAsia"/>
          <w:u w:val="none"/>
        </w:rPr>
        <w:t>五凌电力有限公司马迹塘水电厂入河排污口设置论证报告</w:t>
      </w:r>
      <w:r>
        <w:rPr>
          <w:u w:val="none"/>
        </w:rPr>
        <w:t>》</w:t>
      </w:r>
      <w:r>
        <w:rPr>
          <w:rFonts w:hint="eastAsia"/>
          <w:u w:val="none"/>
        </w:rPr>
        <w:t>于</w:t>
      </w:r>
      <w:r>
        <w:rPr>
          <w:u w:val="none"/>
        </w:rPr>
        <w:t>202</w:t>
      </w:r>
      <w:r>
        <w:rPr>
          <w:rFonts w:hint="eastAsia"/>
          <w:u w:val="none"/>
          <w:lang w:val="en-US" w:eastAsia="zh-CN"/>
        </w:rPr>
        <w:t>3</w:t>
      </w:r>
      <w:r>
        <w:rPr>
          <w:rFonts w:hint="eastAsia"/>
          <w:u w:val="none"/>
        </w:rPr>
        <w:t>年</w:t>
      </w:r>
      <w:r>
        <w:rPr>
          <w:rFonts w:hint="eastAsia"/>
          <w:u w:val="none"/>
          <w:lang w:val="en-US" w:eastAsia="zh-CN"/>
        </w:rPr>
        <w:t>7</w:t>
      </w:r>
      <w:r>
        <w:rPr>
          <w:rFonts w:hint="eastAsia"/>
          <w:u w:val="none"/>
        </w:rPr>
        <w:t>月</w:t>
      </w:r>
      <w:r>
        <w:rPr>
          <w:rFonts w:hint="eastAsia"/>
          <w:u w:val="none"/>
          <w:lang w:val="en-US" w:eastAsia="zh-CN"/>
        </w:rPr>
        <w:t>24</w:t>
      </w:r>
      <w:r>
        <w:rPr>
          <w:rFonts w:hint="eastAsia"/>
          <w:u w:val="none"/>
        </w:rPr>
        <w:t>日</w:t>
      </w:r>
      <w:r>
        <w:rPr>
          <w:rFonts w:hint="eastAsia"/>
          <w:u w:val="none"/>
          <w:lang w:val="en-US" w:eastAsia="zh-CN"/>
        </w:rPr>
        <w:t>至26</w:t>
      </w:r>
      <w:r>
        <w:rPr>
          <w:rFonts w:hint="eastAsia"/>
          <w:u w:val="none"/>
        </w:rPr>
        <w:t>日</w:t>
      </w:r>
      <w:r>
        <w:rPr>
          <w:rFonts w:hint="eastAsia"/>
          <w:u w:val="none"/>
          <w:lang w:eastAsia="zh-CN"/>
        </w:rPr>
        <w:t>（</w:t>
      </w:r>
      <w:r>
        <w:rPr>
          <w:rFonts w:hint="eastAsia"/>
          <w:u w:val="none"/>
          <w:lang w:val="en-US" w:eastAsia="zh-CN"/>
        </w:rPr>
        <w:t>丰水期</w:t>
      </w:r>
      <w:r>
        <w:rPr>
          <w:rFonts w:hint="eastAsia"/>
          <w:u w:val="none"/>
          <w:lang w:eastAsia="zh-CN"/>
        </w:rPr>
        <w:t>）</w:t>
      </w:r>
      <w:r>
        <w:rPr>
          <w:rFonts w:hint="eastAsia"/>
          <w:u w:val="none"/>
        </w:rPr>
        <w:t>对</w:t>
      </w:r>
      <w:r>
        <w:rPr>
          <w:rFonts w:hint="eastAsia"/>
          <w:u w:val="none"/>
          <w:lang w:val="en-US" w:eastAsia="zh-CN"/>
        </w:rPr>
        <w:t>纳污水域</w:t>
      </w:r>
      <w:r>
        <w:rPr>
          <w:rFonts w:hint="eastAsia"/>
          <w:u w:val="none"/>
        </w:rPr>
        <w:t>进行的现状监测。地表水环境质量现状监测断面具体位置设置见下表。</w:t>
      </w:r>
    </w:p>
    <w:p>
      <w:pPr>
        <w:ind w:firstLine="482"/>
        <w:jc w:val="center"/>
        <w:rPr>
          <w:rFonts w:hint="eastAsia" w:ascii="Times New Roman" w:hAnsi="Times New Roman" w:eastAsia="宋体" w:cs="Times New Roman"/>
          <w:b/>
          <w:color w:val="auto"/>
          <w:sz w:val="24"/>
          <w:szCs w:val="24"/>
          <w:u w:val="none"/>
          <w:lang w:val="en-US" w:eastAsia="zh-CN" w:bidi="ar-SA"/>
        </w:rPr>
      </w:pPr>
      <w:r>
        <w:rPr>
          <w:rFonts w:hint="eastAsia" w:ascii="Times New Roman" w:hAnsi="Times New Roman" w:eastAsia="宋体" w:cs="Times New Roman"/>
          <w:b/>
          <w:color w:val="auto"/>
          <w:sz w:val="24"/>
          <w:szCs w:val="24"/>
          <w:u w:val="none"/>
          <w:lang w:val="en-US" w:eastAsia="zh-CN" w:bidi="ar-SA"/>
        </w:rPr>
        <w:t>表3.1-2</w:t>
      </w:r>
      <w:r>
        <w:rPr>
          <w:rFonts w:hint="eastAsia" w:cs="Times New Roman"/>
          <w:b/>
          <w:color w:val="auto"/>
          <w:sz w:val="24"/>
          <w:szCs w:val="24"/>
          <w:u w:val="none"/>
          <w:lang w:val="en-US" w:eastAsia="zh-CN" w:bidi="ar-SA"/>
        </w:rPr>
        <w:t>-1</w:t>
      </w:r>
      <w:r>
        <w:rPr>
          <w:rFonts w:hint="eastAsia" w:ascii="Times New Roman" w:hAnsi="Times New Roman" w:eastAsia="宋体" w:cs="Times New Roman"/>
          <w:b/>
          <w:color w:val="auto"/>
          <w:sz w:val="24"/>
          <w:szCs w:val="24"/>
          <w:u w:val="none"/>
          <w:lang w:val="en-US" w:eastAsia="zh-CN" w:bidi="ar-SA"/>
        </w:rPr>
        <w:t>地表水环境质量监测及评价结果（单位：mg/L，pH、粪大肠菌群除外）</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298"/>
        <w:gridCol w:w="1302"/>
        <w:gridCol w:w="1345"/>
        <w:gridCol w:w="1317"/>
        <w:gridCol w:w="1402"/>
        <w:gridCol w:w="1068"/>
        <w:gridCol w:w="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trPr>
        <w:tc>
          <w:tcPr>
            <w:tcW w:w="437" w:type="pct"/>
            <w:vMerge w:val="restart"/>
            <w:vAlign w:val="center"/>
          </w:tcPr>
          <w:p>
            <w:pPr>
              <w:widowControl w:val="0"/>
              <w:spacing w:line="240" w:lineRule="auto"/>
              <w:ind w:firstLine="0" w:firstLineChars="0"/>
              <w:jc w:val="center"/>
              <w:rPr>
                <w:sz w:val="21"/>
                <w:szCs w:val="21"/>
                <w:u w:val="none"/>
              </w:rPr>
            </w:pPr>
            <w:r>
              <w:rPr>
                <w:sz w:val="21"/>
                <w:szCs w:val="21"/>
                <w:u w:val="none"/>
              </w:rPr>
              <w:t>采样位置</w:t>
            </w:r>
          </w:p>
        </w:tc>
        <w:tc>
          <w:tcPr>
            <w:tcW w:w="699" w:type="pct"/>
            <w:vMerge w:val="restart"/>
            <w:vAlign w:val="center"/>
          </w:tcPr>
          <w:p>
            <w:pPr>
              <w:widowControl w:val="0"/>
              <w:spacing w:line="240" w:lineRule="auto"/>
              <w:ind w:firstLine="0" w:firstLineChars="0"/>
              <w:jc w:val="center"/>
              <w:rPr>
                <w:sz w:val="21"/>
                <w:szCs w:val="21"/>
                <w:u w:val="none"/>
              </w:rPr>
            </w:pPr>
            <w:r>
              <w:rPr>
                <w:rFonts w:hint="eastAsia"/>
                <w:sz w:val="21"/>
                <w:szCs w:val="21"/>
                <w:u w:val="none"/>
              </w:rPr>
              <w:t>监测</w:t>
            </w:r>
            <w:r>
              <w:rPr>
                <w:sz w:val="21"/>
                <w:szCs w:val="21"/>
                <w:u w:val="none"/>
              </w:rPr>
              <w:t>项目</w:t>
            </w:r>
          </w:p>
        </w:tc>
        <w:tc>
          <w:tcPr>
            <w:tcW w:w="2134" w:type="pct"/>
            <w:gridSpan w:val="3"/>
            <w:vAlign w:val="center"/>
          </w:tcPr>
          <w:p>
            <w:pPr>
              <w:widowControl w:val="0"/>
              <w:spacing w:line="240" w:lineRule="auto"/>
              <w:ind w:firstLine="0" w:firstLineChars="0"/>
              <w:jc w:val="center"/>
              <w:rPr>
                <w:sz w:val="21"/>
                <w:szCs w:val="21"/>
                <w:u w:val="none"/>
              </w:rPr>
            </w:pPr>
            <w:r>
              <w:rPr>
                <w:rFonts w:hint="eastAsia"/>
                <w:sz w:val="21"/>
                <w:szCs w:val="21"/>
                <w:u w:val="none"/>
              </w:rPr>
              <w:t>监测</w:t>
            </w:r>
            <w:r>
              <w:rPr>
                <w:sz w:val="21"/>
                <w:szCs w:val="21"/>
                <w:u w:val="none"/>
              </w:rPr>
              <w:t>日期及结果</w:t>
            </w:r>
          </w:p>
        </w:tc>
        <w:tc>
          <w:tcPr>
            <w:tcW w:w="755" w:type="pct"/>
            <w:vMerge w:val="restart"/>
            <w:vAlign w:val="center"/>
          </w:tcPr>
          <w:p>
            <w:pPr>
              <w:widowControl w:val="0"/>
              <w:spacing w:line="240" w:lineRule="auto"/>
              <w:ind w:firstLine="0" w:firstLineChars="0"/>
              <w:jc w:val="center"/>
              <w:rPr>
                <w:sz w:val="21"/>
                <w:szCs w:val="21"/>
                <w:u w:val="none"/>
              </w:rPr>
            </w:pPr>
            <w:r>
              <w:rPr>
                <w:sz w:val="21"/>
                <w:szCs w:val="21"/>
                <w:u w:val="none"/>
              </w:rPr>
              <w:t>标准限值</w:t>
            </w:r>
          </w:p>
        </w:tc>
        <w:tc>
          <w:tcPr>
            <w:tcW w:w="575" w:type="pct"/>
            <w:vMerge w:val="restart"/>
            <w:vAlign w:val="center"/>
          </w:tcPr>
          <w:p>
            <w:pPr>
              <w:widowControl w:val="0"/>
              <w:spacing w:line="240" w:lineRule="auto"/>
              <w:ind w:firstLine="0" w:firstLineChars="0"/>
              <w:jc w:val="center"/>
              <w:rPr>
                <w:sz w:val="21"/>
                <w:szCs w:val="21"/>
                <w:u w:val="none"/>
              </w:rPr>
            </w:pPr>
            <w:r>
              <w:rPr>
                <w:sz w:val="21"/>
                <w:szCs w:val="21"/>
                <w:u w:val="none"/>
              </w:rPr>
              <w:t>超标倍数</w:t>
            </w:r>
          </w:p>
        </w:tc>
        <w:tc>
          <w:tcPr>
            <w:tcW w:w="400" w:type="pct"/>
            <w:vMerge w:val="restart"/>
            <w:vAlign w:val="center"/>
          </w:tcPr>
          <w:p>
            <w:pPr>
              <w:widowControl w:val="0"/>
              <w:spacing w:line="240" w:lineRule="auto"/>
              <w:ind w:firstLine="0" w:firstLineChars="0"/>
              <w:jc w:val="center"/>
              <w:rPr>
                <w:sz w:val="21"/>
                <w:szCs w:val="21"/>
                <w:u w:val="none"/>
              </w:rPr>
            </w:pPr>
            <w:r>
              <w:rPr>
                <w:sz w:val="21"/>
                <w:szCs w:val="21"/>
                <w:u w:val="none"/>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437" w:type="pct"/>
            <w:vMerge w:val="continue"/>
            <w:vAlign w:val="center"/>
          </w:tcPr>
          <w:p>
            <w:pPr>
              <w:widowControl w:val="0"/>
              <w:spacing w:line="240" w:lineRule="auto"/>
              <w:ind w:firstLine="0" w:firstLineChars="0"/>
              <w:jc w:val="center"/>
              <w:rPr>
                <w:sz w:val="21"/>
                <w:szCs w:val="21"/>
                <w:u w:val="none"/>
              </w:rPr>
            </w:pPr>
          </w:p>
        </w:tc>
        <w:tc>
          <w:tcPr>
            <w:tcW w:w="699" w:type="pct"/>
            <w:vMerge w:val="continue"/>
            <w:vAlign w:val="center"/>
          </w:tcPr>
          <w:p>
            <w:pPr>
              <w:widowControl w:val="0"/>
              <w:spacing w:line="240" w:lineRule="auto"/>
              <w:ind w:firstLine="0" w:firstLineChars="0"/>
              <w:jc w:val="center"/>
              <w:rPr>
                <w:sz w:val="21"/>
                <w:szCs w:val="21"/>
                <w:u w:val="none"/>
              </w:rPr>
            </w:pP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07</w:t>
            </w:r>
            <w:r>
              <w:rPr>
                <w:sz w:val="21"/>
                <w:szCs w:val="21"/>
                <w:u w:val="none"/>
              </w:rPr>
              <w:t>月</w:t>
            </w:r>
            <w:r>
              <w:rPr>
                <w:rFonts w:hint="eastAsia"/>
                <w:sz w:val="21"/>
                <w:szCs w:val="21"/>
                <w:u w:val="none"/>
              </w:rPr>
              <w:t>24</w:t>
            </w:r>
            <w:r>
              <w:rPr>
                <w:sz w:val="21"/>
                <w:szCs w:val="21"/>
                <w:u w:val="none"/>
              </w:rPr>
              <w:t>日</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07</w:t>
            </w:r>
            <w:r>
              <w:rPr>
                <w:sz w:val="21"/>
                <w:szCs w:val="21"/>
                <w:u w:val="none"/>
              </w:rPr>
              <w:t>月</w:t>
            </w:r>
            <w:r>
              <w:rPr>
                <w:rFonts w:hint="eastAsia"/>
                <w:sz w:val="21"/>
                <w:szCs w:val="21"/>
                <w:u w:val="none"/>
              </w:rPr>
              <w:t>25</w:t>
            </w:r>
            <w:r>
              <w:rPr>
                <w:sz w:val="21"/>
                <w:szCs w:val="21"/>
                <w:u w:val="none"/>
              </w:rPr>
              <w:t>日</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07</w:t>
            </w:r>
            <w:r>
              <w:rPr>
                <w:sz w:val="21"/>
                <w:szCs w:val="21"/>
                <w:u w:val="none"/>
              </w:rPr>
              <w:t>月2</w:t>
            </w:r>
            <w:r>
              <w:rPr>
                <w:rFonts w:hint="eastAsia"/>
                <w:sz w:val="21"/>
                <w:szCs w:val="21"/>
                <w:u w:val="none"/>
              </w:rPr>
              <w:t>6</w:t>
            </w:r>
            <w:r>
              <w:rPr>
                <w:sz w:val="21"/>
                <w:szCs w:val="21"/>
                <w:u w:val="none"/>
              </w:rPr>
              <w:t>日</w:t>
            </w:r>
          </w:p>
        </w:tc>
        <w:tc>
          <w:tcPr>
            <w:tcW w:w="755" w:type="pct"/>
            <w:vMerge w:val="continue"/>
            <w:vAlign w:val="center"/>
          </w:tcPr>
          <w:p>
            <w:pPr>
              <w:widowControl w:val="0"/>
              <w:spacing w:line="240" w:lineRule="auto"/>
              <w:ind w:firstLine="0" w:firstLineChars="0"/>
              <w:jc w:val="center"/>
              <w:rPr>
                <w:sz w:val="21"/>
                <w:szCs w:val="21"/>
                <w:u w:val="none"/>
              </w:rPr>
            </w:pPr>
          </w:p>
        </w:tc>
        <w:tc>
          <w:tcPr>
            <w:tcW w:w="575" w:type="pct"/>
            <w:vMerge w:val="continue"/>
            <w:vAlign w:val="center"/>
          </w:tcPr>
          <w:p>
            <w:pPr>
              <w:widowControl w:val="0"/>
              <w:spacing w:line="240" w:lineRule="auto"/>
              <w:ind w:firstLine="0" w:firstLineChars="0"/>
              <w:jc w:val="center"/>
              <w:rPr>
                <w:sz w:val="21"/>
                <w:szCs w:val="21"/>
                <w:u w:val="none"/>
              </w:rPr>
            </w:pPr>
          </w:p>
        </w:tc>
        <w:tc>
          <w:tcPr>
            <w:tcW w:w="400" w:type="pct"/>
            <w:vMerge w:val="continue"/>
            <w:vAlign w:val="center"/>
          </w:tcPr>
          <w:p>
            <w:pPr>
              <w:widowControl w:val="0"/>
              <w:spacing w:line="240" w:lineRule="auto"/>
              <w:ind w:firstLine="0" w:firstLineChars="0"/>
              <w:jc w:val="center"/>
              <w:rPr>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437" w:type="pct"/>
            <w:vMerge w:val="restart"/>
            <w:vAlign w:val="center"/>
          </w:tcPr>
          <w:p>
            <w:pPr>
              <w:widowControl w:val="0"/>
              <w:spacing w:line="240" w:lineRule="auto"/>
              <w:ind w:firstLine="0" w:firstLineChars="0"/>
              <w:jc w:val="center"/>
              <w:rPr>
                <w:sz w:val="21"/>
                <w:szCs w:val="21"/>
                <w:u w:val="none"/>
              </w:rPr>
            </w:pPr>
            <w:r>
              <w:rPr>
                <w:sz w:val="21"/>
                <w:szCs w:val="21"/>
                <w:u w:val="none"/>
              </w:rPr>
              <w:t>水电厂</w:t>
            </w:r>
            <w:r>
              <w:rPr>
                <w:rFonts w:hint="eastAsia"/>
                <w:sz w:val="21"/>
                <w:szCs w:val="21"/>
                <w:u w:val="none"/>
              </w:rPr>
              <w:t>生活</w:t>
            </w:r>
            <w:r>
              <w:rPr>
                <w:sz w:val="21"/>
                <w:szCs w:val="21"/>
                <w:u w:val="none"/>
              </w:rPr>
              <w:t>区排污口上游</w:t>
            </w:r>
            <w:r>
              <w:rPr>
                <w:rFonts w:hint="eastAsia"/>
                <w:sz w:val="21"/>
                <w:szCs w:val="21"/>
                <w:u w:val="none"/>
              </w:rPr>
              <w:t>500m</w:t>
            </w:r>
          </w:p>
        </w:tc>
        <w:tc>
          <w:tcPr>
            <w:tcW w:w="699" w:type="pct"/>
            <w:vAlign w:val="center"/>
          </w:tcPr>
          <w:p>
            <w:pPr>
              <w:widowControl w:val="0"/>
              <w:spacing w:line="240" w:lineRule="auto"/>
              <w:ind w:firstLine="0" w:firstLineChars="0"/>
              <w:jc w:val="center"/>
              <w:rPr>
                <w:sz w:val="21"/>
                <w:szCs w:val="21"/>
                <w:u w:val="none"/>
              </w:rPr>
            </w:pPr>
            <w:r>
              <w:rPr>
                <w:sz w:val="21"/>
                <w:szCs w:val="21"/>
                <w:u w:val="none"/>
              </w:rPr>
              <w:t>pH</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7.13</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7.11</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7.13</w:t>
            </w:r>
          </w:p>
        </w:tc>
        <w:tc>
          <w:tcPr>
            <w:tcW w:w="755" w:type="pct"/>
            <w:vAlign w:val="center"/>
          </w:tcPr>
          <w:p>
            <w:pPr>
              <w:widowControl w:val="0"/>
              <w:spacing w:line="240" w:lineRule="auto"/>
              <w:ind w:firstLine="0" w:firstLineChars="0"/>
              <w:jc w:val="center"/>
              <w:rPr>
                <w:sz w:val="21"/>
                <w:szCs w:val="21"/>
                <w:u w:val="none"/>
              </w:rPr>
            </w:pPr>
            <w:r>
              <w:rPr>
                <w:rFonts w:hint="eastAsia"/>
                <w:sz w:val="21"/>
                <w:szCs w:val="21"/>
                <w:u w:val="none"/>
              </w:rPr>
              <w:t>6-9</w:t>
            </w:r>
          </w:p>
        </w:tc>
        <w:tc>
          <w:tcPr>
            <w:tcW w:w="575" w:type="pct"/>
            <w:vAlign w:val="center"/>
          </w:tcPr>
          <w:p>
            <w:pPr>
              <w:widowControl w:val="0"/>
              <w:spacing w:line="240" w:lineRule="auto"/>
              <w:ind w:firstLine="0" w:firstLineChars="0"/>
              <w:jc w:val="center"/>
              <w:rPr>
                <w:sz w:val="21"/>
                <w:szCs w:val="21"/>
                <w:u w:val="none"/>
              </w:rPr>
            </w:pPr>
            <w:r>
              <w:rPr>
                <w:rFonts w:hint="eastAsia"/>
                <w:sz w:val="21"/>
                <w:szCs w:val="21"/>
                <w:u w:val="none"/>
              </w:rPr>
              <w:t>0</w:t>
            </w:r>
          </w:p>
        </w:tc>
        <w:tc>
          <w:tcPr>
            <w:tcW w:w="400" w:type="pct"/>
            <w:vAlign w:val="center"/>
          </w:tcPr>
          <w:p>
            <w:pPr>
              <w:widowControl w:val="0"/>
              <w:spacing w:line="240" w:lineRule="auto"/>
              <w:ind w:firstLine="0" w:firstLineChars="0"/>
              <w:jc w:val="center"/>
              <w:rPr>
                <w:sz w:val="21"/>
                <w:szCs w:val="21"/>
                <w:u w:val="none"/>
              </w:rPr>
            </w:pPr>
            <w:r>
              <w:rPr>
                <w:sz w:val="21"/>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437" w:type="pct"/>
            <w:vMerge w:val="continue"/>
            <w:vAlign w:val="center"/>
          </w:tcPr>
          <w:p>
            <w:pPr>
              <w:widowControl w:val="0"/>
              <w:spacing w:line="240" w:lineRule="auto"/>
              <w:ind w:firstLine="0" w:firstLineChars="0"/>
              <w:jc w:val="center"/>
              <w:rPr>
                <w:sz w:val="21"/>
                <w:szCs w:val="21"/>
                <w:u w:val="none"/>
              </w:rPr>
            </w:pPr>
          </w:p>
        </w:tc>
        <w:tc>
          <w:tcPr>
            <w:tcW w:w="699" w:type="pct"/>
            <w:vAlign w:val="center"/>
          </w:tcPr>
          <w:p>
            <w:pPr>
              <w:widowControl w:val="0"/>
              <w:spacing w:line="240" w:lineRule="auto"/>
              <w:ind w:firstLine="0" w:firstLineChars="0"/>
              <w:jc w:val="center"/>
              <w:rPr>
                <w:sz w:val="21"/>
                <w:szCs w:val="21"/>
                <w:u w:val="none"/>
              </w:rPr>
            </w:pPr>
            <w:r>
              <w:rPr>
                <w:sz w:val="21"/>
                <w:szCs w:val="21"/>
                <w:u w:val="none"/>
              </w:rPr>
              <w:t>化学需氧量</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11</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13</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14</w:t>
            </w:r>
          </w:p>
        </w:tc>
        <w:tc>
          <w:tcPr>
            <w:tcW w:w="755" w:type="pct"/>
            <w:vAlign w:val="center"/>
          </w:tcPr>
          <w:p>
            <w:pPr>
              <w:widowControl w:val="0"/>
              <w:spacing w:line="240" w:lineRule="auto"/>
              <w:ind w:firstLine="0" w:firstLineChars="0"/>
              <w:jc w:val="center"/>
              <w:rPr>
                <w:sz w:val="21"/>
                <w:szCs w:val="21"/>
                <w:u w:val="none"/>
              </w:rPr>
            </w:pPr>
            <w:r>
              <w:rPr>
                <w:rFonts w:hint="eastAsia"/>
                <w:sz w:val="21"/>
                <w:szCs w:val="21"/>
                <w:u w:val="none"/>
              </w:rPr>
              <w:t>15</w:t>
            </w:r>
          </w:p>
        </w:tc>
        <w:tc>
          <w:tcPr>
            <w:tcW w:w="575" w:type="pct"/>
            <w:vAlign w:val="center"/>
          </w:tcPr>
          <w:p>
            <w:pPr>
              <w:widowControl w:val="0"/>
              <w:spacing w:line="240" w:lineRule="auto"/>
              <w:ind w:firstLine="0" w:firstLineChars="0"/>
              <w:jc w:val="center"/>
              <w:rPr>
                <w:sz w:val="21"/>
                <w:szCs w:val="21"/>
                <w:u w:val="none"/>
              </w:rPr>
            </w:pPr>
            <w:r>
              <w:rPr>
                <w:rFonts w:hint="eastAsia"/>
                <w:sz w:val="21"/>
                <w:szCs w:val="21"/>
                <w:u w:val="none"/>
              </w:rPr>
              <w:t>0</w:t>
            </w:r>
          </w:p>
        </w:tc>
        <w:tc>
          <w:tcPr>
            <w:tcW w:w="400" w:type="pct"/>
            <w:vAlign w:val="center"/>
          </w:tcPr>
          <w:p>
            <w:pPr>
              <w:widowControl w:val="0"/>
              <w:spacing w:line="240" w:lineRule="auto"/>
              <w:ind w:firstLine="0" w:firstLineChars="0"/>
              <w:jc w:val="center"/>
              <w:rPr>
                <w:sz w:val="21"/>
                <w:szCs w:val="21"/>
                <w:u w:val="none"/>
              </w:rPr>
            </w:pPr>
            <w:r>
              <w:rPr>
                <w:sz w:val="21"/>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437" w:type="pct"/>
            <w:vMerge w:val="continue"/>
            <w:vAlign w:val="center"/>
          </w:tcPr>
          <w:p>
            <w:pPr>
              <w:widowControl w:val="0"/>
              <w:spacing w:line="240" w:lineRule="auto"/>
              <w:ind w:firstLine="0" w:firstLineChars="0"/>
              <w:jc w:val="center"/>
              <w:rPr>
                <w:sz w:val="21"/>
                <w:szCs w:val="21"/>
                <w:u w:val="none"/>
              </w:rPr>
            </w:pPr>
          </w:p>
        </w:tc>
        <w:tc>
          <w:tcPr>
            <w:tcW w:w="699" w:type="pct"/>
            <w:vAlign w:val="center"/>
          </w:tcPr>
          <w:p>
            <w:pPr>
              <w:widowControl w:val="0"/>
              <w:spacing w:line="240" w:lineRule="auto"/>
              <w:ind w:firstLine="0" w:firstLineChars="0"/>
              <w:jc w:val="center"/>
              <w:rPr>
                <w:sz w:val="21"/>
                <w:szCs w:val="21"/>
                <w:u w:val="none"/>
              </w:rPr>
            </w:pPr>
            <w:r>
              <w:rPr>
                <w:sz w:val="21"/>
                <w:szCs w:val="21"/>
                <w:u w:val="none"/>
              </w:rPr>
              <w:t>氨氮</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0.084</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0.092</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0.087</w:t>
            </w:r>
          </w:p>
        </w:tc>
        <w:tc>
          <w:tcPr>
            <w:tcW w:w="755" w:type="pct"/>
            <w:vAlign w:val="center"/>
          </w:tcPr>
          <w:p>
            <w:pPr>
              <w:widowControl w:val="0"/>
              <w:spacing w:line="240" w:lineRule="auto"/>
              <w:ind w:firstLine="0" w:firstLineChars="0"/>
              <w:jc w:val="center"/>
              <w:rPr>
                <w:sz w:val="21"/>
                <w:szCs w:val="21"/>
                <w:u w:val="none"/>
              </w:rPr>
            </w:pPr>
            <w:r>
              <w:rPr>
                <w:rFonts w:hint="eastAsia"/>
                <w:sz w:val="21"/>
                <w:szCs w:val="21"/>
                <w:u w:val="none"/>
              </w:rPr>
              <w:t>0.5</w:t>
            </w:r>
          </w:p>
        </w:tc>
        <w:tc>
          <w:tcPr>
            <w:tcW w:w="575" w:type="pct"/>
            <w:vAlign w:val="center"/>
          </w:tcPr>
          <w:p>
            <w:pPr>
              <w:widowControl w:val="0"/>
              <w:spacing w:line="240" w:lineRule="auto"/>
              <w:ind w:firstLine="0" w:firstLineChars="0"/>
              <w:jc w:val="center"/>
              <w:rPr>
                <w:sz w:val="21"/>
                <w:szCs w:val="21"/>
                <w:u w:val="none"/>
              </w:rPr>
            </w:pPr>
            <w:r>
              <w:rPr>
                <w:rFonts w:hint="eastAsia"/>
                <w:sz w:val="21"/>
                <w:szCs w:val="21"/>
                <w:u w:val="none"/>
              </w:rPr>
              <w:t>0</w:t>
            </w:r>
          </w:p>
        </w:tc>
        <w:tc>
          <w:tcPr>
            <w:tcW w:w="400" w:type="pct"/>
            <w:vAlign w:val="center"/>
          </w:tcPr>
          <w:p>
            <w:pPr>
              <w:widowControl w:val="0"/>
              <w:spacing w:line="240" w:lineRule="auto"/>
              <w:ind w:firstLine="0" w:firstLineChars="0"/>
              <w:jc w:val="center"/>
              <w:rPr>
                <w:sz w:val="21"/>
                <w:szCs w:val="21"/>
                <w:u w:val="none"/>
              </w:rPr>
            </w:pPr>
            <w:r>
              <w:rPr>
                <w:sz w:val="21"/>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437" w:type="pct"/>
            <w:vMerge w:val="continue"/>
            <w:vAlign w:val="center"/>
          </w:tcPr>
          <w:p>
            <w:pPr>
              <w:widowControl w:val="0"/>
              <w:spacing w:line="240" w:lineRule="auto"/>
              <w:ind w:firstLine="0" w:firstLineChars="0"/>
              <w:jc w:val="center"/>
              <w:rPr>
                <w:sz w:val="21"/>
                <w:szCs w:val="21"/>
                <w:u w:val="none"/>
              </w:rPr>
            </w:pPr>
          </w:p>
        </w:tc>
        <w:tc>
          <w:tcPr>
            <w:tcW w:w="699" w:type="pct"/>
            <w:vAlign w:val="center"/>
          </w:tcPr>
          <w:p>
            <w:pPr>
              <w:widowControl w:val="0"/>
              <w:spacing w:line="240" w:lineRule="auto"/>
              <w:ind w:firstLine="0" w:firstLineChars="0"/>
              <w:jc w:val="center"/>
              <w:rPr>
                <w:sz w:val="21"/>
                <w:szCs w:val="21"/>
                <w:u w:val="none"/>
              </w:rPr>
            </w:pPr>
            <w:r>
              <w:rPr>
                <w:rFonts w:hint="eastAsia"/>
                <w:sz w:val="21"/>
                <w:szCs w:val="21"/>
                <w:u w:val="none"/>
              </w:rPr>
              <w:t>BOD</w:t>
            </w:r>
            <w:r>
              <w:rPr>
                <w:rFonts w:hint="eastAsia"/>
                <w:sz w:val="21"/>
                <w:szCs w:val="21"/>
                <w:u w:val="none"/>
                <w:vertAlign w:val="subscript"/>
              </w:rPr>
              <w:t>5</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1.6</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2.0</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1.4</w:t>
            </w:r>
          </w:p>
        </w:tc>
        <w:tc>
          <w:tcPr>
            <w:tcW w:w="755" w:type="pct"/>
            <w:vAlign w:val="center"/>
          </w:tcPr>
          <w:p>
            <w:pPr>
              <w:widowControl w:val="0"/>
              <w:spacing w:line="240" w:lineRule="auto"/>
              <w:ind w:firstLine="0" w:firstLineChars="0"/>
              <w:jc w:val="center"/>
              <w:rPr>
                <w:sz w:val="21"/>
                <w:szCs w:val="21"/>
                <w:u w:val="none"/>
              </w:rPr>
            </w:pPr>
            <w:r>
              <w:rPr>
                <w:rFonts w:hint="eastAsia"/>
                <w:sz w:val="21"/>
                <w:szCs w:val="21"/>
                <w:u w:val="none"/>
              </w:rPr>
              <w:t>3</w:t>
            </w:r>
          </w:p>
        </w:tc>
        <w:tc>
          <w:tcPr>
            <w:tcW w:w="575" w:type="pct"/>
            <w:vAlign w:val="center"/>
          </w:tcPr>
          <w:p>
            <w:pPr>
              <w:widowControl w:val="0"/>
              <w:spacing w:line="240" w:lineRule="auto"/>
              <w:ind w:firstLine="0" w:firstLineChars="0"/>
              <w:jc w:val="center"/>
              <w:rPr>
                <w:sz w:val="21"/>
                <w:szCs w:val="21"/>
                <w:u w:val="none"/>
              </w:rPr>
            </w:pPr>
            <w:r>
              <w:rPr>
                <w:rFonts w:hint="eastAsia"/>
                <w:sz w:val="21"/>
                <w:szCs w:val="21"/>
                <w:u w:val="none"/>
              </w:rPr>
              <w:t>0</w:t>
            </w:r>
          </w:p>
        </w:tc>
        <w:tc>
          <w:tcPr>
            <w:tcW w:w="400" w:type="pct"/>
            <w:vAlign w:val="center"/>
          </w:tcPr>
          <w:p>
            <w:pPr>
              <w:widowControl w:val="0"/>
              <w:spacing w:line="240" w:lineRule="auto"/>
              <w:ind w:firstLine="0" w:firstLineChars="0"/>
              <w:jc w:val="center"/>
              <w:rPr>
                <w:sz w:val="21"/>
                <w:szCs w:val="21"/>
                <w:u w:val="none"/>
              </w:rPr>
            </w:pPr>
            <w:r>
              <w:rPr>
                <w:sz w:val="21"/>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437" w:type="pct"/>
            <w:vMerge w:val="continue"/>
            <w:vAlign w:val="center"/>
          </w:tcPr>
          <w:p>
            <w:pPr>
              <w:widowControl w:val="0"/>
              <w:spacing w:line="240" w:lineRule="auto"/>
              <w:ind w:firstLine="0" w:firstLineChars="0"/>
              <w:jc w:val="center"/>
              <w:rPr>
                <w:sz w:val="21"/>
                <w:szCs w:val="21"/>
                <w:u w:val="none"/>
              </w:rPr>
            </w:pPr>
          </w:p>
        </w:tc>
        <w:tc>
          <w:tcPr>
            <w:tcW w:w="699" w:type="pct"/>
            <w:vAlign w:val="center"/>
          </w:tcPr>
          <w:p>
            <w:pPr>
              <w:widowControl w:val="0"/>
              <w:spacing w:line="240" w:lineRule="auto"/>
              <w:ind w:firstLine="0" w:firstLineChars="0"/>
              <w:jc w:val="center"/>
              <w:rPr>
                <w:sz w:val="21"/>
                <w:szCs w:val="21"/>
                <w:u w:val="none"/>
              </w:rPr>
            </w:pPr>
            <w:r>
              <w:rPr>
                <w:rFonts w:hint="eastAsia"/>
                <w:sz w:val="21"/>
                <w:szCs w:val="21"/>
                <w:u w:val="none"/>
              </w:rPr>
              <w:t>总磷</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0.02</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0.03</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0.04</w:t>
            </w:r>
          </w:p>
        </w:tc>
        <w:tc>
          <w:tcPr>
            <w:tcW w:w="755" w:type="pct"/>
            <w:vAlign w:val="center"/>
          </w:tcPr>
          <w:p>
            <w:pPr>
              <w:widowControl w:val="0"/>
              <w:spacing w:line="240" w:lineRule="auto"/>
              <w:ind w:firstLine="0" w:firstLineChars="0"/>
              <w:jc w:val="center"/>
              <w:rPr>
                <w:sz w:val="21"/>
                <w:szCs w:val="21"/>
                <w:u w:val="none"/>
              </w:rPr>
            </w:pPr>
            <w:r>
              <w:rPr>
                <w:rFonts w:hint="eastAsia"/>
                <w:sz w:val="21"/>
                <w:szCs w:val="21"/>
                <w:u w:val="none"/>
              </w:rPr>
              <w:t>0.1</w:t>
            </w:r>
          </w:p>
        </w:tc>
        <w:tc>
          <w:tcPr>
            <w:tcW w:w="575" w:type="pct"/>
            <w:vAlign w:val="center"/>
          </w:tcPr>
          <w:p>
            <w:pPr>
              <w:widowControl w:val="0"/>
              <w:spacing w:line="240" w:lineRule="auto"/>
              <w:ind w:firstLine="0" w:firstLineChars="0"/>
              <w:jc w:val="center"/>
              <w:rPr>
                <w:sz w:val="21"/>
                <w:szCs w:val="21"/>
                <w:u w:val="none"/>
              </w:rPr>
            </w:pPr>
            <w:r>
              <w:rPr>
                <w:rFonts w:hint="eastAsia"/>
                <w:sz w:val="21"/>
                <w:szCs w:val="21"/>
                <w:u w:val="none"/>
              </w:rPr>
              <w:t>0</w:t>
            </w:r>
          </w:p>
        </w:tc>
        <w:tc>
          <w:tcPr>
            <w:tcW w:w="400" w:type="pct"/>
            <w:vAlign w:val="center"/>
          </w:tcPr>
          <w:p>
            <w:pPr>
              <w:widowControl w:val="0"/>
              <w:spacing w:line="240" w:lineRule="auto"/>
              <w:ind w:firstLine="0" w:firstLineChars="0"/>
              <w:jc w:val="center"/>
              <w:rPr>
                <w:sz w:val="21"/>
                <w:szCs w:val="21"/>
                <w:u w:val="none"/>
              </w:rPr>
            </w:pPr>
            <w:r>
              <w:rPr>
                <w:sz w:val="21"/>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437" w:type="pct"/>
            <w:vMerge w:val="continue"/>
            <w:vAlign w:val="center"/>
          </w:tcPr>
          <w:p>
            <w:pPr>
              <w:widowControl w:val="0"/>
              <w:spacing w:line="240" w:lineRule="auto"/>
              <w:ind w:firstLine="0" w:firstLineChars="0"/>
              <w:jc w:val="center"/>
              <w:rPr>
                <w:sz w:val="21"/>
                <w:szCs w:val="21"/>
                <w:u w:val="none"/>
              </w:rPr>
            </w:pPr>
          </w:p>
        </w:tc>
        <w:tc>
          <w:tcPr>
            <w:tcW w:w="699" w:type="pct"/>
            <w:vAlign w:val="center"/>
          </w:tcPr>
          <w:p>
            <w:pPr>
              <w:widowControl w:val="0"/>
              <w:spacing w:line="240" w:lineRule="auto"/>
              <w:ind w:firstLine="0" w:firstLineChars="0"/>
              <w:jc w:val="center"/>
              <w:rPr>
                <w:sz w:val="21"/>
                <w:szCs w:val="21"/>
                <w:u w:val="none"/>
              </w:rPr>
            </w:pPr>
            <w:r>
              <w:rPr>
                <w:rFonts w:hint="eastAsia"/>
                <w:sz w:val="21"/>
                <w:szCs w:val="21"/>
                <w:u w:val="none"/>
              </w:rPr>
              <w:t>DO</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8.5</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8.6</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8.7</w:t>
            </w:r>
          </w:p>
        </w:tc>
        <w:tc>
          <w:tcPr>
            <w:tcW w:w="755" w:type="pct"/>
            <w:vAlign w:val="center"/>
          </w:tcPr>
          <w:p>
            <w:pPr>
              <w:widowControl w:val="0"/>
              <w:spacing w:line="240" w:lineRule="auto"/>
              <w:ind w:firstLine="0" w:firstLineChars="0"/>
              <w:jc w:val="center"/>
              <w:rPr>
                <w:sz w:val="21"/>
                <w:szCs w:val="21"/>
                <w:u w:val="none"/>
              </w:rPr>
            </w:pPr>
            <w:r>
              <w:rPr>
                <w:sz w:val="21"/>
                <w:szCs w:val="21"/>
                <w:u w:val="none"/>
              </w:rPr>
              <w:t>≥</w:t>
            </w:r>
            <w:r>
              <w:rPr>
                <w:rFonts w:hint="eastAsia"/>
                <w:sz w:val="21"/>
                <w:szCs w:val="21"/>
                <w:u w:val="none"/>
              </w:rPr>
              <w:t>5</w:t>
            </w:r>
          </w:p>
        </w:tc>
        <w:tc>
          <w:tcPr>
            <w:tcW w:w="575" w:type="pct"/>
            <w:vAlign w:val="center"/>
          </w:tcPr>
          <w:p>
            <w:pPr>
              <w:widowControl w:val="0"/>
              <w:spacing w:line="240" w:lineRule="auto"/>
              <w:ind w:firstLine="0" w:firstLineChars="0"/>
              <w:jc w:val="center"/>
              <w:rPr>
                <w:sz w:val="21"/>
                <w:szCs w:val="21"/>
                <w:u w:val="none"/>
              </w:rPr>
            </w:pPr>
            <w:r>
              <w:rPr>
                <w:rFonts w:hint="eastAsia"/>
                <w:sz w:val="21"/>
                <w:szCs w:val="21"/>
                <w:u w:val="none"/>
              </w:rPr>
              <w:t>0</w:t>
            </w:r>
          </w:p>
        </w:tc>
        <w:tc>
          <w:tcPr>
            <w:tcW w:w="400" w:type="pct"/>
            <w:vAlign w:val="center"/>
          </w:tcPr>
          <w:p>
            <w:pPr>
              <w:widowControl w:val="0"/>
              <w:spacing w:line="240" w:lineRule="auto"/>
              <w:ind w:firstLine="0" w:firstLineChars="0"/>
              <w:jc w:val="center"/>
              <w:rPr>
                <w:sz w:val="21"/>
                <w:szCs w:val="21"/>
                <w:u w:val="none"/>
              </w:rPr>
            </w:pPr>
            <w:r>
              <w:rPr>
                <w:sz w:val="21"/>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437" w:type="pct"/>
            <w:vMerge w:val="continue"/>
            <w:vAlign w:val="center"/>
          </w:tcPr>
          <w:p>
            <w:pPr>
              <w:widowControl w:val="0"/>
              <w:spacing w:line="240" w:lineRule="auto"/>
              <w:ind w:firstLine="0" w:firstLineChars="0"/>
              <w:jc w:val="center"/>
              <w:rPr>
                <w:sz w:val="21"/>
                <w:szCs w:val="21"/>
                <w:u w:val="none"/>
              </w:rPr>
            </w:pPr>
          </w:p>
        </w:tc>
        <w:tc>
          <w:tcPr>
            <w:tcW w:w="699" w:type="pct"/>
            <w:vAlign w:val="center"/>
          </w:tcPr>
          <w:p>
            <w:pPr>
              <w:widowControl w:val="0"/>
              <w:spacing w:line="240" w:lineRule="auto"/>
              <w:ind w:firstLine="0" w:firstLineChars="0"/>
              <w:jc w:val="center"/>
              <w:rPr>
                <w:sz w:val="21"/>
                <w:szCs w:val="21"/>
                <w:u w:val="none"/>
              </w:rPr>
            </w:pPr>
            <w:r>
              <w:rPr>
                <w:rFonts w:hint="eastAsia"/>
                <w:sz w:val="21"/>
                <w:szCs w:val="21"/>
                <w:u w:val="none"/>
              </w:rPr>
              <w:t>SS</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11</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8</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10</w:t>
            </w:r>
          </w:p>
        </w:tc>
        <w:tc>
          <w:tcPr>
            <w:tcW w:w="755" w:type="pct"/>
            <w:vAlign w:val="center"/>
          </w:tcPr>
          <w:p>
            <w:pPr>
              <w:widowControl w:val="0"/>
              <w:spacing w:line="240" w:lineRule="auto"/>
              <w:ind w:firstLine="0" w:firstLineChars="0"/>
              <w:jc w:val="center"/>
              <w:rPr>
                <w:sz w:val="21"/>
                <w:szCs w:val="21"/>
                <w:u w:val="none"/>
              </w:rPr>
            </w:pPr>
            <w:r>
              <w:rPr>
                <w:rFonts w:hint="eastAsia"/>
                <w:sz w:val="21"/>
                <w:szCs w:val="21"/>
                <w:u w:val="none"/>
              </w:rPr>
              <w:t>/</w:t>
            </w:r>
          </w:p>
        </w:tc>
        <w:tc>
          <w:tcPr>
            <w:tcW w:w="575" w:type="pct"/>
            <w:vAlign w:val="center"/>
          </w:tcPr>
          <w:p>
            <w:pPr>
              <w:widowControl w:val="0"/>
              <w:spacing w:line="240" w:lineRule="auto"/>
              <w:ind w:firstLine="0" w:firstLineChars="0"/>
              <w:jc w:val="center"/>
              <w:rPr>
                <w:sz w:val="21"/>
                <w:szCs w:val="21"/>
                <w:u w:val="none"/>
              </w:rPr>
            </w:pPr>
            <w:r>
              <w:rPr>
                <w:rFonts w:hint="eastAsia"/>
                <w:sz w:val="21"/>
                <w:szCs w:val="21"/>
                <w:u w:val="none"/>
              </w:rPr>
              <w:t>0</w:t>
            </w:r>
          </w:p>
        </w:tc>
        <w:tc>
          <w:tcPr>
            <w:tcW w:w="400" w:type="pct"/>
            <w:vAlign w:val="center"/>
          </w:tcPr>
          <w:p>
            <w:pPr>
              <w:widowControl w:val="0"/>
              <w:spacing w:line="240" w:lineRule="auto"/>
              <w:ind w:firstLine="0" w:firstLineChars="0"/>
              <w:jc w:val="center"/>
              <w:rPr>
                <w:sz w:val="21"/>
                <w:szCs w:val="21"/>
                <w:u w:val="none"/>
              </w:rPr>
            </w:pPr>
            <w:r>
              <w:rPr>
                <w:sz w:val="21"/>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437" w:type="pct"/>
            <w:vMerge w:val="continue"/>
            <w:vAlign w:val="center"/>
          </w:tcPr>
          <w:p>
            <w:pPr>
              <w:widowControl w:val="0"/>
              <w:spacing w:line="240" w:lineRule="auto"/>
              <w:ind w:firstLine="0" w:firstLineChars="0"/>
              <w:jc w:val="center"/>
              <w:rPr>
                <w:sz w:val="21"/>
                <w:szCs w:val="21"/>
                <w:u w:val="none"/>
              </w:rPr>
            </w:pPr>
          </w:p>
        </w:tc>
        <w:tc>
          <w:tcPr>
            <w:tcW w:w="699" w:type="pct"/>
            <w:vAlign w:val="center"/>
          </w:tcPr>
          <w:p>
            <w:pPr>
              <w:widowControl w:val="0"/>
              <w:spacing w:line="240" w:lineRule="auto"/>
              <w:ind w:firstLine="0" w:firstLineChars="0"/>
              <w:jc w:val="center"/>
              <w:rPr>
                <w:sz w:val="21"/>
                <w:szCs w:val="21"/>
                <w:u w:val="none"/>
              </w:rPr>
            </w:pPr>
            <w:r>
              <w:rPr>
                <w:rFonts w:hint="eastAsia"/>
                <w:sz w:val="21"/>
                <w:szCs w:val="21"/>
                <w:u w:val="none"/>
              </w:rPr>
              <w:t>石油类</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ND</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ND</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ND</w:t>
            </w:r>
          </w:p>
        </w:tc>
        <w:tc>
          <w:tcPr>
            <w:tcW w:w="755" w:type="pct"/>
            <w:vAlign w:val="center"/>
          </w:tcPr>
          <w:p>
            <w:pPr>
              <w:widowControl w:val="0"/>
              <w:spacing w:line="240" w:lineRule="auto"/>
              <w:ind w:firstLine="0" w:firstLineChars="0"/>
              <w:jc w:val="center"/>
              <w:rPr>
                <w:sz w:val="21"/>
                <w:szCs w:val="21"/>
                <w:u w:val="none"/>
              </w:rPr>
            </w:pPr>
            <w:r>
              <w:rPr>
                <w:rFonts w:hint="eastAsia"/>
                <w:sz w:val="21"/>
                <w:szCs w:val="21"/>
                <w:u w:val="none"/>
              </w:rPr>
              <w:t>0.05</w:t>
            </w:r>
          </w:p>
        </w:tc>
        <w:tc>
          <w:tcPr>
            <w:tcW w:w="575" w:type="pct"/>
            <w:vAlign w:val="center"/>
          </w:tcPr>
          <w:p>
            <w:pPr>
              <w:widowControl w:val="0"/>
              <w:spacing w:line="240" w:lineRule="auto"/>
              <w:ind w:firstLine="0" w:firstLineChars="0"/>
              <w:jc w:val="center"/>
              <w:rPr>
                <w:sz w:val="21"/>
                <w:szCs w:val="21"/>
                <w:u w:val="none"/>
              </w:rPr>
            </w:pPr>
            <w:r>
              <w:rPr>
                <w:rFonts w:hint="eastAsia"/>
                <w:sz w:val="21"/>
                <w:szCs w:val="21"/>
                <w:u w:val="none"/>
              </w:rPr>
              <w:t>0</w:t>
            </w:r>
          </w:p>
        </w:tc>
        <w:tc>
          <w:tcPr>
            <w:tcW w:w="400" w:type="pct"/>
            <w:vAlign w:val="center"/>
          </w:tcPr>
          <w:p>
            <w:pPr>
              <w:widowControl w:val="0"/>
              <w:spacing w:line="240" w:lineRule="auto"/>
              <w:ind w:firstLine="0" w:firstLineChars="0"/>
              <w:jc w:val="center"/>
              <w:rPr>
                <w:sz w:val="21"/>
                <w:szCs w:val="21"/>
                <w:u w:val="none"/>
              </w:rPr>
            </w:pPr>
            <w:r>
              <w:rPr>
                <w:sz w:val="21"/>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437" w:type="pct"/>
            <w:vMerge w:val="continue"/>
            <w:vAlign w:val="center"/>
          </w:tcPr>
          <w:p>
            <w:pPr>
              <w:widowControl w:val="0"/>
              <w:spacing w:line="240" w:lineRule="auto"/>
              <w:ind w:firstLine="420"/>
              <w:jc w:val="center"/>
              <w:rPr>
                <w:sz w:val="21"/>
                <w:szCs w:val="21"/>
                <w:u w:val="none"/>
              </w:rPr>
            </w:pPr>
          </w:p>
        </w:tc>
        <w:tc>
          <w:tcPr>
            <w:tcW w:w="699" w:type="pct"/>
            <w:vAlign w:val="center"/>
          </w:tcPr>
          <w:p>
            <w:pPr>
              <w:widowControl w:val="0"/>
              <w:spacing w:line="240" w:lineRule="auto"/>
              <w:ind w:firstLine="0" w:firstLineChars="0"/>
              <w:jc w:val="center"/>
              <w:rPr>
                <w:sz w:val="21"/>
                <w:szCs w:val="21"/>
                <w:u w:val="none"/>
              </w:rPr>
            </w:pPr>
            <w:r>
              <w:rPr>
                <w:rFonts w:hint="eastAsia"/>
                <w:sz w:val="21"/>
                <w:szCs w:val="21"/>
                <w:u w:val="none"/>
              </w:rPr>
              <w:t>粪大肠菌群</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3300MPN/L</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3100MPN/L</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3400MPN/L</w:t>
            </w:r>
          </w:p>
        </w:tc>
        <w:tc>
          <w:tcPr>
            <w:tcW w:w="755" w:type="pct"/>
            <w:vAlign w:val="center"/>
          </w:tcPr>
          <w:p>
            <w:pPr>
              <w:widowControl w:val="0"/>
              <w:spacing w:line="240" w:lineRule="auto"/>
              <w:ind w:firstLine="0" w:firstLineChars="0"/>
              <w:jc w:val="center"/>
              <w:rPr>
                <w:sz w:val="21"/>
                <w:szCs w:val="21"/>
                <w:u w:val="none"/>
              </w:rPr>
            </w:pPr>
            <w:r>
              <w:rPr>
                <w:rFonts w:hint="eastAsia"/>
                <w:sz w:val="21"/>
                <w:szCs w:val="21"/>
                <w:u w:val="none"/>
              </w:rPr>
              <w:t>2000MPN/L</w:t>
            </w:r>
          </w:p>
        </w:tc>
        <w:tc>
          <w:tcPr>
            <w:tcW w:w="575" w:type="pct"/>
            <w:vAlign w:val="center"/>
          </w:tcPr>
          <w:p>
            <w:pPr>
              <w:widowControl w:val="0"/>
              <w:spacing w:line="240" w:lineRule="auto"/>
              <w:ind w:firstLine="0" w:firstLineChars="0"/>
              <w:jc w:val="center"/>
              <w:rPr>
                <w:b/>
                <w:sz w:val="21"/>
                <w:szCs w:val="21"/>
                <w:u w:val="none"/>
              </w:rPr>
            </w:pPr>
            <w:r>
              <w:rPr>
                <w:rFonts w:hint="eastAsia"/>
                <w:b/>
                <w:sz w:val="21"/>
                <w:szCs w:val="21"/>
                <w:u w:val="none"/>
              </w:rPr>
              <w:t>1.55-1.7</w:t>
            </w:r>
          </w:p>
        </w:tc>
        <w:tc>
          <w:tcPr>
            <w:tcW w:w="400" w:type="pct"/>
            <w:vAlign w:val="center"/>
          </w:tcPr>
          <w:p>
            <w:pPr>
              <w:widowControl w:val="0"/>
              <w:spacing w:line="240" w:lineRule="auto"/>
              <w:ind w:firstLine="0" w:firstLineChars="0"/>
              <w:jc w:val="center"/>
              <w:rPr>
                <w:b/>
                <w:sz w:val="21"/>
                <w:szCs w:val="21"/>
                <w:u w:val="none"/>
              </w:rPr>
            </w:pPr>
            <w:r>
              <w:rPr>
                <w:rFonts w:hint="eastAsia"/>
                <w:b/>
                <w:sz w:val="21"/>
                <w:szCs w:val="21"/>
                <w:u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437" w:type="pct"/>
            <w:vMerge w:val="restart"/>
            <w:vAlign w:val="center"/>
          </w:tcPr>
          <w:p>
            <w:pPr>
              <w:widowControl w:val="0"/>
              <w:spacing w:line="240" w:lineRule="auto"/>
              <w:ind w:firstLine="0" w:firstLineChars="0"/>
              <w:jc w:val="center"/>
              <w:rPr>
                <w:sz w:val="21"/>
                <w:szCs w:val="21"/>
                <w:u w:val="none"/>
              </w:rPr>
            </w:pPr>
            <w:r>
              <w:rPr>
                <w:rFonts w:hint="eastAsia"/>
                <w:sz w:val="21"/>
                <w:szCs w:val="21"/>
                <w:u w:val="none"/>
              </w:rPr>
              <w:t>水电厂生产区</w:t>
            </w:r>
            <w:r>
              <w:rPr>
                <w:sz w:val="21"/>
                <w:szCs w:val="21"/>
                <w:u w:val="none"/>
              </w:rPr>
              <w:t>排污口</w:t>
            </w:r>
            <w:r>
              <w:rPr>
                <w:rFonts w:hint="eastAsia"/>
                <w:sz w:val="21"/>
                <w:szCs w:val="21"/>
                <w:u w:val="none"/>
              </w:rPr>
              <w:t>下游300m</w:t>
            </w:r>
          </w:p>
        </w:tc>
        <w:tc>
          <w:tcPr>
            <w:tcW w:w="699" w:type="pct"/>
            <w:vAlign w:val="center"/>
          </w:tcPr>
          <w:p>
            <w:pPr>
              <w:widowControl w:val="0"/>
              <w:spacing w:line="240" w:lineRule="auto"/>
              <w:ind w:firstLine="0" w:firstLineChars="0"/>
              <w:jc w:val="center"/>
              <w:rPr>
                <w:sz w:val="21"/>
                <w:szCs w:val="21"/>
                <w:u w:val="none"/>
              </w:rPr>
            </w:pPr>
            <w:r>
              <w:rPr>
                <w:sz w:val="21"/>
                <w:szCs w:val="21"/>
                <w:u w:val="none"/>
              </w:rPr>
              <w:t>pH</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6.89</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6.95</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7.20</w:t>
            </w:r>
          </w:p>
        </w:tc>
        <w:tc>
          <w:tcPr>
            <w:tcW w:w="755" w:type="pct"/>
            <w:vAlign w:val="center"/>
          </w:tcPr>
          <w:p>
            <w:pPr>
              <w:widowControl w:val="0"/>
              <w:spacing w:line="240" w:lineRule="auto"/>
              <w:ind w:firstLine="0" w:firstLineChars="0"/>
              <w:jc w:val="center"/>
              <w:rPr>
                <w:sz w:val="21"/>
                <w:szCs w:val="21"/>
                <w:u w:val="none"/>
              </w:rPr>
            </w:pPr>
            <w:r>
              <w:rPr>
                <w:rFonts w:hint="eastAsia"/>
                <w:sz w:val="21"/>
                <w:szCs w:val="21"/>
                <w:u w:val="none"/>
              </w:rPr>
              <w:t>6-9</w:t>
            </w:r>
          </w:p>
        </w:tc>
        <w:tc>
          <w:tcPr>
            <w:tcW w:w="575" w:type="pct"/>
            <w:vAlign w:val="center"/>
          </w:tcPr>
          <w:p>
            <w:pPr>
              <w:widowControl w:val="0"/>
              <w:spacing w:line="240" w:lineRule="auto"/>
              <w:ind w:firstLine="0" w:firstLineChars="0"/>
              <w:jc w:val="center"/>
              <w:rPr>
                <w:sz w:val="21"/>
                <w:szCs w:val="21"/>
                <w:u w:val="none"/>
              </w:rPr>
            </w:pPr>
            <w:r>
              <w:rPr>
                <w:rFonts w:hint="eastAsia"/>
                <w:sz w:val="21"/>
                <w:szCs w:val="21"/>
                <w:u w:val="none"/>
              </w:rPr>
              <w:t>0</w:t>
            </w:r>
          </w:p>
        </w:tc>
        <w:tc>
          <w:tcPr>
            <w:tcW w:w="400" w:type="pct"/>
            <w:vAlign w:val="center"/>
          </w:tcPr>
          <w:p>
            <w:pPr>
              <w:widowControl w:val="0"/>
              <w:spacing w:line="240" w:lineRule="auto"/>
              <w:ind w:firstLine="0" w:firstLineChars="0"/>
              <w:jc w:val="center"/>
              <w:rPr>
                <w:sz w:val="21"/>
                <w:szCs w:val="21"/>
                <w:u w:val="none"/>
              </w:rPr>
            </w:pPr>
            <w:r>
              <w:rPr>
                <w:sz w:val="21"/>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437" w:type="pct"/>
            <w:vMerge w:val="continue"/>
            <w:vAlign w:val="center"/>
          </w:tcPr>
          <w:p>
            <w:pPr>
              <w:widowControl w:val="0"/>
              <w:spacing w:line="240" w:lineRule="auto"/>
              <w:ind w:firstLine="420"/>
              <w:jc w:val="center"/>
              <w:rPr>
                <w:sz w:val="21"/>
                <w:szCs w:val="21"/>
                <w:u w:val="none"/>
              </w:rPr>
            </w:pPr>
          </w:p>
        </w:tc>
        <w:tc>
          <w:tcPr>
            <w:tcW w:w="699" w:type="pct"/>
            <w:vAlign w:val="center"/>
          </w:tcPr>
          <w:p>
            <w:pPr>
              <w:widowControl w:val="0"/>
              <w:spacing w:line="240" w:lineRule="auto"/>
              <w:ind w:firstLine="0" w:firstLineChars="0"/>
              <w:jc w:val="center"/>
              <w:rPr>
                <w:sz w:val="21"/>
                <w:szCs w:val="21"/>
                <w:u w:val="none"/>
              </w:rPr>
            </w:pPr>
            <w:r>
              <w:rPr>
                <w:sz w:val="21"/>
                <w:szCs w:val="21"/>
                <w:u w:val="none"/>
              </w:rPr>
              <w:t>化学需氧量</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16</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15</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13</w:t>
            </w:r>
          </w:p>
        </w:tc>
        <w:tc>
          <w:tcPr>
            <w:tcW w:w="755" w:type="pct"/>
            <w:vAlign w:val="center"/>
          </w:tcPr>
          <w:p>
            <w:pPr>
              <w:widowControl w:val="0"/>
              <w:spacing w:line="240" w:lineRule="auto"/>
              <w:ind w:firstLine="0" w:firstLineChars="0"/>
              <w:jc w:val="center"/>
              <w:rPr>
                <w:sz w:val="21"/>
                <w:szCs w:val="21"/>
                <w:u w:val="none"/>
              </w:rPr>
            </w:pPr>
            <w:r>
              <w:rPr>
                <w:rFonts w:hint="eastAsia"/>
                <w:sz w:val="21"/>
                <w:szCs w:val="21"/>
                <w:u w:val="none"/>
              </w:rPr>
              <w:t>15</w:t>
            </w:r>
          </w:p>
        </w:tc>
        <w:tc>
          <w:tcPr>
            <w:tcW w:w="575" w:type="pct"/>
            <w:vAlign w:val="center"/>
          </w:tcPr>
          <w:p>
            <w:pPr>
              <w:widowControl w:val="0"/>
              <w:spacing w:line="240" w:lineRule="auto"/>
              <w:ind w:firstLine="0" w:firstLineChars="0"/>
              <w:jc w:val="center"/>
              <w:rPr>
                <w:b/>
                <w:sz w:val="21"/>
                <w:szCs w:val="21"/>
                <w:u w:val="none"/>
              </w:rPr>
            </w:pPr>
            <w:r>
              <w:rPr>
                <w:rFonts w:hint="eastAsia"/>
                <w:b/>
                <w:sz w:val="21"/>
                <w:szCs w:val="21"/>
                <w:u w:val="none"/>
              </w:rPr>
              <w:t>1.07</w:t>
            </w:r>
          </w:p>
        </w:tc>
        <w:tc>
          <w:tcPr>
            <w:tcW w:w="400" w:type="pct"/>
            <w:vAlign w:val="center"/>
          </w:tcPr>
          <w:p>
            <w:pPr>
              <w:widowControl w:val="0"/>
              <w:spacing w:line="240" w:lineRule="auto"/>
              <w:ind w:firstLine="0" w:firstLineChars="0"/>
              <w:jc w:val="center"/>
              <w:rPr>
                <w:b/>
                <w:sz w:val="21"/>
                <w:szCs w:val="21"/>
                <w:u w:val="none"/>
              </w:rPr>
            </w:pPr>
            <w:r>
              <w:rPr>
                <w:rFonts w:hint="eastAsia"/>
                <w:b/>
                <w:sz w:val="21"/>
                <w:szCs w:val="21"/>
                <w:u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437" w:type="pct"/>
            <w:vMerge w:val="continue"/>
            <w:vAlign w:val="center"/>
          </w:tcPr>
          <w:p>
            <w:pPr>
              <w:widowControl w:val="0"/>
              <w:spacing w:line="240" w:lineRule="auto"/>
              <w:ind w:firstLine="420"/>
              <w:jc w:val="center"/>
              <w:rPr>
                <w:sz w:val="21"/>
                <w:szCs w:val="21"/>
                <w:u w:val="none"/>
              </w:rPr>
            </w:pPr>
          </w:p>
        </w:tc>
        <w:tc>
          <w:tcPr>
            <w:tcW w:w="699" w:type="pct"/>
            <w:vAlign w:val="center"/>
          </w:tcPr>
          <w:p>
            <w:pPr>
              <w:widowControl w:val="0"/>
              <w:spacing w:line="240" w:lineRule="auto"/>
              <w:ind w:firstLine="0" w:firstLineChars="0"/>
              <w:jc w:val="center"/>
              <w:rPr>
                <w:sz w:val="21"/>
                <w:szCs w:val="21"/>
                <w:u w:val="none"/>
              </w:rPr>
            </w:pPr>
            <w:r>
              <w:rPr>
                <w:sz w:val="21"/>
                <w:szCs w:val="21"/>
                <w:u w:val="none"/>
              </w:rPr>
              <w:t>氨氮</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0.087</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0.079</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0.095</w:t>
            </w:r>
          </w:p>
        </w:tc>
        <w:tc>
          <w:tcPr>
            <w:tcW w:w="755" w:type="pct"/>
            <w:vAlign w:val="center"/>
          </w:tcPr>
          <w:p>
            <w:pPr>
              <w:widowControl w:val="0"/>
              <w:spacing w:line="240" w:lineRule="auto"/>
              <w:ind w:firstLine="0" w:firstLineChars="0"/>
              <w:jc w:val="center"/>
              <w:rPr>
                <w:sz w:val="21"/>
                <w:szCs w:val="21"/>
                <w:u w:val="none"/>
              </w:rPr>
            </w:pPr>
            <w:r>
              <w:rPr>
                <w:rFonts w:hint="eastAsia"/>
                <w:sz w:val="21"/>
                <w:szCs w:val="21"/>
                <w:u w:val="none"/>
              </w:rPr>
              <w:t>0.5</w:t>
            </w:r>
          </w:p>
        </w:tc>
        <w:tc>
          <w:tcPr>
            <w:tcW w:w="575" w:type="pct"/>
            <w:vAlign w:val="center"/>
          </w:tcPr>
          <w:p>
            <w:pPr>
              <w:widowControl w:val="0"/>
              <w:spacing w:line="240" w:lineRule="auto"/>
              <w:ind w:firstLine="0" w:firstLineChars="0"/>
              <w:jc w:val="center"/>
              <w:rPr>
                <w:sz w:val="21"/>
                <w:szCs w:val="21"/>
                <w:u w:val="none"/>
              </w:rPr>
            </w:pPr>
            <w:r>
              <w:rPr>
                <w:rFonts w:hint="eastAsia"/>
                <w:sz w:val="21"/>
                <w:szCs w:val="21"/>
                <w:u w:val="none"/>
              </w:rPr>
              <w:t>0</w:t>
            </w:r>
          </w:p>
        </w:tc>
        <w:tc>
          <w:tcPr>
            <w:tcW w:w="400" w:type="pct"/>
            <w:vAlign w:val="center"/>
          </w:tcPr>
          <w:p>
            <w:pPr>
              <w:widowControl w:val="0"/>
              <w:spacing w:line="240" w:lineRule="auto"/>
              <w:ind w:firstLine="0" w:firstLineChars="0"/>
              <w:jc w:val="center"/>
              <w:rPr>
                <w:sz w:val="21"/>
                <w:szCs w:val="21"/>
                <w:u w:val="none"/>
              </w:rPr>
            </w:pPr>
            <w:r>
              <w:rPr>
                <w:sz w:val="21"/>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437" w:type="pct"/>
            <w:vMerge w:val="continue"/>
            <w:vAlign w:val="center"/>
          </w:tcPr>
          <w:p>
            <w:pPr>
              <w:widowControl w:val="0"/>
              <w:spacing w:line="240" w:lineRule="auto"/>
              <w:ind w:firstLine="420"/>
              <w:jc w:val="center"/>
              <w:rPr>
                <w:sz w:val="21"/>
                <w:szCs w:val="21"/>
                <w:u w:val="none"/>
              </w:rPr>
            </w:pPr>
          </w:p>
        </w:tc>
        <w:tc>
          <w:tcPr>
            <w:tcW w:w="699" w:type="pct"/>
            <w:vAlign w:val="center"/>
          </w:tcPr>
          <w:p>
            <w:pPr>
              <w:widowControl w:val="0"/>
              <w:spacing w:line="240" w:lineRule="auto"/>
              <w:ind w:firstLine="0" w:firstLineChars="0"/>
              <w:jc w:val="center"/>
              <w:rPr>
                <w:sz w:val="21"/>
                <w:szCs w:val="21"/>
                <w:u w:val="none"/>
              </w:rPr>
            </w:pPr>
            <w:r>
              <w:rPr>
                <w:rFonts w:hint="eastAsia"/>
                <w:sz w:val="21"/>
                <w:szCs w:val="21"/>
                <w:u w:val="none"/>
              </w:rPr>
              <w:t>BOD</w:t>
            </w:r>
            <w:r>
              <w:rPr>
                <w:rFonts w:hint="eastAsia"/>
                <w:sz w:val="21"/>
                <w:szCs w:val="21"/>
                <w:u w:val="none"/>
                <w:vertAlign w:val="subscript"/>
              </w:rPr>
              <w:t>5</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2.6</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2.1</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2.4</w:t>
            </w:r>
          </w:p>
        </w:tc>
        <w:tc>
          <w:tcPr>
            <w:tcW w:w="755" w:type="pct"/>
            <w:vAlign w:val="center"/>
          </w:tcPr>
          <w:p>
            <w:pPr>
              <w:widowControl w:val="0"/>
              <w:spacing w:line="240" w:lineRule="auto"/>
              <w:ind w:firstLine="0" w:firstLineChars="0"/>
              <w:jc w:val="center"/>
              <w:rPr>
                <w:sz w:val="21"/>
                <w:szCs w:val="21"/>
                <w:u w:val="none"/>
              </w:rPr>
            </w:pPr>
            <w:r>
              <w:rPr>
                <w:rFonts w:hint="eastAsia"/>
                <w:sz w:val="21"/>
                <w:szCs w:val="21"/>
                <w:u w:val="none"/>
              </w:rPr>
              <w:t>3</w:t>
            </w:r>
          </w:p>
        </w:tc>
        <w:tc>
          <w:tcPr>
            <w:tcW w:w="575" w:type="pct"/>
            <w:vAlign w:val="center"/>
          </w:tcPr>
          <w:p>
            <w:pPr>
              <w:widowControl w:val="0"/>
              <w:spacing w:line="240" w:lineRule="auto"/>
              <w:ind w:firstLine="0" w:firstLineChars="0"/>
              <w:jc w:val="center"/>
              <w:rPr>
                <w:sz w:val="21"/>
                <w:szCs w:val="21"/>
                <w:u w:val="none"/>
              </w:rPr>
            </w:pPr>
            <w:r>
              <w:rPr>
                <w:rFonts w:hint="eastAsia"/>
                <w:sz w:val="21"/>
                <w:szCs w:val="21"/>
                <w:u w:val="none"/>
              </w:rPr>
              <w:t>0</w:t>
            </w:r>
          </w:p>
        </w:tc>
        <w:tc>
          <w:tcPr>
            <w:tcW w:w="400" w:type="pct"/>
            <w:vAlign w:val="center"/>
          </w:tcPr>
          <w:p>
            <w:pPr>
              <w:widowControl w:val="0"/>
              <w:spacing w:line="240" w:lineRule="auto"/>
              <w:ind w:firstLine="0" w:firstLineChars="0"/>
              <w:jc w:val="center"/>
              <w:rPr>
                <w:sz w:val="21"/>
                <w:szCs w:val="21"/>
                <w:u w:val="none"/>
              </w:rPr>
            </w:pPr>
            <w:r>
              <w:rPr>
                <w:sz w:val="21"/>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437" w:type="pct"/>
            <w:vMerge w:val="continue"/>
            <w:vAlign w:val="center"/>
          </w:tcPr>
          <w:p>
            <w:pPr>
              <w:widowControl w:val="0"/>
              <w:spacing w:line="240" w:lineRule="auto"/>
              <w:ind w:firstLine="420"/>
              <w:jc w:val="center"/>
              <w:rPr>
                <w:sz w:val="21"/>
                <w:szCs w:val="21"/>
                <w:u w:val="none"/>
              </w:rPr>
            </w:pPr>
          </w:p>
        </w:tc>
        <w:tc>
          <w:tcPr>
            <w:tcW w:w="699" w:type="pct"/>
            <w:vAlign w:val="center"/>
          </w:tcPr>
          <w:p>
            <w:pPr>
              <w:widowControl w:val="0"/>
              <w:spacing w:line="240" w:lineRule="auto"/>
              <w:ind w:firstLine="0" w:firstLineChars="0"/>
              <w:jc w:val="center"/>
              <w:rPr>
                <w:sz w:val="21"/>
                <w:szCs w:val="21"/>
                <w:u w:val="none"/>
              </w:rPr>
            </w:pPr>
            <w:r>
              <w:rPr>
                <w:rFonts w:hint="eastAsia"/>
                <w:sz w:val="21"/>
                <w:szCs w:val="21"/>
                <w:u w:val="none"/>
              </w:rPr>
              <w:t>总磷</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0.05</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0.05</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0.05</w:t>
            </w:r>
          </w:p>
        </w:tc>
        <w:tc>
          <w:tcPr>
            <w:tcW w:w="755" w:type="pct"/>
            <w:vAlign w:val="center"/>
          </w:tcPr>
          <w:p>
            <w:pPr>
              <w:widowControl w:val="0"/>
              <w:spacing w:line="240" w:lineRule="auto"/>
              <w:ind w:firstLine="0" w:firstLineChars="0"/>
              <w:jc w:val="center"/>
              <w:rPr>
                <w:sz w:val="21"/>
                <w:szCs w:val="21"/>
                <w:u w:val="none"/>
              </w:rPr>
            </w:pPr>
            <w:r>
              <w:rPr>
                <w:rFonts w:hint="eastAsia"/>
                <w:sz w:val="21"/>
                <w:szCs w:val="21"/>
                <w:u w:val="none"/>
              </w:rPr>
              <w:t>0.1</w:t>
            </w:r>
          </w:p>
        </w:tc>
        <w:tc>
          <w:tcPr>
            <w:tcW w:w="575" w:type="pct"/>
            <w:vAlign w:val="center"/>
          </w:tcPr>
          <w:p>
            <w:pPr>
              <w:widowControl w:val="0"/>
              <w:spacing w:line="240" w:lineRule="auto"/>
              <w:ind w:firstLine="0" w:firstLineChars="0"/>
              <w:jc w:val="center"/>
              <w:rPr>
                <w:sz w:val="21"/>
                <w:szCs w:val="21"/>
                <w:u w:val="none"/>
              </w:rPr>
            </w:pPr>
            <w:r>
              <w:rPr>
                <w:rFonts w:hint="eastAsia"/>
                <w:sz w:val="21"/>
                <w:szCs w:val="21"/>
                <w:u w:val="none"/>
              </w:rPr>
              <w:t>0</w:t>
            </w:r>
          </w:p>
        </w:tc>
        <w:tc>
          <w:tcPr>
            <w:tcW w:w="400" w:type="pct"/>
            <w:vAlign w:val="center"/>
          </w:tcPr>
          <w:p>
            <w:pPr>
              <w:widowControl w:val="0"/>
              <w:spacing w:line="240" w:lineRule="auto"/>
              <w:ind w:firstLine="0" w:firstLineChars="0"/>
              <w:jc w:val="center"/>
              <w:rPr>
                <w:sz w:val="21"/>
                <w:szCs w:val="21"/>
                <w:u w:val="none"/>
              </w:rPr>
            </w:pPr>
            <w:r>
              <w:rPr>
                <w:sz w:val="21"/>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437" w:type="pct"/>
            <w:vMerge w:val="continue"/>
            <w:vAlign w:val="center"/>
          </w:tcPr>
          <w:p>
            <w:pPr>
              <w:widowControl w:val="0"/>
              <w:spacing w:line="240" w:lineRule="auto"/>
              <w:ind w:firstLine="420"/>
              <w:jc w:val="center"/>
              <w:rPr>
                <w:sz w:val="21"/>
                <w:szCs w:val="21"/>
                <w:u w:val="none"/>
              </w:rPr>
            </w:pPr>
          </w:p>
        </w:tc>
        <w:tc>
          <w:tcPr>
            <w:tcW w:w="699" w:type="pct"/>
            <w:vAlign w:val="center"/>
          </w:tcPr>
          <w:p>
            <w:pPr>
              <w:widowControl w:val="0"/>
              <w:spacing w:line="240" w:lineRule="auto"/>
              <w:ind w:firstLine="0" w:firstLineChars="0"/>
              <w:jc w:val="center"/>
              <w:rPr>
                <w:sz w:val="21"/>
                <w:szCs w:val="21"/>
                <w:u w:val="none"/>
              </w:rPr>
            </w:pPr>
            <w:r>
              <w:rPr>
                <w:rFonts w:hint="eastAsia"/>
                <w:sz w:val="21"/>
                <w:szCs w:val="21"/>
                <w:u w:val="none"/>
              </w:rPr>
              <w:t>DO</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8.4</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8.4</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8.2</w:t>
            </w:r>
          </w:p>
        </w:tc>
        <w:tc>
          <w:tcPr>
            <w:tcW w:w="755" w:type="pct"/>
            <w:vAlign w:val="center"/>
          </w:tcPr>
          <w:p>
            <w:pPr>
              <w:widowControl w:val="0"/>
              <w:spacing w:line="240" w:lineRule="auto"/>
              <w:ind w:firstLine="0" w:firstLineChars="0"/>
              <w:jc w:val="center"/>
              <w:rPr>
                <w:sz w:val="21"/>
                <w:szCs w:val="21"/>
                <w:u w:val="none"/>
              </w:rPr>
            </w:pPr>
            <w:r>
              <w:rPr>
                <w:sz w:val="21"/>
                <w:szCs w:val="21"/>
                <w:u w:val="none"/>
              </w:rPr>
              <w:t>≥</w:t>
            </w:r>
            <w:r>
              <w:rPr>
                <w:rFonts w:hint="eastAsia"/>
                <w:sz w:val="21"/>
                <w:szCs w:val="21"/>
                <w:u w:val="none"/>
              </w:rPr>
              <w:t>5</w:t>
            </w:r>
          </w:p>
        </w:tc>
        <w:tc>
          <w:tcPr>
            <w:tcW w:w="575" w:type="pct"/>
            <w:vAlign w:val="center"/>
          </w:tcPr>
          <w:p>
            <w:pPr>
              <w:widowControl w:val="0"/>
              <w:spacing w:line="240" w:lineRule="auto"/>
              <w:ind w:firstLine="0" w:firstLineChars="0"/>
              <w:jc w:val="center"/>
              <w:rPr>
                <w:sz w:val="21"/>
                <w:szCs w:val="21"/>
                <w:u w:val="none"/>
              </w:rPr>
            </w:pPr>
            <w:r>
              <w:rPr>
                <w:rFonts w:hint="eastAsia"/>
                <w:sz w:val="21"/>
                <w:szCs w:val="21"/>
                <w:u w:val="none"/>
              </w:rPr>
              <w:t>0</w:t>
            </w:r>
          </w:p>
        </w:tc>
        <w:tc>
          <w:tcPr>
            <w:tcW w:w="400" w:type="pct"/>
            <w:vAlign w:val="center"/>
          </w:tcPr>
          <w:p>
            <w:pPr>
              <w:widowControl w:val="0"/>
              <w:spacing w:line="240" w:lineRule="auto"/>
              <w:ind w:firstLine="0" w:firstLineChars="0"/>
              <w:jc w:val="center"/>
              <w:rPr>
                <w:sz w:val="21"/>
                <w:szCs w:val="21"/>
                <w:u w:val="none"/>
              </w:rPr>
            </w:pPr>
            <w:r>
              <w:rPr>
                <w:sz w:val="21"/>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437" w:type="pct"/>
            <w:vMerge w:val="continue"/>
            <w:vAlign w:val="center"/>
          </w:tcPr>
          <w:p>
            <w:pPr>
              <w:widowControl w:val="0"/>
              <w:spacing w:line="240" w:lineRule="auto"/>
              <w:ind w:firstLine="420"/>
              <w:jc w:val="center"/>
              <w:rPr>
                <w:sz w:val="21"/>
                <w:szCs w:val="21"/>
                <w:u w:val="none"/>
              </w:rPr>
            </w:pPr>
          </w:p>
        </w:tc>
        <w:tc>
          <w:tcPr>
            <w:tcW w:w="699" w:type="pct"/>
            <w:vAlign w:val="center"/>
          </w:tcPr>
          <w:p>
            <w:pPr>
              <w:widowControl w:val="0"/>
              <w:spacing w:line="240" w:lineRule="auto"/>
              <w:ind w:firstLine="0" w:firstLineChars="0"/>
              <w:jc w:val="center"/>
              <w:rPr>
                <w:sz w:val="21"/>
                <w:szCs w:val="21"/>
                <w:u w:val="none"/>
              </w:rPr>
            </w:pPr>
            <w:r>
              <w:rPr>
                <w:rFonts w:hint="eastAsia"/>
                <w:sz w:val="21"/>
                <w:szCs w:val="21"/>
                <w:u w:val="none"/>
              </w:rPr>
              <w:t>SS</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14</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12</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15</w:t>
            </w:r>
          </w:p>
        </w:tc>
        <w:tc>
          <w:tcPr>
            <w:tcW w:w="755" w:type="pct"/>
            <w:vAlign w:val="center"/>
          </w:tcPr>
          <w:p>
            <w:pPr>
              <w:widowControl w:val="0"/>
              <w:spacing w:line="240" w:lineRule="auto"/>
              <w:ind w:firstLine="0" w:firstLineChars="0"/>
              <w:jc w:val="center"/>
              <w:rPr>
                <w:sz w:val="21"/>
                <w:szCs w:val="21"/>
                <w:u w:val="none"/>
              </w:rPr>
            </w:pPr>
            <w:r>
              <w:rPr>
                <w:rFonts w:hint="eastAsia"/>
                <w:sz w:val="21"/>
                <w:szCs w:val="21"/>
                <w:u w:val="none"/>
              </w:rPr>
              <w:t>/</w:t>
            </w:r>
          </w:p>
        </w:tc>
        <w:tc>
          <w:tcPr>
            <w:tcW w:w="575" w:type="pct"/>
            <w:vAlign w:val="center"/>
          </w:tcPr>
          <w:p>
            <w:pPr>
              <w:widowControl w:val="0"/>
              <w:spacing w:line="240" w:lineRule="auto"/>
              <w:ind w:firstLine="0" w:firstLineChars="0"/>
              <w:jc w:val="center"/>
              <w:rPr>
                <w:sz w:val="21"/>
                <w:szCs w:val="21"/>
                <w:u w:val="none"/>
              </w:rPr>
            </w:pPr>
            <w:r>
              <w:rPr>
                <w:rFonts w:hint="eastAsia"/>
                <w:sz w:val="21"/>
                <w:szCs w:val="21"/>
                <w:u w:val="none"/>
              </w:rPr>
              <w:t>0</w:t>
            </w:r>
          </w:p>
        </w:tc>
        <w:tc>
          <w:tcPr>
            <w:tcW w:w="400" w:type="pct"/>
            <w:vAlign w:val="center"/>
          </w:tcPr>
          <w:p>
            <w:pPr>
              <w:widowControl w:val="0"/>
              <w:spacing w:line="240" w:lineRule="auto"/>
              <w:ind w:firstLine="0" w:firstLineChars="0"/>
              <w:jc w:val="center"/>
              <w:rPr>
                <w:sz w:val="21"/>
                <w:szCs w:val="21"/>
                <w:u w:val="none"/>
              </w:rPr>
            </w:pPr>
            <w:r>
              <w:rPr>
                <w:sz w:val="21"/>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437" w:type="pct"/>
            <w:vMerge w:val="continue"/>
            <w:vAlign w:val="center"/>
          </w:tcPr>
          <w:p>
            <w:pPr>
              <w:widowControl w:val="0"/>
              <w:spacing w:line="240" w:lineRule="auto"/>
              <w:ind w:firstLine="420"/>
              <w:jc w:val="center"/>
              <w:rPr>
                <w:sz w:val="21"/>
                <w:szCs w:val="21"/>
                <w:u w:val="none"/>
              </w:rPr>
            </w:pPr>
          </w:p>
        </w:tc>
        <w:tc>
          <w:tcPr>
            <w:tcW w:w="699" w:type="pct"/>
            <w:vAlign w:val="center"/>
          </w:tcPr>
          <w:p>
            <w:pPr>
              <w:widowControl w:val="0"/>
              <w:spacing w:line="240" w:lineRule="auto"/>
              <w:ind w:firstLine="0" w:firstLineChars="0"/>
              <w:jc w:val="center"/>
              <w:rPr>
                <w:sz w:val="21"/>
                <w:szCs w:val="21"/>
                <w:u w:val="none"/>
              </w:rPr>
            </w:pPr>
            <w:r>
              <w:rPr>
                <w:rFonts w:hint="eastAsia"/>
                <w:sz w:val="21"/>
                <w:szCs w:val="21"/>
                <w:u w:val="none"/>
              </w:rPr>
              <w:t>石油类</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ND</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ND</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ND</w:t>
            </w:r>
          </w:p>
        </w:tc>
        <w:tc>
          <w:tcPr>
            <w:tcW w:w="755" w:type="pct"/>
            <w:vAlign w:val="center"/>
          </w:tcPr>
          <w:p>
            <w:pPr>
              <w:widowControl w:val="0"/>
              <w:spacing w:line="240" w:lineRule="auto"/>
              <w:ind w:firstLine="0" w:firstLineChars="0"/>
              <w:jc w:val="center"/>
              <w:rPr>
                <w:sz w:val="21"/>
                <w:szCs w:val="21"/>
                <w:u w:val="none"/>
              </w:rPr>
            </w:pPr>
            <w:r>
              <w:rPr>
                <w:rFonts w:hint="eastAsia"/>
                <w:sz w:val="21"/>
                <w:szCs w:val="21"/>
                <w:u w:val="none"/>
              </w:rPr>
              <w:t>0.05</w:t>
            </w:r>
          </w:p>
        </w:tc>
        <w:tc>
          <w:tcPr>
            <w:tcW w:w="575" w:type="pct"/>
            <w:vAlign w:val="center"/>
          </w:tcPr>
          <w:p>
            <w:pPr>
              <w:widowControl w:val="0"/>
              <w:spacing w:line="240" w:lineRule="auto"/>
              <w:ind w:firstLine="0" w:firstLineChars="0"/>
              <w:jc w:val="center"/>
              <w:rPr>
                <w:sz w:val="21"/>
                <w:szCs w:val="21"/>
                <w:u w:val="none"/>
              </w:rPr>
            </w:pPr>
            <w:r>
              <w:rPr>
                <w:rFonts w:hint="eastAsia"/>
                <w:sz w:val="21"/>
                <w:szCs w:val="21"/>
                <w:u w:val="none"/>
              </w:rPr>
              <w:t>0</w:t>
            </w:r>
          </w:p>
        </w:tc>
        <w:tc>
          <w:tcPr>
            <w:tcW w:w="400" w:type="pct"/>
            <w:vAlign w:val="center"/>
          </w:tcPr>
          <w:p>
            <w:pPr>
              <w:widowControl w:val="0"/>
              <w:spacing w:line="240" w:lineRule="auto"/>
              <w:ind w:firstLine="0" w:firstLineChars="0"/>
              <w:jc w:val="center"/>
              <w:rPr>
                <w:sz w:val="21"/>
                <w:szCs w:val="21"/>
                <w:u w:val="none"/>
              </w:rPr>
            </w:pPr>
            <w:r>
              <w:rPr>
                <w:sz w:val="21"/>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437" w:type="pct"/>
            <w:vMerge w:val="continue"/>
            <w:vAlign w:val="center"/>
          </w:tcPr>
          <w:p>
            <w:pPr>
              <w:widowControl w:val="0"/>
              <w:spacing w:line="240" w:lineRule="auto"/>
              <w:ind w:firstLine="420"/>
              <w:jc w:val="center"/>
              <w:rPr>
                <w:sz w:val="21"/>
                <w:szCs w:val="21"/>
                <w:u w:val="none"/>
              </w:rPr>
            </w:pPr>
          </w:p>
        </w:tc>
        <w:tc>
          <w:tcPr>
            <w:tcW w:w="699" w:type="pct"/>
            <w:vAlign w:val="center"/>
          </w:tcPr>
          <w:p>
            <w:pPr>
              <w:widowControl w:val="0"/>
              <w:spacing w:line="240" w:lineRule="auto"/>
              <w:ind w:firstLine="0" w:firstLineChars="0"/>
              <w:jc w:val="center"/>
              <w:rPr>
                <w:sz w:val="21"/>
                <w:szCs w:val="21"/>
                <w:u w:val="none"/>
              </w:rPr>
            </w:pPr>
            <w:r>
              <w:rPr>
                <w:rFonts w:hint="eastAsia"/>
                <w:sz w:val="21"/>
                <w:szCs w:val="21"/>
                <w:u w:val="none"/>
              </w:rPr>
              <w:t>粪大肠菌群</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4000MPN/L</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4500MPN/L</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4700MPN/L</w:t>
            </w:r>
          </w:p>
        </w:tc>
        <w:tc>
          <w:tcPr>
            <w:tcW w:w="755" w:type="pct"/>
            <w:vAlign w:val="center"/>
          </w:tcPr>
          <w:p>
            <w:pPr>
              <w:widowControl w:val="0"/>
              <w:spacing w:line="240" w:lineRule="auto"/>
              <w:ind w:firstLine="0" w:firstLineChars="0"/>
              <w:jc w:val="center"/>
              <w:rPr>
                <w:sz w:val="21"/>
                <w:szCs w:val="21"/>
                <w:u w:val="none"/>
              </w:rPr>
            </w:pPr>
            <w:r>
              <w:rPr>
                <w:rFonts w:hint="eastAsia"/>
                <w:sz w:val="21"/>
                <w:szCs w:val="21"/>
                <w:u w:val="none"/>
              </w:rPr>
              <w:t>2000MPN/L</w:t>
            </w:r>
          </w:p>
        </w:tc>
        <w:tc>
          <w:tcPr>
            <w:tcW w:w="575" w:type="pct"/>
            <w:vAlign w:val="center"/>
          </w:tcPr>
          <w:p>
            <w:pPr>
              <w:widowControl w:val="0"/>
              <w:spacing w:line="240" w:lineRule="auto"/>
              <w:ind w:firstLine="0" w:firstLineChars="0"/>
              <w:jc w:val="center"/>
              <w:rPr>
                <w:b/>
                <w:sz w:val="21"/>
                <w:szCs w:val="21"/>
                <w:u w:val="none"/>
              </w:rPr>
            </w:pPr>
            <w:r>
              <w:rPr>
                <w:rFonts w:hint="eastAsia"/>
                <w:b/>
                <w:sz w:val="21"/>
                <w:szCs w:val="21"/>
                <w:u w:val="none"/>
              </w:rPr>
              <w:t>2-2.35</w:t>
            </w:r>
          </w:p>
        </w:tc>
        <w:tc>
          <w:tcPr>
            <w:tcW w:w="400" w:type="pct"/>
            <w:vAlign w:val="center"/>
          </w:tcPr>
          <w:p>
            <w:pPr>
              <w:widowControl w:val="0"/>
              <w:spacing w:line="240" w:lineRule="auto"/>
              <w:ind w:firstLine="0" w:firstLineChars="0"/>
              <w:jc w:val="center"/>
              <w:rPr>
                <w:b/>
                <w:sz w:val="21"/>
                <w:szCs w:val="21"/>
                <w:u w:val="none"/>
              </w:rPr>
            </w:pPr>
            <w:r>
              <w:rPr>
                <w:rFonts w:hint="eastAsia"/>
                <w:b/>
                <w:sz w:val="21"/>
                <w:szCs w:val="21"/>
                <w:u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437" w:type="pct"/>
            <w:vMerge w:val="restart"/>
            <w:vAlign w:val="center"/>
          </w:tcPr>
          <w:p>
            <w:pPr>
              <w:widowControl w:val="0"/>
              <w:spacing w:line="240" w:lineRule="auto"/>
              <w:ind w:firstLine="0" w:firstLineChars="0"/>
              <w:jc w:val="center"/>
              <w:rPr>
                <w:sz w:val="21"/>
                <w:szCs w:val="21"/>
                <w:u w:val="none"/>
              </w:rPr>
            </w:pPr>
            <w:r>
              <w:rPr>
                <w:rFonts w:hint="eastAsia"/>
                <w:sz w:val="21"/>
                <w:szCs w:val="21"/>
                <w:u w:val="none"/>
              </w:rPr>
              <w:t>水电厂生产区</w:t>
            </w:r>
            <w:r>
              <w:rPr>
                <w:sz w:val="21"/>
                <w:szCs w:val="21"/>
                <w:u w:val="none"/>
              </w:rPr>
              <w:t>排污口</w:t>
            </w:r>
            <w:r>
              <w:rPr>
                <w:rFonts w:hint="eastAsia"/>
                <w:sz w:val="21"/>
                <w:szCs w:val="21"/>
                <w:u w:val="none"/>
              </w:rPr>
              <w:t>下游600m</w:t>
            </w:r>
          </w:p>
        </w:tc>
        <w:tc>
          <w:tcPr>
            <w:tcW w:w="699" w:type="pct"/>
            <w:vAlign w:val="center"/>
          </w:tcPr>
          <w:p>
            <w:pPr>
              <w:widowControl w:val="0"/>
              <w:spacing w:line="240" w:lineRule="auto"/>
              <w:ind w:firstLine="0" w:firstLineChars="0"/>
              <w:jc w:val="center"/>
              <w:rPr>
                <w:sz w:val="21"/>
                <w:szCs w:val="21"/>
                <w:u w:val="none"/>
              </w:rPr>
            </w:pPr>
            <w:r>
              <w:rPr>
                <w:sz w:val="21"/>
                <w:szCs w:val="21"/>
                <w:u w:val="none"/>
              </w:rPr>
              <w:t>pH</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6.92</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7.04</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7.16</w:t>
            </w:r>
          </w:p>
        </w:tc>
        <w:tc>
          <w:tcPr>
            <w:tcW w:w="755" w:type="pct"/>
            <w:vAlign w:val="center"/>
          </w:tcPr>
          <w:p>
            <w:pPr>
              <w:widowControl w:val="0"/>
              <w:spacing w:line="240" w:lineRule="auto"/>
              <w:ind w:firstLine="0" w:firstLineChars="0"/>
              <w:jc w:val="center"/>
              <w:rPr>
                <w:sz w:val="21"/>
                <w:szCs w:val="21"/>
                <w:u w:val="none"/>
              </w:rPr>
            </w:pPr>
            <w:r>
              <w:rPr>
                <w:rFonts w:hint="eastAsia"/>
                <w:sz w:val="21"/>
                <w:szCs w:val="21"/>
                <w:u w:val="none"/>
              </w:rPr>
              <w:t>6-9</w:t>
            </w:r>
          </w:p>
        </w:tc>
        <w:tc>
          <w:tcPr>
            <w:tcW w:w="575" w:type="pct"/>
            <w:vAlign w:val="center"/>
          </w:tcPr>
          <w:p>
            <w:pPr>
              <w:widowControl w:val="0"/>
              <w:spacing w:line="240" w:lineRule="auto"/>
              <w:ind w:firstLine="0" w:firstLineChars="0"/>
              <w:jc w:val="center"/>
              <w:rPr>
                <w:sz w:val="21"/>
                <w:szCs w:val="21"/>
                <w:u w:val="none"/>
              </w:rPr>
            </w:pPr>
            <w:r>
              <w:rPr>
                <w:rFonts w:hint="eastAsia"/>
                <w:sz w:val="21"/>
                <w:szCs w:val="21"/>
                <w:u w:val="none"/>
              </w:rPr>
              <w:t>0</w:t>
            </w:r>
          </w:p>
        </w:tc>
        <w:tc>
          <w:tcPr>
            <w:tcW w:w="400" w:type="pct"/>
            <w:vAlign w:val="center"/>
          </w:tcPr>
          <w:p>
            <w:pPr>
              <w:widowControl w:val="0"/>
              <w:spacing w:line="240" w:lineRule="auto"/>
              <w:ind w:firstLine="0" w:firstLineChars="0"/>
              <w:jc w:val="center"/>
              <w:rPr>
                <w:sz w:val="21"/>
                <w:szCs w:val="21"/>
                <w:u w:val="none"/>
              </w:rPr>
            </w:pPr>
            <w:r>
              <w:rPr>
                <w:sz w:val="21"/>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437" w:type="pct"/>
            <w:vMerge w:val="continue"/>
            <w:vAlign w:val="center"/>
          </w:tcPr>
          <w:p>
            <w:pPr>
              <w:widowControl w:val="0"/>
              <w:spacing w:line="240" w:lineRule="auto"/>
              <w:ind w:firstLine="420"/>
              <w:jc w:val="center"/>
              <w:rPr>
                <w:sz w:val="21"/>
                <w:szCs w:val="21"/>
                <w:u w:val="none"/>
              </w:rPr>
            </w:pPr>
          </w:p>
        </w:tc>
        <w:tc>
          <w:tcPr>
            <w:tcW w:w="699" w:type="pct"/>
            <w:vAlign w:val="center"/>
          </w:tcPr>
          <w:p>
            <w:pPr>
              <w:widowControl w:val="0"/>
              <w:spacing w:line="240" w:lineRule="auto"/>
              <w:ind w:firstLine="0" w:firstLineChars="0"/>
              <w:jc w:val="center"/>
              <w:rPr>
                <w:sz w:val="21"/>
                <w:szCs w:val="21"/>
                <w:u w:val="none"/>
              </w:rPr>
            </w:pPr>
            <w:r>
              <w:rPr>
                <w:sz w:val="21"/>
                <w:szCs w:val="21"/>
                <w:u w:val="none"/>
              </w:rPr>
              <w:t>化学需氧量</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17</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17</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19</w:t>
            </w:r>
          </w:p>
        </w:tc>
        <w:tc>
          <w:tcPr>
            <w:tcW w:w="755" w:type="pct"/>
            <w:vAlign w:val="center"/>
          </w:tcPr>
          <w:p>
            <w:pPr>
              <w:widowControl w:val="0"/>
              <w:spacing w:line="240" w:lineRule="auto"/>
              <w:ind w:firstLine="0" w:firstLineChars="0"/>
              <w:jc w:val="center"/>
              <w:rPr>
                <w:sz w:val="21"/>
                <w:szCs w:val="21"/>
                <w:u w:val="none"/>
              </w:rPr>
            </w:pPr>
            <w:r>
              <w:rPr>
                <w:rFonts w:hint="eastAsia"/>
                <w:sz w:val="21"/>
                <w:szCs w:val="21"/>
                <w:u w:val="none"/>
              </w:rPr>
              <w:t>15</w:t>
            </w:r>
          </w:p>
        </w:tc>
        <w:tc>
          <w:tcPr>
            <w:tcW w:w="575" w:type="pct"/>
            <w:vAlign w:val="center"/>
          </w:tcPr>
          <w:p>
            <w:pPr>
              <w:widowControl w:val="0"/>
              <w:spacing w:line="240" w:lineRule="auto"/>
              <w:ind w:firstLine="0" w:firstLineChars="0"/>
              <w:jc w:val="center"/>
              <w:rPr>
                <w:b/>
                <w:sz w:val="21"/>
                <w:szCs w:val="21"/>
                <w:u w:val="none"/>
              </w:rPr>
            </w:pPr>
            <w:r>
              <w:rPr>
                <w:rFonts w:hint="eastAsia"/>
                <w:b/>
                <w:sz w:val="21"/>
                <w:szCs w:val="21"/>
                <w:u w:val="none"/>
              </w:rPr>
              <w:t>1.13-1.27</w:t>
            </w:r>
          </w:p>
        </w:tc>
        <w:tc>
          <w:tcPr>
            <w:tcW w:w="400" w:type="pct"/>
            <w:vAlign w:val="center"/>
          </w:tcPr>
          <w:p>
            <w:pPr>
              <w:widowControl w:val="0"/>
              <w:spacing w:line="240" w:lineRule="auto"/>
              <w:ind w:firstLine="0" w:firstLineChars="0"/>
              <w:jc w:val="center"/>
              <w:rPr>
                <w:b/>
                <w:sz w:val="21"/>
                <w:szCs w:val="21"/>
                <w:u w:val="none"/>
              </w:rPr>
            </w:pPr>
            <w:r>
              <w:rPr>
                <w:rFonts w:hint="eastAsia"/>
                <w:b/>
                <w:sz w:val="21"/>
                <w:szCs w:val="21"/>
                <w:u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437" w:type="pct"/>
            <w:vMerge w:val="continue"/>
            <w:vAlign w:val="center"/>
          </w:tcPr>
          <w:p>
            <w:pPr>
              <w:widowControl w:val="0"/>
              <w:spacing w:line="240" w:lineRule="auto"/>
              <w:ind w:firstLine="420"/>
              <w:jc w:val="center"/>
              <w:rPr>
                <w:sz w:val="21"/>
                <w:szCs w:val="21"/>
                <w:u w:val="none"/>
              </w:rPr>
            </w:pPr>
          </w:p>
        </w:tc>
        <w:tc>
          <w:tcPr>
            <w:tcW w:w="699" w:type="pct"/>
            <w:vAlign w:val="center"/>
          </w:tcPr>
          <w:p>
            <w:pPr>
              <w:widowControl w:val="0"/>
              <w:spacing w:line="240" w:lineRule="auto"/>
              <w:ind w:firstLine="0" w:firstLineChars="0"/>
              <w:jc w:val="center"/>
              <w:rPr>
                <w:sz w:val="21"/>
                <w:szCs w:val="21"/>
                <w:u w:val="none"/>
              </w:rPr>
            </w:pPr>
            <w:r>
              <w:rPr>
                <w:sz w:val="21"/>
                <w:szCs w:val="21"/>
                <w:u w:val="none"/>
              </w:rPr>
              <w:t>氨氮</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0.087</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0.092</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0.084</w:t>
            </w:r>
          </w:p>
        </w:tc>
        <w:tc>
          <w:tcPr>
            <w:tcW w:w="755" w:type="pct"/>
            <w:vAlign w:val="center"/>
          </w:tcPr>
          <w:p>
            <w:pPr>
              <w:widowControl w:val="0"/>
              <w:spacing w:line="240" w:lineRule="auto"/>
              <w:ind w:firstLine="0" w:firstLineChars="0"/>
              <w:jc w:val="center"/>
              <w:rPr>
                <w:sz w:val="21"/>
                <w:szCs w:val="21"/>
                <w:u w:val="none"/>
              </w:rPr>
            </w:pPr>
            <w:r>
              <w:rPr>
                <w:rFonts w:hint="eastAsia"/>
                <w:sz w:val="21"/>
                <w:szCs w:val="21"/>
                <w:u w:val="none"/>
              </w:rPr>
              <w:t>0.5</w:t>
            </w:r>
          </w:p>
        </w:tc>
        <w:tc>
          <w:tcPr>
            <w:tcW w:w="575" w:type="pct"/>
            <w:vAlign w:val="center"/>
          </w:tcPr>
          <w:p>
            <w:pPr>
              <w:widowControl w:val="0"/>
              <w:spacing w:line="240" w:lineRule="auto"/>
              <w:ind w:firstLine="0" w:firstLineChars="0"/>
              <w:jc w:val="center"/>
              <w:rPr>
                <w:sz w:val="21"/>
                <w:szCs w:val="21"/>
                <w:u w:val="none"/>
              </w:rPr>
            </w:pPr>
            <w:r>
              <w:rPr>
                <w:rFonts w:hint="eastAsia"/>
                <w:sz w:val="21"/>
                <w:szCs w:val="21"/>
                <w:u w:val="none"/>
              </w:rPr>
              <w:t>0</w:t>
            </w:r>
          </w:p>
        </w:tc>
        <w:tc>
          <w:tcPr>
            <w:tcW w:w="400" w:type="pct"/>
            <w:vAlign w:val="center"/>
          </w:tcPr>
          <w:p>
            <w:pPr>
              <w:widowControl w:val="0"/>
              <w:spacing w:line="240" w:lineRule="auto"/>
              <w:ind w:firstLine="0" w:firstLineChars="0"/>
              <w:jc w:val="center"/>
              <w:rPr>
                <w:sz w:val="21"/>
                <w:szCs w:val="21"/>
                <w:u w:val="none"/>
              </w:rPr>
            </w:pPr>
            <w:r>
              <w:rPr>
                <w:sz w:val="21"/>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37" w:type="pct"/>
            <w:vMerge w:val="continue"/>
            <w:vAlign w:val="center"/>
          </w:tcPr>
          <w:p>
            <w:pPr>
              <w:widowControl w:val="0"/>
              <w:spacing w:line="240" w:lineRule="auto"/>
              <w:ind w:firstLine="420"/>
              <w:jc w:val="center"/>
              <w:rPr>
                <w:sz w:val="21"/>
                <w:szCs w:val="21"/>
                <w:u w:val="none"/>
              </w:rPr>
            </w:pPr>
          </w:p>
        </w:tc>
        <w:tc>
          <w:tcPr>
            <w:tcW w:w="699" w:type="pct"/>
            <w:vAlign w:val="center"/>
          </w:tcPr>
          <w:p>
            <w:pPr>
              <w:widowControl w:val="0"/>
              <w:spacing w:line="240" w:lineRule="auto"/>
              <w:ind w:firstLine="0" w:firstLineChars="0"/>
              <w:jc w:val="center"/>
              <w:rPr>
                <w:sz w:val="21"/>
                <w:szCs w:val="21"/>
                <w:u w:val="none"/>
              </w:rPr>
            </w:pPr>
            <w:r>
              <w:rPr>
                <w:rFonts w:hint="eastAsia"/>
                <w:sz w:val="21"/>
                <w:szCs w:val="21"/>
                <w:u w:val="none"/>
              </w:rPr>
              <w:t>BOD</w:t>
            </w:r>
            <w:r>
              <w:rPr>
                <w:rFonts w:hint="eastAsia"/>
                <w:sz w:val="21"/>
                <w:szCs w:val="21"/>
                <w:u w:val="none"/>
                <w:vertAlign w:val="subscript"/>
              </w:rPr>
              <w:t>5</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2.8</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2.4</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2.3</w:t>
            </w:r>
          </w:p>
        </w:tc>
        <w:tc>
          <w:tcPr>
            <w:tcW w:w="755" w:type="pct"/>
            <w:vAlign w:val="center"/>
          </w:tcPr>
          <w:p>
            <w:pPr>
              <w:widowControl w:val="0"/>
              <w:spacing w:line="240" w:lineRule="auto"/>
              <w:ind w:firstLine="0" w:firstLineChars="0"/>
              <w:jc w:val="center"/>
              <w:rPr>
                <w:sz w:val="21"/>
                <w:szCs w:val="21"/>
                <w:u w:val="none"/>
              </w:rPr>
            </w:pPr>
            <w:r>
              <w:rPr>
                <w:rFonts w:hint="eastAsia"/>
                <w:sz w:val="21"/>
                <w:szCs w:val="21"/>
                <w:u w:val="none"/>
              </w:rPr>
              <w:t>3</w:t>
            </w:r>
          </w:p>
        </w:tc>
        <w:tc>
          <w:tcPr>
            <w:tcW w:w="575" w:type="pct"/>
            <w:vAlign w:val="center"/>
          </w:tcPr>
          <w:p>
            <w:pPr>
              <w:widowControl w:val="0"/>
              <w:spacing w:line="240" w:lineRule="auto"/>
              <w:ind w:firstLine="0" w:firstLineChars="0"/>
              <w:jc w:val="center"/>
              <w:rPr>
                <w:sz w:val="21"/>
                <w:szCs w:val="21"/>
                <w:u w:val="none"/>
              </w:rPr>
            </w:pPr>
            <w:r>
              <w:rPr>
                <w:rFonts w:hint="eastAsia"/>
                <w:sz w:val="21"/>
                <w:szCs w:val="21"/>
                <w:u w:val="none"/>
              </w:rPr>
              <w:t>0</w:t>
            </w:r>
          </w:p>
        </w:tc>
        <w:tc>
          <w:tcPr>
            <w:tcW w:w="400" w:type="pct"/>
            <w:vAlign w:val="center"/>
          </w:tcPr>
          <w:p>
            <w:pPr>
              <w:widowControl w:val="0"/>
              <w:spacing w:line="240" w:lineRule="auto"/>
              <w:ind w:firstLine="0" w:firstLineChars="0"/>
              <w:jc w:val="center"/>
              <w:rPr>
                <w:sz w:val="21"/>
                <w:szCs w:val="21"/>
                <w:u w:val="none"/>
              </w:rPr>
            </w:pPr>
            <w:r>
              <w:rPr>
                <w:sz w:val="21"/>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437" w:type="pct"/>
            <w:vMerge w:val="continue"/>
            <w:vAlign w:val="center"/>
          </w:tcPr>
          <w:p>
            <w:pPr>
              <w:widowControl w:val="0"/>
              <w:spacing w:line="240" w:lineRule="auto"/>
              <w:ind w:firstLine="420"/>
              <w:jc w:val="center"/>
              <w:rPr>
                <w:sz w:val="21"/>
                <w:szCs w:val="21"/>
                <w:u w:val="none"/>
              </w:rPr>
            </w:pPr>
          </w:p>
        </w:tc>
        <w:tc>
          <w:tcPr>
            <w:tcW w:w="699" w:type="pct"/>
            <w:vAlign w:val="center"/>
          </w:tcPr>
          <w:p>
            <w:pPr>
              <w:widowControl w:val="0"/>
              <w:spacing w:line="240" w:lineRule="auto"/>
              <w:ind w:firstLine="0" w:firstLineChars="0"/>
              <w:jc w:val="center"/>
              <w:rPr>
                <w:sz w:val="21"/>
                <w:szCs w:val="21"/>
                <w:u w:val="none"/>
              </w:rPr>
            </w:pPr>
            <w:r>
              <w:rPr>
                <w:rFonts w:hint="eastAsia"/>
                <w:sz w:val="21"/>
                <w:szCs w:val="21"/>
                <w:u w:val="none"/>
              </w:rPr>
              <w:t>总磷</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0.03</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0.03</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0.03</w:t>
            </w:r>
          </w:p>
        </w:tc>
        <w:tc>
          <w:tcPr>
            <w:tcW w:w="755" w:type="pct"/>
            <w:vAlign w:val="center"/>
          </w:tcPr>
          <w:p>
            <w:pPr>
              <w:widowControl w:val="0"/>
              <w:spacing w:line="240" w:lineRule="auto"/>
              <w:ind w:firstLine="0" w:firstLineChars="0"/>
              <w:jc w:val="center"/>
              <w:rPr>
                <w:sz w:val="21"/>
                <w:szCs w:val="21"/>
                <w:u w:val="none"/>
              </w:rPr>
            </w:pPr>
            <w:r>
              <w:rPr>
                <w:rFonts w:hint="eastAsia"/>
                <w:sz w:val="21"/>
                <w:szCs w:val="21"/>
                <w:u w:val="none"/>
              </w:rPr>
              <w:t>0.1</w:t>
            </w:r>
          </w:p>
        </w:tc>
        <w:tc>
          <w:tcPr>
            <w:tcW w:w="575" w:type="pct"/>
            <w:vAlign w:val="center"/>
          </w:tcPr>
          <w:p>
            <w:pPr>
              <w:widowControl w:val="0"/>
              <w:spacing w:line="240" w:lineRule="auto"/>
              <w:ind w:firstLine="0" w:firstLineChars="0"/>
              <w:jc w:val="center"/>
              <w:rPr>
                <w:sz w:val="21"/>
                <w:szCs w:val="21"/>
                <w:u w:val="none"/>
              </w:rPr>
            </w:pPr>
            <w:r>
              <w:rPr>
                <w:rFonts w:hint="eastAsia"/>
                <w:sz w:val="21"/>
                <w:szCs w:val="21"/>
                <w:u w:val="none"/>
              </w:rPr>
              <w:t>0</w:t>
            </w:r>
          </w:p>
        </w:tc>
        <w:tc>
          <w:tcPr>
            <w:tcW w:w="400" w:type="pct"/>
            <w:vAlign w:val="center"/>
          </w:tcPr>
          <w:p>
            <w:pPr>
              <w:widowControl w:val="0"/>
              <w:spacing w:line="240" w:lineRule="auto"/>
              <w:ind w:firstLine="0" w:firstLineChars="0"/>
              <w:jc w:val="center"/>
              <w:rPr>
                <w:sz w:val="21"/>
                <w:szCs w:val="21"/>
                <w:u w:val="none"/>
              </w:rPr>
            </w:pPr>
            <w:r>
              <w:rPr>
                <w:sz w:val="21"/>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437" w:type="pct"/>
            <w:vMerge w:val="continue"/>
            <w:vAlign w:val="center"/>
          </w:tcPr>
          <w:p>
            <w:pPr>
              <w:widowControl w:val="0"/>
              <w:spacing w:line="240" w:lineRule="auto"/>
              <w:ind w:firstLine="420"/>
              <w:jc w:val="center"/>
              <w:rPr>
                <w:sz w:val="21"/>
                <w:szCs w:val="21"/>
                <w:u w:val="none"/>
              </w:rPr>
            </w:pPr>
          </w:p>
        </w:tc>
        <w:tc>
          <w:tcPr>
            <w:tcW w:w="699" w:type="pct"/>
            <w:vAlign w:val="center"/>
          </w:tcPr>
          <w:p>
            <w:pPr>
              <w:widowControl w:val="0"/>
              <w:spacing w:line="240" w:lineRule="auto"/>
              <w:ind w:firstLine="0" w:firstLineChars="0"/>
              <w:jc w:val="center"/>
              <w:rPr>
                <w:sz w:val="21"/>
                <w:szCs w:val="21"/>
                <w:u w:val="none"/>
              </w:rPr>
            </w:pPr>
            <w:r>
              <w:rPr>
                <w:rFonts w:hint="eastAsia"/>
                <w:sz w:val="21"/>
                <w:szCs w:val="21"/>
                <w:u w:val="none"/>
              </w:rPr>
              <w:t>DO</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8.4</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8.4</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8.0</w:t>
            </w:r>
          </w:p>
        </w:tc>
        <w:tc>
          <w:tcPr>
            <w:tcW w:w="755" w:type="pct"/>
            <w:vAlign w:val="center"/>
          </w:tcPr>
          <w:p>
            <w:pPr>
              <w:widowControl w:val="0"/>
              <w:spacing w:line="240" w:lineRule="auto"/>
              <w:ind w:firstLine="0" w:firstLineChars="0"/>
              <w:jc w:val="center"/>
              <w:rPr>
                <w:sz w:val="21"/>
                <w:szCs w:val="21"/>
                <w:u w:val="none"/>
              </w:rPr>
            </w:pPr>
            <w:r>
              <w:rPr>
                <w:sz w:val="21"/>
                <w:szCs w:val="21"/>
                <w:u w:val="none"/>
              </w:rPr>
              <w:t>≥</w:t>
            </w:r>
            <w:r>
              <w:rPr>
                <w:rFonts w:hint="eastAsia"/>
                <w:sz w:val="21"/>
                <w:szCs w:val="21"/>
                <w:u w:val="none"/>
              </w:rPr>
              <w:t>5</w:t>
            </w:r>
          </w:p>
        </w:tc>
        <w:tc>
          <w:tcPr>
            <w:tcW w:w="575" w:type="pct"/>
            <w:vAlign w:val="center"/>
          </w:tcPr>
          <w:p>
            <w:pPr>
              <w:widowControl w:val="0"/>
              <w:spacing w:line="240" w:lineRule="auto"/>
              <w:ind w:firstLine="0" w:firstLineChars="0"/>
              <w:jc w:val="center"/>
              <w:rPr>
                <w:sz w:val="21"/>
                <w:szCs w:val="21"/>
                <w:u w:val="none"/>
              </w:rPr>
            </w:pPr>
            <w:r>
              <w:rPr>
                <w:rFonts w:hint="eastAsia"/>
                <w:sz w:val="21"/>
                <w:szCs w:val="21"/>
                <w:u w:val="none"/>
              </w:rPr>
              <w:t>0</w:t>
            </w:r>
          </w:p>
        </w:tc>
        <w:tc>
          <w:tcPr>
            <w:tcW w:w="400" w:type="pct"/>
            <w:vAlign w:val="center"/>
          </w:tcPr>
          <w:p>
            <w:pPr>
              <w:widowControl w:val="0"/>
              <w:spacing w:line="240" w:lineRule="auto"/>
              <w:ind w:firstLine="0" w:firstLineChars="0"/>
              <w:jc w:val="center"/>
              <w:rPr>
                <w:sz w:val="21"/>
                <w:szCs w:val="21"/>
                <w:u w:val="none"/>
              </w:rPr>
            </w:pPr>
            <w:r>
              <w:rPr>
                <w:sz w:val="21"/>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437" w:type="pct"/>
            <w:vMerge w:val="continue"/>
            <w:vAlign w:val="center"/>
          </w:tcPr>
          <w:p>
            <w:pPr>
              <w:widowControl w:val="0"/>
              <w:spacing w:line="240" w:lineRule="auto"/>
              <w:ind w:firstLine="420"/>
              <w:jc w:val="center"/>
              <w:rPr>
                <w:sz w:val="21"/>
                <w:szCs w:val="21"/>
                <w:u w:val="none"/>
              </w:rPr>
            </w:pPr>
          </w:p>
        </w:tc>
        <w:tc>
          <w:tcPr>
            <w:tcW w:w="699" w:type="pct"/>
            <w:vAlign w:val="center"/>
          </w:tcPr>
          <w:p>
            <w:pPr>
              <w:widowControl w:val="0"/>
              <w:spacing w:line="240" w:lineRule="auto"/>
              <w:ind w:firstLine="0" w:firstLineChars="0"/>
              <w:jc w:val="center"/>
              <w:rPr>
                <w:sz w:val="21"/>
                <w:szCs w:val="21"/>
                <w:u w:val="none"/>
              </w:rPr>
            </w:pPr>
            <w:r>
              <w:rPr>
                <w:rFonts w:hint="eastAsia"/>
                <w:sz w:val="21"/>
                <w:szCs w:val="21"/>
                <w:u w:val="none"/>
              </w:rPr>
              <w:t>SS</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13</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14</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16</w:t>
            </w:r>
          </w:p>
        </w:tc>
        <w:tc>
          <w:tcPr>
            <w:tcW w:w="755" w:type="pct"/>
            <w:vAlign w:val="center"/>
          </w:tcPr>
          <w:p>
            <w:pPr>
              <w:widowControl w:val="0"/>
              <w:spacing w:line="240" w:lineRule="auto"/>
              <w:ind w:firstLine="0" w:firstLineChars="0"/>
              <w:jc w:val="center"/>
              <w:rPr>
                <w:sz w:val="21"/>
                <w:szCs w:val="21"/>
                <w:u w:val="none"/>
              </w:rPr>
            </w:pPr>
            <w:r>
              <w:rPr>
                <w:rFonts w:hint="eastAsia"/>
                <w:sz w:val="21"/>
                <w:szCs w:val="21"/>
                <w:u w:val="none"/>
              </w:rPr>
              <w:t>/</w:t>
            </w:r>
          </w:p>
        </w:tc>
        <w:tc>
          <w:tcPr>
            <w:tcW w:w="575" w:type="pct"/>
            <w:vAlign w:val="center"/>
          </w:tcPr>
          <w:p>
            <w:pPr>
              <w:widowControl w:val="0"/>
              <w:spacing w:line="240" w:lineRule="auto"/>
              <w:ind w:firstLine="0" w:firstLineChars="0"/>
              <w:jc w:val="center"/>
              <w:rPr>
                <w:sz w:val="21"/>
                <w:szCs w:val="21"/>
                <w:u w:val="none"/>
              </w:rPr>
            </w:pPr>
            <w:r>
              <w:rPr>
                <w:rFonts w:hint="eastAsia"/>
                <w:sz w:val="21"/>
                <w:szCs w:val="21"/>
                <w:u w:val="none"/>
              </w:rPr>
              <w:t>0</w:t>
            </w:r>
          </w:p>
        </w:tc>
        <w:tc>
          <w:tcPr>
            <w:tcW w:w="400" w:type="pct"/>
            <w:vAlign w:val="center"/>
          </w:tcPr>
          <w:p>
            <w:pPr>
              <w:widowControl w:val="0"/>
              <w:spacing w:line="240" w:lineRule="auto"/>
              <w:ind w:firstLine="0" w:firstLineChars="0"/>
              <w:jc w:val="center"/>
              <w:rPr>
                <w:sz w:val="21"/>
                <w:szCs w:val="21"/>
                <w:u w:val="none"/>
              </w:rPr>
            </w:pPr>
            <w:r>
              <w:rPr>
                <w:sz w:val="21"/>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437" w:type="pct"/>
            <w:vMerge w:val="continue"/>
            <w:vAlign w:val="center"/>
          </w:tcPr>
          <w:p>
            <w:pPr>
              <w:widowControl w:val="0"/>
              <w:spacing w:line="240" w:lineRule="auto"/>
              <w:ind w:firstLine="420"/>
              <w:jc w:val="center"/>
              <w:rPr>
                <w:sz w:val="21"/>
                <w:szCs w:val="21"/>
                <w:u w:val="none"/>
              </w:rPr>
            </w:pPr>
          </w:p>
        </w:tc>
        <w:tc>
          <w:tcPr>
            <w:tcW w:w="699" w:type="pct"/>
            <w:vAlign w:val="center"/>
          </w:tcPr>
          <w:p>
            <w:pPr>
              <w:widowControl w:val="0"/>
              <w:spacing w:line="240" w:lineRule="auto"/>
              <w:ind w:firstLine="0" w:firstLineChars="0"/>
              <w:jc w:val="center"/>
              <w:rPr>
                <w:sz w:val="21"/>
                <w:szCs w:val="21"/>
                <w:u w:val="none"/>
              </w:rPr>
            </w:pPr>
            <w:r>
              <w:rPr>
                <w:rFonts w:hint="eastAsia"/>
                <w:sz w:val="21"/>
                <w:szCs w:val="21"/>
                <w:u w:val="none"/>
              </w:rPr>
              <w:t>石油类</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ND</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ND</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ND</w:t>
            </w:r>
          </w:p>
        </w:tc>
        <w:tc>
          <w:tcPr>
            <w:tcW w:w="755" w:type="pct"/>
            <w:vAlign w:val="center"/>
          </w:tcPr>
          <w:p>
            <w:pPr>
              <w:widowControl w:val="0"/>
              <w:spacing w:line="240" w:lineRule="auto"/>
              <w:ind w:firstLine="0" w:firstLineChars="0"/>
              <w:jc w:val="center"/>
              <w:rPr>
                <w:sz w:val="21"/>
                <w:szCs w:val="21"/>
                <w:u w:val="none"/>
              </w:rPr>
            </w:pPr>
            <w:r>
              <w:rPr>
                <w:rFonts w:hint="eastAsia"/>
                <w:sz w:val="21"/>
                <w:szCs w:val="21"/>
                <w:u w:val="none"/>
              </w:rPr>
              <w:t>0.05</w:t>
            </w:r>
          </w:p>
        </w:tc>
        <w:tc>
          <w:tcPr>
            <w:tcW w:w="575" w:type="pct"/>
            <w:vAlign w:val="center"/>
          </w:tcPr>
          <w:p>
            <w:pPr>
              <w:widowControl w:val="0"/>
              <w:spacing w:line="240" w:lineRule="auto"/>
              <w:ind w:firstLine="0" w:firstLineChars="0"/>
              <w:jc w:val="center"/>
              <w:rPr>
                <w:sz w:val="21"/>
                <w:szCs w:val="21"/>
                <w:u w:val="none"/>
              </w:rPr>
            </w:pPr>
            <w:r>
              <w:rPr>
                <w:rFonts w:hint="eastAsia"/>
                <w:sz w:val="21"/>
                <w:szCs w:val="21"/>
                <w:u w:val="none"/>
              </w:rPr>
              <w:t>0</w:t>
            </w:r>
          </w:p>
        </w:tc>
        <w:tc>
          <w:tcPr>
            <w:tcW w:w="400" w:type="pct"/>
            <w:vAlign w:val="center"/>
          </w:tcPr>
          <w:p>
            <w:pPr>
              <w:widowControl w:val="0"/>
              <w:spacing w:line="240" w:lineRule="auto"/>
              <w:ind w:firstLine="0" w:firstLineChars="0"/>
              <w:jc w:val="center"/>
              <w:rPr>
                <w:sz w:val="21"/>
                <w:szCs w:val="21"/>
                <w:u w:val="none"/>
              </w:rPr>
            </w:pPr>
            <w:r>
              <w:rPr>
                <w:sz w:val="21"/>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437" w:type="pct"/>
            <w:vMerge w:val="continue"/>
            <w:vAlign w:val="center"/>
          </w:tcPr>
          <w:p>
            <w:pPr>
              <w:widowControl w:val="0"/>
              <w:spacing w:line="240" w:lineRule="auto"/>
              <w:ind w:firstLine="420"/>
              <w:jc w:val="center"/>
              <w:rPr>
                <w:sz w:val="21"/>
                <w:szCs w:val="21"/>
                <w:u w:val="none"/>
              </w:rPr>
            </w:pPr>
          </w:p>
        </w:tc>
        <w:tc>
          <w:tcPr>
            <w:tcW w:w="699" w:type="pct"/>
            <w:vAlign w:val="center"/>
          </w:tcPr>
          <w:p>
            <w:pPr>
              <w:widowControl w:val="0"/>
              <w:spacing w:line="240" w:lineRule="auto"/>
              <w:ind w:firstLine="0" w:firstLineChars="0"/>
              <w:jc w:val="center"/>
              <w:rPr>
                <w:sz w:val="21"/>
                <w:szCs w:val="21"/>
                <w:u w:val="none"/>
              </w:rPr>
            </w:pPr>
            <w:r>
              <w:rPr>
                <w:rFonts w:hint="eastAsia"/>
                <w:sz w:val="21"/>
                <w:szCs w:val="21"/>
                <w:u w:val="none"/>
              </w:rPr>
              <w:t>粪大肠菌群</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4700MPN/L</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5200MPN/L</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4800MPN/L</w:t>
            </w:r>
          </w:p>
        </w:tc>
        <w:tc>
          <w:tcPr>
            <w:tcW w:w="755" w:type="pct"/>
            <w:vAlign w:val="center"/>
          </w:tcPr>
          <w:p>
            <w:pPr>
              <w:widowControl w:val="0"/>
              <w:spacing w:line="240" w:lineRule="auto"/>
              <w:ind w:firstLine="0" w:firstLineChars="0"/>
              <w:jc w:val="center"/>
              <w:rPr>
                <w:sz w:val="21"/>
                <w:szCs w:val="21"/>
                <w:u w:val="none"/>
              </w:rPr>
            </w:pPr>
            <w:r>
              <w:rPr>
                <w:rFonts w:hint="eastAsia"/>
                <w:sz w:val="21"/>
                <w:szCs w:val="21"/>
                <w:u w:val="none"/>
              </w:rPr>
              <w:t>2000MPN/L</w:t>
            </w:r>
          </w:p>
        </w:tc>
        <w:tc>
          <w:tcPr>
            <w:tcW w:w="575" w:type="pct"/>
            <w:vAlign w:val="center"/>
          </w:tcPr>
          <w:p>
            <w:pPr>
              <w:widowControl w:val="0"/>
              <w:spacing w:line="240" w:lineRule="auto"/>
              <w:ind w:firstLine="0" w:firstLineChars="0"/>
              <w:jc w:val="center"/>
              <w:rPr>
                <w:b/>
                <w:sz w:val="21"/>
                <w:szCs w:val="21"/>
                <w:u w:val="none"/>
              </w:rPr>
            </w:pPr>
            <w:r>
              <w:rPr>
                <w:rFonts w:hint="eastAsia"/>
                <w:b/>
                <w:sz w:val="21"/>
                <w:szCs w:val="21"/>
                <w:u w:val="none"/>
              </w:rPr>
              <w:t>2.35-2.6</w:t>
            </w:r>
          </w:p>
        </w:tc>
        <w:tc>
          <w:tcPr>
            <w:tcW w:w="400" w:type="pct"/>
            <w:vAlign w:val="center"/>
          </w:tcPr>
          <w:p>
            <w:pPr>
              <w:widowControl w:val="0"/>
              <w:spacing w:line="240" w:lineRule="auto"/>
              <w:ind w:firstLine="0" w:firstLineChars="0"/>
              <w:jc w:val="center"/>
              <w:rPr>
                <w:b/>
                <w:sz w:val="21"/>
                <w:szCs w:val="21"/>
                <w:u w:val="none"/>
              </w:rPr>
            </w:pPr>
            <w:r>
              <w:rPr>
                <w:rFonts w:hint="eastAsia"/>
                <w:b/>
                <w:sz w:val="21"/>
                <w:szCs w:val="21"/>
                <w:u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437" w:type="pct"/>
            <w:vMerge w:val="restart"/>
            <w:vAlign w:val="center"/>
          </w:tcPr>
          <w:p>
            <w:pPr>
              <w:widowControl w:val="0"/>
              <w:spacing w:line="240" w:lineRule="auto"/>
              <w:ind w:firstLine="0" w:firstLineChars="0"/>
              <w:jc w:val="center"/>
              <w:rPr>
                <w:sz w:val="21"/>
                <w:szCs w:val="21"/>
                <w:u w:val="none"/>
              </w:rPr>
            </w:pPr>
            <w:r>
              <w:rPr>
                <w:rFonts w:hint="eastAsia"/>
                <w:sz w:val="21"/>
                <w:szCs w:val="21"/>
                <w:u w:val="none"/>
              </w:rPr>
              <w:t>水电厂生产区</w:t>
            </w:r>
            <w:r>
              <w:rPr>
                <w:sz w:val="21"/>
                <w:szCs w:val="21"/>
                <w:u w:val="none"/>
              </w:rPr>
              <w:t>排污口</w:t>
            </w:r>
            <w:r>
              <w:rPr>
                <w:rFonts w:hint="eastAsia"/>
                <w:sz w:val="21"/>
                <w:szCs w:val="21"/>
                <w:u w:val="none"/>
              </w:rPr>
              <w:t>下游3000m</w:t>
            </w:r>
          </w:p>
        </w:tc>
        <w:tc>
          <w:tcPr>
            <w:tcW w:w="699" w:type="pct"/>
            <w:vAlign w:val="center"/>
          </w:tcPr>
          <w:p>
            <w:pPr>
              <w:widowControl w:val="0"/>
              <w:spacing w:line="240" w:lineRule="auto"/>
              <w:ind w:firstLine="0" w:firstLineChars="0"/>
              <w:jc w:val="center"/>
              <w:rPr>
                <w:sz w:val="21"/>
                <w:szCs w:val="21"/>
                <w:u w:val="none"/>
              </w:rPr>
            </w:pPr>
            <w:r>
              <w:rPr>
                <w:sz w:val="21"/>
                <w:szCs w:val="21"/>
                <w:u w:val="none"/>
              </w:rPr>
              <w:t>pH</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7.05</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6.98</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7.25</w:t>
            </w:r>
          </w:p>
        </w:tc>
        <w:tc>
          <w:tcPr>
            <w:tcW w:w="755" w:type="pct"/>
            <w:vAlign w:val="center"/>
          </w:tcPr>
          <w:p>
            <w:pPr>
              <w:widowControl w:val="0"/>
              <w:spacing w:line="240" w:lineRule="auto"/>
              <w:ind w:firstLine="0" w:firstLineChars="0"/>
              <w:jc w:val="center"/>
              <w:rPr>
                <w:sz w:val="21"/>
                <w:szCs w:val="21"/>
                <w:u w:val="none"/>
              </w:rPr>
            </w:pPr>
            <w:r>
              <w:rPr>
                <w:rFonts w:hint="eastAsia"/>
                <w:sz w:val="21"/>
                <w:szCs w:val="21"/>
                <w:u w:val="none"/>
              </w:rPr>
              <w:t>6-9</w:t>
            </w:r>
          </w:p>
        </w:tc>
        <w:tc>
          <w:tcPr>
            <w:tcW w:w="575" w:type="pct"/>
            <w:vAlign w:val="center"/>
          </w:tcPr>
          <w:p>
            <w:pPr>
              <w:widowControl w:val="0"/>
              <w:spacing w:line="240" w:lineRule="auto"/>
              <w:ind w:firstLine="0" w:firstLineChars="0"/>
              <w:jc w:val="center"/>
              <w:rPr>
                <w:sz w:val="21"/>
                <w:szCs w:val="21"/>
                <w:u w:val="none"/>
              </w:rPr>
            </w:pPr>
            <w:r>
              <w:rPr>
                <w:rFonts w:hint="eastAsia"/>
                <w:sz w:val="21"/>
                <w:szCs w:val="21"/>
                <w:u w:val="none"/>
              </w:rPr>
              <w:t>0</w:t>
            </w:r>
          </w:p>
        </w:tc>
        <w:tc>
          <w:tcPr>
            <w:tcW w:w="400" w:type="pct"/>
            <w:vAlign w:val="center"/>
          </w:tcPr>
          <w:p>
            <w:pPr>
              <w:widowControl w:val="0"/>
              <w:spacing w:line="240" w:lineRule="auto"/>
              <w:ind w:firstLine="0" w:firstLineChars="0"/>
              <w:jc w:val="center"/>
              <w:rPr>
                <w:sz w:val="21"/>
                <w:szCs w:val="21"/>
                <w:u w:val="none"/>
              </w:rPr>
            </w:pPr>
            <w:r>
              <w:rPr>
                <w:sz w:val="21"/>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437" w:type="pct"/>
            <w:vMerge w:val="continue"/>
            <w:vAlign w:val="center"/>
          </w:tcPr>
          <w:p>
            <w:pPr>
              <w:widowControl w:val="0"/>
              <w:spacing w:line="240" w:lineRule="auto"/>
              <w:ind w:firstLine="420"/>
              <w:jc w:val="center"/>
              <w:rPr>
                <w:sz w:val="21"/>
                <w:szCs w:val="21"/>
                <w:u w:val="none"/>
              </w:rPr>
            </w:pPr>
          </w:p>
        </w:tc>
        <w:tc>
          <w:tcPr>
            <w:tcW w:w="699" w:type="pct"/>
            <w:vAlign w:val="center"/>
          </w:tcPr>
          <w:p>
            <w:pPr>
              <w:widowControl w:val="0"/>
              <w:spacing w:line="240" w:lineRule="auto"/>
              <w:ind w:firstLine="0" w:firstLineChars="0"/>
              <w:jc w:val="center"/>
              <w:rPr>
                <w:sz w:val="21"/>
                <w:szCs w:val="21"/>
                <w:u w:val="none"/>
              </w:rPr>
            </w:pPr>
            <w:r>
              <w:rPr>
                <w:sz w:val="21"/>
                <w:szCs w:val="21"/>
                <w:u w:val="none"/>
              </w:rPr>
              <w:t>化学需氧量</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18</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19</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17</w:t>
            </w:r>
          </w:p>
        </w:tc>
        <w:tc>
          <w:tcPr>
            <w:tcW w:w="755" w:type="pct"/>
            <w:vAlign w:val="center"/>
          </w:tcPr>
          <w:p>
            <w:pPr>
              <w:widowControl w:val="0"/>
              <w:spacing w:line="240" w:lineRule="auto"/>
              <w:ind w:firstLine="0" w:firstLineChars="0"/>
              <w:jc w:val="center"/>
              <w:rPr>
                <w:sz w:val="21"/>
                <w:szCs w:val="21"/>
                <w:u w:val="none"/>
              </w:rPr>
            </w:pPr>
            <w:r>
              <w:rPr>
                <w:rFonts w:hint="eastAsia"/>
                <w:sz w:val="21"/>
                <w:szCs w:val="21"/>
                <w:u w:val="none"/>
              </w:rPr>
              <w:t>15</w:t>
            </w:r>
          </w:p>
        </w:tc>
        <w:tc>
          <w:tcPr>
            <w:tcW w:w="575" w:type="pct"/>
            <w:vAlign w:val="center"/>
          </w:tcPr>
          <w:p>
            <w:pPr>
              <w:widowControl w:val="0"/>
              <w:spacing w:line="240" w:lineRule="auto"/>
              <w:ind w:firstLine="0" w:firstLineChars="0"/>
              <w:jc w:val="center"/>
              <w:rPr>
                <w:b/>
                <w:sz w:val="21"/>
                <w:szCs w:val="21"/>
                <w:u w:val="none"/>
              </w:rPr>
            </w:pPr>
            <w:r>
              <w:rPr>
                <w:rFonts w:hint="eastAsia"/>
                <w:b/>
                <w:sz w:val="21"/>
                <w:szCs w:val="21"/>
                <w:u w:val="none"/>
              </w:rPr>
              <w:t>1.13-1.27</w:t>
            </w:r>
          </w:p>
        </w:tc>
        <w:tc>
          <w:tcPr>
            <w:tcW w:w="400" w:type="pct"/>
            <w:vAlign w:val="center"/>
          </w:tcPr>
          <w:p>
            <w:pPr>
              <w:widowControl w:val="0"/>
              <w:spacing w:line="240" w:lineRule="auto"/>
              <w:ind w:firstLine="0" w:firstLineChars="0"/>
              <w:jc w:val="center"/>
              <w:rPr>
                <w:b/>
                <w:sz w:val="21"/>
                <w:szCs w:val="21"/>
                <w:u w:val="none"/>
              </w:rPr>
            </w:pPr>
            <w:r>
              <w:rPr>
                <w:rFonts w:hint="eastAsia"/>
                <w:b/>
                <w:sz w:val="21"/>
                <w:szCs w:val="21"/>
                <w:u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437" w:type="pct"/>
            <w:vMerge w:val="continue"/>
            <w:vAlign w:val="center"/>
          </w:tcPr>
          <w:p>
            <w:pPr>
              <w:widowControl w:val="0"/>
              <w:spacing w:line="240" w:lineRule="auto"/>
              <w:ind w:firstLine="420"/>
              <w:jc w:val="center"/>
              <w:rPr>
                <w:sz w:val="21"/>
                <w:szCs w:val="21"/>
                <w:u w:val="none"/>
              </w:rPr>
            </w:pPr>
          </w:p>
        </w:tc>
        <w:tc>
          <w:tcPr>
            <w:tcW w:w="699" w:type="pct"/>
            <w:vAlign w:val="center"/>
          </w:tcPr>
          <w:p>
            <w:pPr>
              <w:widowControl w:val="0"/>
              <w:spacing w:line="240" w:lineRule="auto"/>
              <w:ind w:firstLine="0" w:firstLineChars="0"/>
              <w:jc w:val="center"/>
              <w:rPr>
                <w:sz w:val="21"/>
                <w:szCs w:val="21"/>
                <w:u w:val="none"/>
              </w:rPr>
            </w:pPr>
            <w:r>
              <w:rPr>
                <w:sz w:val="21"/>
                <w:szCs w:val="21"/>
                <w:u w:val="none"/>
              </w:rPr>
              <w:t>氨氮</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0.098</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0.103</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0.107</w:t>
            </w:r>
          </w:p>
        </w:tc>
        <w:tc>
          <w:tcPr>
            <w:tcW w:w="755" w:type="pct"/>
            <w:vAlign w:val="center"/>
          </w:tcPr>
          <w:p>
            <w:pPr>
              <w:widowControl w:val="0"/>
              <w:spacing w:line="240" w:lineRule="auto"/>
              <w:ind w:firstLine="0" w:firstLineChars="0"/>
              <w:jc w:val="center"/>
              <w:rPr>
                <w:sz w:val="21"/>
                <w:szCs w:val="21"/>
                <w:u w:val="none"/>
              </w:rPr>
            </w:pPr>
            <w:r>
              <w:rPr>
                <w:rFonts w:hint="eastAsia"/>
                <w:sz w:val="21"/>
                <w:szCs w:val="21"/>
                <w:u w:val="none"/>
              </w:rPr>
              <w:t>0.5</w:t>
            </w:r>
          </w:p>
        </w:tc>
        <w:tc>
          <w:tcPr>
            <w:tcW w:w="575" w:type="pct"/>
            <w:vAlign w:val="center"/>
          </w:tcPr>
          <w:p>
            <w:pPr>
              <w:widowControl w:val="0"/>
              <w:spacing w:line="240" w:lineRule="auto"/>
              <w:ind w:firstLine="0" w:firstLineChars="0"/>
              <w:jc w:val="center"/>
              <w:rPr>
                <w:sz w:val="21"/>
                <w:szCs w:val="21"/>
                <w:u w:val="none"/>
              </w:rPr>
            </w:pPr>
            <w:r>
              <w:rPr>
                <w:rFonts w:hint="eastAsia"/>
                <w:sz w:val="21"/>
                <w:szCs w:val="21"/>
                <w:u w:val="none"/>
              </w:rPr>
              <w:t>0</w:t>
            </w:r>
          </w:p>
        </w:tc>
        <w:tc>
          <w:tcPr>
            <w:tcW w:w="400" w:type="pct"/>
            <w:vAlign w:val="center"/>
          </w:tcPr>
          <w:p>
            <w:pPr>
              <w:widowControl w:val="0"/>
              <w:spacing w:line="240" w:lineRule="auto"/>
              <w:ind w:firstLine="0" w:firstLineChars="0"/>
              <w:jc w:val="center"/>
              <w:rPr>
                <w:sz w:val="21"/>
                <w:szCs w:val="21"/>
                <w:u w:val="none"/>
              </w:rPr>
            </w:pPr>
            <w:r>
              <w:rPr>
                <w:sz w:val="21"/>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437" w:type="pct"/>
            <w:vMerge w:val="continue"/>
            <w:vAlign w:val="center"/>
          </w:tcPr>
          <w:p>
            <w:pPr>
              <w:widowControl w:val="0"/>
              <w:spacing w:line="240" w:lineRule="auto"/>
              <w:ind w:firstLine="420"/>
              <w:jc w:val="center"/>
              <w:rPr>
                <w:sz w:val="21"/>
                <w:szCs w:val="21"/>
                <w:u w:val="none"/>
              </w:rPr>
            </w:pPr>
          </w:p>
        </w:tc>
        <w:tc>
          <w:tcPr>
            <w:tcW w:w="699" w:type="pct"/>
            <w:vAlign w:val="center"/>
          </w:tcPr>
          <w:p>
            <w:pPr>
              <w:widowControl w:val="0"/>
              <w:spacing w:line="240" w:lineRule="auto"/>
              <w:ind w:firstLine="0" w:firstLineChars="0"/>
              <w:jc w:val="center"/>
              <w:rPr>
                <w:sz w:val="21"/>
                <w:szCs w:val="21"/>
                <w:u w:val="none"/>
              </w:rPr>
            </w:pPr>
            <w:r>
              <w:rPr>
                <w:rFonts w:hint="eastAsia"/>
                <w:sz w:val="21"/>
                <w:szCs w:val="21"/>
                <w:u w:val="none"/>
              </w:rPr>
              <w:t>BOD</w:t>
            </w:r>
            <w:r>
              <w:rPr>
                <w:rFonts w:hint="eastAsia"/>
                <w:sz w:val="21"/>
                <w:szCs w:val="21"/>
                <w:u w:val="none"/>
                <w:vertAlign w:val="subscript"/>
              </w:rPr>
              <w:t>5</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2.6</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2.4</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2.6</w:t>
            </w:r>
          </w:p>
        </w:tc>
        <w:tc>
          <w:tcPr>
            <w:tcW w:w="755" w:type="pct"/>
            <w:vAlign w:val="center"/>
          </w:tcPr>
          <w:p>
            <w:pPr>
              <w:widowControl w:val="0"/>
              <w:spacing w:line="240" w:lineRule="auto"/>
              <w:ind w:firstLine="0" w:firstLineChars="0"/>
              <w:jc w:val="center"/>
              <w:rPr>
                <w:sz w:val="21"/>
                <w:szCs w:val="21"/>
                <w:u w:val="none"/>
              </w:rPr>
            </w:pPr>
            <w:r>
              <w:rPr>
                <w:rFonts w:hint="eastAsia"/>
                <w:sz w:val="21"/>
                <w:szCs w:val="21"/>
                <w:u w:val="none"/>
              </w:rPr>
              <w:t>3</w:t>
            </w:r>
          </w:p>
        </w:tc>
        <w:tc>
          <w:tcPr>
            <w:tcW w:w="575" w:type="pct"/>
            <w:vAlign w:val="center"/>
          </w:tcPr>
          <w:p>
            <w:pPr>
              <w:widowControl w:val="0"/>
              <w:spacing w:line="240" w:lineRule="auto"/>
              <w:ind w:firstLine="0" w:firstLineChars="0"/>
              <w:jc w:val="center"/>
              <w:rPr>
                <w:sz w:val="21"/>
                <w:szCs w:val="21"/>
                <w:u w:val="none"/>
              </w:rPr>
            </w:pPr>
            <w:r>
              <w:rPr>
                <w:rFonts w:hint="eastAsia"/>
                <w:sz w:val="21"/>
                <w:szCs w:val="21"/>
                <w:u w:val="none"/>
              </w:rPr>
              <w:t>0</w:t>
            </w:r>
          </w:p>
        </w:tc>
        <w:tc>
          <w:tcPr>
            <w:tcW w:w="400" w:type="pct"/>
            <w:vAlign w:val="center"/>
          </w:tcPr>
          <w:p>
            <w:pPr>
              <w:widowControl w:val="0"/>
              <w:spacing w:line="240" w:lineRule="auto"/>
              <w:ind w:firstLine="0" w:firstLineChars="0"/>
              <w:jc w:val="center"/>
              <w:rPr>
                <w:sz w:val="21"/>
                <w:szCs w:val="21"/>
                <w:u w:val="none"/>
              </w:rPr>
            </w:pPr>
            <w:r>
              <w:rPr>
                <w:sz w:val="21"/>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437" w:type="pct"/>
            <w:vMerge w:val="continue"/>
            <w:vAlign w:val="center"/>
          </w:tcPr>
          <w:p>
            <w:pPr>
              <w:widowControl w:val="0"/>
              <w:spacing w:line="240" w:lineRule="auto"/>
              <w:ind w:firstLine="420"/>
              <w:jc w:val="center"/>
              <w:rPr>
                <w:sz w:val="21"/>
                <w:szCs w:val="21"/>
                <w:u w:val="none"/>
              </w:rPr>
            </w:pPr>
          </w:p>
        </w:tc>
        <w:tc>
          <w:tcPr>
            <w:tcW w:w="699" w:type="pct"/>
            <w:vAlign w:val="center"/>
          </w:tcPr>
          <w:p>
            <w:pPr>
              <w:widowControl w:val="0"/>
              <w:spacing w:line="240" w:lineRule="auto"/>
              <w:ind w:firstLine="0" w:firstLineChars="0"/>
              <w:jc w:val="center"/>
              <w:rPr>
                <w:sz w:val="21"/>
                <w:szCs w:val="21"/>
                <w:u w:val="none"/>
              </w:rPr>
            </w:pPr>
            <w:r>
              <w:rPr>
                <w:rFonts w:hint="eastAsia"/>
                <w:sz w:val="21"/>
                <w:szCs w:val="21"/>
                <w:u w:val="none"/>
              </w:rPr>
              <w:t>总磷</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0.03</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0.03</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0.03</w:t>
            </w:r>
          </w:p>
        </w:tc>
        <w:tc>
          <w:tcPr>
            <w:tcW w:w="755" w:type="pct"/>
            <w:vAlign w:val="center"/>
          </w:tcPr>
          <w:p>
            <w:pPr>
              <w:widowControl w:val="0"/>
              <w:spacing w:line="240" w:lineRule="auto"/>
              <w:ind w:firstLine="0" w:firstLineChars="0"/>
              <w:jc w:val="center"/>
              <w:rPr>
                <w:sz w:val="21"/>
                <w:szCs w:val="21"/>
                <w:u w:val="none"/>
              </w:rPr>
            </w:pPr>
            <w:r>
              <w:rPr>
                <w:rFonts w:hint="eastAsia"/>
                <w:sz w:val="21"/>
                <w:szCs w:val="21"/>
                <w:u w:val="none"/>
              </w:rPr>
              <w:t>0.1</w:t>
            </w:r>
          </w:p>
        </w:tc>
        <w:tc>
          <w:tcPr>
            <w:tcW w:w="575" w:type="pct"/>
            <w:vAlign w:val="center"/>
          </w:tcPr>
          <w:p>
            <w:pPr>
              <w:widowControl w:val="0"/>
              <w:spacing w:line="240" w:lineRule="auto"/>
              <w:ind w:firstLine="0" w:firstLineChars="0"/>
              <w:jc w:val="center"/>
              <w:rPr>
                <w:sz w:val="21"/>
                <w:szCs w:val="21"/>
                <w:u w:val="none"/>
              </w:rPr>
            </w:pPr>
            <w:r>
              <w:rPr>
                <w:rFonts w:hint="eastAsia"/>
                <w:sz w:val="21"/>
                <w:szCs w:val="21"/>
                <w:u w:val="none"/>
              </w:rPr>
              <w:t>0</w:t>
            </w:r>
          </w:p>
        </w:tc>
        <w:tc>
          <w:tcPr>
            <w:tcW w:w="400" w:type="pct"/>
            <w:vAlign w:val="center"/>
          </w:tcPr>
          <w:p>
            <w:pPr>
              <w:widowControl w:val="0"/>
              <w:spacing w:line="240" w:lineRule="auto"/>
              <w:ind w:firstLine="0" w:firstLineChars="0"/>
              <w:jc w:val="center"/>
              <w:rPr>
                <w:sz w:val="21"/>
                <w:szCs w:val="21"/>
                <w:u w:val="none"/>
              </w:rPr>
            </w:pPr>
            <w:r>
              <w:rPr>
                <w:sz w:val="21"/>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437" w:type="pct"/>
            <w:vMerge w:val="continue"/>
            <w:vAlign w:val="center"/>
          </w:tcPr>
          <w:p>
            <w:pPr>
              <w:widowControl w:val="0"/>
              <w:spacing w:line="240" w:lineRule="auto"/>
              <w:ind w:firstLine="420"/>
              <w:jc w:val="center"/>
              <w:rPr>
                <w:sz w:val="21"/>
                <w:szCs w:val="21"/>
                <w:u w:val="none"/>
              </w:rPr>
            </w:pPr>
          </w:p>
        </w:tc>
        <w:tc>
          <w:tcPr>
            <w:tcW w:w="699" w:type="pct"/>
            <w:vAlign w:val="center"/>
          </w:tcPr>
          <w:p>
            <w:pPr>
              <w:widowControl w:val="0"/>
              <w:spacing w:line="240" w:lineRule="auto"/>
              <w:ind w:firstLine="0" w:firstLineChars="0"/>
              <w:jc w:val="center"/>
              <w:rPr>
                <w:sz w:val="21"/>
                <w:szCs w:val="21"/>
                <w:u w:val="none"/>
              </w:rPr>
            </w:pPr>
            <w:r>
              <w:rPr>
                <w:rFonts w:hint="eastAsia"/>
                <w:sz w:val="21"/>
                <w:szCs w:val="21"/>
                <w:u w:val="none"/>
              </w:rPr>
              <w:t>DO</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8.3</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8.5</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8.5</w:t>
            </w:r>
          </w:p>
        </w:tc>
        <w:tc>
          <w:tcPr>
            <w:tcW w:w="755" w:type="pct"/>
            <w:vAlign w:val="center"/>
          </w:tcPr>
          <w:p>
            <w:pPr>
              <w:widowControl w:val="0"/>
              <w:spacing w:line="240" w:lineRule="auto"/>
              <w:ind w:firstLine="0" w:firstLineChars="0"/>
              <w:jc w:val="center"/>
              <w:rPr>
                <w:sz w:val="21"/>
                <w:szCs w:val="21"/>
                <w:u w:val="none"/>
              </w:rPr>
            </w:pPr>
            <w:r>
              <w:rPr>
                <w:sz w:val="21"/>
                <w:szCs w:val="21"/>
                <w:u w:val="none"/>
              </w:rPr>
              <w:t>≥</w:t>
            </w:r>
            <w:r>
              <w:rPr>
                <w:rFonts w:hint="eastAsia"/>
                <w:sz w:val="21"/>
                <w:szCs w:val="21"/>
                <w:u w:val="none"/>
              </w:rPr>
              <w:t>5</w:t>
            </w:r>
          </w:p>
        </w:tc>
        <w:tc>
          <w:tcPr>
            <w:tcW w:w="575" w:type="pct"/>
            <w:vAlign w:val="center"/>
          </w:tcPr>
          <w:p>
            <w:pPr>
              <w:widowControl w:val="0"/>
              <w:spacing w:line="240" w:lineRule="auto"/>
              <w:ind w:firstLine="0" w:firstLineChars="0"/>
              <w:jc w:val="center"/>
              <w:rPr>
                <w:sz w:val="21"/>
                <w:szCs w:val="21"/>
                <w:u w:val="none"/>
              </w:rPr>
            </w:pPr>
            <w:r>
              <w:rPr>
                <w:rFonts w:hint="eastAsia"/>
                <w:sz w:val="21"/>
                <w:szCs w:val="21"/>
                <w:u w:val="none"/>
              </w:rPr>
              <w:t>0</w:t>
            </w:r>
          </w:p>
        </w:tc>
        <w:tc>
          <w:tcPr>
            <w:tcW w:w="400" w:type="pct"/>
            <w:vAlign w:val="center"/>
          </w:tcPr>
          <w:p>
            <w:pPr>
              <w:widowControl w:val="0"/>
              <w:spacing w:line="240" w:lineRule="auto"/>
              <w:ind w:firstLine="0" w:firstLineChars="0"/>
              <w:jc w:val="center"/>
              <w:rPr>
                <w:sz w:val="21"/>
                <w:szCs w:val="21"/>
                <w:u w:val="none"/>
              </w:rPr>
            </w:pPr>
            <w:r>
              <w:rPr>
                <w:sz w:val="21"/>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437" w:type="pct"/>
            <w:vMerge w:val="continue"/>
            <w:vAlign w:val="center"/>
          </w:tcPr>
          <w:p>
            <w:pPr>
              <w:widowControl w:val="0"/>
              <w:spacing w:line="240" w:lineRule="auto"/>
              <w:ind w:firstLine="420"/>
              <w:jc w:val="center"/>
              <w:rPr>
                <w:sz w:val="21"/>
                <w:szCs w:val="21"/>
                <w:u w:val="none"/>
              </w:rPr>
            </w:pPr>
          </w:p>
        </w:tc>
        <w:tc>
          <w:tcPr>
            <w:tcW w:w="699" w:type="pct"/>
            <w:vAlign w:val="center"/>
          </w:tcPr>
          <w:p>
            <w:pPr>
              <w:widowControl w:val="0"/>
              <w:spacing w:line="240" w:lineRule="auto"/>
              <w:ind w:firstLine="0" w:firstLineChars="0"/>
              <w:jc w:val="center"/>
              <w:rPr>
                <w:sz w:val="21"/>
                <w:szCs w:val="21"/>
                <w:u w:val="none"/>
              </w:rPr>
            </w:pPr>
            <w:r>
              <w:rPr>
                <w:rFonts w:hint="eastAsia"/>
                <w:sz w:val="21"/>
                <w:szCs w:val="21"/>
                <w:u w:val="none"/>
              </w:rPr>
              <w:t>SS</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13</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16</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15</w:t>
            </w:r>
          </w:p>
        </w:tc>
        <w:tc>
          <w:tcPr>
            <w:tcW w:w="755" w:type="pct"/>
            <w:vAlign w:val="center"/>
          </w:tcPr>
          <w:p>
            <w:pPr>
              <w:widowControl w:val="0"/>
              <w:spacing w:line="240" w:lineRule="auto"/>
              <w:ind w:firstLine="0" w:firstLineChars="0"/>
              <w:jc w:val="center"/>
              <w:rPr>
                <w:sz w:val="21"/>
                <w:szCs w:val="21"/>
                <w:u w:val="none"/>
              </w:rPr>
            </w:pPr>
            <w:r>
              <w:rPr>
                <w:rFonts w:hint="eastAsia"/>
                <w:sz w:val="21"/>
                <w:szCs w:val="21"/>
                <w:u w:val="none"/>
              </w:rPr>
              <w:t>/</w:t>
            </w:r>
          </w:p>
        </w:tc>
        <w:tc>
          <w:tcPr>
            <w:tcW w:w="575" w:type="pct"/>
            <w:vAlign w:val="center"/>
          </w:tcPr>
          <w:p>
            <w:pPr>
              <w:widowControl w:val="0"/>
              <w:spacing w:line="240" w:lineRule="auto"/>
              <w:ind w:firstLine="0" w:firstLineChars="0"/>
              <w:jc w:val="center"/>
              <w:rPr>
                <w:sz w:val="21"/>
                <w:szCs w:val="21"/>
                <w:u w:val="none"/>
              </w:rPr>
            </w:pPr>
            <w:r>
              <w:rPr>
                <w:rFonts w:hint="eastAsia"/>
                <w:sz w:val="21"/>
                <w:szCs w:val="21"/>
                <w:u w:val="none"/>
              </w:rPr>
              <w:t>0</w:t>
            </w:r>
          </w:p>
        </w:tc>
        <w:tc>
          <w:tcPr>
            <w:tcW w:w="400" w:type="pct"/>
            <w:vAlign w:val="center"/>
          </w:tcPr>
          <w:p>
            <w:pPr>
              <w:widowControl w:val="0"/>
              <w:spacing w:line="240" w:lineRule="auto"/>
              <w:ind w:firstLine="0" w:firstLineChars="0"/>
              <w:jc w:val="center"/>
              <w:rPr>
                <w:sz w:val="21"/>
                <w:szCs w:val="21"/>
                <w:u w:val="none"/>
              </w:rPr>
            </w:pPr>
            <w:r>
              <w:rPr>
                <w:sz w:val="21"/>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437" w:type="pct"/>
            <w:vMerge w:val="continue"/>
            <w:vAlign w:val="center"/>
          </w:tcPr>
          <w:p>
            <w:pPr>
              <w:widowControl w:val="0"/>
              <w:spacing w:line="240" w:lineRule="auto"/>
              <w:ind w:firstLine="420"/>
              <w:jc w:val="center"/>
              <w:rPr>
                <w:sz w:val="21"/>
                <w:szCs w:val="21"/>
                <w:u w:val="none"/>
              </w:rPr>
            </w:pPr>
          </w:p>
        </w:tc>
        <w:tc>
          <w:tcPr>
            <w:tcW w:w="699" w:type="pct"/>
            <w:vAlign w:val="center"/>
          </w:tcPr>
          <w:p>
            <w:pPr>
              <w:widowControl w:val="0"/>
              <w:spacing w:line="240" w:lineRule="auto"/>
              <w:ind w:firstLine="0" w:firstLineChars="0"/>
              <w:jc w:val="center"/>
              <w:rPr>
                <w:sz w:val="21"/>
                <w:szCs w:val="21"/>
                <w:u w:val="none"/>
              </w:rPr>
            </w:pPr>
            <w:r>
              <w:rPr>
                <w:rFonts w:hint="eastAsia"/>
                <w:sz w:val="21"/>
                <w:szCs w:val="21"/>
                <w:u w:val="none"/>
              </w:rPr>
              <w:t>石油类</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ND</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ND</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ND</w:t>
            </w:r>
          </w:p>
        </w:tc>
        <w:tc>
          <w:tcPr>
            <w:tcW w:w="755" w:type="pct"/>
            <w:vAlign w:val="center"/>
          </w:tcPr>
          <w:p>
            <w:pPr>
              <w:widowControl w:val="0"/>
              <w:spacing w:line="240" w:lineRule="auto"/>
              <w:ind w:firstLine="0" w:firstLineChars="0"/>
              <w:jc w:val="center"/>
              <w:rPr>
                <w:sz w:val="21"/>
                <w:szCs w:val="21"/>
                <w:u w:val="none"/>
              </w:rPr>
            </w:pPr>
            <w:r>
              <w:rPr>
                <w:rFonts w:hint="eastAsia"/>
                <w:sz w:val="21"/>
                <w:szCs w:val="21"/>
                <w:u w:val="none"/>
              </w:rPr>
              <w:t>0.05</w:t>
            </w:r>
          </w:p>
        </w:tc>
        <w:tc>
          <w:tcPr>
            <w:tcW w:w="575" w:type="pct"/>
            <w:vAlign w:val="center"/>
          </w:tcPr>
          <w:p>
            <w:pPr>
              <w:widowControl w:val="0"/>
              <w:spacing w:line="240" w:lineRule="auto"/>
              <w:ind w:firstLine="0" w:firstLineChars="0"/>
              <w:jc w:val="center"/>
              <w:rPr>
                <w:sz w:val="21"/>
                <w:szCs w:val="21"/>
                <w:u w:val="none"/>
              </w:rPr>
            </w:pPr>
            <w:r>
              <w:rPr>
                <w:rFonts w:hint="eastAsia"/>
                <w:sz w:val="21"/>
                <w:szCs w:val="21"/>
                <w:u w:val="none"/>
              </w:rPr>
              <w:t>0</w:t>
            </w:r>
          </w:p>
        </w:tc>
        <w:tc>
          <w:tcPr>
            <w:tcW w:w="400" w:type="pct"/>
            <w:vAlign w:val="center"/>
          </w:tcPr>
          <w:p>
            <w:pPr>
              <w:widowControl w:val="0"/>
              <w:spacing w:line="240" w:lineRule="auto"/>
              <w:ind w:firstLine="0" w:firstLineChars="0"/>
              <w:jc w:val="center"/>
              <w:rPr>
                <w:sz w:val="21"/>
                <w:szCs w:val="21"/>
                <w:u w:val="none"/>
              </w:rPr>
            </w:pPr>
            <w:r>
              <w:rPr>
                <w:sz w:val="21"/>
                <w:szCs w:val="21"/>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437" w:type="pct"/>
            <w:vMerge w:val="continue"/>
            <w:vAlign w:val="center"/>
          </w:tcPr>
          <w:p>
            <w:pPr>
              <w:widowControl w:val="0"/>
              <w:spacing w:line="240" w:lineRule="auto"/>
              <w:ind w:firstLine="420"/>
              <w:jc w:val="center"/>
              <w:rPr>
                <w:sz w:val="21"/>
                <w:szCs w:val="21"/>
                <w:u w:val="none"/>
              </w:rPr>
            </w:pPr>
          </w:p>
        </w:tc>
        <w:tc>
          <w:tcPr>
            <w:tcW w:w="699" w:type="pct"/>
            <w:vAlign w:val="center"/>
          </w:tcPr>
          <w:p>
            <w:pPr>
              <w:widowControl w:val="0"/>
              <w:spacing w:line="240" w:lineRule="auto"/>
              <w:ind w:firstLine="0" w:firstLineChars="0"/>
              <w:jc w:val="center"/>
              <w:rPr>
                <w:sz w:val="21"/>
                <w:szCs w:val="21"/>
                <w:u w:val="none"/>
              </w:rPr>
            </w:pPr>
            <w:r>
              <w:rPr>
                <w:rFonts w:hint="eastAsia"/>
                <w:sz w:val="21"/>
                <w:szCs w:val="21"/>
                <w:u w:val="none"/>
              </w:rPr>
              <w:t>粪大肠菌群</w:t>
            </w:r>
          </w:p>
        </w:tc>
        <w:tc>
          <w:tcPr>
            <w:tcW w:w="701" w:type="pct"/>
            <w:vAlign w:val="center"/>
          </w:tcPr>
          <w:p>
            <w:pPr>
              <w:widowControl w:val="0"/>
              <w:spacing w:line="240" w:lineRule="auto"/>
              <w:ind w:firstLine="0" w:firstLineChars="0"/>
              <w:jc w:val="center"/>
              <w:rPr>
                <w:sz w:val="21"/>
                <w:szCs w:val="21"/>
                <w:u w:val="none"/>
              </w:rPr>
            </w:pPr>
            <w:r>
              <w:rPr>
                <w:rFonts w:hint="eastAsia"/>
                <w:sz w:val="21"/>
                <w:szCs w:val="21"/>
                <w:u w:val="none"/>
              </w:rPr>
              <w:t>5900MPN/L</w:t>
            </w:r>
          </w:p>
        </w:tc>
        <w:tc>
          <w:tcPr>
            <w:tcW w:w="724" w:type="pct"/>
            <w:vAlign w:val="center"/>
          </w:tcPr>
          <w:p>
            <w:pPr>
              <w:widowControl w:val="0"/>
              <w:spacing w:line="240" w:lineRule="auto"/>
              <w:ind w:firstLine="0" w:firstLineChars="0"/>
              <w:jc w:val="center"/>
              <w:rPr>
                <w:sz w:val="21"/>
                <w:szCs w:val="21"/>
                <w:u w:val="none"/>
              </w:rPr>
            </w:pPr>
            <w:r>
              <w:rPr>
                <w:rFonts w:hint="eastAsia"/>
                <w:sz w:val="21"/>
                <w:szCs w:val="21"/>
                <w:u w:val="none"/>
              </w:rPr>
              <w:t>5400MPN/L</w:t>
            </w:r>
          </w:p>
        </w:tc>
        <w:tc>
          <w:tcPr>
            <w:tcW w:w="709" w:type="pct"/>
            <w:vAlign w:val="center"/>
          </w:tcPr>
          <w:p>
            <w:pPr>
              <w:widowControl w:val="0"/>
              <w:spacing w:line="240" w:lineRule="auto"/>
              <w:ind w:firstLine="0" w:firstLineChars="0"/>
              <w:jc w:val="center"/>
              <w:rPr>
                <w:sz w:val="21"/>
                <w:szCs w:val="21"/>
                <w:u w:val="none"/>
              </w:rPr>
            </w:pPr>
            <w:r>
              <w:rPr>
                <w:rFonts w:hint="eastAsia"/>
                <w:sz w:val="21"/>
                <w:szCs w:val="21"/>
                <w:u w:val="none"/>
              </w:rPr>
              <w:t>5000MPN/L</w:t>
            </w:r>
          </w:p>
        </w:tc>
        <w:tc>
          <w:tcPr>
            <w:tcW w:w="755" w:type="pct"/>
            <w:vAlign w:val="center"/>
          </w:tcPr>
          <w:p>
            <w:pPr>
              <w:widowControl w:val="0"/>
              <w:spacing w:line="240" w:lineRule="auto"/>
              <w:ind w:firstLine="0" w:firstLineChars="0"/>
              <w:jc w:val="center"/>
              <w:rPr>
                <w:sz w:val="21"/>
                <w:szCs w:val="21"/>
                <w:u w:val="none"/>
              </w:rPr>
            </w:pPr>
            <w:r>
              <w:rPr>
                <w:rFonts w:hint="eastAsia"/>
                <w:sz w:val="21"/>
                <w:szCs w:val="21"/>
                <w:u w:val="none"/>
              </w:rPr>
              <w:t>2000MPN/L</w:t>
            </w:r>
          </w:p>
        </w:tc>
        <w:tc>
          <w:tcPr>
            <w:tcW w:w="575" w:type="pct"/>
            <w:vAlign w:val="center"/>
          </w:tcPr>
          <w:p>
            <w:pPr>
              <w:widowControl w:val="0"/>
              <w:spacing w:line="240" w:lineRule="auto"/>
              <w:ind w:firstLine="0" w:firstLineChars="0"/>
              <w:jc w:val="center"/>
              <w:rPr>
                <w:b/>
                <w:sz w:val="21"/>
                <w:szCs w:val="21"/>
                <w:u w:val="none"/>
              </w:rPr>
            </w:pPr>
            <w:r>
              <w:rPr>
                <w:rFonts w:hint="eastAsia"/>
                <w:b/>
                <w:sz w:val="21"/>
                <w:szCs w:val="21"/>
                <w:u w:val="none"/>
              </w:rPr>
              <w:t>2.5-2.95</w:t>
            </w:r>
          </w:p>
        </w:tc>
        <w:tc>
          <w:tcPr>
            <w:tcW w:w="400" w:type="pct"/>
            <w:vAlign w:val="center"/>
          </w:tcPr>
          <w:p>
            <w:pPr>
              <w:widowControl w:val="0"/>
              <w:spacing w:line="240" w:lineRule="auto"/>
              <w:ind w:firstLine="0" w:firstLineChars="0"/>
              <w:jc w:val="center"/>
              <w:rPr>
                <w:b/>
                <w:sz w:val="21"/>
                <w:szCs w:val="21"/>
                <w:u w:val="none"/>
              </w:rPr>
            </w:pPr>
            <w:r>
              <w:rPr>
                <w:rFonts w:hint="eastAsia"/>
                <w:b/>
                <w:sz w:val="21"/>
                <w:szCs w:val="21"/>
                <w:u w:val="none"/>
              </w:rPr>
              <w:t>否</w:t>
            </w:r>
          </w:p>
        </w:tc>
      </w:tr>
    </w:tbl>
    <w:p>
      <w:pPr>
        <w:bidi w:val="0"/>
        <w:rPr>
          <w:rFonts w:hint="eastAsia"/>
          <w:u w:val="none"/>
        </w:rPr>
      </w:pPr>
      <w:r>
        <w:rPr>
          <w:rFonts w:hint="eastAsia"/>
          <w:u w:val="none"/>
        </w:rPr>
        <w:t>由</w:t>
      </w:r>
      <w:r>
        <w:rPr>
          <w:u w:val="none"/>
        </w:rPr>
        <w:t>监测结果可知，</w:t>
      </w:r>
      <w:r>
        <w:rPr>
          <w:rFonts w:hint="eastAsia"/>
          <w:u w:val="none"/>
        </w:rPr>
        <w:t>各断面监测因子均能满足</w:t>
      </w:r>
      <w:r>
        <w:rPr>
          <w:u w:val="none"/>
        </w:rPr>
        <w:t>《地表水环境质量标准》（GB3838-2002）中</w:t>
      </w:r>
      <w:r>
        <w:rPr>
          <w:rFonts w:hint="eastAsia"/>
          <w:u w:val="none"/>
        </w:rPr>
        <w:t>Ⅱ</w:t>
      </w:r>
      <w:r>
        <w:rPr>
          <w:u w:val="none"/>
        </w:rPr>
        <w:t>类标准</w:t>
      </w:r>
      <w:r>
        <w:rPr>
          <w:rFonts w:hint="eastAsia"/>
          <w:u w:val="none"/>
        </w:rPr>
        <w:t>。</w:t>
      </w:r>
    </w:p>
    <w:p>
      <w:pPr>
        <w:rPr>
          <w:rFonts w:hint="eastAsia"/>
          <w:u w:val="none"/>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AndChars" w:linePitch="332" w:charSpace="0"/>
        </w:sectPr>
      </w:pPr>
    </w:p>
    <w:p>
      <w:pPr>
        <w:pStyle w:val="3"/>
        <w:spacing w:line="240" w:lineRule="auto"/>
        <w:rPr>
          <w:sz w:val="30"/>
          <w:szCs w:val="30"/>
          <w:u w:val="none"/>
        </w:rPr>
      </w:pPr>
      <w:bookmarkStart w:id="38" w:name="_Toc5516"/>
      <w:r>
        <w:rPr>
          <w:rFonts w:hint="eastAsia"/>
          <w:sz w:val="30"/>
          <w:szCs w:val="30"/>
          <w:u w:val="none"/>
        </w:rPr>
        <w:t>3</w:t>
      </w:r>
      <w:r>
        <w:rPr>
          <w:sz w:val="30"/>
          <w:szCs w:val="30"/>
          <w:u w:val="none"/>
        </w:rPr>
        <w:t>.</w:t>
      </w:r>
      <w:r>
        <w:rPr>
          <w:rFonts w:hint="eastAsia"/>
          <w:sz w:val="30"/>
          <w:szCs w:val="30"/>
          <w:u w:val="none"/>
        </w:rPr>
        <w:t>2入河排污口</w:t>
      </w:r>
      <w:r>
        <w:rPr>
          <w:sz w:val="30"/>
          <w:szCs w:val="30"/>
          <w:u w:val="none"/>
        </w:rPr>
        <w:t>所在水域接纳污水状况</w:t>
      </w:r>
      <w:bookmarkEnd w:id="38"/>
    </w:p>
    <w:p>
      <w:pPr>
        <w:pStyle w:val="4"/>
        <w:spacing w:line="240" w:lineRule="auto"/>
        <w:rPr>
          <w:u w:val="none"/>
        </w:rPr>
      </w:pPr>
      <w:r>
        <w:rPr>
          <w:rFonts w:hint="eastAsia"/>
          <w:u w:val="none"/>
        </w:rPr>
        <w:t>3.2.1排污河段概况</w:t>
      </w:r>
    </w:p>
    <w:bookmarkEnd w:id="36"/>
    <w:p>
      <w:pPr>
        <w:ind w:firstLine="480"/>
        <w:rPr>
          <w:u w:val="none"/>
        </w:rPr>
      </w:pPr>
      <w:r>
        <w:rPr>
          <w:rFonts w:hint="eastAsia"/>
          <w:u w:val="none"/>
        </w:rPr>
        <w:t>本项目入河排污口所在河流为资水。资水属洞庭湖水系，为长江支流，在益阳市境内流长280km，流域面积7362km</w:t>
      </w:r>
      <w:r>
        <w:rPr>
          <w:rFonts w:hint="eastAsia"/>
          <w:u w:val="none"/>
          <w:vertAlign w:val="superscript"/>
        </w:rPr>
        <w:t>2</w:t>
      </w:r>
      <w:r>
        <w:rPr>
          <w:rFonts w:hint="eastAsia"/>
          <w:u w:val="none"/>
        </w:rPr>
        <w:t>。资水有两源：左源赧水发源于城步苗族自治县北青山，右源夫夷水发源于广西资源县越城岭，两水于邵阳县双江口汇合，流经邵阳、新化、安化、桃江、益阳等市县，于益阳市甘溪港注入洞庭湖，全长653km，流域面积28201km</w:t>
      </w:r>
      <w:r>
        <w:rPr>
          <w:rFonts w:hint="eastAsia"/>
          <w:u w:val="none"/>
          <w:vertAlign w:val="superscript"/>
        </w:rPr>
        <w:t>2</w:t>
      </w:r>
      <w:r>
        <w:rPr>
          <w:rFonts w:hint="eastAsia"/>
          <w:u w:val="none"/>
        </w:rPr>
        <w:t>，多年平均流量760m</w:t>
      </w:r>
      <w:r>
        <w:rPr>
          <w:rFonts w:hint="eastAsia"/>
          <w:u w:val="none"/>
          <w:vertAlign w:val="superscript"/>
        </w:rPr>
        <w:t>3</w:t>
      </w:r>
      <w:r>
        <w:rPr>
          <w:rFonts w:hint="eastAsia"/>
          <w:u w:val="none"/>
        </w:rPr>
        <w:t>/s，年径流量240亿m</w:t>
      </w:r>
      <w:r>
        <w:rPr>
          <w:rFonts w:hint="eastAsia"/>
          <w:u w:val="none"/>
          <w:vertAlign w:val="superscript"/>
        </w:rPr>
        <w:t>3</w:t>
      </w:r>
      <w:r>
        <w:rPr>
          <w:rFonts w:hint="eastAsia"/>
          <w:u w:val="none"/>
        </w:rPr>
        <w:t>，最大流速达3.9m/s，平均坡降0.8‰。</w:t>
      </w:r>
    </w:p>
    <w:p>
      <w:pPr>
        <w:pStyle w:val="4"/>
        <w:spacing w:line="240" w:lineRule="auto"/>
        <w:rPr>
          <w:u w:val="none"/>
        </w:rPr>
      </w:pPr>
      <w:r>
        <w:rPr>
          <w:rFonts w:hint="eastAsia"/>
          <w:u w:val="none"/>
        </w:rPr>
        <w:t>3</w:t>
      </w:r>
      <w:r>
        <w:rPr>
          <w:u w:val="none"/>
        </w:rPr>
        <w:t>.</w:t>
      </w:r>
      <w:r>
        <w:rPr>
          <w:rFonts w:hint="eastAsia"/>
          <w:u w:val="none"/>
        </w:rPr>
        <w:t>2.2</w:t>
      </w:r>
      <w:r>
        <w:rPr>
          <w:u w:val="none"/>
        </w:rPr>
        <w:t>水功能区（水域）保护水质管理目标与要求</w:t>
      </w:r>
    </w:p>
    <w:p>
      <w:pPr>
        <w:ind w:firstLine="480"/>
        <w:rPr>
          <w:u w:val="none"/>
        </w:rPr>
      </w:pPr>
      <w:r>
        <w:rPr>
          <w:rFonts w:hint="eastAsia"/>
          <w:u w:val="none"/>
        </w:rPr>
        <w:t>根据《湖南省主要水系地表水环境功能区划》（</w:t>
      </w:r>
      <w:r>
        <w:rPr>
          <w:u w:val="none"/>
        </w:rPr>
        <w:t>DB43/023-2005</w:t>
      </w:r>
      <w:r>
        <w:rPr>
          <w:rFonts w:hint="eastAsia"/>
          <w:u w:val="none"/>
        </w:rPr>
        <w:t>）、《益阳市水功能区划》，排污口所在河段为资水桃江保留区，起于桃江县武潭镇水厂下200m，止于桃江县桃花江镇自来水公司一水厂上2000m，全长70.3km，该段目前开发利用程度较低、仅有少量农田灌溉且取用水量较小，根据现状监测报告，目前水质为Ⅱ类。</w:t>
      </w:r>
    </w:p>
    <w:p>
      <w:pPr>
        <w:ind w:firstLine="480"/>
        <w:rPr>
          <w:u w:val="none"/>
        </w:rPr>
      </w:pPr>
      <w:r>
        <w:rPr>
          <w:rFonts w:hint="eastAsia"/>
          <w:u w:val="none"/>
        </w:rPr>
        <w:t>其水功能情况见下表：</w:t>
      </w:r>
    </w:p>
    <w:p>
      <w:pPr>
        <w:pStyle w:val="59"/>
        <w:adjustRightInd w:val="0"/>
        <w:spacing w:line="240" w:lineRule="auto"/>
        <w:ind w:firstLine="0" w:firstLineChars="0"/>
        <w:jc w:val="center"/>
        <w:rPr>
          <w:b/>
          <w:color w:val="auto"/>
          <w:sz w:val="24"/>
          <w:szCs w:val="24"/>
          <w:u w:val="none"/>
        </w:rPr>
      </w:pPr>
      <w:r>
        <w:rPr>
          <w:rFonts w:hint="eastAsia"/>
          <w:b/>
          <w:color w:val="auto"/>
          <w:sz w:val="24"/>
          <w:szCs w:val="24"/>
          <w:u w:val="none"/>
        </w:rPr>
        <w:t>表3.2</w:t>
      </w:r>
      <w:r>
        <w:rPr>
          <w:rFonts w:hint="eastAsia"/>
          <w:b/>
          <w:color w:val="auto"/>
          <w:sz w:val="24"/>
          <w:szCs w:val="24"/>
          <w:u w:val="none"/>
          <w:lang w:val="en-US" w:eastAsia="zh-CN"/>
        </w:rPr>
        <w:t>.2</w:t>
      </w:r>
      <w:r>
        <w:rPr>
          <w:rFonts w:hint="eastAsia"/>
          <w:b/>
          <w:color w:val="auto"/>
          <w:sz w:val="24"/>
          <w:szCs w:val="24"/>
          <w:u w:val="none"/>
        </w:rPr>
        <w:t>-1水功能情况表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528"/>
        <w:gridCol w:w="1024"/>
        <w:gridCol w:w="1134"/>
        <w:gridCol w:w="1610"/>
        <w:gridCol w:w="932"/>
        <w:gridCol w:w="718"/>
        <w:gridCol w:w="1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17" w:type="dxa"/>
            <w:vMerge w:val="restart"/>
            <w:vAlign w:val="center"/>
          </w:tcPr>
          <w:p>
            <w:pPr>
              <w:widowControl w:val="0"/>
              <w:spacing w:line="240" w:lineRule="auto"/>
              <w:ind w:firstLine="0" w:firstLineChars="0"/>
              <w:jc w:val="center"/>
              <w:rPr>
                <w:sz w:val="21"/>
                <w:szCs w:val="21"/>
                <w:u w:val="none"/>
              </w:rPr>
            </w:pPr>
            <w:r>
              <w:rPr>
                <w:sz w:val="21"/>
                <w:szCs w:val="21"/>
                <w:u w:val="none"/>
              </w:rPr>
              <w:t>水系名称</w:t>
            </w:r>
          </w:p>
        </w:tc>
        <w:tc>
          <w:tcPr>
            <w:tcW w:w="1528" w:type="dxa"/>
            <w:vMerge w:val="restart"/>
            <w:vAlign w:val="center"/>
          </w:tcPr>
          <w:p>
            <w:pPr>
              <w:widowControl w:val="0"/>
              <w:spacing w:line="240" w:lineRule="auto"/>
              <w:ind w:firstLine="0" w:firstLineChars="0"/>
              <w:jc w:val="center"/>
              <w:rPr>
                <w:sz w:val="21"/>
                <w:szCs w:val="21"/>
                <w:u w:val="none"/>
              </w:rPr>
            </w:pPr>
            <w:r>
              <w:rPr>
                <w:rFonts w:hint="eastAsia"/>
                <w:sz w:val="21"/>
                <w:szCs w:val="21"/>
                <w:u w:val="none"/>
              </w:rPr>
              <w:t>一级水功能区</w:t>
            </w:r>
          </w:p>
        </w:tc>
        <w:tc>
          <w:tcPr>
            <w:tcW w:w="1024" w:type="dxa"/>
            <w:vMerge w:val="restart"/>
            <w:vAlign w:val="center"/>
          </w:tcPr>
          <w:p>
            <w:pPr>
              <w:widowControl w:val="0"/>
              <w:spacing w:line="240" w:lineRule="auto"/>
              <w:ind w:firstLine="0" w:firstLineChars="0"/>
              <w:jc w:val="center"/>
              <w:rPr>
                <w:sz w:val="21"/>
                <w:szCs w:val="21"/>
                <w:u w:val="none"/>
              </w:rPr>
            </w:pPr>
            <w:r>
              <w:rPr>
                <w:sz w:val="21"/>
                <w:szCs w:val="21"/>
                <w:u w:val="none"/>
              </w:rPr>
              <w:t>水功能区名称</w:t>
            </w:r>
          </w:p>
        </w:tc>
        <w:tc>
          <w:tcPr>
            <w:tcW w:w="2744" w:type="dxa"/>
            <w:gridSpan w:val="2"/>
            <w:vAlign w:val="center"/>
          </w:tcPr>
          <w:p>
            <w:pPr>
              <w:widowControl w:val="0"/>
              <w:spacing w:line="240" w:lineRule="auto"/>
              <w:ind w:firstLine="0" w:firstLineChars="0"/>
              <w:jc w:val="center"/>
              <w:rPr>
                <w:sz w:val="21"/>
                <w:szCs w:val="21"/>
                <w:u w:val="none"/>
              </w:rPr>
            </w:pPr>
            <w:r>
              <w:rPr>
                <w:sz w:val="21"/>
                <w:szCs w:val="21"/>
                <w:u w:val="none"/>
              </w:rPr>
              <w:t>范围</w:t>
            </w:r>
          </w:p>
        </w:tc>
        <w:tc>
          <w:tcPr>
            <w:tcW w:w="932" w:type="dxa"/>
            <w:vMerge w:val="restart"/>
            <w:vAlign w:val="center"/>
          </w:tcPr>
          <w:p>
            <w:pPr>
              <w:widowControl w:val="0"/>
              <w:spacing w:line="240" w:lineRule="auto"/>
              <w:ind w:firstLine="0" w:firstLineChars="0"/>
              <w:jc w:val="center"/>
              <w:rPr>
                <w:sz w:val="21"/>
                <w:szCs w:val="21"/>
                <w:u w:val="none"/>
              </w:rPr>
            </w:pPr>
            <w:r>
              <w:rPr>
                <w:sz w:val="21"/>
                <w:szCs w:val="21"/>
                <w:u w:val="none"/>
              </w:rPr>
              <w:t>长度</w:t>
            </w:r>
          </w:p>
        </w:tc>
        <w:tc>
          <w:tcPr>
            <w:tcW w:w="718" w:type="dxa"/>
            <w:vMerge w:val="restart"/>
            <w:vAlign w:val="center"/>
          </w:tcPr>
          <w:p>
            <w:pPr>
              <w:widowControl w:val="0"/>
              <w:spacing w:line="240" w:lineRule="auto"/>
              <w:ind w:firstLine="0" w:firstLineChars="0"/>
              <w:jc w:val="center"/>
              <w:rPr>
                <w:sz w:val="21"/>
                <w:szCs w:val="21"/>
                <w:u w:val="none"/>
              </w:rPr>
            </w:pPr>
            <w:r>
              <w:rPr>
                <w:sz w:val="21"/>
                <w:szCs w:val="21"/>
                <w:u w:val="none"/>
              </w:rPr>
              <w:t>水质目标</w:t>
            </w:r>
          </w:p>
        </w:tc>
        <w:tc>
          <w:tcPr>
            <w:tcW w:w="1523" w:type="dxa"/>
            <w:vMerge w:val="restart"/>
            <w:vAlign w:val="center"/>
          </w:tcPr>
          <w:p>
            <w:pPr>
              <w:widowControl w:val="0"/>
              <w:spacing w:line="240" w:lineRule="auto"/>
              <w:ind w:firstLine="0" w:firstLineChars="0"/>
              <w:jc w:val="center"/>
              <w:rPr>
                <w:sz w:val="21"/>
                <w:szCs w:val="21"/>
                <w:u w:val="none"/>
              </w:rPr>
            </w:pPr>
            <w:r>
              <w:rPr>
                <w:rFonts w:hint="eastAsia"/>
                <w:sz w:val="21"/>
                <w:szCs w:val="21"/>
                <w:u w:val="none"/>
              </w:rPr>
              <w:t>水功能关系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17" w:type="dxa"/>
            <w:vMerge w:val="continue"/>
            <w:vAlign w:val="center"/>
          </w:tcPr>
          <w:p>
            <w:pPr>
              <w:widowControl w:val="0"/>
              <w:spacing w:line="240" w:lineRule="auto"/>
              <w:ind w:left="480" w:firstLine="0" w:firstLineChars="0"/>
              <w:jc w:val="center"/>
              <w:rPr>
                <w:sz w:val="21"/>
                <w:szCs w:val="21"/>
                <w:u w:val="none"/>
              </w:rPr>
            </w:pPr>
          </w:p>
        </w:tc>
        <w:tc>
          <w:tcPr>
            <w:tcW w:w="1528" w:type="dxa"/>
            <w:vMerge w:val="continue"/>
            <w:vAlign w:val="center"/>
          </w:tcPr>
          <w:p>
            <w:pPr>
              <w:widowControl w:val="0"/>
              <w:spacing w:line="240" w:lineRule="auto"/>
              <w:ind w:left="480" w:firstLine="0" w:firstLineChars="0"/>
              <w:jc w:val="center"/>
              <w:rPr>
                <w:sz w:val="21"/>
                <w:szCs w:val="21"/>
                <w:u w:val="none"/>
              </w:rPr>
            </w:pPr>
          </w:p>
        </w:tc>
        <w:tc>
          <w:tcPr>
            <w:tcW w:w="1024" w:type="dxa"/>
            <w:vMerge w:val="continue"/>
            <w:vAlign w:val="center"/>
          </w:tcPr>
          <w:p>
            <w:pPr>
              <w:widowControl w:val="0"/>
              <w:spacing w:line="240" w:lineRule="auto"/>
              <w:ind w:left="480" w:firstLine="0" w:firstLineChars="0"/>
              <w:jc w:val="center"/>
              <w:rPr>
                <w:sz w:val="21"/>
                <w:szCs w:val="21"/>
                <w:u w:val="none"/>
              </w:rPr>
            </w:pPr>
          </w:p>
        </w:tc>
        <w:tc>
          <w:tcPr>
            <w:tcW w:w="1134" w:type="dxa"/>
            <w:vAlign w:val="center"/>
          </w:tcPr>
          <w:p>
            <w:pPr>
              <w:widowControl w:val="0"/>
              <w:spacing w:line="240" w:lineRule="auto"/>
              <w:ind w:firstLine="0" w:firstLineChars="0"/>
              <w:jc w:val="center"/>
              <w:rPr>
                <w:sz w:val="21"/>
                <w:szCs w:val="21"/>
                <w:u w:val="none"/>
              </w:rPr>
            </w:pPr>
            <w:r>
              <w:rPr>
                <w:sz w:val="21"/>
                <w:szCs w:val="21"/>
                <w:u w:val="none"/>
              </w:rPr>
              <w:t>起始断面</w:t>
            </w:r>
          </w:p>
        </w:tc>
        <w:tc>
          <w:tcPr>
            <w:tcW w:w="1610" w:type="dxa"/>
            <w:vAlign w:val="center"/>
          </w:tcPr>
          <w:p>
            <w:pPr>
              <w:widowControl w:val="0"/>
              <w:spacing w:line="240" w:lineRule="auto"/>
              <w:ind w:firstLine="0" w:firstLineChars="0"/>
              <w:jc w:val="center"/>
              <w:rPr>
                <w:sz w:val="21"/>
                <w:szCs w:val="21"/>
                <w:u w:val="none"/>
              </w:rPr>
            </w:pPr>
            <w:r>
              <w:rPr>
                <w:sz w:val="21"/>
                <w:szCs w:val="21"/>
                <w:u w:val="none"/>
              </w:rPr>
              <w:t>终止断面</w:t>
            </w:r>
          </w:p>
        </w:tc>
        <w:tc>
          <w:tcPr>
            <w:tcW w:w="932" w:type="dxa"/>
            <w:vMerge w:val="continue"/>
            <w:vAlign w:val="center"/>
          </w:tcPr>
          <w:p>
            <w:pPr>
              <w:widowControl w:val="0"/>
              <w:spacing w:line="240" w:lineRule="auto"/>
              <w:ind w:left="480" w:firstLine="0" w:firstLineChars="0"/>
              <w:jc w:val="center"/>
              <w:rPr>
                <w:sz w:val="21"/>
                <w:szCs w:val="21"/>
                <w:u w:val="none"/>
              </w:rPr>
            </w:pPr>
          </w:p>
        </w:tc>
        <w:tc>
          <w:tcPr>
            <w:tcW w:w="718" w:type="dxa"/>
            <w:vMerge w:val="continue"/>
            <w:vAlign w:val="center"/>
          </w:tcPr>
          <w:p>
            <w:pPr>
              <w:widowControl w:val="0"/>
              <w:spacing w:line="240" w:lineRule="auto"/>
              <w:ind w:left="480" w:firstLine="0" w:firstLineChars="0"/>
              <w:jc w:val="center"/>
              <w:rPr>
                <w:sz w:val="21"/>
                <w:szCs w:val="21"/>
                <w:u w:val="none"/>
              </w:rPr>
            </w:pPr>
          </w:p>
        </w:tc>
        <w:tc>
          <w:tcPr>
            <w:tcW w:w="1523" w:type="dxa"/>
            <w:vMerge w:val="continue"/>
            <w:vAlign w:val="center"/>
          </w:tcPr>
          <w:p>
            <w:pPr>
              <w:widowControl w:val="0"/>
              <w:spacing w:line="240" w:lineRule="auto"/>
              <w:ind w:left="480" w:firstLine="0" w:firstLineChars="0"/>
              <w:jc w:val="center"/>
              <w:rPr>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817" w:type="dxa"/>
            <w:vAlign w:val="center"/>
          </w:tcPr>
          <w:p>
            <w:pPr>
              <w:widowControl w:val="0"/>
              <w:spacing w:line="240" w:lineRule="auto"/>
              <w:ind w:firstLine="0" w:firstLineChars="0"/>
              <w:jc w:val="center"/>
              <w:rPr>
                <w:sz w:val="21"/>
                <w:szCs w:val="21"/>
                <w:u w:val="none"/>
              </w:rPr>
            </w:pPr>
            <w:r>
              <w:rPr>
                <w:rFonts w:hint="eastAsia"/>
                <w:sz w:val="21"/>
                <w:szCs w:val="21"/>
                <w:u w:val="none"/>
              </w:rPr>
              <w:t>资水</w:t>
            </w:r>
          </w:p>
        </w:tc>
        <w:tc>
          <w:tcPr>
            <w:tcW w:w="1528" w:type="dxa"/>
            <w:vAlign w:val="center"/>
          </w:tcPr>
          <w:p>
            <w:pPr>
              <w:widowControl w:val="0"/>
              <w:spacing w:line="240" w:lineRule="auto"/>
              <w:ind w:firstLine="0" w:firstLineChars="0"/>
              <w:jc w:val="center"/>
              <w:rPr>
                <w:sz w:val="21"/>
                <w:szCs w:val="21"/>
                <w:u w:val="none"/>
              </w:rPr>
            </w:pPr>
            <w:r>
              <w:rPr>
                <w:rFonts w:hint="eastAsia"/>
                <w:sz w:val="21"/>
                <w:szCs w:val="21"/>
                <w:u w:val="none"/>
              </w:rPr>
              <w:t>资水桃江保留区</w:t>
            </w:r>
          </w:p>
        </w:tc>
        <w:tc>
          <w:tcPr>
            <w:tcW w:w="1024" w:type="dxa"/>
            <w:vAlign w:val="center"/>
          </w:tcPr>
          <w:p>
            <w:pPr>
              <w:widowControl w:val="0"/>
              <w:spacing w:line="240" w:lineRule="auto"/>
              <w:ind w:firstLine="0" w:firstLineChars="0"/>
              <w:jc w:val="center"/>
              <w:rPr>
                <w:sz w:val="21"/>
                <w:szCs w:val="21"/>
                <w:u w:val="none"/>
              </w:rPr>
            </w:pPr>
            <w:r>
              <w:rPr>
                <w:rFonts w:hint="eastAsia"/>
                <w:sz w:val="21"/>
                <w:szCs w:val="21"/>
                <w:u w:val="none"/>
              </w:rPr>
              <w:t>灌溉</w:t>
            </w:r>
          </w:p>
          <w:p>
            <w:pPr>
              <w:widowControl w:val="0"/>
              <w:spacing w:line="240" w:lineRule="auto"/>
              <w:ind w:firstLine="0" w:firstLineChars="0"/>
              <w:jc w:val="center"/>
              <w:rPr>
                <w:sz w:val="21"/>
                <w:szCs w:val="21"/>
                <w:u w:val="none"/>
              </w:rPr>
            </w:pPr>
            <w:r>
              <w:rPr>
                <w:rFonts w:hint="eastAsia"/>
                <w:sz w:val="21"/>
                <w:szCs w:val="21"/>
                <w:u w:val="none"/>
              </w:rPr>
              <w:t>用水</w:t>
            </w:r>
          </w:p>
        </w:tc>
        <w:tc>
          <w:tcPr>
            <w:tcW w:w="1134" w:type="dxa"/>
            <w:vAlign w:val="center"/>
          </w:tcPr>
          <w:p>
            <w:pPr>
              <w:widowControl w:val="0"/>
              <w:spacing w:line="240" w:lineRule="auto"/>
              <w:ind w:firstLine="0" w:firstLineChars="0"/>
              <w:jc w:val="center"/>
              <w:rPr>
                <w:sz w:val="21"/>
                <w:szCs w:val="21"/>
                <w:u w:val="none"/>
              </w:rPr>
            </w:pPr>
            <w:r>
              <w:rPr>
                <w:rFonts w:hint="eastAsia"/>
                <w:sz w:val="21"/>
                <w:szCs w:val="21"/>
                <w:u w:val="none"/>
              </w:rPr>
              <w:t>武潭镇水厂下200m</w:t>
            </w:r>
          </w:p>
        </w:tc>
        <w:tc>
          <w:tcPr>
            <w:tcW w:w="1610" w:type="dxa"/>
            <w:vAlign w:val="center"/>
          </w:tcPr>
          <w:p>
            <w:pPr>
              <w:widowControl w:val="0"/>
              <w:spacing w:line="240" w:lineRule="auto"/>
              <w:ind w:firstLine="0" w:firstLineChars="0"/>
              <w:jc w:val="center"/>
              <w:rPr>
                <w:sz w:val="21"/>
                <w:szCs w:val="21"/>
                <w:u w:val="none"/>
              </w:rPr>
            </w:pPr>
            <w:r>
              <w:rPr>
                <w:rFonts w:hint="eastAsia"/>
                <w:sz w:val="21"/>
                <w:szCs w:val="21"/>
                <w:u w:val="none"/>
              </w:rPr>
              <w:t>桃江县桃花江镇自来水公司一水厂2000m</w:t>
            </w:r>
          </w:p>
        </w:tc>
        <w:tc>
          <w:tcPr>
            <w:tcW w:w="932" w:type="dxa"/>
            <w:vAlign w:val="center"/>
          </w:tcPr>
          <w:p>
            <w:pPr>
              <w:widowControl w:val="0"/>
              <w:spacing w:line="240" w:lineRule="auto"/>
              <w:ind w:firstLine="0" w:firstLineChars="0"/>
              <w:jc w:val="center"/>
              <w:rPr>
                <w:sz w:val="21"/>
                <w:szCs w:val="21"/>
                <w:u w:val="none"/>
              </w:rPr>
            </w:pPr>
            <w:r>
              <w:rPr>
                <w:rFonts w:hint="eastAsia"/>
                <w:sz w:val="21"/>
                <w:szCs w:val="21"/>
                <w:u w:val="none"/>
              </w:rPr>
              <w:t>70.3km</w:t>
            </w:r>
          </w:p>
        </w:tc>
        <w:tc>
          <w:tcPr>
            <w:tcW w:w="718" w:type="dxa"/>
            <w:vAlign w:val="center"/>
          </w:tcPr>
          <w:p>
            <w:pPr>
              <w:widowControl w:val="0"/>
              <w:spacing w:line="240" w:lineRule="auto"/>
              <w:ind w:firstLine="0" w:firstLineChars="0"/>
              <w:jc w:val="center"/>
              <w:rPr>
                <w:sz w:val="21"/>
                <w:szCs w:val="21"/>
                <w:u w:val="none"/>
              </w:rPr>
            </w:pPr>
            <w:r>
              <w:rPr>
                <w:rFonts w:hint="eastAsia"/>
                <w:sz w:val="21"/>
                <w:szCs w:val="21"/>
                <w:u w:val="none"/>
              </w:rPr>
              <w:t>Ⅱ类</w:t>
            </w:r>
          </w:p>
        </w:tc>
        <w:tc>
          <w:tcPr>
            <w:tcW w:w="1523" w:type="dxa"/>
            <w:vAlign w:val="center"/>
          </w:tcPr>
          <w:p>
            <w:pPr>
              <w:widowControl w:val="0"/>
              <w:spacing w:line="240" w:lineRule="auto"/>
              <w:ind w:firstLine="0" w:firstLineChars="0"/>
              <w:jc w:val="center"/>
              <w:rPr>
                <w:sz w:val="21"/>
                <w:szCs w:val="21"/>
                <w:u w:val="none"/>
              </w:rPr>
            </w:pPr>
            <w:r>
              <w:rPr>
                <w:rFonts w:hint="eastAsia"/>
                <w:sz w:val="21"/>
                <w:szCs w:val="21"/>
                <w:u w:val="none"/>
              </w:rPr>
              <w:t>排污口所在功能区</w:t>
            </w:r>
          </w:p>
        </w:tc>
      </w:tr>
    </w:tbl>
    <w:p>
      <w:pPr>
        <w:ind w:firstLine="480"/>
        <w:rPr>
          <w:u w:val="none"/>
        </w:rPr>
      </w:pPr>
      <w:r>
        <w:rPr>
          <w:rFonts w:hint="eastAsia"/>
          <w:u w:val="none"/>
        </w:rPr>
        <w:t>水质管理目标为《地表水环境质量标准》（GB3838-2002）中的</w:t>
      </w:r>
      <w:r>
        <w:rPr>
          <w:u w:val="none"/>
        </w:rPr>
        <w:t>Ⅱ</w:t>
      </w:r>
      <w:r>
        <w:rPr>
          <w:rFonts w:hint="eastAsia"/>
          <w:u w:val="none"/>
        </w:rPr>
        <w:t>类标准。</w:t>
      </w:r>
    </w:p>
    <w:p>
      <w:pPr>
        <w:ind w:firstLine="480"/>
        <w:rPr>
          <w:u w:val="none"/>
        </w:rPr>
      </w:pPr>
      <w:r>
        <w:rPr>
          <w:rFonts w:hint="eastAsia"/>
          <w:u w:val="none"/>
        </w:rPr>
        <w:t>本次论证范围为桃江县湘域矿业有限公司首溪金矿入河排污口上游500m至排污口下游17.5</w:t>
      </w:r>
      <w:r>
        <w:rPr>
          <w:u w:val="none"/>
        </w:rPr>
        <w:t>km</w:t>
      </w:r>
      <w:r>
        <w:rPr>
          <w:rFonts w:hint="eastAsia"/>
          <w:u w:val="none"/>
        </w:rPr>
        <w:t>资水河段，论证范围总长为18km。</w:t>
      </w:r>
    </w:p>
    <w:p>
      <w:pPr>
        <w:ind w:firstLine="480"/>
        <w:rPr>
          <w:u w:val="none"/>
        </w:rPr>
      </w:pPr>
      <w:r>
        <w:rPr>
          <w:rFonts w:hint="eastAsia"/>
          <w:u w:val="none"/>
        </w:rPr>
        <w:t>根据《湖南省生态环境厅关于划定益阳市第一批乡镇级及以下集中式饮用水水源保护区的复函》（湘环函[2019]137号）、《湖南省生态环境厅关于划定长沙等14个市州第二批乡镇级“千吨万人”集中式饮用水水源保护区的函》（湘环函[2019]231号）和《湖南省生态环境厅关于划分（调整或撤销）益阳市部分集中式饮用水水源保护区的复函》（湘还函[2021]33号）</w:t>
      </w:r>
      <w:r>
        <w:rPr>
          <w:u w:val="none"/>
        </w:rPr>
        <w:t>，论证范围区域水系不在</w:t>
      </w:r>
      <w:r>
        <w:rPr>
          <w:rFonts w:hint="eastAsia"/>
          <w:u w:val="none"/>
        </w:rPr>
        <w:t>益阳市</w:t>
      </w:r>
      <w:r>
        <w:rPr>
          <w:u w:val="none"/>
        </w:rPr>
        <w:t>乡镇级</w:t>
      </w:r>
      <w:r>
        <w:rPr>
          <w:rFonts w:hint="eastAsia"/>
          <w:u w:val="none"/>
        </w:rPr>
        <w:t>“</w:t>
      </w:r>
      <w:r>
        <w:rPr>
          <w:u w:val="none"/>
        </w:rPr>
        <w:t>千吨万人</w:t>
      </w:r>
      <w:r>
        <w:rPr>
          <w:rFonts w:hint="eastAsia"/>
          <w:u w:val="none"/>
        </w:rPr>
        <w:t>”</w:t>
      </w:r>
      <w:r>
        <w:rPr>
          <w:u w:val="none"/>
        </w:rPr>
        <w:t>集中式饮用水水源保护区内。</w:t>
      </w:r>
    </w:p>
    <w:p>
      <w:pPr>
        <w:ind w:firstLine="480"/>
        <w:rPr>
          <w:u w:val="none"/>
        </w:rPr>
      </w:pPr>
      <w:r>
        <w:rPr>
          <w:u w:val="none"/>
        </w:rPr>
        <w:t>因此，本次论证主要需要论证此次设置排污口对现状水功能区水质是否存在不利影响。</w:t>
      </w:r>
    </w:p>
    <w:p>
      <w:pPr>
        <w:pStyle w:val="4"/>
        <w:spacing w:line="240" w:lineRule="auto"/>
        <w:rPr>
          <w:u w:val="none"/>
        </w:rPr>
      </w:pPr>
      <w:r>
        <w:rPr>
          <w:u w:val="none"/>
        </w:rPr>
        <w:pict>
          <v:group id="_x0000_s2070" o:spid="_x0000_s2070" o:spt="203" style="position:absolute;left:0pt;margin-left:577.75pt;margin-top:304.35pt;height:74pt;width:79.95pt;z-index:251666432;mso-width-relative:page;mso-height-relative:page;" coordorigin="54,2698" coordsize="16,14842" o:gfxdata="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">
            <o:lock v:ext="edit"/>
            <v:shape id="文本框 71" o:spid="_x0000_s2073" o:spt="202" type="#_x0000_t202" style="position:absolute;left:54;top:2698;height:15;width:17;" coordsize="21600,21600" o:gfxdata="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QxQDrUAAADcAAAADwAA&#10;AAAAAAABACAAAAAiAAAAZHJzL2Rvd25yZXYueG1sUEsBAhQAFAAAAAgAh07iQDMvBZ47AAAAOQAA&#10;ABAAAAAAAAAAAQAgAAAABAEAAGRycy9zaGFwZXhtbC54bWxQSwUGAAAAAAYABgBbAQAArgMAAAAA&#10;">
              <v:path/>
              <v:fill focussize="0,0"/>
              <v:stroke weight="0.5pt" joinstyle="round"/>
              <v:imagedata o:title=""/>
              <o:lock v:ext="edit"/>
              <v:textbox>
                <w:txbxContent>
                  <w:p>
                    <w:pPr>
                      <w:ind w:firstLine="420"/>
                      <w:rPr>
                        <w:sz w:val="21"/>
                        <w:szCs w:val="21"/>
                      </w:rPr>
                    </w:pPr>
                    <w:r>
                      <w:rPr>
                        <w:rFonts w:hint="eastAsia"/>
                        <w:sz w:val="21"/>
                        <w:szCs w:val="21"/>
                      </w:rPr>
                      <w:t>图例：</w:t>
                    </w:r>
                  </w:p>
                  <w:p>
                    <w:pPr>
                      <w:pStyle w:val="47"/>
                      <w:spacing w:line="276" w:lineRule="auto"/>
                      <w:ind w:firstLine="482"/>
                    </w:pPr>
                    <w:r>
                      <w:rPr>
                        <w:rFonts w:hint="eastAsia" w:ascii="宋体" w:hAnsi="宋体" w:eastAsia="宋体" w:cs="宋体"/>
                      </w:rPr>
                      <w:t>Ⅲ</w:t>
                    </w:r>
                    <w:r>
                      <w:rPr>
                        <w:rFonts w:hint="eastAsia"/>
                      </w:rPr>
                      <w:t>类</w:t>
                    </w:r>
                  </w:p>
                  <w:p>
                    <w:pPr>
                      <w:pStyle w:val="47"/>
                      <w:spacing w:line="276" w:lineRule="auto"/>
                      <w:ind w:firstLine="482"/>
                      <w:rPr>
                        <w:rFonts w:ascii="仿宋_GB2312" w:hAnsi="仿宋_GB2312" w:cs="仿宋_GB2312"/>
                      </w:rPr>
                    </w:pPr>
                    <w:r>
                      <w:rPr>
                        <w:rFonts w:hint="eastAsia" w:ascii="宋体" w:hAnsi="宋体" w:eastAsia="宋体" w:cs="宋体"/>
                      </w:rPr>
                      <w:t>Ⅱ</w:t>
                    </w:r>
                    <w:r>
                      <w:rPr>
                        <w:rFonts w:hint="eastAsia" w:ascii="仿宋_GB2312" w:hAnsi="仿宋_GB2312" w:cs="仿宋_GB2312"/>
                      </w:rPr>
                      <w:t>类</w:t>
                    </w:r>
                  </w:p>
                </w:txbxContent>
              </v:textbox>
            </v:shape>
            <v:rect id="矩形 72" o:spid="_x0000_s2072" o:spt="1" style="position:absolute;left:56;top:2705;height:1;width:3;v-text-anchor:middle;" fillcolor="#0000FF" filled="t" stroked="f" coordsize="21600,21600" o:gfxdata="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v7Y6vQAA&#10;ANwAAAAPAAAAAAAAAAEAIAAAACIAAABkcnMvZG93bnJldi54bWxQSwECFAAUAAAACACHTuJAMy8F&#10;njsAAAA5AAAAEAAAAAAAAAABACAAAAAMAQAAZHJzL3NoYXBleG1sLnhtbFBLBQYAAAAABgAGAFsB&#10;AAC2AwAAAAA=&#10;">
              <v:path/>
              <v:fill on="t" focussize="0,0"/>
              <v:stroke on="f" weight="1pt"/>
              <v:imagedata o:title=""/>
              <o:lock v:ext="edit"/>
            </v:rect>
            <v:rect id="矩形 34" o:spid="_x0000_s2071" o:spt="1" style="position:absolute;left:56;top:2709;height:1;width:3;v-text-anchor:middle;" fillcolor="#FF00FF" filled="t" stroked="f" coordsize="21600,21600" o:gfxdata="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Ggve/&#10;AAAA3AAAAA8AAAAAAAAAAQAgAAAAIgAAAGRycy9kb3ducmV2LnhtbFBLAQIUABQAAAAIAIdO4kAz&#10;LwWeOwAAADkAAAAQAAAAAAAAAAEAIAAAAA4BAABkcnMvc2hhcGV4bWwueG1sUEsFBgAAAAAGAAYA&#10;WwEAALgDAAAAAA==&#10;">
              <v:path/>
              <v:fill on="t" focussize="0,0"/>
              <v:stroke on="f" weight="1pt"/>
              <v:imagedata o:title=""/>
              <o:lock v:ext="edit"/>
            </v:rect>
          </v:group>
        </w:pict>
      </w:r>
      <w:r>
        <w:rPr>
          <w:u w:val="none"/>
        </w:rPr>
        <w:drawing>
          <wp:anchor distT="0" distB="0" distL="114300" distR="114300" simplePos="0" relativeHeight="251661312" behindDoc="0" locked="0" layoutInCell="1" allowOverlap="1">
            <wp:simplePos x="0" y="0"/>
            <wp:positionH relativeFrom="column">
              <wp:posOffset>7822565</wp:posOffset>
            </wp:positionH>
            <wp:positionV relativeFrom="paragraph">
              <wp:posOffset>46990</wp:posOffset>
            </wp:positionV>
            <wp:extent cx="532765" cy="710565"/>
            <wp:effectExtent l="0" t="0" r="635" b="13335"/>
            <wp:wrapNone/>
            <wp:docPr id="242" name="图片 24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图片1"/>
                    <pic:cNvPicPr>
                      <a:picLocks noChangeAspect="1"/>
                    </pic:cNvPicPr>
                  </pic:nvPicPr>
                  <pic:blipFill>
                    <a:blip r:embed="rId22" cstate="email"/>
                    <a:stretch>
                      <a:fillRect/>
                    </a:stretch>
                  </pic:blipFill>
                  <pic:spPr>
                    <a:xfrm>
                      <a:off x="0" y="0"/>
                      <a:ext cx="532765" cy="710565"/>
                    </a:xfrm>
                    <a:prstGeom prst="rect">
                      <a:avLst/>
                    </a:prstGeom>
                  </pic:spPr>
                </pic:pic>
              </a:graphicData>
            </a:graphic>
          </wp:anchor>
        </w:drawing>
      </w:r>
      <w:r>
        <w:rPr>
          <w:rFonts w:hint="eastAsia"/>
          <w:u w:val="none"/>
        </w:rPr>
        <w:t>3.2.3现有取排水状况</w:t>
      </w:r>
    </w:p>
    <w:p>
      <w:pPr>
        <w:spacing w:line="240" w:lineRule="auto"/>
        <w:ind w:firstLine="482"/>
        <w:rPr>
          <w:b/>
          <w:u w:val="none"/>
        </w:rPr>
      </w:pPr>
      <w:r>
        <w:rPr>
          <w:rFonts w:hint="eastAsia"/>
          <w:b/>
          <w:u w:val="none"/>
        </w:rPr>
        <w:t>（1）取水现状</w:t>
      </w:r>
    </w:p>
    <w:p>
      <w:pPr>
        <w:ind w:firstLine="480"/>
        <w:rPr>
          <w:u w:val="none"/>
        </w:rPr>
      </w:pPr>
      <w:r>
        <w:rPr>
          <w:rFonts w:hint="eastAsia"/>
          <w:u w:val="none"/>
        </w:rPr>
        <w:t>①农业取水口：项目所在区域属于传统的农业地区，资水沿线分布有一定面积农田，传统种植业主要有水稻和经济作物，以水稻为主，经济作物则以蔬菜为主。项目排污口论证范围内涉及的取水主要为资水沿线农户农业取水，主要用作周边农田灌溉用途，农户取水较为分散，调查资水沿线并未设置大型机埠、泵站等取水构筑物。</w:t>
      </w:r>
    </w:p>
    <w:p>
      <w:pPr>
        <w:ind w:firstLine="480"/>
        <w:rPr>
          <w:u w:val="none"/>
        </w:rPr>
      </w:pPr>
      <w:r>
        <w:rPr>
          <w:rFonts w:hint="eastAsia"/>
          <w:u w:val="none"/>
        </w:rPr>
        <w:t>②工业取水口：经调查，论证范围内无经批准获得取水许可的工业企业取水口，无工业园取水口。</w:t>
      </w:r>
    </w:p>
    <w:p>
      <w:pPr>
        <w:ind w:firstLine="480"/>
        <w:rPr>
          <w:u w:val="none"/>
        </w:rPr>
      </w:pPr>
      <w:r>
        <w:rPr>
          <w:rFonts w:hint="eastAsia"/>
          <w:u w:val="none"/>
        </w:rPr>
        <w:t>③集中式生活饮用水取水口：根据现状调查，附近居民主要生活用水来源于当地自来水管网，本</w:t>
      </w:r>
      <w:r>
        <w:rPr>
          <w:rFonts w:hint="eastAsia" w:ascii="Times New Roman" w:hAnsi="Times New Roman" w:eastAsia="宋体" w:cs="Times New Roman"/>
          <w:u w:val="none"/>
        </w:rPr>
        <w:t>项目排污口所在水域下游论证范围内</w:t>
      </w:r>
      <w:r>
        <w:rPr>
          <w:rFonts w:hint="eastAsia" w:ascii="Times New Roman" w:hAnsi="Times New Roman" w:eastAsia="宋体" w:cs="Times New Roman"/>
          <w:u w:val="none"/>
          <w:lang w:val="en-US" w:eastAsia="zh-CN"/>
        </w:rPr>
        <w:t>存在</w:t>
      </w:r>
      <w:r>
        <w:rPr>
          <w:rFonts w:hint="eastAsia" w:ascii="Times New Roman" w:hAnsi="Times New Roman" w:eastAsia="宋体" w:cs="Times New Roman"/>
          <w:u w:val="none"/>
        </w:rPr>
        <w:t>桃江县大栗港自来水厂饮用水水源保护区。</w:t>
      </w:r>
    </w:p>
    <w:p>
      <w:pPr>
        <w:ind w:firstLine="480"/>
        <w:rPr>
          <w:u w:val="none"/>
        </w:rPr>
      </w:pPr>
      <w:r>
        <w:rPr>
          <w:rFonts w:hint="eastAsia"/>
          <w:u w:val="none"/>
        </w:rPr>
        <w:t>④渔业养殖用水：水资源较丰富，论证河段不涉及利用资水进行天然水体养殖的企业单位。</w:t>
      </w:r>
    </w:p>
    <w:p>
      <w:pPr>
        <w:spacing w:line="240" w:lineRule="auto"/>
        <w:ind w:firstLine="482"/>
        <w:rPr>
          <w:b/>
          <w:u w:val="none"/>
        </w:rPr>
      </w:pPr>
      <w:r>
        <w:rPr>
          <w:rFonts w:hint="eastAsia"/>
          <w:b/>
          <w:u w:val="none"/>
        </w:rPr>
        <w:t>（2）排水现状</w:t>
      </w:r>
    </w:p>
    <w:p>
      <w:pPr>
        <w:ind w:firstLine="480"/>
        <w:rPr>
          <w:u w:val="none"/>
        </w:rPr>
      </w:pPr>
      <w:r>
        <w:rPr>
          <w:rFonts w:hint="eastAsia"/>
          <w:u w:val="none"/>
        </w:rPr>
        <w:t>经调查，本次排污口论证范围内主要为零散的生活污水排放源，无生活或工业污水处理厂等大型废水排放源。</w:t>
      </w:r>
    </w:p>
    <w:p>
      <w:pPr>
        <w:pStyle w:val="2"/>
        <w:spacing w:before="0" w:after="0" w:line="240" w:lineRule="auto"/>
        <w:ind w:firstLine="0" w:firstLineChars="0"/>
        <w:jc w:val="left"/>
        <w:rPr>
          <w:u w:val="none"/>
        </w:rPr>
      </w:pPr>
      <w:bookmarkStart w:id="39" w:name="_Toc25156"/>
      <w:r>
        <w:rPr>
          <w:rFonts w:hint="eastAsia"/>
          <w:u w:val="none"/>
        </w:rPr>
        <w:br w:type="page"/>
      </w:r>
      <w:bookmarkStart w:id="40" w:name="_Toc12682"/>
      <w:r>
        <w:rPr>
          <w:rFonts w:hint="eastAsia"/>
          <w:u w:val="none"/>
        </w:rPr>
        <w:t>4、</w:t>
      </w:r>
      <w:r>
        <w:rPr>
          <w:u w:val="none"/>
        </w:rPr>
        <w:t>入河排污口</w:t>
      </w:r>
      <w:r>
        <w:rPr>
          <w:rFonts w:hint="eastAsia"/>
          <w:u w:val="none"/>
        </w:rPr>
        <w:t>排放位置、排放方式</w:t>
      </w:r>
      <w:bookmarkEnd w:id="40"/>
    </w:p>
    <w:p>
      <w:pPr>
        <w:pStyle w:val="3"/>
        <w:spacing w:line="240" w:lineRule="auto"/>
        <w:rPr>
          <w:sz w:val="30"/>
          <w:szCs w:val="30"/>
          <w:u w:val="none"/>
        </w:rPr>
      </w:pPr>
      <w:bookmarkStart w:id="41" w:name="_Toc8114"/>
      <w:r>
        <w:rPr>
          <w:rFonts w:hint="eastAsia"/>
          <w:sz w:val="30"/>
          <w:szCs w:val="30"/>
          <w:u w:val="none"/>
        </w:rPr>
        <w:t>4</w:t>
      </w:r>
      <w:r>
        <w:rPr>
          <w:sz w:val="30"/>
          <w:szCs w:val="30"/>
          <w:u w:val="none"/>
        </w:rPr>
        <w:t>.</w:t>
      </w:r>
      <w:r>
        <w:rPr>
          <w:rFonts w:hint="eastAsia"/>
          <w:sz w:val="30"/>
          <w:szCs w:val="30"/>
          <w:u w:val="none"/>
        </w:rPr>
        <w:t>1入河排污口设置的基本要求</w:t>
      </w:r>
      <w:bookmarkEnd w:id="41"/>
    </w:p>
    <w:p>
      <w:pPr>
        <w:ind w:firstLine="480"/>
        <w:rPr>
          <w:u w:val="none"/>
        </w:rPr>
      </w:pPr>
      <w:r>
        <w:rPr>
          <w:rFonts w:hint="eastAsia"/>
          <w:u w:val="none"/>
        </w:rPr>
        <w:t>根据水功能区管理要求，排污口入河污染物需达标排放，以保证满足排污口所在水域水功能区的水质保护目标要求，以及下游水功能区水质不受影响。项目入河排污口纳污水体为资水，根据《湖南省主要水系地表水环境功能区划》（DB43/023-2005）和《益阳市水功能区划》，排污口所在河段位于资水桃江保留区，起于桃江县武潭镇水厂下200m，止于桃江县桃花江镇自来水公司一水厂上2000m，全长70.3km，该段目前开发利用程度较低、仅有少量农田灌溉且取用水量较小，根据现状监测报告，目前水质为Ⅱ类。因此，本项目所在水域对入河排污口设置基本要求为达标排放，且不改变下游水质现状Ⅱ类标准要求。</w:t>
      </w:r>
    </w:p>
    <w:p>
      <w:pPr>
        <w:pStyle w:val="3"/>
        <w:spacing w:line="240" w:lineRule="auto"/>
        <w:rPr>
          <w:sz w:val="30"/>
          <w:szCs w:val="30"/>
          <w:u w:val="none"/>
        </w:rPr>
      </w:pPr>
      <w:bookmarkStart w:id="42" w:name="_Toc2498"/>
      <w:r>
        <w:rPr>
          <w:rFonts w:hint="eastAsia"/>
          <w:sz w:val="30"/>
          <w:szCs w:val="30"/>
          <w:u w:val="none"/>
        </w:rPr>
        <w:t>4</w:t>
      </w:r>
      <w:r>
        <w:rPr>
          <w:sz w:val="30"/>
          <w:szCs w:val="30"/>
          <w:u w:val="none"/>
        </w:rPr>
        <w:t>.</w:t>
      </w:r>
      <w:r>
        <w:rPr>
          <w:rFonts w:hint="eastAsia"/>
          <w:sz w:val="30"/>
          <w:szCs w:val="30"/>
          <w:u w:val="none"/>
        </w:rPr>
        <w:t>2水功能区（水域）纳污能力及限制排放总量</w:t>
      </w:r>
      <w:bookmarkEnd w:id="42"/>
    </w:p>
    <w:p>
      <w:pPr>
        <w:ind w:firstLine="480"/>
        <w:rPr>
          <w:u w:val="none"/>
        </w:rPr>
      </w:pPr>
      <w:r>
        <w:rPr>
          <w:rFonts w:hint="eastAsia"/>
          <w:u w:val="none"/>
        </w:rPr>
        <w:t>水功能区纳污能力是指在设计水文条件下，满足计算水域的水质目标要求时，水体所能容纳的某种污染物的最大数量。其大小与水体特征、水质目标及污染物特性有关，通常以单位时间内水体所能承受的污染物总量表示。</w:t>
      </w:r>
    </w:p>
    <w:p>
      <w:pPr>
        <w:ind w:firstLine="480"/>
        <w:rPr>
          <w:u w:val="none"/>
        </w:rPr>
      </w:pPr>
      <w:r>
        <w:rPr>
          <w:rFonts w:hint="eastAsia"/>
          <w:u w:val="none"/>
        </w:rPr>
        <w:t>同一水功能区在不同设计水文条件下，所能容纳的污染物的最大数量也不相同。排入水体的污染物，在水体中可以经过物理、化学和生物作用，使其浓度和毒性随着时间的推移或随流向下游流动的过程中自然降解，这就是水体的自净和稀释作用。河流的污染物自净和稀释过程是形成河流纳污能力的重要内因。只要存在优于给定水域目标水质的稀释水量，就存在稀释能力，包括区间来水产生的输移量等；只要有综合衰减因素，如生物、化学作用使污染物浓度降低，就存在自净能力。水域纳污能力是水体的自然属性，稀释能力主要是反映水域的物理作用，自净能力主要是反映水域的生物化学作用。因此，在计算河流的纳污能力时，必须综合考虑河流水量、水质目标、污染物降解能力等影响，并在此基础上建立河流纳污能力的计算模型。</w:t>
      </w:r>
    </w:p>
    <w:p>
      <w:pPr>
        <w:ind w:firstLine="480"/>
        <w:rPr>
          <w:u w:val="none"/>
        </w:rPr>
      </w:pPr>
      <w:r>
        <w:rPr>
          <w:rFonts w:hint="eastAsia"/>
          <w:u w:val="none"/>
        </w:rPr>
        <w:t>现状污染物入河控制量以功能区为分析计算单元，采取自上而下的次序进行计算。</w:t>
      </w:r>
    </w:p>
    <w:p>
      <w:pPr>
        <w:ind w:firstLine="480"/>
        <w:rPr>
          <w:u w:val="none"/>
        </w:rPr>
      </w:pPr>
      <w:r>
        <w:rPr>
          <w:rFonts w:hint="eastAsia"/>
          <w:u w:val="none"/>
        </w:rPr>
        <w:t>①保护区水质不得恶化，保护区污染物入河控制量取纳污能力与现状污染物入河量中较小者；</w:t>
      </w:r>
    </w:p>
    <w:p>
      <w:pPr>
        <w:ind w:firstLine="480"/>
        <w:rPr>
          <w:u w:val="none"/>
        </w:rPr>
      </w:pPr>
      <w:r>
        <w:rPr>
          <w:rFonts w:hint="eastAsia"/>
          <w:u w:val="none"/>
        </w:rPr>
        <w:t>②禁止向饮用水源区排污，污染物入河控制量取零值；</w:t>
      </w:r>
    </w:p>
    <w:p>
      <w:pPr>
        <w:ind w:firstLine="480"/>
        <w:rPr>
          <w:u w:val="none"/>
        </w:rPr>
      </w:pPr>
      <w:r>
        <w:rPr>
          <w:rFonts w:hint="eastAsia"/>
          <w:u w:val="none"/>
        </w:rPr>
        <w:t>③不得在水库、湖泊周边设置入库、入湖排污口；</w:t>
      </w:r>
    </w:p>
    <w:p>
      <w:pPr>
        <w:ind w:firstLine="480"/>
        <w:rPr>
          <w:u w:val="none"/>
        </w:rPr>
      </w:pPr>
      <w:r>
        <w:rPr>
          <w:rFonts w:hint="eastAsia"/>
          <w:u w:val="none"/>
        </w:rPr>
        <w:t>④原则上不得在人工开挖的干渠上设置入河排污口；</w:t>
      </w:r>
    </w:p>
    <w:p>
      <w:pPr>
        <w:ind w:firstLine="480"/>
        <w:rPr>
          <w:u w:val="none"/>
        </w:rPr>
      </w:pPr>
      <w:r>
        <w:rPr>
          <w:rFonts w:hint="eastAsia"/>
          <w:u w:val="none"/>
        </w:rPr>
        <w:t>⑤其他功能区的污染物入河控制量按该功能区纳污能力确定。</w:t>
      </w:r>
    </w:p>
    <w:p>
      <w:pPr>
        <w:pStyle w:val="4"/>
        <w:spacing w:line="240" w:lineRule="auto"/>
        <w:rPr>
          <w:u w:val="none"/>
        </w:rPr>
      </w:pPr>
      <w:r>
        <w:rPr>
          <w:rFonts w:hint="eastAsia"/>
          <w:u w:val="none"/>
        </w:rPr>
        <w:t>4.2.1控制指标</w:t>
      </w:r>
    </w:p>
    <w:p>
      <w:pPr>
        <w:ind w:firstLine="480"/>
        <w:rPr>
          <w:u w:val="none"/>
        </w:rPr>
      </w:pPr>
      <w:r>
        <w:rPr>
          <w:rFonts w:hint="eastAsia"/>
          <w:u w:val="none"/>
        </w:rPr>
        <w:t>根据废水水质特征，本次论证取COD指标作为纳污能力分析指标</w:t>
      </w:r>
      <w:r>
        <w:rPr>
          <w:rFonts w:hint="eastAsia"/>
          <w:u w:val="none"/>
          <w:lang w:eastAsia="zh-CN"/>
        </w:rPr>
        <w:t>。</w:t>
      </w:r>
      <w:r>
        <w:rPr>
          <w:rFonts w:hint="eastAsia"/>
          <w:u w:val="none"/>
        </w:rPr>
        <w:t>因重金属</w:t>
      </w:r>
      <w:r>
        <w:rPr>
          <w:rFonts w:hint="eastAsia"/>
          <w:u w:val="none"/>
          <w:lang w:val="en-US" w:eastAsia="zh-CN"/>
        </w:rPr>
        <w:t>因子</w:t>
      </w:r>
      <w:r>
        <w:rPr>
          <w:rFonts w:hint="eastAsia"/>
          <w:u w:val="none"/>
        </w:rPr>
        <w:t>外排水域中不降解，</w:t>
      </w:r>
      <w:r>
        <w:rPr>
          <w:rFonts w:hint="eastAsia"/>
          <w:u w:val="none"/>
          <w:lang w:val="en-US" w:eastAsia="zh-CN"/>
        </w:rPr>
        <w:t>所以</w:t>
      </w:r>
      <w:r>
        <w:rPr>
          <w:rFonts w:hint="eastAsia"/>
          <w:u w:val="none"/>
        </w:rPr>
        <w:t>本项目对重金属</w:t>
      </w:r>
      <w:r>
        <w:rPr>
          <w:rFonts w:hint="eastAsia"/>
          <w:u w:val="none"/>
          <w:lang w:val="en-US" w:eastAsia="zh-CN"/>
        </w:rPr>
        <w:t>因子</w:t>
      </w:r>
      <w:r>
        <w:rPr>
          <w:rFonts w:hint="eastAsia"/>
          <w:u w:val="none"/>
        </w:rPr>
        <w:t>不进行纳污能力分析。</w:t>
      </w:r>
    </w:p>
    <w:p>
      <w:pPr>
        <w:pStyle w:val="4"/>
        <w:spacing w:line="240" w:lineRule="auto"/>
        <w:rPr>
          <w:u w:val="none"/>
        </w:rPr>
      </w:pPr>
      <w:r>
        <w:rPr>
          <w:rFonts w:hint="eastAsia"/>
          <w:u w:val="none"/>
        </w:rPr>
        <w:t>4.2.2</w:t>
      </w:r>
      <w:r>
        <w:rPr>
          <w:u w:val="none"/>
        </w:rPr>
        <w:t>入河排污口所在水功能区</w:t>
      </w:r>
      <w:r>
        <w:rPr>
          <w:rFonts w:hint="eastAsia"/>
          <w:u w:val="none"/>
        </w:rPr>
        <w:t>（水域）纳污能力分析</w:t>
      </w:r>
    </w:p>
    <w:p>
      <w:pPr>
        <w:ind w:firstLine="480"/>
        <w:rPr>
          <w:u w:val="none"/>
        </w:rPr>
      </w:pPr>
      <w:r>
        <w:rPr>
          <w:rFonts w:hint="eastAsia"/>
          <w:u w:val="none"/>
        </w:rPr>
        <w:t>根据《湖南省主要水系地表水环境功能区划》（</w:t>
      </w:r>
      <w:r>
        <w:rPr>
          <w:u w:val="none"/>
        </w:rPr>
        <w:t>DB43/023-2005</w:t>
      </w:r>
      <w:r>
        <w:rPr>
          <w:rFonts w:hint="eastAsia"/>
          <w:u w:val="none"/>
        </w:rPr>
        <w:t>）、《益阳市水功能区划》，排污口所在河段为资水桃江保留区，起于桃江县武潭镇水厂下200m，止于桃江县桃花江镇自来水公司一水厂上2000m，全长70.3km，水质管理目标为Ⅱ类。</w:t>
      </w:r>
    </w:p>
    <w:p>
      <w:pPr>
        <w:ind w:firstLine="480"/>
        <w:rPr>
          <w:u w:val="none"/>
        </w:rPr>
      </w:pPr>
      <w:r>
        <w:rPr>
          <w:rFonts w:hint="eastAsia"/>
          <w:u w:val="none"/>
        </w:rPr>
        <w:t>根据《入河排污口管理技术导则》（SL532-2011）和《入河排污口设置论证报告技术导则（征求意见稿）》，“水域纳污能力应为各级水行政主管部门或流域管理机构核定的。未核定纳污能力的水域，论证时应根据水功能区管理要求核算纳污能力以作为论证分析的依据”。</w:t>
      </w:r>
    </w:p>
    <w:p>
      <w:pPr>
        <w:ind w:firstLine="480"/>
        <w:rPr>
          <w:u w:val="none"/>
        </w:rPr>
      </w:pPr>
      <w:r>
        <w:rPr>
          <w:u w:val="none"/>
        </w:rPr>
        <w:t>根据2018年湖南省水文水资源勘测局、湖南省环境保护科学研究院编制的《湖南省水功能区纳污能力核定和分阶段限排总量控制方案》，报告对全省346个水功能区的纳污能力进行了核定计算，计算因子为COD和氨氮。各类型水功能区纳污能力核定采用的方法如下：</w:t>
      </w:r>
    </w:p>
    <w:p>
      <w:pPr>
        <w:ind w:firstLine="480"/>
        <w:rPr>
          <w:u w:val="none"/>
        </w:rPr>
      </w:pPr>
      <w:r>
        <w:rPr>
          <w:u w:val="none"/>
        </w:rPr>
        <w:t>（1）保护区</w:t>
      </w:r>
    </w:p>
    <w:p>
      <w:pPr>
        <w:ind w:firstLine="480"/>
        <w:rPr>
          <w:u w:val="none"/>
        </w:rPr>
      </w:pPr>
      <w:r>
        <w:rPr>
          <w:u w:val="none"/>
        </w:rPr>
        <w:t>源头水保护区应当按照保护优先、严格限制的原则，维持及恢复保护区功能，至少要保持现状水质，其纳污能力核定采用污染负荷计算法，其纳污能力等于水功能区污染物入河量。对于需要改善水质的保护区，其纳污能力核定采用数学模型计算法。</w:t>
      </w:r>
    </w:p>
    <w:p>
      <w:pPr>
        <w:ind w:firstLine="480"/>
        <w:rPr>
          <w:u w:val="none"/>
        </w:rPr>
      </w:pPr>
      <w:r>
        <w:rPr>
          <w:u w:val="none"/>
        </w:rPr>
        <w:t>（2）保留区</w:t>
      </w:r>
    </w:p>
    <w:p>
      <w:pPr>
        <w:ind w:firstLine="480"/>
        <w:rPr>
          <w:u w:val="none"/>
        </w:rPr>
      </w:pPr>
      <w:r>
        <w:rPr>
          <w:u w:val="none"/>
        </w:rPr>
        <w:t>保留区作为今后开发利用预留的水域，其水质目标原则上应维持现状；现状水质较好的保留区，其纳污能力核定采用污染负荷计算法，其纳污能力等于水功能区污染物入河量；对于需要改善水质的保留区，其纳污能力核定采用数学模型计算法。</w:t>
      </w:r>
    </w:p>
    <w:p>
      <w:pPr>
        <w:ind w:firstLine="480"/>
        <w:rPr>
          <w:u w:val="none"/>
        </w:rPr>
      </w:pPr>
      <w:r>
        <w:rPr>
          <w:u w:val="none"/>
        </w:rPr>
        <w:t>（3）缓冲区</w:t>
      </w:r>
    </w:p>
    <w:p>
      <w:pPr>
        <w:ind w:firstLine="480"/>
        <w:rPr>
          <w:u w:val="none"/>
        </w:rPr>
      </w:pPr>
      <w:r>
        <w:rPr>
          <w:u w:val="none"/>
        </w:rPr>
        <w:t>水质较好，用水矛盾不突出的缓冲区，其纳污能力核定采用污染负荷计算法，其纳污能力等于水功能区污染物入河量；水质较差或存在用水水质矛盾的缓冲区，其纳污能力核定采用数学模型计算法。</w:t>
      </w:r>
    </w:p>
    <w:p>
      <w:pPr>
        <w:ind w:firstLine="480"/>
        <w:rPr>
          <w:u w:val="none"/>
        </w:rPr>
      </w:pPr>
      <w:r>
        <w:rPr>
          <w:u w:val="none"/>
        </w:rPr>
        <w:t>（4）开发利用区</w:t>
      </w:r>
    </w:p>
    <w:p>
      <w:pPr>
        <w:ind w:firstLine="480"/>
        <w:rPr>
          <w:u w:val="none"/>
        </w:rPr>
      </w:pPr>
      <w:r>
        <w:rPr>
          <w:u w:val="none"/>
        </w:rPr>
        <w:t>开发利用区中的饮用水源区，为确保饮水安全，在饮用水水源保护区内，禁止设置排污口，其纳污能力核定为零；其他水域纳污能力核定采用数学模型计算法。</w:t>
      </w:r>
    </w:p>
    <w:p>
      <w:pPr>
        <w:ind w:firstLine="480"/>
        <w:rPr>
          <w:u w:val="none"/>
        </w:rPr>
      </w:pPr>
      <w:r>
        <w:rPr>
          <w:u w:val="none"/>
        </w:rPr>
        <w:t>开发利用区中的其他二级水功能区纳污能力核定采用数学模型计算法。</w:t>
      </w:r>
    </w:p>
    <w:p>
      <w:pPr>
        <w:ind w:firstLine="480"/>
        <w:rPr>
          <w:u w:val="none"/>
        </w:rPr>
      </w:pPr>
      <w:r>
        <w:rPr>
          <w:u w:val="none"/>
        </w:rPr>
        <w:t>本次直接采用《湖南省水功能区纳污能力核定和分阶段限排总量控制方案》纳污能力核定成果</w:t>
      </w:r>
      <w:r>
        <w:rPr>
          <w:rFonts w:hint="eastAsia"/>
          <w:u w:val="none"/>
        </w:rPr>
        <w:t>，</w:t>
      </w:r>
      <w:r>
        <w:rPr>
          <w:u w:val="none"/>
        </w:rPr>
        <w:t>资水桃江保留区COD纳污能力为1602.3t/a</w:t>
      </w:r>
      <w:r>
        <w:rPr>
          <w:rFonts w:hint="eastAsia"/>
          <w:u w:val="none"/>
        </w:rPr>
        <w:t>。</w:t>
      </w:r>
    </w:p>
    <w:p>
      <w:pPr>
        <w:pStyle w:val="4"/>
        <w:spacing w:line="240" w:lineRule="auto"/>
        <w:rPr>
          <w:u w:val="none"/>
        </w:rPr>
      </w:pPr>
      <w:r>
        <w:rPr>
          <w:rFonts w:hint="eastAsia"/>
          <w:u w:val="none"/>
        </w:rPr>
        <w:t>4.2</w:t>
      </w:r>
      <w:r>
        <w:rPr>
          <w:u w:val="none"/>
        </w:rPr>
        <w:t>.3入河排污口所在水功能区（水域）</w:t>
      </w:r>
      <w:r>
        <w:rPr>
          <w:rFonts w:hint="eastAsia"/>
          <w:u w:val="none"/>
        </w:rPr>
        <w:t>纳污状况</w:t>
      </w:r>
    </w:p>
    <w:p>
      <w:pPr>
        <w:ind w:firstLine="480"/>
        <w:rPr>
          <w:u w:val="none"/>
        </w:rPr>
      </w:pPr>
      <w:bookmarkStart w:id="43" w:name="_Hlk504553033"/>
      <w:r>
        <w:rPr>
          <w:rFonts w:hint="eastAsia"/>
          <w:u w:val="none"/>
        </w:rPr>
        <w:t>本项目排污口为已建排污口，废水不会新增污染物质。根据《湖南省水功能区纳污能力核定和分阶段限排总量控制方案》，资水桃江保留区入河废污水量为595.5万t，COD纳污能力为1602.3t/a</w:t>
      </w:r>
      <w:bookmarkEnd w:id="43"/>
      <w:r>
        <w:rPr>
          <w:rFonts w:hint="eastAsia"/>
          <w:u w:val="none"/>
        </w:rPr>
        <w:t>；本项目污染物化学需氧量排放量为2.98t/a远小于论证范围流域剩余纳污能力，故</w:t>
      </w:r>
      <w:r>
        <w:rPr>
          <w:u w:val="none"/>
        </w:rPr>
        <w:t>桃江县湘域矿业有限公司首溪金矿</w:t>
      </w:r>
      <w:r>
        <w:rPr>
          <w:rFonts w:hint="eastAsia"/>
          <w:u w:val="none"/>
        </w:rPr>
        <w:t>污水排放满足水域纳污能力要求。</w:t>
      </w:r>
    </w:p>
    <w:p>
      <w:pPr>
        <w:pStyle w:val="3"/>
        <w:spacing w:line="240" w:lineRule="auto"/>
        <w:rPr>
          <w:sz w:val="30"/>
          <w:szCs w:val="30"/>
          <w:u w:val="none"/>
        </w:rPr>
      </w:pPr>
      <w:bookmarkStart w:id="44" w:name="_Toc32036"/>
      <w:bookmarkStart w:id="45" w:name="_Toc31656"/>
      <w:r>
        <w:rPr>
          <w:rFonts w:hint="eastAsia"/>
          <w:sz w:val="30"/>
          <w:szCs w:val="30"/>
          <w:u w:val="none"/>
        </w:rPr>
        <w:t>4</w:t>
      </w:r>
      <w:r>
        <w:rPr>
          <w:sz w:val="30"/>
          <w:szCs w:val="30"/>
          <w:u w:val="none"/>
        </w:rPr>
        <w:t>.</w:t>
      </w:r>
      <w:r>
        <w:rPr>
          <w:rFonts w:hint="eastAsia"/>
          <w:sz w:val="30"/>
          <w:szCs w:val="30"/>
          <w:u w:val="none"/>
        </w:rPr>
        <w:t>2入河排污口设置方案</w:t>
      </w:r>
      <w:bookmarkEnd w:id="44"/>
    </w:p>
    <w:p>
      <w:pPr>
        <w:pStyle w:val="4"/>
        <w:rPr>
          <w:u w:val="none"/>
        </w:rPr>
      </w:pPr>
      <w:r>
        <w:rPr>
          <w:rFonts w:hint="eastAsia"/>
          <w:u w:val="none"/>
        </w:rPr>
        <w:t>4.2.1入河排污口基本情况</w:t>
      </w:r>
    </w:p>
    <w:p>
      <w:pPr>
        <w:ind w:firstLine="480"/>
        <w:rPr>
          <w:u w:val="none"/>
        </w:rPr>
      </w:pPr>
      <w:r>
        <w:rPr>
          <w:rFonts w:hint="eastAsia"/>
          <w:u w:val="none"/>
        </w:rPr>
        <w:t>本项目污水处理站尾水通过专用排水渠排入资水，类型为新建排污口（补办），排放方式为连续排放，采用直排方式，</w:t>
      </w:r>
      <w:r>
        <w:rPr>
          <w:u w:val="none"/>
        </w:rPr>
        <w:t>本项目排污口设置情况见下表</w:t>
      </w:r>
      <w:r>
        <w:rPr>
          <w:rFonts w:hint="eastAsia"/>
          <w:u w:val="none"/>
        </w:rPr>
        <w:t>。</w:t>
      </w:r>
    </w:p>
    <w:p>
      <w:pPr>
        <w:spacing w:line="240" w:lineRule="auto"/>
        <w:ind w:firstLine="482"/>
        <w:jc w:val="center"/>
        <w:rPr>
          <w:b/>
          <w:bCs/>
          <w:szCs w:val="21"/>
          <w:u w:val="none"/>
        </w:rPr>
      </w:pPr>
      <w:r>
        <w:rPr>
          <w:b/>
          <w:bCs/>
          <w:szCs w:val="21"/>
          <w:u w:val="none"/>
        </w:rPr>
        <w:t>表4.</w:t>
      </w:r>
      <w:r>
        <w:rPr>
          <w:rFonts w:hint="eastAsia"/>
          <w:b/>
          <w:bCs/>
          <w:szCs w:val="21"/>
          <w:u w:val="none"/>
        </w:rPr>
        <w:t>2.1</w:t>
      </w:r>
      <w:r>
        <w:rPr>
          <w:b/>
          <w:bCs/>
          <w:szCs w:val="21"/>
          <w:u w:val="none"/>
        </w:rPr>
        <w:t>-1排污口基本情况一览表</w:t>
      </w:r>
    </w:p>
    <w:tbl>
      <w:tblPr>
        <w:tblStyle w:val="32"/>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934"/>
        <w:gridCol w:w="152"/>
        <w:gridCol w:w="637"/>
        <w:gridCol w:w="1039"/>
        <w:gridCol w:w="58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4" w:hRule="atLeast"/>
          <w:tblHeader/>
        </w:trPr>
        <w:tc>
          <w:tcPr>
            <w:tcW w:w="351" w:type="pct"/>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序号</w:t>
            </w:r>
          </w:p>
        </w:tc>
        <w:tc>
          <w:tcPr>
            <w:tcW w:w="1488" w:type="pct"/>
            <w:gridSpan w:val="4"/>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项目</w:t>
            </w:r>
          </w:p>
        </w:tc>
        <w:tc>
          <w:tcPr>
            <w:tcW w:w="3159" w:type="pct"/>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1" w:type="pct"/>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一</w:t>
            </w:r>
          </w:p>
        </w:tc>
        <w:tc>
          <w:tcPr>
            <w:tcW w:w="4648" w:type="pct"/>
            <w:gridSpan w:val="5"/>
            <w:tcBorders>
              <w:tl2br w:val="nil"/>
              <w:tr2bl w:val="nil"/>
            </w:tcBorders>
            <w:vAlign w:val="center"/>
          </w:tcPr>
          <w:p>
            <w:pPr>
              <w:widowControl w:val="0"/>
              <w:spacing w:line="240" w:lineRule="auto"/>
              <w:ind w:firstLine="0" w:firstLineChars="0"/>
              <w:jc w:val="left"/>
              <w:rPr>
                <w:sz w:val="21"/>
                <w:szCs w:val="21"/>
                <w:u w:val="none"/>
              </w:rPr>
            </w:pPr>
            <w:r>
              <w:rPr>
                <w:sz w:val="21"/>
                <w:szCs w:val="21"/>
                <w:u w:val="none"/>
              </w:rPr>
              <w:t>入河排污口基本情况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351" w:type="pct"/>
            <w:vMerge w:val="restart"/>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1</w:t>
            </w:r>
          </w:p>
        </w:tc>
        <w:tc>
          <w:tcPr>
            <w:tcW w:w="585" w:type="pct"/>
            <w:gridSpan w:val="2"/>
            <w:vMerge w:val="restart"/>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入河排污口位置</w:t>
            </w:r>
          </w:p>
        </w:tc>
        <w:tc>
          <w:tcPr>
            <w:tcW w:w="903" w:type="pct"/>
            <w:gridSpan w:val="2"/>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所在行政区</w:t>
            </w:r>
          </w:p>
        </w:tc>
        <w:tc>
          <w:tcPr>
            <w:tcW w:w="3159" w:type="pct"/>
            <w:tcBorders>
              <w:tl2br w:val="nil"/>
              <w:tr2bl w:val="nil"/>
            </w:tcBorders>
            <w:vAlign w:val="center"/>
          </w:tcPr>
          <w:p>
            <w:pPr>
              <w:widowControl w:val="0"/>
              <w:spacing w:line="240" w:lineRule="auto"/>
              <w:ind w:firstLine="0" w:firstLineChars="0"/>
              <w:jc w:val="center"/>
              <w:rPr>
                <w:sz w:val="21"/>
                <w:szCs w:val="21"/>
                <w:u w:val="none"/>
              </w:rPr>
            </w:pPr>
            <w:r>
              <w:rPr>
                <w:rFonts w:hint="eastAsia"/>
                <w:sz w:val="21"/>
                <w:szCs w:val="21"/>
                <w:u w:val="none"/>
              </w:rPr>
              <w:t>益阳市桃江县大栗港镇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351" w:type="pct"/>
            <w:vMerge w:val="continue"/>
            <w:tcBorders>
              <w:tl2br w:val="nil"/>
              <w:tr2bl w:val="nil"/>
            </w:tcBorders>
            <w:vAlign w:val="center"/>
          </w:tcPr>
          <w:p>
            <w:pPr>
              <w:widowControl w:val="0"/>
              <w:spacing w:line="240" w:lineRule="auto"/>
              <w:ind w:firstLine="0" w:firstLineChars="0"/>
              <w:jc w:val="center"/>
              <w:rPr>
                <w:sz w:val="21"/>
                <w:szCs w:val="21"/>
                <w:u w:val="none"/>
              </w:rPr>
            </w:pPr>
          </w:p>
        </w:tc>
        <w:tc>
          <w:tcPr>
            <w:tcW w:w="585" w:type="pct"/>
            <w:gridSpan w:val="2"/>
            <w:vMerge w:val="continue"/>
            <w:tcBorders>
              <w:tl2br w:val="nil"/>
              <w:tr2bl w:val="nil"/>
            </w:tcBorders>
            <w:vAlign w:val="center"/>
          </w:tcPr>
          <w:p>
            <w:pPr>
              <w:widowControl w:val="0"/>
              <w:spacing w:line="240" w:lineRule="auto"/>
              <w:ind w:firstLine="0" w:firstLineChars="0"/>
              <w:jc w:val="center"/>
              <w:rPr>
                <w:sz w:val="21"/>
                <w:szCs w:val="21"/>
                <w:u w:val="none"/>
              </w:rPr>
            </w:pPr>
          </w:p>
        </w:tc>
        <w:tc>
          <w:tcPr>
            <w:tcW w:w="903" w:type="pct"/>
            <w:gridSpan w:val="2"/>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排入水体名称</w:t>
            </w:r>
          </w:p>
        </w:tc>
        <w:tc>
          <w:tcPr>
            <w:tcW w:w="3159" w:type="pct"/>
            <w:tcBorders>
              <w:tl2br w:val="nil"/>
              <w:tr2bl w:val="nil"/>
            </w:tcBorders>
            <w:vAlign w:val="center"/>
          </w:tcPr>
          <w:p>
            <w:pPr>
              <w:widowControl w:val="0"/>
              <w:spacing w:line="240" w:lineRule="auto"/>
              <w:ind w:firstLine="0" w:firstLineChars="0"/>
              <w:jc w:val="center"/>
              <w:rPr>
                <w:sz w:val="21"/>
                <w:szCs w:val="21"/>
                <w:u w:val="none"/>
              </w:rPr>
            </w:pPr>
            <w:r>
              <w:rPr>
                <w:rFonts w:hint="eastAsia"/>
                <w:sz w:val="21"/>
                <w:szCs w:val="21"/>
                <w:u w:val="none"/>
              </w:rPr>
              <w:t>资水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351" w:type="pct"/>
            <w:vMerge w:val="continue"/>
            <w:tcBorders>
              <w:tl2br w:val="nil"/>
              <w:tr2bl w:val="nil"/>
            </w:tcBorders>
            <w:vAlign w:val="center"/>
          </w:tcPr>
          <w:p>
            <w:pPr>
              <w:widowControl w:val="0"/>
              <w:spacing w:line="240" w:lineRule="auto"/>
              <w:ind w:firstLine="0" w:firstLineChars="0"/>
              <w:jc w:val="center"/>
              <w:rPr>
                <w:sz w:val="21"/>
                <w:szCs w:val="21"/>
                <w:u w:val="none"/>
              </w:rPr>
            </w:pPr>
          </w:p>
        </w:tc>
        <w:tc>
          <w:tcPr>
            <w:tcW w:w="585" w:type="pct"/>
            <w:gridSpan w:val="2"/>
            <w:vMerge w:val="continue"/>
            <w:tcBorders>
              <w:tl2br w:val="nil"/>
              <w:tr2bl w:val="nil"/>
            </w:tcBorders>
            <w:vAlign w:val="center"/>
          </w:tcPr>
          <w:p>
            <w:pPr>
              <w:widowControl w:val="0"/>
              <w:spacing w:line="240" w:lineRule="auto"/>
              <w:ind w:firstLine="0" w:firstLineChars="0"/>
              <w:jc w:val="center"/>
              <w:rPr>
                <w:sz w:val="21"/>
                <w:szCs w:val="21"/>
                <w:u w:val="none"/>
              </w:rPr>
            </w:pPr>
          </w:p>
        </w:tc>
        <w:tc>
          <w:tcPr>
            <w:tcW w:w="903" w:type="pct"/>
            <w:gridSpan w:val="2"/>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经纬度</w:t>
            </w:r>
          </w:p>
        </w:tc>
        <w:tc>
          <w:tcPr>
            <w:tcW w:w="3159" w:type="pct"/>
            <w:tcBorders>
              <w:tl2br w:val="nil"/>
              <w:tr2bl w:val="nil"/>
            </w:tcBorders>
            <w:vAlign w:val="center"/>
          </w:tcPr>
          <w:p>
            <w:pPr>
              <w:widowControl w:val="0"/>
              <w:spacing w:line="240" w:lineRule="auto"/>
              <w:ind w:firstLine="0" w:firstLineChars="0"/>
              <w:jc w:val="center"/>
              <w:rPr>
                <w:sz w:val="21"/>
                <w:szCs w:val="21"/>
                <w:u w:val="none"/>
              </w:rPr>
            </w:pPr>
            <w:r>
              <w:rPr>
                <w:u w:val="none"/>
              </w:rPr>
              <w:t>E111°4</w:t>
            </w:r>
            <w:r>
              <w:rPr>
                <w:rFonts w:hint="eastAsia"/>
                <w:u w:val="none"/>
              </w:rPr>
              <w:t>8</w:t>
            </w:r>
            <w:r>
              <w:rPr>
                <w:u w:val="none"/>
              </w:rPr>
              <w:t>'</w:t>
            </w:r>
            <w:r>
              <w:rPr>
                <w:rFonts w:hint="eastAsia"/>
                <w:u w:val="none"/>
              </w:rPr>
              <w:t>45.26568</w:t>
            </w:r>
            <w:r>
              <w:rPr>
                <w:u w:val="none"/>
              </w:rPr>
              <w:t>"、N28°</w:t>
            </w:r>
            <w:r>
              <w:rPr>
                <w:rFonts w:hint="eastAsia"/>
                <w:u w:val="none"/>
              </w:rPr>
              <w:t>30</w:t>
            </w:r>
            <w:r>
              <w:rPr>
                <w:u w:val="none"/>
              </w:rPr>
              <w:t>'</w:t>
            </w:r>
            <w:r>
              <w:rPr>
                <w:rFonts w:hint="eastAsia"/>
                <w:u w:val="none"/>
              </w:rPr>
              <w:t>25.90339</w:t>
            </w:r>
            <w:r>
              <w:rPr>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351" w:type="pct"/>
            <w:vMerge w:val="continue"/>
            <w:tcBorders>
              <w:tl2br w:val="nil"/>
              <w:tr2bl w:val="nil"/>
            </w:tcBorders>
            <w:vAlign w:val="center"/>
          </w:tcPr>
          <w:p>
            <w:pPr>
              <w:widowControl w:val="0"/>
              <w:spacing w:line="240" w:lineRule="auto"/>
              <w:ind w:firstLine="0" w:firstLineChars="0"/>
              <w:jc w:val="center"/>
              <w:rPr>
                <w:sz w:val="21"/>
                <w:szCs w:val="21"/>
                <w:u w:val="none"/>
              </w:rPr>
            </w:pPr>
          </w:p>
        </w:tc>
        <w:tc>
          <w:tcPr>
            <w:tcW w:w="585" w:type="pct"/>
            <w:gridSpan w:val="2"/>
            <w:vMerge w:val="continue"/>
            <w:tcBorders>
              <w:tl2br w:val="nil"/>
              <w:tr2bl w:val="nil"/>
            </w:tcBorders>
            <w:vAlign w:val="center"/>
          </w:tcPr>
          <w:p>
            <w:pPr>
              <w:widowControl w:val="0"/>
              <w:spacing w:line="240" w:lineRule="auto"/>
              <w:ind w:firstLine="0" w:firstLineChars="0"/>
              <w:jc w:val="center"/>
              <w:rPr>
                <w:sz w:val="21"/>
                <w:szCs w:val="21"/>
                <w:u w:val="none"/>
              </w:rPr>
            </w:pPr>
          </w:p>
        </w:tc>
        <w:tc>
          <w:tcPr>
            <w:tcW w:w="903" w:type="pct"/>
            <w:gridSpan w:val="2"/>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排污口位置</w:t>
            </w:r>
          </w:p>
        </w:tc>
        <w:tc>
          <w:tcPr>
            <w:tcW w:w="3159" w:type="pct"/>
            <w:tcBorders>
              <w:tl2br w:val="nil"/>
              <w:tr2bl w:val="nil"/>
            </w:tcBorders>
            <w:vAlign w:val="center"/>
          </w:tcPr>
          <w:p>
            <w:pPr>
              <w:widowControl w:val="0"/>
              <w:spacing w:line="240" w:lineRule="auto"/>
              <w:ind w:firstLine="0" w:firstLineChars="0"/>
              <w:jc w:val="center"/>
              <w:rPr>
                <w:sz w:val="21"/>
                <w:szCs w:val="21"/>
                <w:u w:val="none"/>
              </w:rPr>
            </w:pPr>
            <w:r>
              <w:rPr>
                <w:rFonts w:hint="eastAsia"/>
                <w:sz w:val="21"/>
                <w:szCs w:val="21"/>
                <w:u w:val="none"/>
              </w:rPr>
              <w:t>右</w:t>
            </w:r>
            <w:r>
              <w:rPr>
                <w:sz w:val="21"/>
                <w:szCs w:val="21"/>
                <w:u w:val="none"/>
              </w:rPr>
              <w:t>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351" w:type="pct"/>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2</w:t>
            </w:r>
          </w:p>
        </w:tc>
        <w:tc>
          <w:tcPr>
            <w:tcW w:w="1488" w:type="pct"/>
            <w:gridSpan w:val="4"/>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入河排污口名称</w:t>
            </w:r>
          </w:p>
        </w:tc>
        <w:tc>
          <w:tcPr>
            <w:tcW w:w="3159" w:type="pct"/>
            <w:tcBorders>
              <w:tl2br w:val="nil"/>
              <w:tr2bl w:val="nil"/>
            </w:tcBorders>
            <w:vAlign w:val="center"/>
          </w:tcPr>
          <w:p>
            <w:pPr>
              <w:widowControl w:val="0"/>
              <w:spacing w:line="240" w:lineRule="auto"/>
              <w:ind w:firstLine="0" w:firstLineChars="0"/>
              <w:jc w:val="center"/>
              <w:rPr>
                <w:sz w:val="21"/>
                <w:szCs w:val="21"/>
                <w:u w:val="none"/>
              </w:rPr>
            </w:pPr>
            <w:r>
              <w:rPr>
                <w:rFonts w:hint="eastAsia"/>
                <w:sz w:val="21"/>
                <w:szCs w:val="21"/>
                <w:u w:val="none"/>
              </w:rPr>
              <w:t>桃江县湘域矿业有限公司首溪金矿入河排污口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1" w:type="pct"/>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3</w:t>
            </w:r>
          </w:p>
        </w:tc>
        <w:tc>
          <w:tcPr>
            <w:tcW w:w="1488" w:type="pct"/>
            <w:gridSpan w:val="4"/>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入河排污口设置类型</w:t>
            </w:r>
          </w:p>
        </w:tc>
        <w:tc>
          <w:tcPr>
            <w:tcW w:w="3159" w:type="pct"/>
            <w:tcBorders>
              <w:tl2br w:val="nil"/>
              <w:tr2bl w:val="nil"/>
            </w:tcBorders>
            <w:vAlign w:val="center"/>
          </w:tcPr>
          <w:p>
            <w:pPr>
              <w:widowControl w:val="0"/>
              <w:spacing w:line="240" w:lineRule="auto"/>
              <w:ind w:firstLine="0" w:firstLineChars="0"/>
              <w:jc w:val="center"/>
              <w:rPr>
                <w:sz w:val="21"/>
                <w:szCs w:val="21"/>
                <w:u w:val="none"/>
              </w:rPr>
            </w:pPr>
            <w:r>
              <w:rPr>
                <w:rFonts w:hint="eastAsia"/>
                <w:sz w:val="21"/>
                <w:szCs w:val="21"/>
                <w:u w:val="none"/>
              </w:rPr>
              <w:t>新建（补办）</w:t>
            </w:r>
            <w:r>
              <w:rPr>
                <w:sz w:val="21"/>
                <w:szCs w:val="21"/>
                <w:u w:val="none"/>
              </w:rPr>
              <w:t>入河排污口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1" w:type="pct"/>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4</w:t>
            </w:r>
          </w:p>
        </w:tc>
        <w:tc>
          <w:tcPr>
            <w:tcW w:w="1488" w:type="pct"/>
            <w:gridSpan w:val="4"/>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入河排污口分类</w:t>
            </w:r>
          </w:p>
        </w:tc>
        <w:tc>
          <w:tcPr>
            <w:tcW w:w="3159" w:type="pct"/>
            <w:tcBorders>
              <w:tl2br w:val="nil"/>
              <w:tr2bl w:val="nil"/>
            </w:tcBorders>
            <w:vAlign w:val="center"/>
          </w:tcPr>
          <w:p>
            <w:pPr>
              <w:widowControl w:val="0"/>
              <w:spacing w:line="240" w:lineRule="auto"/>
              <w:ind w:firstLine="0" w:firstLineChars="0"/>
              <w:jc w:val="center"/>
              <w:rPr>
                <w:sz w:val="21"/>
                <w:szCs w:val="21"/>
                <w:u w:val="none"/>
              </w:rPr>
            </w:pPr>
            <w:r>
              <w:rPr>
                <w:rFonts w:hint="eastAsia"/>
                <w:sz w:val="21"/>
                <w:szCs w:val="21"/>
                <w:u w:val="none"/>
              </w:rPr>
              <w:t>工业污水</w:t>
            </w:r>
            <w:r>
              <w:rPr>
                <w:sz w:val="21"/>
                <w:szCs w:val="21"/>
                <w:u w:val="none"/>
              </w:rPr>
              <w:t>入河排污口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1" w:type="pct"/>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5</w:t>
            </w:r>
          </w:p>
        </w:tc>
        <w:tc>
          <w:tcPr>
            <w:tcW w:w="1488" w:type="pct"/>
            <w:gridSpan w:val="4"/>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排放方式</w:t>
            </w:r>
          </w:p>
        </w:tc>
        <w:tc>
          <w:tcPr>
            <w:tcW w:w="3159" w:type="pct"/>
            <w:tcBorders>
              <w:tl2br w:val="nil"/>
              <w:tr2bl w:val="nil"/>
            </w:tcBorders>
            <w:vAlign w:val="center"/>
          </w:tcPr>
          <w:p>
            <w:pPr>
              <w:widowControl w:val="0"/>
              <w:spacing w:line="240" w:lineRule="auto"/>
              <w:ind w:firstLine="0" w:firstLineChars="0"/>
              <w:jc w:val="center"/>
              <w:rPr>
                <w:sz w:val="21"/>
                <w:szCs w:val="21"/>
                <w:u w:val="none"/>
              </w:rPr>
            </w:pPr>
            <w:r>
              <w:rPr>
                <w:rFonts w:hint="eastAsia"/>
                <w:sz w:val="21"/>
                <w:szCs w:val="21"/>
                <w:u w:val="none"/>
              </w:rPr>
              <w:t>连续</w:t>
            </w:r>
            <w:r>
              <w:rPr>
                <w:sz w:val="21"/>
                <w:szCs w:val="21"/>
                <w:u w:val="none"/>
              </w:rPr>
              <w:t>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1" w:type="pct"/>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6</w:t>
            </w:r>
          </w:p>
        </w:tc>
        <w:tc>
          <w:tcPr>
            <w:tcW w:w="1488" w:type="pct"/>
            <w:gridSpan w:val="4"/>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入河方式</w:t>
            </w:r>
          </w:p>
        </w:tc>
        <w:tc>
          <w:tcPr>
            <w:tcW w:w="3159" w:type="pct"/>
            <w:tcBorders>
              <w:tl2br w:val="nil"/>
              <w:tr2bl w:val="nil"/>
            </w:tcBorders>
            <w:vAlign w:val="center"/>
          </w:tcPr>
          <w:p>
            <w:pPr>
              <w:widowControl w:val="0"/>
              <w:spacing w:line="240" w:lineRule="auto"/>
              <w:ind w:firstLine="0" w:firstLineChars="0"/>
              <w:jc w:val="center"/>
              <w:rPr>
                <w:sz w:val="21"/>
                <w:szCs w:val="21"/>
                <w:u w:val="none"/>
              </w:rPr>
            </w:pPr>
            <w:r>
              <w:rPr>
                <w:rFonts w:hint="eastAsia"/>
                <w:sz w:val="21"/>
                <w:szCs w:val="21"/>
                <w:u w:val="none"/>
                <w:lang w:val="en-US" w:eastAsia="zh-CN"/>
              </w:rPr>
              <w:t>明渠</w:t>
            </w:r>
            <w:r>
              <w:rPr>
                <w:sz w:val="21"/>
                <w:szCs w:val="21"/>
                <w:u w:val="none"/>
              </w:rPr>
              <w:t>，排入</w:t>
            </w:r>
            <w:r>
              <w:rPr>
                <w:rFonts w:hint="eastAsia"/>
                <w:sz w:val="21"/>
                <w:szCs w:val="21"/>
                <w:u w:val="none"/>
              </w:rPr>
              <w:t>资水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1" w:type="pct"/>
            <w:tcBorders>
              <w:tl2br w:val="nil"/>
              <w:tr2bl w:val="nil"/>
            </w:tcBorders>
            <w:vAlign w:val="center"/>
          </w:tcPr>
          <w:p>
            <w:pPr>
              <w:widowControl w:val="0"/>
              <w:spacing w:line="240" w:lineRule="auto"/>
              <w:ind w:firstLine="0" w:firstLineChars="0"/>
              <w:jc w:val="center"/>
              <w:rPr>
                <w:sz w:val="21"/>
                <w:szCs w:val="21"/>
                <w:u w:val="none"/>
              </w:rPr>
            </w:pPr>
            <w:r>
              <w:rPr>
                <w:rFonts w:hint="eastAsia"/>
                <w:sz w:val="21"/>
                <w:szCs w:val="21"/>
                <w:u w:val="none"/>
              </w:rPr>
              <w:t>7</w:t>
            </w:r>
          </w:p>
        </w:tc>
        <w:tc>
          <w:tcPr>
            <w:tcW w:w="1488" w:type="pct"/>
            <w:gridSpan w:val="4"/>
            <w:tcBorders>
              <w:tl2br w:val="nil"/>
              <w:tr2bl w:val="nil"/>
            </w:tcBorders>
            <w:vAlign w:val="center"/>
          </w:tcPr>
          <w:p>
            <w:pPr>
              <w:widowControl w:val="0"/>
              <w:spacing w:line="240" w:lineRule="auto"/>
              <w:ind w:firstLine="0" w:firstLineChars="0"/>
              <w:jc w:val="center"/>
              <w:rPr>
                <w:sz w:val="21"/>
                <w:szCs w:val="21"/>
                <w:u w:val="none"/>
              </w:rPr>
            </w:pPr>
            <w:r>
              <w:rPr>
                <w:rFonts w:hint="eastAsia"/>
                <w:sz w:val="21"/>
                <w:szCs w:val="21"/>
                <w:u w:val="none"/>
              </w:rPr>
              <w:t>渠长</w:t>
            </w:r>
          </w:p>
        </w:tc>
        <w:tc>
          <w:tcPr>
            <w:tcW w:w="3159" w:type="pct"/>
            <w:tcBorders>
              <w:tl2br w:val="nil"/>
              <w:tr2bl w:val="nil"/>
            </w:tcBorders>
            <w:vAlign w:val="center"/>
          </w:tcPr>
          <w:p>
            <w:pPr>
              <w:widowControl w:val="0"/>
              <w:spacing w:line="240" w:lineRule="auto"/>
              <w:ind w:firstLine="0" w:firstLineChars="0"/>
              <w:jc w:val="center"/>
              <w:rPr>
                <w:sz w:val="21"/>
                <w:szCs w:val="21"/>
                <w:u w:val="none"/>
              </w:rPr>
            </w:pPr>
            <w:r>
              <w:rPr>
                <w:rFonts w:hint="eastAsia"/>
                <w:sz w:val="21"/>
                <w:szCs w:val="21"/>
                <w:u w:val="none"/>
              </w:rPr>
              <w:t>500m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1" w:type="pct"/>
            <w:tcBorders>
              <w:tl2br w:val="nil"/>
              <w:tr2bl w:val="nil"/>
            </w:tcBorders>
            <w:vAlign w:val="center"/>
          </w:tcPr>
          <w:p>
            <w:pPr>
              <w:widowControl w:val="0"/>
              <w:spacing w:line="240" w:lineRule="auto"/>
              <w:ind w:firstLine="0" w:firstLineChars="0"/>
              <w:jc w:val="center"/>
              <w:rPr>
                <w:sz w:val="21"/>
                <w:szCs w:val="21"/>
                <w:u w:val="none"/>
              </w:rPr>
            </w:pPr>
            <w:r>
              <w:rPr>
                <w:rFonts w:hint="eastAsia"/>
                <w:sz w:val="21"/>
                <w:szCs w:val="21"/>
                <w:u w:val="none"/>
              </w:rPr>
              <w:t>8</w:t>
            </w:r>
          </w:p>
        </w:tc>
        <w:tc>
          <w:tcPr>
            <w:tcW w:w="1488" w:type="pct"/>
            <w:gridSpan w:val="4"/>
            <w:tcBorders>
              <w:tl2br w:val="nil"/>
              <w:tr2bl w:val="nil"/>
            </w:tcBorders>
            <w:vAlign w:val="center"/>
          </w:tcPr>
          <w:p>
            <w:pPr>
              <w:widowControl w:val="0"/>
              <w:spacing w:line="240" w:lineRule="auto"/>
              <w:ind w:firstLine="0" w:firstLineChars="0"/>
              <w:jc w:val="center"/>
              <w:rPr>
                <w:rFonts w:hint="eastAsia" w:eastAsia="宋体"/>
                <w:sz w:val="21"/>
                <w:szCs w:val="21"/>
                <w:u w:val="none"/>
                <w:lang w:eastAsia="zh-CN"/>
              </w:rPr>
            </w:pPr>
            <w:r>
              <w:rPr>
                <w:rFonts w:hint="eastAsia"/>
                <w:sz w:val="21"/>
                <w:szCs w:val="21"/>
                <w:u w:val="none"/>
              </w:rPr>
              <w:t>渠</w:t>
            </w:r>
            <w:r>
              <w:rPr>
                <w:rFonts w:hint="eastAsia"/>
                <w:sz w:val="21"/>
                <w:szCs w:val="21"/>
                <w:u w:val="none"/>
                <w:lang w:val="en-US" w:eastAsia="zh-CN"/>
              </w:rPr>
              <w:t>宽</w:t>
            </w:r>
          </w:p>
        </w:tc>
        <w:tc>
          <w:tcPr>
            <w:tcW w:w="3159" w:type="pct"/>
            <w:tcBorders>
              <w:tl2br w:val="nil"/>
              <w:tr2bl w:val="nil"/>
            </w:tcBorders>
            <w:vAlign w:val="center"/>
          </w:tcPr>
          <w:p>
            <w:pPr>
              <w:widowControl w:val="0"/>
              <w:spacing w:line="240" w:lineRule="auto"/>
              <w:ind w:firstLine="0" w:firstLineChars="0"/>
              <w:jc w:val="center"/>
              <w:rPr>
                <w:sz w:val="21"/>
                <w:szCs w:val="21"/>
                <w:u w:val="none"/>
              </w:rPr>
            </w:pPr>
            <w:r>
              <w:rPr>
                <w:rFonts w:hint="eastAsia"/>
                <w:sz w:val="21"/>
                <w:szCs w:val="21"/>
                <w:u w:val="none"/>
              </w:rPr>
              <w:t>60cm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1" w:type="pct"/>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二</w:t>
            </w:r>
          </w:p>
        </w:tc>
        <w:tc>
          <w:tcPr>
            <w:tcW w:w="4648" w:type="pct"/>
            <w:gridSpan w:val="5"/>
            <w:tcBorders>
              <w:tl2br w:val="nil"/>
              <w:tr2bl w:val="nil"/>
            </w:tcBorders>
            <w:vAlign w:val="center"/>
          </w:tcPr>
          <w:p>
            <w:pPr>
              <w:widowControl w:val="0"/>
              <w:spacing w:line="240" w:lineRule="auto"/>
              <w:ind w:firstLine="0" w:firstLineChars="0"/>
              <w:jc w:val="left"/>
              <w:rPr>
                <w:sz w:val="21"/>
                <w:szCs w:val="21"/>
                <w:u w:val="none"/>
              </w:rPr>
            </w:pPr>
            <w:r>
              <w:rPr>
                <w:sz w:val="21"/>
                <w:szCs w:val="21"/>
                <w:u w:val="none"/>
              </w:rPr>
              <w:t>入河排污情况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1" w:type="pct"/>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1</w:t>
            </w:r>
          </w:p>
        </w:tc>
        <w:tc>
          <w:tcPr>
            <w:tcW w:w="1488" w:type="pct"/>
            <w:gridSpan w:val="4"/>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废水来源</w:t>
            </w:r>
          </w:p>
        </w:tc>
        <w:tc>
          <w:tcPr>
            <w:tcW w:w="3159" w:type="pct"/>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矿井涌水、压滤废水、尾矿库渗水和废石堆场淋溶水等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1" w:type="pct"/>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2</w:t>
            </w:r>
          </w:p>
        </w:tc>
        <w:tc>
          <w:tcPr>
            <w:tcW w:w="1488" w:type="pct"/>
            <w:gridSpan w:val="4"/>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废水主要污染物</w:t>
            </w:r>
          </w:p>
        </w:tc>
        <w:tc>
          <w:tcPr>
            <w:tcW w:w="3159" w:type="pct"/>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COD</w:t>
            </w:r>
            <w:r>
              <w:rPr>
                <w:rFonts w:hint="eastAsia"/>
                <w:sz w:val="21"/>
                <w:szCs w:val="21"/>
                <w:u w:val="none"/>
              </w:rPr>
              <w:t>、砷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1" w:type="pct"/>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3</w:t>
            </w:r>
          </w:p>
        </w:tc>
        <w:tc>
          <w:tcPr>
            <w:tcW w:w="1488" w:type="pct"/>
            <w:gridSpan w:val="4"/>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废水处理工艺及能力</w:t>
            </w:r>
          </w:p>
        </w:tc>
        <w:tc>
          <w:tcPr>
            <w:tcW w:w="3159" w:type="pct"/>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沉淀</w:t>
            </w:r>
            <w:r>
              <w:rPr>
                <w:rFonts w:hint="eastAsia"/>
                <w:sz w:val="21"/>
                <w:szCs w:val="21"/>
                <w:u w:val="none"/>
              </w:rPr>
              <w:t>+吸附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1" w:type="pct"/>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4</w:t>
            </w:r>
          </w:p>
        </w:tc>
        <w:tc>
          <w:tcPr>
            <w:tcW w:w="1488" w:type="pct"/>
            <w:gridSpan w:val="4"/>
            <w:tcBorders>
              <w:tl2br w:val="nil"/>
              <w:tr2bl w:val="nil"/>
            </w:tcBorders>
            <w:vAlign w:val="center"/>
          </w:tcPr>
          <w:p>
            <w:pPr>
              <w:widowControl w:val="0"/>
              <w:spacing w:line="240" w:lineRule="auto"/>
              <w:ind w:firstLine="0" w:firstLineChars="0"/>
              <w:jc w:val="center"/>
              <w:rPr>
                <w:sz w:val="21"/>
                <w:szCs w:val="21"/>
                <w:u w:val="none"/>
              </w:rPr>
            </w:pPr>
            <w:r>
              <w:rPr>
                <w:rFonts w:hint="eastAsia"/>
                <w:sz w:val="21"/>
                <w:szCs w:val="21"/>
                <w:u w:val="none"/>
              </w:rPr>
              <w:t>设计</w:t>
            </w:r>
            <w:r>
              <w:rPr>
                <w:sz w:val="21"/>
                <w:szCs w:val="21"/>
                <w:u w:val="none"/>
              </w:rPr>
              <w:t>废水排放量</w:t>
            </w:r>
          </w:p>
        </w:tc>
        <w:tc>
          <w:tcPr>
            <w:tcW w:w="3159" w:type="pct"/>
            <w:tcBorders>
              <w:tl2br w:val="nil"/>
              <w:tr2bl w:val="nil"/>
            </w:tcBorders>
            <w:vAlign w:val="center"/>
          </w:tcPr>
          <w:p>
            <w:pPr>
              <w:widowControl w:val="0"/>
              <w:spacing w:line="240" w:lineRule="auto"/>
              <w:ind w:firstLine="0" w:firstLineChars="0"/>
              <w:jc w:val="center"/>
              <w:rPr>
                <w:sz w:val="21"/>
                <w:szCs w:val="21"/>
                <w:highlight w:val="red"/>
                <w:u w:val="none"/>
              </w:rPr>
            </w:pPr>
            <w:r>
              <w:rPr>
                <w:rFonts w:hint="eastAsia"/>
                <w:sz w:val="21"/>
                <w:szCs w:val="21"/>
                <w:u w:val="none"/>
              </w:rPr>
              <w:t>1200m</w:t>
            </w:r>
            <w:r>
              <w:rPr>
                <w:rFonts w:hint="eastAsia"/>
                <w:sz w:val="21"/>
                <w:szCs w:val="21"/>
                <w:u w:val="none"/>
                <w:vertAlign w:val="superscript"/>
              </w:rPr>
              <w:t>3</w:t>
            </w:r>
            <w:r>
              <w:rPr>
                <w:rFonts w:hint="eastAsia"/>
                <w:sz w:val="21"/>
                <w:szCs w:val="21"/>
                <w:u w:val="none"/>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1" w:type="pct"/>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5</w:t>
            </w:r>
          </w:p>
        </w:tc>
        <w:tc>
          <w:tcPr>
            <w:tcW w:w="503" w:type="pct"/>
            <w:vMerge w:val="restart"/>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主要污染物</w:t>
            </w:r>
          </w:p>
        </w:tc>
        <w:tc>
          <w:tcPr>
            <w:tcW w:w="425" w:type="pct"/>
            <w:gridSpan w:val="2"/>
            <w:tcBorders>
              <w:tl2br w:val="nil"/>
              <w:tr2bl w:val="nil"/>
            </w:tcBorders>
          </w:tcPr>
          <w:p>
            <w:pPr>
              <w:widowControl w:val="0"/>
              <w:spacing w:line="240" w:lineRule="auto"/>
              <w:ind w:firstLine="0" w:firstLineChars="0"/>
              <w:jc w:val="center"/>
              <w:rPr>
                <w:sz w:val="21"/>
                <w:szCs w:val="21"/>
                <w:u w:val="none"/>
              </w:rPr>
            </w:pPr>
            <w:r>
              <w:rPr>
                <w:rFonts w:hint="eastAsia"/>
                <w:sz w:val="21"/>
                <w:szCs w:val="21"/>
                <w:u w:val="none"/>
              </w:rPr>
              <w:t>COD</w:t>
            </w:r>
          </w:p>
        </w:tc>
        <w:tc>
          <w:tcPr>
            <w:tcW w:w="559" w:type="pct"/>
            <w:tcBorders>
              <w:tl2br w:val="nil"/>
              <w:tr2bl w:val="nil"/>
            </w:tcBorders>
          </w:tcPr>
          <w:p>
            <w:pPr>
              <w:widowControl w:val="0"/>
              <w:spacing w:line="240" w:lineRule="auto"/>
              <w:ind w:firstLine="0" w:firstLineChars="0"/>
              <w:jc w:val="center"/>
              <w:rPr>
                <w:sz w:val="21"/>
                <w:szCs w:val="21"/>
                <w:u w:val="none"/>
              </w:rPr>
            </w:pPr>
            <w:r>
              <w:rPr>
                <w:rFonts w:hint="eastAsia"/>
                <w:sz w:val="21"/>
                <w:szCs w:val="21"/>
                <w:u w:val="none"/>
              </w:rPr>
              <w:t>100</w:t>
            </w:r>
            <w:r>
              <w:rPr>
                <w:sz w:val="21"/>
                <w:szCs w:val="21"/>
                <w:u w:val="none"/>
              </w:rPr>
              <w:t>mg/</w:t>
            </w:r>
            <w:r>
              <w:rPr>
                <w:rFonts w:hint="eastAsia"/>
                <w:sz w:val="21"/>
                <w:szCs w:val="21"/>
                <w:u w:val="none"/>
              </w:rPr>
              <w:t>L</w:t>
            </w:r>
          </w:p>
        </w:tc>
        <w:tc>
          <w:tcPr>
            <w:tcW w:w="3159" w:type="pct"/>
            <w:tcBorders>
              <w:tl2br w:val="nil"/>
              <w:tr2bl w:val="nil"/>
            </w:tcBorders>
          </w:tcPr>
          <w:p>
            <w:pPr>
              <w:widowControl w:val="0"/>
              <w:spacing w:line="240" w:lineRule="auto"/>
              <w:ind w:firstLine="0" w:firstLineChars="0"/>
              <w:jc w:val="center"/>
              <w:rPr>
                <w:sz w:val="21"/>
                <w:szCs w:val="21"/>
                <w:u w:val="none"/>
              </w:rPr>
            </w:pPr>
            <w:r>
              <w:rPr>
                <w:rFonts w:hint="eastAsia"/>
                <w:sz w:val="21"/>
                <w:szCs w:val="21"/>
                <w:u w:val="none"/>
                <w:lang w:eastAsia="zh-CN"/>
              </w:rPr>
              <w:t>2.98</w:t>
            </w:r>
            <w:r>
              <w:rPr>
                <w:rFonts w:hint="eastAsia"/>
                <w:sz w:val="21"/>
                <w:szCs w:val="21"/>
                <w:u w:val="non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351" w:type="pct"/>
            <w:tcBorders>
              <w:tl2br w:val="nil"/>
              <w:tr2bl w:val="nil"/>
            </w:tcBorders>
            <w:vAlign w:val="center"/>
          </w:tcPr>
          <w:p>
            <w:pPr>
              <w:widowControl w:val="0"/>
              <w:spacing w:line="240" w:lineRule="auto"/>
              <w:ind w:firstLine="0" w:firstLineChars="0"/>
              <w:jc w:val="center"/>
              <w:rPr>
                <w:rFonts w:hint="eastAsia" w:eastAsia="宋体"/>
                <w:sz w:val="21"/>
                <w:szCs w:val="21"/>
                <w:u w:val="none"/>
                <w:lang w:eastAsia="zh-CN"/>
              </w:rPr>
            </w:pPr>
            <w:r>
              <w:rPr>
                <w:rFonts w:hint="eastAsia"/>
                <w:sz w:val="21"/>
                <w:szCs w:val="21"/>
                <w:u w:val="none"/>
                <w:lang w:val="en-US" w:eastAsia="zh-CN"/>
              </w:rPr>
              <w:t>6</w:t>
            </w:r>
          </w:p>
        </w:tc>
        <w:tc>
          <w:tcPr>
            <w:tcW w:w="503" w:type="pct"/>
            <w:vMerge w:val="continue"/>
            <w:tcBorders>
              <w:tl2br w:val="nil"/>
              <w:tr2bl w:val="nil"/>
            </w:tcBorders>
            <w:vAlign w:val="center"/>
          </w:tcPr>
          <w:p>
            <w:pPr>
              <w:widowControl w:val="0"/>
              <w:spacing w:line="240" w:lineRule="auto"/>
              <w:ind w:firstLine="0" w:firstLineChars="0"/>
              <w:jc w:val="center"/>
              <w:rPr>
                <w:sz w:val="21"/>
                <w:szCs w:val="21"/>
                <w:u w:val="none"/>
              </w:rPr>
            </w:pPr>
          </w:p>
        </w:tc>
        <w:tc>
          <w:tcPr>
            <w:tcW w:w="425" w:type="pct"/>
            <w:gridSpan w:val="2"/>
            <w:tcBorders>
              <w:tl2br w:val="nil"/>
              <w:tr2bl w:val="nil"/>
            </w:tcBorders>
          </w:tcPr>
          <w:p>
            <w:pPr>
              <w:widowControl w:val="0"/>
              <w:spacing w:line="240" w:lineRule="auto"/>
              <w:ind w:firstLine="0" w:firstLineChars="0"/>
              <w:jc w:val="center"/>
              <w:rPr>
                <w:sz w:val="21"/>
                <w:szCs w:val="21"/>
                <w:u w:val="none"/>
              </w:rPr>
            </w:pPr>
            <w:r>
              <w:rPr>
                <w:rFonts w:hint="eastAsia"/>
                <w:sz w:val="21"/>
                <w:szCs w:val="21"/>
                <w:u w:val="none"/>
              </w:rPr>
              <w:t>砷</w:t>
            </w:r>
          </w:p>
        </w:tc>
        <w:tc>
          <w:tcPr>
            <w:tcW w:w="559" w:type="pct"/>
            <w:tcBorders>
              <w:tl2br w:val="nil"/>
              <w:tr2bl w:val="nil"/>
            </w:tcBorders>
          </w:tcPr>
          <w:p>
            <w:pPr>
              <w:widowControl w:val="0"/>
              <w:spacing w:line="240" w:lineRule="auto"/>
              <w:ind w:firstLine="0" w:firstLineChars="0"/>
              <w:jc w:val="center"/>
              <w:rPr>
                <w:sz w:val="21"/>
                <w:szCs w:val="21"/>
                <w:u w:val="none"/>
              </w:rPr>
            </w:pPr>
            <w:r>
              <w:rPr>
                <w:rFonts w:hint="eastAsia"/>
                <w:sz w:val="21"/>
                <w:szCs w:val="21"/>
                <w:u w:val="none"/>
              </w:rPr>
              <w:t>0.</w:t>
            </w:r>
            <w:r>
              <w:rPr>
                <w:rFonts w:hint="eastAsia"/>
                <w:sz w:val="21"/>
                <w:szCs w:val="21"/>
                <w:u w:val="none"/>
                <w:lang w:val="en-US" w:eastAsia="zh-CN"/>
              </w:rPr>
              <w:t>2</w:t>
            </w:r>
            <w:r>
              <w:rPr>
                <w:sz w:val="21"/>
                <w:szCs w:val="21"/>
                <w:u w:val="none"/>
              </w:rPr>
              <w:t>mg/</w:t>
            </w:r>
            <w:r>
              <w:rPr>
                <w:rFonts w:hint="eastAsia"/>
                <w:sz w:val="21"/>
                <w:szCs w:val="21"/>
                <w:u w:val="none"/>
              </w:rPr>
              <w:t>L</w:t>
            </w:r>
          </w:p>
        </w:tc>
        <w:tc>
          <w:tcPr>
            <w:tcW w:w="3159" w:type="pct"/>
            <w:tcBorders>
              <w:tl2br w:val="nil"/>
              <w:tr2bl w:val="nil"/>
            </w:tcBorders>
          </w:tcPr>
          <w:p>
            <w:pPr>
              <w:widowControl w:val="0"/>
              <w:spacing w:line="240" w:lineRule="auto"/>
              <w:ind w:firstLine="0" w:firstLineChars="0"/>
              <w:jc w:val="center"/>
              <w:rPr>
                <w:sz w:val="21"/>
                <w:szCs w:val="21"/>
                <w:u w:val="none"/>
              </w:rPr>
            </w:pPr>
            <w:r>
              <w:rPr>
                <w:rFonts w:hint="eastAsia"/>
                <w:sz w:val="21"/>
                <w:szCs w:val="21"/>
                <w:u w:val="none"/>
                <w:lang w:val="en-US" w:eastAsia="zh-CN"/>
              </w:rPr>
              <w:t>0.0132</w:t>
            </w:r>
            <w:r>
              <w:rPr>
                <w:rFonts w:hint="eastAsia"/>
                <w:sz w:val="21"/>
                <w:szCs w:val="21"/>
                <w:u w:val="none"/>
              </w:rPr>
              <w:t>t/a</w:t>
            </w:r>
          </w:p>
        </w:tc>
      </w:tr>
    </w:tbl>
    <w:p>
      <w:pPr>
        <w:pStyle w:val="4"/>
        <w:rPr>
          <w:u w:val="none"/>
        </w:rPr>
      </w:pPr>
      <w:r>
        <w:rPr>
          <w:rFonts w:hint="eastAsia"/>
          <w:u w:val="none"/>
        </w:rPr>
        <w:t>4.2.2废水来源及构成</w:t>
      </w:r>
    </w:p>
    <w:p>
      <w:pPr>
        <w:ind w:firstLine="480"/>
        <w:rPr>
          <w:u w:val="none"/>
        </w:rPr>
      </w:pPr>
      <w:r>
        <w:rPr>
          <w:u w:val="none"/>
        </w:rPr>
        <w:t>项目生产过程中产生的废水主要有生产废水和生活污水。其中生产废水包括矿井涌水、压滤废水、尾矿库渗水和废石堆场淋溶水等。其中采矿过程产生的井下涌水部分回用于生产，多余部分进入废水处理系统，经三级沉淀处理达标后由专用排水渠排入资江。选矿过程、废石堆存、尾矿堆存产生的废水经处理后大部分回用，其余部分与矿井涌水一并外排。</w:t>
      </w:r>
    </w:p>
    <w:p>
      <w:pPr>
        <w:ind w:firstLine="480"/>
        <w:rPr>
          <w:u w:val="none"/>
        </w:rPr>
      </w:pPr>
      <w:r>
        <w:rPr>
          <w:rFonts w:hint="eastAsia"/>
          <w:u w:val="none"/>
          <w:lang w:val="en-US" w:eastAsia="zh-CN"/>
        </w:rPr>
        <w:t>食堂废水经隔油池预处理后与生活污水一起经由化粪池+一体化设施+人工湿地处理系统处理后回用于矿区绿化用水</w:t>
      </w:r>
      <w:r>
        <w:rPr>
          <w:u w:val="none"/>
        </w:rPr>
        <w:t>。</w:t>
      </w:r>
    </w:p>
    <w:p>
      <w:pPr>
        <w:pStyle w:val="102"/>
        <w:rPr>
          <w:rFonts w:ascii="Times New Roman" w:hAnsi="Times New Roman" w:eastAsia="宋体"/>
          <w:b/>
          <w:bCs/>
          <w:kern w:val="0"/>
          <w:sz w:val="24"/>
          <w:szCs w:val="21"/>
          <w:u w:val="none"/>
        </w:rPr>
      </w:pPr>
      <w:bookmarkStart w:id="46" w:name="_Toc18756"/>
      <w:r>
        <w:rPr>
          <w:rFonts w:ascii="Times New Roman" w:hAnsi="Times New Roman" w:eastAsia="宋体"/>
          <w:b/>
          <w:bCs/>
          <w:kern w:val="0"/>
          <w:sz w:val="24"/>
          <w:szCs w:val="21"/>
          <w:u w:val="none"/>
        </w:rPr>
        <w:t>表</w:t>
      </w:r>
      <w:r>
        <w:rPr>
          <w:rFonts w:hint="eastAsia" w:ascii="Times New Roman" w:hAnsi="Times New Roman" w:eastAsia="宋体"/>
          <w:b/>
          <w:bCs/>
          <w:kern w:val="0"/>
          <w:sz w:val="24"/>
          <w:szCs w:val="21"/>
          <w:u w:val="none"/>
        </w:rPr>
        <w:t>4.2.2-1</w:t>
      </w:r>
      <w:r>
        <w:rPr>
          <w:rFonts w:ascii="Times New Roman" w:hAnsi="Times New Roman" w:eastAsia="宋体"/>
          <w:b/>
          <w:bCs/>
          <w:kern w:val="0"/>
          <w:sz w:val="24"/>
          <w:szCs w:val="21"/>
          <w:u w:val="none"/>
        </w:rPr>
        <w:t>废水污染物排放及处置措施</w:t>
      </w:r>
      <w:bookmarkEnd w:id="46"/>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75"/>
        <w:gridCol w:w="668"/>
        <w:gridCol w:w="1088"/>
        <w:gridCol w:w="1268"/>
        <w:gridCol w:w="1022"/>
        <w:gridCol w:w="1199"/>
        <w:gridCol w:w="3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tblHeader/>
          <w:jc w:val="center"/>
        </w:trPr>
        <w:tc>
          <w:tcPr>
            <w:tcW w:w="315" w:type="pct"/>
            <w:vAlign w:val="center"/>
          </w:tcPr>
          <w:p>
            <w:pPr>
              <w:pStyle w:val="51"/>
              <w:rPr>
                <w:u w:val="none"/>
              </w:rPr>
            </w:pPr>
            <w:r>
              <w:rPr>
                <w:u w:val="none"/>
              </w:rPr>
              <w:t>序号</w:t>
            </w:r>
          </w:p>
        </w:tc>
        <w:tc>
          <w:tcPr>
            <w:tcW w:w="366" w:type="pct"/>
            <w:vAlign w:val="center"/>
          </w:tcPr>
          <w:p>
            <w:pPr>
              <w:pStyle w:val="51"/>
              <w:rPr>
                <w:u w:val="none"/>
              </w:rPr>
            </w:pPr>
            <w:r>
              <w:rPr>
                <w:u w:val="none"/>
              </w:rPr>
              <w:t>产生工序</w:t>
            </w:r>
          </w:p>
        </w:tc>
        <w:tc>
          <w:tcPr>
            <w:tcW w:w="596" w:type="pct"/>
            <w:vAlign w:val="center"/>
          </w:tcPr>
          <w:p>
            <w:pPr>
              <w:pStyle w:val="51"/>
              <w:rPr>
                <w:u w:val="none"/>
              </w:rPr>
            </w:pPr>
            <w:r>
              <w:rPr>
                <w:u w:val="none"/>
              </w:rPr>
              <w:t>污染物类型</w:t>
            </w:r>
          </w:p>
        </w:tc>
        <w:tc>
          <w:tcPr>
            <w:tcW w:w="695" w:type="pct"/>
            <w:vAlign w:val="center"/>
          </w:tcPr>
          <w:p>
            <w:pPr>
              <w:pStyle w:val="51"/>
              <w:rPr>
                <w:u w:val="none"/>
              </w:rPr>
            </w:pPr>
            <w:r>
              <w:rPr>
                <w:u w:val="none"/>
              </w:rPr>
              <w:t>产生量</w:t>
            </w:r>
          </w:p>
        </w:tc>
        <w:tc>
          <w:tcPr>
            <w:tcW w:w="560" w:type="pct"/>
            <w:vAlign w:val="center"/>
          </w:tcPr>
          <w:p>
            <w:pPr>
              <w:pStyle w:val="51"/>
              <w:rPr>
                <w:rFonts w:hint="eastAsia" w:eastAsia="宋体"/>
                <w:u w:val="none"/>
                <w:lang w:val="en-US" w:eastAsia="zh-CN"/>
              </w:rPr>
            </w:pPr>
            <w:r>
              <w:rPr>
                <w:rFonts w:hint="eastAsia" w:eastAsia="宋体"/>
                <w:u w:val="none"/>
                <w:lang w:val="en-US" w:eastAsia="zh-CN"/>
              </w:rPr>
              <w:t>回用量</w:t>
            </w:r>
          </w:p>
        </w:tc>
        <w:tc>
          <w:tcPr>
            <w:tcW w:w="657" w:type="pct"/>
            <w:vAlign w:val="center"/>
          </w:tcPr>
          <w:p>
            <w:pPr>
              <w:pStyle w:val="51"/>
              <w:rPr>
                <w:rFonts w:hint="default" w:eastAsia="宋体"/>
                <w:u w:val="none"/>
                <w:lang w:val="en-US" w:eastAsia="zh-CN"/>
              </w:rPr>
            </w:pPr>
            <w:r>
              <w:rPr>
                <w:rFonts w:hint="eastAsia" w:eastAsia="宋体"/>
                <w:u w:val="none"/>
                <w:lang w:val="en-US" w:eastAsia="zh-CN"/>
              </w:rPr>
              <w:t>外排量</w:t>
            </w:r>
          </w:p>
        </w:tc>
        <w:tc>
          <w:tcPr>
            <w:tcW w:w="1809" w:type="pct"/>
            <w:vAlign w:val="center"/>
          </w:tcPr>
          <w:p>
            <w:pPr>
              <w:pStyle w:val="51"/>
              <w:rPr>
                <w:u w:val="none"/>
              </w:rPr>
            </w:pPr>
            <w:r>
              <w:rPr>
                <w:u w:val="none"/>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65" w:hRule="atLeast"/>
          <w:jc w:val="center"/>
        </w:trPr>
        <w:tc>
          <w:tcPr>
            <w:tcW w:w="315" w:type="pct"/>
            <w:vAlign w:val="center"/>
          </w:tcPr>
          <w:p>
            <w:pPr>
              <w:pStyle w:val="51"/>
              <w:rPr>
                <w:u w:val="none"/>
              </w:rPr>
            </w:pPr>
            <w:r>
              <w:rPr>
                <w:u w:val="none"/>
              </w:rPr>
              <w:t>1</w:t>
            </w:r>
          </w:p>
        </w:tc>
        <w:tc>
          <w:tcPr>
            <w:tcW w:w="366" w:type="pct"/>
            <w:vAlign w:val="center"/>
          </w:tcPr>
          <w:p>
            <w:pPr>
              <w:pStyle w:val="51"/>
              <w:rPr>
                <w:u w:val="none"/>
              </w:rPr>
            </w:pPr>
            <w:r>
              <w:rPr>
                <w:u w:val="none"/>
              </w:rPr>
              <w:t>采矿过程</w:t>
            </w:r>
          </w:p>
        </w:tc>
        <w:tc>
          <w:tcPr>
            <w:tcW w:w="596" w:type="pct"/>
            <w:vAlign w:val="center"/>
          </w:tcPr>
          <w:p>
            <w:pPr>
              <w:pStyle w:val="51"/>
              <w:rPr>
                <w:u w:val="none"/>
              </w:rPr>
            </w:pPr>
            <w:r>
              <w:rPr>
                <w:u w:val="none"/>
              </w:rPr>
              <w:t>矿井涌水</w:t>
            </w:r>
          </w:p>
        </w:tc>
        <w:tc>
          <w:tcPr>
            <w:tcW w:w="695" w:type="pct"/>
            <w:vAlign w:val="center"/>
          </w:tcPr>
          <w:p>
            <w:pPr>
              <w:pStyle w:val="51"/>
              <w:rPr>
                <w:rFonts w:hint="eastAsia" w:eastAsia="宋体"/>
                <w:u w:val="none"/>
                <w:lang w:eastAsia="zh-CN"/>
              </w:rPr>
            </w:pPr>
            <w:r>
              <w:rPr>
                <w:rFonts w:hint="eastAsia"/>
                <w:u w:val="none"/>
              </w:rPr>
              <w:t>雨季约</w:t>
            </w:r>
            <w:r>
              <w:rPr>
                <w:u w:val="none"/>
              </w:rPr>
              <w:t>290</w:t>
            </w:r>
            <w:r>
              <w:rPr>
                <w:rFonts w:hint="eastAsia"/>
                <w:u w:val="none"/>
              </w:rPr>
              <w:t>m</w:t>
            </w:r>
            <w:r>
              <w:rPr>
                <w:u w:val="none"/>
                <w:vertAlign w:val="superscript"/>
              </w:rPr>
              <w:t>3</w:t>
            </w:r>
            <w:r>
              <w:rPr>
                <w:u w:val="none"/>
              </w:rPr>
              <w:t>/</w:t>
            </w:r>
            <w:r>
              <w:rPr>
                <w:rFonts w:hint="eastAsia"/>
                <w:u w:val="none"/>
              </w:rPr>
              <w:t>d，旱季约</w:t>
            </w:r>
            <w:r>
              <w:rPr>
                <w:rFonts w:hint="eastAsia" w:eastAsia="宋体"/>
                <w:u w:val="none"/>
                <w:lang w:val="en-US" w:eastAsia="zh-CN"/>
              </w:rPr>
              <w:t>200</w:t>
            </w:r>
            <w:r>
              <w:rPr>
                <w:rFonts w:hint="eastAsia"/>
                <w:u w:val="none"/>
              </w:rPr>
              <w:t>m</w:t>
            </w:r>
            <w:r>
              <w:rPr>
                <w:u w:val="none"/>
                <w:vertAlign w:val="superscript"/>
              </w:rPr>
              <w:t>3</w:t>
            </w:r>
            <w:r>
              <w:rPr>
                <w:u w:val="none"/>
              </w:rPr>
              <w:t>/</w:t>
            </w:r>
            <w:r>
              <w:rPr>
                <w:rFonts w:hint="eastAsia"/>
                <w:u w:val="none"/>
              </w:rPr>
              <w:t>d</w:t>
            </w:r>
            <w:r>
              <w:rPr>
                <w:rFonts w:hint="eastAsia" w:eastAsia="宋体"/>
                <w:u w:val="none"/>
                <w:lang w:eastAsia="zh-CN"/>
              </w:rPr>
              <w:t>（</w:t>
            </w:r>
            <w:r>
              <w:rPr>
                <w:rFonts w:hint="eastAsia" w:eastAsia="宋体"/>
                <w:u w:val="none"/>
                <w:lang w:val="en-US" w:eastAsia="zh-CN"/>
              </w:rPr>
              <w:t>回用于选矿8</w:t>
            </w:r>
            <w:r>
              <w:rPr>
                <w:rFonts w:hint="eastAsia"/>
                <w:u w:val="none"/>
              </w:rPr>
              <w:t>m</w:t>
            </w:r>
            <w:r>
              <w:rPr>
                <w:u w:val="none"/>
                <w:vertAlign w:val="superscript"/>
              </w:rPr>
              <w:t>3</w:t>
            </w:r>
            <w:r>
              <w:rPr>
                <w:u w:val="none"/>
              </w:rPr>
              <w:t>/</w:t>
            </w:r>
            <w:r>
              <w:rPr>
                <w:rFonts w:hint="eastAsia"/>
                <w:u w:val="none"/>
              </w:rPr>
              <w:t>d</w:t>
            </w:r>
            <w:r>
              <w:rPr>
                <w:rFonts w:hint="eastAsia" w:eastAsia="宋体"/>
                <w:u w:val="none"/>
                <w:lang w:eastAsia="zh-CN"/>
              </w:rPr>
              <w:t>）</w:t>
            </w:r>
          </w:p>
        </w:tc>
        <w:tc>
          <w:tcPr>
            <w:tcW w:w="560" w:type="pct"/>
            <w:vMerge w:val="restart"/>
            <w:vAlign w:val="center"/>
          </w:tcPr>
          <w:p>
            <w:pPr>
              <w:pStyle w:val="51"/>
              <w:rPr>
                <w:rFonts w:hint="eastAsia" w:eastAsia="宋体"/>
                <w:u w:val="none"/>
                <w:lang w:val="en-US" w:eastAsia="zh-CN"/>
              </w:rPr>
            </w:pPr>
            <w:r>
              <w:rPr>
                <w:rFonts w:hint="eastAsia"/>
                <w:u w:val="none"/>
              </w:rPr>
              <w:t>雨</w:t>
            </w:r>
            <w:r>
              <w:rPr>
                <w:rFonts w:hint="eastAsia" w:eastAsia="宋体"/>
                <w:u w:val="none"/>
                <w:lang w:eastAsia="zh-CN"/>
              </w:rPr>
              <w:t>、</w:t>
            </w:r>
            <w:r>
              <w:rPr>
                <w:rFonts w:hint="eastAsia"/>
                <w:u w:val="none"/>
              </w:rPr>
              <w:t>旱季约</w:t>
            </w:r>
            <w:r>
              <w:rPr>
                <w:rFonts w:hint="eastAsia" w:eastAsia="宋体"/>
                <w:u w:val="none"/>
                <w:lang w:val="en-US" w:eastAsia="zh-CN"/>
              </w:rPr>
              <w:t>300</w:t>
            </w:r>
            <w:r>
              <w:rPr>
                <w:rFonts w:hint="eastAsia"/>
                <w:u w:val="none"/>
              </w:rPr>
              <w:t>m</w:t>
            </w:r>
            <w:r>
              <w:rPr>
                <w:u w:val="none"/>
                <w:vertAlign w:val="superscript"/>
              </w:rPr>
              <w:t>3</w:t>
            </w:r>
            <w:r>
              <w:rPr>
                <w:u w:val="none"/>
              </w:rPr>
              <w:t>/</w:t>
            </w:r>
            <w:r>
              <w:rPr>
                <w:rFonts w:hint="eastAsia"/>
                <w:u w:val="none"/>
              </w:rPr>
              <w:t>d</w:t>
            </w:r>
            <w:r>
              <w:rPr>
                <w:rFonts w:hint="eastAsia" w:eastAsia="宋体"/>
                <w:u w:val="none"/>
                <w:lang w:eastAsia="zh-CN"/>
              </w:rPr>
              <w:t>（</w:t>
            </w:r>
            <w:r>
              <w:rPr>
                <w:rFonts w:hint="eastAsia" w:eastAsia="宋体"/>
                <w:u w:val="none"/>
                <w:lang w:val="en-US" w:eastAsia="zh-CN"/>
              </w:rPr>
              <w:t>污水处理厂损耗2</w:t>
            </w:r>
            <w:r>
              <w:rPr>
                <w:rFonts w:hint="eastAsia"/>
                <w:u w:val="none"/>
              </w:rPr>
              <w:t>m</w:t>
            </w:r>
            <w:r>
              <w:rPr>
                <w:u w:val="none"/>
                <w:vertAlign w:val="superscript"/>
              </w:rPr>
              <w:t>3</w:t>
            </w:r>
            <w:r>
              <w:rPr>
                <w:u w:val="none"/>
              </w:rPr>
              <w:t>/</w:t>
            </w:r>
            <w:r>
              <w:rPr>
                <w:rFonts w:hint="eastAsia"/>
                <w:u w:val="none"/>
              </w:rPr>
              <w:t>d</w:t>
            </w:r>
            <w:r>
              <w:rPr>
                <w:rFonts w:hint="eastAsia" w:eastAsia="宋体"/>
                <w:u w:val="none"/>
                <w:lang w:eastAsia="zh-CN"/>
              </w:rPr>
              <w:t>）</w:t>
            </w:r>
          </w:p>
        </w:tc>
        <w:tc>
          <w:tcPr>
            <w:tcW w:w="657" w:type="pct"/>
            <w:vMerge w:val="restart"/>
            <w:vAlign w:val="center"/>
          </w:tcPr>
          <w:p>
            <w:pPr>
              <w:pStyle w:val="51"/>
              <w:rPr>
                <w:rFonts w:hint="eastAsia"/>
                <w:u w:val="none"/>
              </w:rPr>
            </w:pPr>
            <w:r>
              <w:rPr>
                <w:rFonts w:hint="eastAsia"/>
                <w:u w:val="none"/>
              </w:rPr>
              <w:t>雨季约</w:t>
            </w:r>
            <w:r>
              <w:rPr>
                <w:rFonts w:hint="eastAsia" w:eastAsia="宋体"/>
                <w:u w:val="none"/>
                <w:lang w:val="en-US" w:eastAsia="zh-CN"/>
              </w:rPr>
              <w:t>255</w:t>
            </w:r>
            <w:r>
              <w:rPr>
                <w:rFonts w:hint="eastAsia"/>
                <w:u w:val="none"/>
              </w:rPr>
              <w:t>m</w:t>
            </w:r>
            <w:r>
              <w:rPr>
                <w:u w:val="none"/>
                <w:vertAlign w:val="superscript"/>
              </w:rPr>
              <w:t>3</w:t>
            </w:r>
            <w:r>
              <w:rPr>
                <w:u w:val="none"/>
              </w:rPr>
              <w:t>/</w:t>
            </w:r>
            <w:r>
              <w:rPr>
                <w:rFonts w:hint="eastAsia"/>
                <w:u w:val="none"/>
              </w:rPr>
              <w:t>d，旱季约</w:t>
            </w:r>
            <w:r>
              <w:rPr>
                <w:rFonts w:hint="eastAsia" w:eastAsia="宋体"/>
                <w:u w:val="none"/>
                <w:lang w:val="en-US" w:eastAsia="zh-CN"/>
              </w:rPr>
              <w:t>145</w:t>
            </w:r>
            <w:r>
              <w:rPr>
                <w:rFonts w:hint="eastAsia"/>
                <w:u w:val="none"/>
              </w:rPr>
              <w:t>m</w:t>
            </w:r>
            <w:r>
              <w:rPr>
                <w:u w:val="none"/>
                <w:vertAlign w:val="superscript"/>
              </w:rPr>
              <w:t>3</w:t>
            </w:r>
            <w:r>
              <w:rPr>
                <w:u w:val="none"/>
              </w:rPr>
              <w:t>/</w:t>
            </w:r>
            <w:r>
              <w:rPr>
                <w:rFonts w:hint="eastAsia"/>
                <w:u w:val="none"/>
              </w:rPr>
              <w:t>d</w:t>
            </w:r>
          </w:p>
        </w:tc>
        <w:tc>
          <w:tcPr>
            <w:tcW w:w="1809" w:type="pct"/>
            <w:vAlign w:val="center"/>
          </w:tcPr>
          <w:p>
            <w:pPr>
              <w:pStyle w:val="51"/>
              <w:rPr>
                <w:u w:val="none"/>
              </w:rPr>
            </w:pPr>
            <w:r>
              <w:rPr>
                <w:rFonts w:hint="eastAsia"/>
                <w:u w:val="none"/>
              </w:rPr>
              <w:t>数据来自矿山近年统计数据。</w:t>
            </w:r>
            <w:r>
              <w:rPr>
                <w:u w:val="none"/>
              </w:rPr>
              <w:t>部分回用于生产，多余部分进入废水处理站，经处理达标后由专用排水渠排入资江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90" w:hRule="atLeast"/>
          <w:jc w:val="center"/>
        </w:trPr>
        <w:tc>
          <w:tcPr>
            <w:tcW w:w="315" w:type="pct"/>
            <w:vAlign w:val="center"/>
          </w:tcPr>
          <w:p>
            <w:pPr>
              <w:pStyle w:val="51"/>
              <w:rPr>
                <w:u w:val="none"/>
              </w:rPr>
            </w:pPr>
            <w:r>
              <w:rPr>
                <w:u w:val="none"/>
              </w:rPr>
              <w:t>2</w:t>
            </w:r>
          </w:p>
        </w:tc>
        <w:tc>
          <w:tcPr>
            <w:tcW w:w="366" w:type="pct"/>
            <w:vMerge w:val="restart"/>
            <w:vAlign w:val="center"/>
          </w:tcPr>
          <w:p>
            <w:pPr>
              <w:pStyle w:val="51"/>
              <w:rPr>
                <w:u w:val="none"/>
              </w:rPr>
            </w:pPr>
            <w:r>
              <w:rPr>
                <w:u w:val="none"/>
              </w:rPr>
              <w:t>选矿过程</w:t>
            </w:r>
          </w:p>
        </w:tc>
        <w:tc>
          <w:tcPr>
            <w:tcW w:w="596" w:type="pct"/>
            <w:vAlign w:val="center"/>
          </w:tcPr>
          <w:p>
            <w:pPr>
              <w:pStyle w:val="51"/>
              <w:rPr>
                <w:u w:val="none"/>
              </w:rPr>
            </w:pPr>
            <w:r>
              <w:rPr>
                <w:u w:val="none"/>
              </w:rPr>
              <w:t>精矿压滤废水</w:t>
            </w:r>
          </w:p>
        </w:tc>
        <w:tc>
          <w:tcPr>
            <w:tcW w:w="695" w:type="pct"/>
            <w:vMerge w:val="restart"/>
            <w:vAlign w:val="center"/>
          </w:tcPr>
          <w:p>
            <w:pPr>
              <w:pStyle w:val="51"/>
              <w:rPr>
                <w:rFonts w:hint="eastAsia" w:eastAsia="宋体"/>
                <w:u w:val="none"/>
                <w:lang w:eastAsia="zh-CN"/>
              </w:rPr>
            </w:pPr>
            <w:r>
              <w:rPr>
                <w:rFonts w:hint="eastAsia"/>
                <w:u w:val="none"/>
              </w:rPr>
              <w:t>约</w:t>
            </w:r>
            <w:r>
              <w:rPr>
                <w:rFonts w:hint="eastAsia" w:eastAsia="宋体"/>
                <w:u w:val="none"/>
                <w:lang w:val="en-US" w:eastAsia="zh-CN"/>
              </w:rPr>
              <w:t>3</w:t>
            </w:r>
            <w:r>
              <w:rPr>
                <w:u w:val="none"/>
              </w:rPr>
              <w:t>00m</w:t>
            </w:r>
            <w:r>
              <w:rPr>
                <w:u w:val="none"/>
                <w:vertAlign w:val="superscript"/>
              </w:rPr>
              <w:t>3</w:t>
            </w:r>
            <w:r>
              <w:rPr>
                <w:u w:val="none"/>
              </w:rPr>
              <w:t>/d</w:t>
            </w:r>
            <w:r>
              <w:rPr>
                <w:rFonts w:hint="eastAsia" w:eastAsia="宋体"/>
                <w:u w:val="none"/>
                <w:lang w:eastAsia="zh-CN"/>
              </w:rPr>
              <w:t>（</w:t>
            </w:r>
            <w:r>
              <w:rPr>
                <w:rFonts w:hint="eastAsia" w:eastAsia="宋体"/>
                <w:u w:val="none"/>
                <w:lang w:val="en-US" w:eastAsia="zh-CN"/>
              </w:rPr>
              <w:t>损耗45</w:t>
            </w:r>
            <w:r>
              <w:rPr>
                <w:rFonts w:hint="eastAsia"/>
                <w:u w:val="none"/>
              </w:rPr>
              <w:t>m</w:t>
            </w:r>
            <w:r>
              <w:rPr>
                <w:u w:val="none"/>
                <w:vertAlign w:val="superscript"/>
              </w:rPr>
              <w:t>3</w:t>
            </w:r>
            <w:r>
              <w:rPr>
                <w:u w:val="none"/>
              </w:rPr>
              <w:t>/</w:t>
            </w:r>
            <w:r>
              <w:rPr>
                <w:rFonts w:hint="eastAsia"/>
                <w:u w:val="none"/>
              </w:rPr>
              <w:t>d</w:t>
            </w:r>
            <w:r>
              <w:rPr>
                <w:rFonts w:hint="eastAsia" w:eastAsia="宋体"/>
                <w:u w:val="none"/>
                <w:lang w:eastAsia="zh-CN"/>
              </w:rPr>
              <w:t>）</w:t>
            </w:r>
          </w:p>
        </w:tc>
        <w:tc>
          <w:tcPr>
            <w:tcW w:w="560" w:type="pct"/>
            <w:vMerge w:val="continue"/>
            <w:vAlign w:val="center"/>
          </w:tcPr>
          <w:p>
            <w:pPr>
              <w:pStyle w:val="51"/>
              <w:rPr>
                <w:rFonts w:hint="eastAsia"/>
                <w:u w:val="none"/>
              </w:rPr>
            </w:pPr>
          </w:p>
        </w:tc>
        <w:tc>
          <w:tcPr>
            <w:tcW w:w="657" w:type="pct"/>
            <w:vMerge w:val="continue"/>
            <w:vAlign w:val="center"/>
          </w:tcPr>
          <w:p>
            <w:pPr>
              <w:pStyle w:val="51"/>
              <w:rPr>
                <w:rFonts w:hint="eastAsia"/>
                <w:u w:val="none"/>
              </w:rPr>
            </w:pPr>
          </w:p>
        </w:tc>
        <w:tc>
          <w:tcPr>
            <w:tcW w:w="1809" w:type="pct"/>
            <w:vMerge w:val="restart"/>
            <w:vAlign w:val="center"/>
          </w:tcPr>
          <w:p>
            <w:pPr>
              <w:pStyle w:val="51"/>
              <w:rPr>
                <w:u w:val="none"/>
              </w:rPr>
            </w:pPr>
            <w:r>
              <w:rPr>
                <w:rFonts w:hint="eastAsia"/>
                <w:u w:val="none"/>
              </w:rPr>
              <w:t>经处理后回用，多余部分与矿井涌水一并外排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90" w:hRule="atLeast"/>
          <w:jc w:val="center"/>
        </w:trPr>
        <w:tc>
          <w:tcPr>
            <w:tcW w:w="315" w:type="pct"/>
            <w:vAlign w:val="center"/>
          </w:tcPr>
          <w:p>
            <w:pPr>
              <w:pStyle w:val="51"/>
              <w:rPr>
                <w:u w:val="none"/>
              </w:rPr>
            </w:pPr>
            <w:r>
              <w:rPr>
                <w:u w:val="none"/>
              </w:rPr>
              <w:t>3</w:t>
            </w:r>
          </w:p>
        </w:tc>
        <w:tc>
          <w:tcPr>
            <w:tcW w:w="366" w:type="pct"/>
            <w:vMerge w:val="continue"/>
            <w:vAlign w:val="center"/>
          </w:tcPr>
          <w:p>
            <w:pPr>
              <w:pStyle w:val="51"/>
              <w:rPr>
                <w:u w:val="none"/>
              </w:rPr>
            </w:pPr>
          </w:p>
        </w:tc>
        <w:tc>
          <w:tcPr>
            <w:tcW w:w="596" w:type="pct"/>
            <w:vAlign w:val="center"/>
          </w:tcPr>
          <w:p>
            <w:pPr>
              <w:pStyle w:val="51"/>
              <w:rPr>
                <w:u w:val="none"/>
              </w:rPr>
            </w:pPr>
            <w:r>
              <w:rPr>
                <w:u w:val="none"/>
              </w:rPr>
              <w:t>尾矿压滤废水</w:t>
            </w:r>
          </w:p>
        </w:tc>
        <w:tc>
          <w:tcPr>
            <w:tcW w:w="695" w:type="pct"/>
            <w:vMerge w:val="continue"/>
            <w:vAlign w:val="center"/>
          </w:tcPr>
          <w:p>
            <w:pPr>
              <w:pStyle w:val="51"/>
              <w:rPr>
                <w:u w:val="none"/>
              </w:rPr>
            </w:pPr>
          </w:p>
        </w:tc>
        <w:tc>
          <w:tcPr>
            <w:tcW w:w="560" w:type="pct"/>
            <w:vMerge w:val="continue"/>
            <w:vAlign w:val="center"/>
          </w:tcPr>
          <w:p>
            <w:pPr>
              <w:pStyle w:val="51"/>
              <w:rPr>
                <w:u w:val="none"/>
              </w:rPr>
            </w:pPr>
          </w:p>
        </w:tc>
        <w:tc>
          <w:tcPr>
            <w:tcW w:w="657" w:type="pct"/>
            <w:vMerge w:val="continue"/>
            <w:vAlign w:val="center"/>
          </w:tcPr>
          <w:p>
            <w:pPr>
              <w:pStyle w:val="51"/>
              <w:rPr>
                <w:u w:val="none"/>
              </w:rPr>
            </w:pPr>
          </w:p>
        </w:tc>
        <w:tc>
          <w:tcPr>
            <w:tcW w:w="1809" w:type="pct"/>
            <w:vMerge w:val="continue"/>
            <w:vAlign w:val="center"/>
          </w:tcPr>
          <w:p>
            <w:pPr>
              <w:pStyle w:val="51"/>
              <w:rPr>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315" w:type="pct"/>
            <w:vAlign w:val="center"/>
          </w:tcPr>
          <w:p>
            <w:pPr>
              <w:pStyle w:val="51"/>
              <w:rPr>
                <w:u w:val="none"/>
              </w:rPr>
            </w:pPr>
            <w:r>
              <w:rPr>
                <w:u w:val="none"/>
              </w:rPr>
              <w:t>4</w:t>
            </w:r>
          </w:p>
        </w:tc>
        <w:tc>
          <w:tcPr>
            <w:tcW w:w="366" w:type="pct"/>
            <w:vAlign w:val="center"/>
          </w:tcPr>
          <w:p>
            <w:pPr>
              <w:pStyle w:val="51"/>
              <w:rPr>
                <w:u w:val="none"/>
              </w:rPr>
            </w:pPr>
            <w:r>
              <w:rPr>
                <w:u w:val="none"/>
              </w:rPr>
              <w:t>废石堆存</w:t>
            </w:r>
          </w:p>
        </w:tc>
        <w:tc>
          <w:tcPr>
            <w:tcW w:w="596" w:type="pct"/>
            <w:vAlign w:val="center"/>
          </w:tcPr>
          <w:p>
            <w:pPr>
              <w:pStyle w:val="51"/>
              <w:rPr>
                <w:u w:val="none"/>
              </w:rPr>
            </w:pPr>
            <w:r>
              <w:rPr>
                <w:u w:val="none"/>
              </w:rPr>
              <w:t>废石堆场</w:t>
            </w:r>
          </w:p>
          <w:p>
            <w:pPr>
              <w:pStyle w:val="51"/>
              <w:rPr>
                <w:u w:val="none"/>
              </w:rPr>
            </w:pPr>
            <w:r>
              <w:rPr>
                <w:u w:val="none"/>
              </w:rPr>
              <w:t>淋溶水</w:t>
            </w:r>
          </w:p>
        </w:tc>
        <w:tc>
          <w:tcPr>
            <w:tcW w:w="695" w:type="pct"/>
            <w:vMerge w:val="restart"/>
            <w:vAlign w:val="center"/>
          </w:tcPr>
          <w:p>
            <w:pPr>
              <w:pStyle w:val="51"/>
              <w:rPr>
                <w:u w:val="none"/>
              </w:rPr>
            </w:pPr>
            <w:r>
              <w:rPr>
                <w:rFonts w:hint="eastAsia"/>
                <w:u w:val="none"/>
              </w:rPr>
              <w:t>少量</w:t>
            </w:r>
            <w:r>
              <w:rPr>
                <w:rFonts w:hint="eastAsia" w:eastAsia="宋体"/>
                <w:u w:val="none"/>
                <w:lang w:eastAsia="zh-CN"/>
              </w:rPr>
              <w:t>（</w:t>
            </w:r>
            <w:r>
              <w:rPr>
                <w:rFonts w:hint="eastAsia"/>
                <w:u w:val="none"/>
              </w:rPr>
              <w:t>雨季约</w:t>
            </w:r>
            <w:r>
              <w:rPr>
                <w:u w:val="none"/>
              </w:rPr>
              <w:t>20m</w:t>
            </w:r>
            <w:r>
              <w:rPr>
                <w:u w:val="none"/>
                <w:vertAlign w:val="superscript"/>
              </w:rPr>
              <w:t>3</w:t>
            </w:r>
            <w:r>
              <w:rPr>
                <w:u w:val="none"/>
              </w:rPr>
              <w:t>/d</w:t>
            </w:r>
            <w:r>
              <w:rPr>
                <w:rFonts w:hint="eastAsia" w:eastAsia="宋体"/>
                <w:u w:val="none"/>
                <w:lang w:eastAsia="zh-CN"/>
              </w:rPr>
              <w:t>）</w:t>
            </w:r>
          </w:p>
        </w:tc>
        <w:tc>
          <w:tcPr>
            <w:tcW w:w="560" w:type="pct"/>
            <w:vMerge w:val="continue"/>
            <w:vAlign w:val="center"/>
          </w:tcPr>
          <w:p>
            <w:pPr>
              <w:pStyle w:val="51"/>
              <w:rPr>
                <w:u w:val="none"/>
              </w:rPr>
            </w:pPr>
          </w:p>
        </w:tc>
        <w:tc>
          <w:tcPr>
            <w:tcW w:w="657" w:type="pct"/>
            <w:vMerge w:val="continue"/>
            <w:vAlign w:val="center"/>
          </w:tcPr>
          <w:p>
            <w:pPr>
              <w:pStyle w:val="51"/>
              <w:rPr>
                <w:u w:val="none"/>
              </w:rPr>
            </w:pPr>
          </w:p>
        </w:tc>
        <w:tc>
          <w:tcPr>
            <w:tcW w:w="1809" w:type="pct"/>
            <w:vMerge w:val="continue"/>
            <w:vAlign w:val="center"/>
          </w:tcPr>
          <w:p>
            <w:pPr>
              <w:pStyle w:val="51"/>
              <w:rPr>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90" w:hRule="atLeast"/>
          <w:jc w:val="center"/>
        </w:trPr>
        <w:tc>
          <w:tcPr>
            <w:tcW w:w="315" w:type="pct"/>
            <w:vAlign w:val="center"/>
          </w:tcPr>
          <w:p>
            <w:pPr>
              <w:pStyle w:val="51"/>
              <w:rPr>
                <w:u w:val="none"/>
              </w:rPr>
            </w:pPr>
            <w:r>
              <w:rPr>
                <w:u w:val="none"/>
              </w:rPr>
              <w:t>5</w:t>
            </w:r>
          </w:p>
        </w:tc>
        <w:tc>
          <w:tcPr>
            <w:tcW w:w="366" w:type="pct"/>
            <w:vAlign w:val="center"/>
          </w:tcPr>
          <w:p>
            <w:pPr>
              <w:pStyle w:val="51"/>
              <w:rPr>
                <w:u w:val="none"/>
              </w:rPr>
            </w:pPr>
            <w:r>
              <w:rPr>
                <w:u w:val="none"/>
              </w:rPr>
              <w:t>尾矿堆存</w:t>
            </w:r>
          </w:p>
        </w:tc>
        <w:tc>
          <w:tcPr>
            <w:tcW w:w="596" w:type="pct"/>
            <w:vAlign w:val="center"/>
          </w:tcPr>
          <w:p>
            <w:pPr>
              <w:pStyle w:val="51"/>
              <w:rPr>
                <w:u w:val="none"/>
              </w:rPr>
            </w:pPr>
            <w:r>
              <w:rPr>
                <w:u w:val="none"/>
              </w:rPr>
              <w:t>尾矿库渗水</w:t>
            </w:r>
          </w:p>
        </w:tc>
        <w:tc>
          <w:tcPr>
            <w:tcW w:w="695" w:type="pct"/>
            <w:vMerge w:val="continue"/>
            <w:vAlign w:val="center"/>
          </w:tcPr>
          <w:p>
            <w:pPr>
              <w:pStyle w:val="51"/>
              <w:rPr>
                <w:u w:val="none"/>
              </w:rPr>
            </w:pPr>
          </w:p>
        </w:tc>
        <w:tc>
          <w:tcPr>
            <w:tcW w:w="560" w:type="pct"/>
            <w:vMerge w:val="continue"/>
            <w:vAlign w:val="center"/>
          </w:tcPr>
          <w:p>
            <w:pPr>
              <w:pStyle w:val="51"/>
              <w:rPr>
                <w:u w:val="none"/>
              </w:rPr>
            </w:pPr>
          </w:p>
        </w:tc>
        <w:tc>
          <w:tcPr>
            <w:tcW w:w="657" w:type="pct"/>
            <w:vMerge w:val="continue"/>
            <w:vAlign w:val="center"/>
          </w:tcPr>
          <w:p>
            <w:pPr>
              <w:pStyle w:val="51"/>
              <w:rPr>
                <w:u w:val="none"/>
              </w:rPr>
            </w:pPr>
          </w:p>
        </w:tc>
        <w:tc>
          <w:tcPr>
            <w:tcW w:w="1809" w:type="pct"/>
            <w:vMerge w:val="continue"/>
            <w:vAlign w:val="center"/>
          </w:tcPr>
          <w:p>
            <w:pPr>
              <w:pStyle w:val="51"/>
              <w:rPr>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07" w:hRule="atLeast"/>
          <w:jc w:val="center"/>
        </w:trPr>
        <w:tc>
          <w:tcPr>
            <w:tcW w:w="315" w:type="pct"/>
            <w:vAlign w:val="center"/>
          </w:tcPr>
          <w:p>
            <w:pPr>
              <w:pStyle w:val="51"/>
              <w:rPr>
                <w:u w:val="none"/>
              </w:rPr>
            </w:pPr>
            <w:r>
              <w:rPr>
                <w:u w:val="none"/>
              </w:rPr>
              <w:t>6</w:t>
            </w:r>
          </w:p>
        </w:tc>
        <w:tc>
          <w:tcPr>
            <w:tcW w:w="366" w:type="pct"/>
            <w:vAlign w:val="center"/>
          </w:tcPr>
          <w:p>
            <w:pPr>
              <w:pStyle w:val="51"/>
              <w:rPr>
                <w:u w:val="none"/>
              </w:rPr>
            </w:pPr>
            <w:r>
              <w:rPr>
                <w:u w:val="none"/>
              </w:rPr>
              <w:t>员工生活</w:t>
            </w:r>
          </w:p>
        </w:tc>
        <w:tc>
          <w:tcPr>
            <w:tcW w:w="596" w:type="pct"/>
            <w:vAlign w:val="center"/>
          </w:tcPr>
          <w:p>
            <w:pPr>
              <w:pStyle w:val="51"/>
              <w:rPr>
                <w:u w:val="none"/>
              </w:rPr>
            </w:pPr>
            <w:r>
              <w:rPr>
                <w:u w:val="none"/>
              </w:rPr>
              <w:t>生活污水</w:t>
            </w:r>
          </w:p>
        </w:tc>
        <w:tc>
          <w:tcPr>
            <w:tcW w:w="695" w:type="pct"/>
            <w:vAlign w:val="center"/>
          </w:tcPr>
          <w:p>
            <w:pPr>
              <w:pStyle w:val="51"/>
              <w:rPr>
                <w:u w:val="none"/>
              </w:rPr>
            </w:pPr>
            <w:r>
              <w:rPr>
                <w:rFonts w:hint="eastAsia" w:eastAsia="宋体"/>
                <w:u w:val="none"/>
                <w:lang w:val="en-US" w:eastAsia="zh-CN"/>
              </w:rPr>
              <w:t>3.0</w:t>
            </w:r>
            <w:r>
              <w:rPr>
                <w:u w:val="none"/>
              </w:rPr>
              <w:t>m</w:t>
            </w:r>
            <w:r>
              <w:rPr>
                <w:u w:val="none"/>
                <w:vertAlign w:val="superscript"/>
              </w:rPr>
              <w:t>3</w:t>
            </w:r>
            <w:r>
              <w:rPr>
                <w:u w:val="none"/>
              </w:rPr>
              <w:t>/d</w:t>
            </w:r>
          </w:p>
        </w:tc>
        <w:tc>
          <w:tcPr>
            <w:tcW w:w="560" w:type="pct"/>
            <w:vAlign w:val="center"/>
          </w:tcPr>
          <w:p>
            <w:pPr>
              <w:pStyle w:val="51"/>
              <w:rPr>
                <w:rFonts w:hint="eastAsia" w:eastAsia="宋体"/>
                <w:u w:val="none"/>
                <w:lang w:val="en-US" w:eastAsia="zh-CN"/>
              </w:rPr>
            </w:pPr>
            <w:r>
              <w:rPr>
                <w:rFonts w:hint="eastAsia" w:eastAsia="宋体"/>
                <w:u w:val="none"/>
                <w:lang w:val="en-US" w:eastAsia="zh-CN"/>
              </w:rPr>
              <w:t>/</w:t>
            </w:r>
          </w:p>
        </w:tc>
        <w:tc>
          <w:tcPr>
            <w:tcW w:w="657" w:type="pct"/>
            <w:vAlign w:val="center"/>
          </w:tcPr>
          <w:p>
            <w:pPr>
              <w:pStyle w:val="51"/>
              <w:rPr>
                <w:rFonts w:hint="eastAsia" w:eastAsia="宋体"/>
                <w:u w:val="none"/>
                <w:lang w:val="en-US" w:eastAsia="zh-CN"/>
              </w:rPr>
            </w:pPr>
            <w:r>
              <w:rPr>
                <w:rFonts w:hint="eastAsia" w:eastAsia="宋体"/>
                <w:u w:val="none"/>
                <w:lang w:val="en-US" w:eastAsia="zh-CN"/>
              </w:rPr>
              <w:t>/</w:t>
            </w:r>
          </w:p>
        </w:tc>
        <w:tc>
          <w:tcPr>
            <w:tcW w:w="1809" w:type="pct"/>
            <w:vAlign w:val="center"/>
          </w:tcPr>
          <w:p>
            <w:pPr>
              <w:pStyle w:val="51"/>
              <w:rPr>
                <w:u w:val="none"/>
              </w:rPr>
            </w:pPr>
            <w:r>
              <w:rPr>
                <w:rFonts w:hint="eastAsia"/>
                <w:u w:val="none"/>
                <w:lang w:val="en-US" w:eastAsia="zh-CN"/>
              </w:rPr>
              <w:t>食堂废水经隔油池预处理后与生活污水一起经由化粪池+一体化设施+人工湿地处理系统处理后回用于矿区绿化用水</w:t>
            </w:r>
            <w:r>
              <w:rPr>
                <w:u w:val="none"/>
              </w:rPr>
              <w:t>。</w:t>
            </w:r>
          </w:p>
        </w:tc>
      </w:tr>
    </w:tbl>
    <w:p>
      <w:pPr>
        <w:pStyle w:val="4"/>
        <w:rPr>
          <w:u w:val="none"/>
        </w:rPr>
      </w:pPr>
      <w:r>
        <w:rPr>
          <w:rFonts w:hint="eastAsia"/>
          <w:u w:val="none"/>
        </w:rPr>
        <w:t>4.2.3废水所含主要污染物种类及其排放浓度、总量</w:t>
      </w:r>
    </w:p>
    <w:p>
      <w:pPr>
        <w:ind w:firstLine="480"/>
        <w:rPr>
          <w:u w:val="none"/>
        </w:rPr>
      </w:pPr>
      <w:r>
        <w:rPr>
          <w:rFonts w:hint="eastAsia"/>
          <w:u w:val="none"/>
        </w:rPr>
        <w:t>项目生产废水经处理</w:t>
      </w:r>
      <w:r>
        <w:rPr>
          <w:u w:val="none"/>
        </w:rPr>
        <w:t>锑监测因子</w:t>
      </w:r>
      <w:r>
        <w:rPr>
          <w:rFonts w:hint="eastAsia"/>
          <w:u w:val="none"/>
        </w:rPr>
        <w:t>达到</w:t>
      </w:r>
      <w:r>
        <w:rPr>
          <w:u w:val="none"/>
        </w:rPr>
        <w:t>《锡、锑、汞工业污染物排放标准》(GB30770-2014)中表2新建企业水污染物排放限值，铊监测因子</w:t>
      </w:r>
      <w:r>
        <w:rPr>
          <w:rFonts w:hint="eastAsia"/>
          <w:u w:val="none"/>
        </w:rPr>
        <w:t>达到</w:t>
      </w:r>
      <w:r>
        <w:rPr>
          <w:u w:val="none"/>
        </w:rPr>
        <w:t>《工业废水铊污染物排放标准》(</w:t>
      </w:r>
      <w:r>
        <w:rPr>
          <w:rFonts w:hint="eastAsia"/>
          <w:u w:val="none"/>
        </w:rPr>
        <w:t>DB43/968-2021</w:t>
      </w:r>
      <w:r>
        <w:rPr>
          <w:u w:val="none"/>
        </w:rPr>
        <w:t>)标准要求，</w:t>
      </w:r>
      <w:r>
        <w:rPr>
          <w:rFonts w:hint="eastAsia"/>
          <w:color w:val="000000"/>
          <w:u w:val="none"/>
          <w:lang w:val="en-US" w:eastAsia="zh-CN"/>
        </w:rPr>
        <w:t>砷达到环评</w:t>
      </w:r>
      <w:r>
        <w:rPr>
          <w:rFonts w:hint="eastAsia"/>
          <w:u w:val="none"/>
        </w:rPr>
        <w:t>总量控制指标</w:t>
      </w:r>
      <w:r>
        <w:rPr>
          <w:rFonts w:hint="eastAsia"/>
          <w:u w:val="none"/>
          <w:lang w:val="en-US" w:eastAsia="zh-CN"/>
        </w:rPr>
        <w:t>核算中的0.2</w:t>
      </w:r>
      <w:r>
        <w:t>mg/L</w:t>
      </w:r>
      <w:r>
        <w:rPr>
          <w:rFonts w:hint="eastAsia"/>
          <w:lang w:val="en-US" w:eastAsia="zh-CN"/>
        </w:rPr>
        <w:t>浓度限值要求，</w:t>
      </w:r>
      <w:r>
        <w:rPr>
          <w:u w:val="none"/>
        </w:rPr>
        <w:t>其余各监测因子均符合《污水综合排放标准》(GB8978-1996)表1及表4中一级标准要求</w:t>
      </w:r>
      <w:r>
        <w:rPr>
          <w:rFonts w:hint="eastAsia"/>
          <w:u w:val="none"/>
        </w:rPr>
        <w:t>，后排入资江</w:t>
      </w:r>
      <w:r>
        <w:rPr>
          <w:u w:val="none"/>
        </w:rPr>
        <w:t>。</w:t>
      </w:r>
    </w:p>
    <w:p>
      <w:pPr>
        <w:ind w:firstLine="480"/>
        <w:rPr>
          <w:u w:val="none"/>
        </w:rPr>
      </w:pPr>
      <w:r>
        <w:rPr>
          <w:u w:val="none"/>
        </w:rPr>
        <w:t>由此，本次论证</w:t>
      </w:r>
      <w:r>
        <w:rPr>
          <w:rFonts w:hint="eastAsia"/>
          <w:u w:val="none"/>
        </w:rPr>
        <w:t>由湖南湘健环保科技有限公司于2024年01月17日至01月22日对外排废水进行了</w:t>
      </w:r>
      <w:r>
        <w:rPr>
          <w:u w:val="none"/>
        </w:rPr>
        <w:t>监测</w:t>
      </w:r>
      <w:r>
        <w:rPr>
          <w:rFonts w:hint="eastAsia"/>
          <w:u w:val="none"/>
        </w:rPr>
        <w:t>。</w:t>
      </w:r>
    </w:p>
    <w:p>
      <w:pPr>
        <w:pStyle w:val="9"/>
        <w:autoSpaceDE w:val="0"/>
        <w:autoSpaceDN w:val="0"/>
        <w:ind w:firstLine="482"/>
        <w:rPr>
          <w:rFonts w:cs="Times New Roman"/>
          <w:bCs/>
          <w:sz w:val="24"/>
          <w:szCs w:val="21"/>
          <w:u w:val="none"/>
        </w:rPr>
      </w:pPr>
      <w:r>
        <w:rPr>
          <w:rFonts w:cs="Times New Roman"/>
          <w:bCs/>
          <w:sz w:val="24"/>
          <w:szCs w:val="21"/>
          <w:u w:val="none"/>
        </w:rPr>
        <w:t>表</w:t>
      </w:r>
      <w:r>
        <w:rPr>
          <w:rFonts w:hint="eastAsia" w:cs="Times New Roman"/>
          <w:bCs/>
          <w:sz w:val="24"/>
          <w:szCs w:val="21"/>
          <w:u w:val="none"/>
        </w:rPr>
        <w:t>4.2.3-1生产废水</w:t>
      </w:r>
      <w:r>
        <w:rPr>
          <w:rFonts w:cs="Times New Roman"/>
          <w:bCs/>
          <w:sz w:val="24"/>
          <w:szCs w:val="21"/>
          <w:u w:val="none"/>
        </w:rPr>
        <w:t>污染物的</w:t>
      </w:r>
      <w:r>
        <w:rPr>
          <w:rFonts w:hint="eastAsia" w:cs="Times New Roman"/>
          <w:bCs/>
          <w:sz w:val="24"/>
          <w:szCs w:val="21"/>
          <w:u w:val="none"/>
        </w:rPr>
        <w:t>排放情况分析</w:t>
      </w:r>
    </w:p>
    <w:tbl>
      <w:tblPr>
        <w:tblStyle w:val="31"/>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1805"/>
        <w:gridCol w:w="1968"/>
        <w:gridCol w:w="1526"/>
        <w:gridCol w:w="2273"/>
        <w:gridCol w:w="12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atLeast"/>
          <w:tblHeader/>
          <w:jc w:val="center"/>
        </w:trPr>
        <w:tc>
          <w:tcPr>
            <w:tcW w:w="265" w:type="pct"/>
            <w:vMerge w:val="restart"/>
            <w:shd w:val="clear" w:color="auto" w:fill="auto"/>
            <w:vAlign w:val="center"/>
          </w:tcPr>
          <w:p>
            <w:pPr>
              <w:pStyle w:val="16"/>
              <w:jc w:val="center"/>
              <w:rPr>
                <w:u w:val="none"/>
              </w:rPr>
            </w:pPr>
            <w:r>
              <w:rPr>
                <w:u w:val="none"/>
              </w:rPr>
              <w:t>类别</w:t>
            </w:r>
          </w:p>
        </w:tc>
        <w:tc>
          <w:tcPr>
            <w:tcW w:w="972" w:type="pct"/>
            <w:shd w:val="clear" w:color="auto" w:fill="auto"/>
            <w:vAlign w:val="center"/>
          </w:tcPr>
          <w:p>
            <w:pPr>
              <w:pStyle w:val="16"/>
              <w:jc w:val="center"/>
              <w:rPr>
                <w:u w:val="none"/>
              </w:rPr>
            </w:pPr>
            <w:r>
              <w:rPr>
                <w:u w:val="none"/>
              </w:rPr>
              <w:t>污染物名称</w:t>
            </w:r>
          </w:p>
        </w:tc>
        <w:tc>
          <w:tcPr>
            <w:tcW w:w="1060" w:type="pct"/>
            <w:shd w:val="clear" w:color="auto" w:fill="auto"/>
            <w:vAlign w:val="center"/>
          </w:tcPr>
          <w:p>
            <w:pPr>
              <w:pStyle w:val="16"/>
              <w:jc w:val="center"/>
              <w:rPr>
                <w:u w:val="none"/>
              </w:rPr>
            </w:pPr>
            <w:r>
              <w:rPr>
                <w:u w:val="none"/>
              </w:rPr>
              <w:t>产生情况浓度mg/L</w:t>
            </w:r>
          </w:p>
        </w:tc>
        <w:tc>
          <w:tcPr>
            <w:tcW w:w="822" w:type="pct"/>
            <w:vMerge w:val="restart"/>
            <w:shd w:val="clear" w:color="auto" w:fill="auto"/>
            <w:vAlign w:val="center"/>
          </w:tcPr>
          <w:p>
            <w:pPr>
              <w:pStyle w:val="16"/>
              <w:jc w:val="center"/>
              <w:rPr>
                <w:u w:val="none"/>
              </w:rPr>
            </w:pPr>
            <w:r>
              <w:rPr>
                <w:u w:val="none"/>
              </w:rPr>
              <w:t>处理措施</w:t>
            </w:r>
          </w:p>
        </w:tc>
        <w:tc>
          <w:tcPr>
            <w:tcW w:w="1224" w:type="pct"/>
            <w:shd w:val="clear" w:color="auto" w:fill="auto"/>
            <w:vAlign w:val="center"/>
          </w:tcPr>
          <w:p>
            <w:pPr>
              <w:pStyle w:val="16"/>
              <w:jc w:val="center"/>
              <w:rPr>
                <w:u w:val="none"/>
              </w:rPr>
            </w:pPr>
            <w:r>
              <w:rPr>
                <w:u w:val="none"/>
              </w:rPr>
              <w:t>排放情况浓度mg/L</w:t>
            </w:r>
          </w:p>
        </w:tc>
        <w:tc>
          <w:tcPr>
            <w:tcW w:w="654" w:type="pct"/>
            <w:vMerge w:val="restart"/>
            <w:shd w:val="clear" w:color="auto" w:fill="auto"/>
            <w:vAlign w:val="center"/>
          </w:tcPr>
          <w:p>
            <w:pPr>
              <w:pStyle w:val="16"/>
              <w:jc w:val="center"/>
              <w:rPr>
                <w:u w:val="none"/>
              </w:rPr>
            </w:pPr>
            <w:r>
              <w:rPr>
                <w:u w:val="none"/>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Merge w:val="restart"/>
            <w:shd w:val="clear" w:color="auto" w:fill="auto"/>
            <w:vAlign w:val="center"/>
          </w:tcPr>
          <w:p>
            <w:pPr>
              <w:pStyle w:val="16"/>
              <w:jc w:val="center"/>
              <w:rPr>
                <w:u w:val="none"/>
              </w:rPr>
            </w:pPr>
            <w:r>
              <w:rPr>
                <w:rFonts w:hint="eastAsia"/>
                <w:u w:val="none"/>
              </w:rPr>
              <w:t>生产废水</w:t>
            </w:r>
          </w:p>
        </w:tc>
        <w:tc>
          <w:tcPr>
            <w:tcW w:w="972" w:type="pct"/>
            <w:shd w:val="clear" w:color="auto" w:fill="auto"/>
            <w:vAlign w:val="center"/>
          </w:tcPr>
          <w:p>
            <w:pPr>
              <w:pStyle w:val="16"/>
              <w:jc w:val="center"/>
              <w:rPr>
                <w:u w:val="none"/>
              </w:rPr>
            </w:pPr>
            <w:r>
              <w:rPr>
                <w:u w:val="none"/>
              </w:rPr>
              <w:t>水量</w:t>
            </w:r>
          </w:p>
        </w:tc>
        <w:tc>
          <w:tcPr>
            <w:tcW w:w="1060" w:type="pct"/>
            <w:shd w:val="clear" w:color="auto" w:fill="auto"/>
            <w:vAlign w:val="center"/>
          </w:tcPr>
          <w:p>
            <w:pPr>
              <w:pStyle w:val="16"/>
              <w:jc w:val="center"/>
              <w:rPr>
                <w:rFonts w:hint="default" w:eastAsiaTheme="minorEastAsia"/>
                <w:u w:val="none"/>
                <w:lang w:val="en-US" w:eastAsia="zh-CN"/>
              </w:rPr>
            </w:pPr>
            <w:r>
              <w:rPr>
                <w:rFonts w:hint="eastAsia"/>
                <w:u w:val="none"/>
                <w:lang w:val="en-US" w:eastAsia="zh-CN"/>
              </w:rPr>
              <w:t>66125t/a</w:t>
            </w:r>
          </w:p>
        </w:tc>
        <w:tc>
          <w:tcPr>
            <w:tcW w:w="822" w:type="pct"/>
            <w:vMerge w:val="restart"/>
            <w:shd w:val="clear" w:color="auto" w:fill="auto"/>
            <w:vAlign w:val="center"/>
          </w:tcPr>
          <w:p>
            <w:pPr>
              <w:pStyle w:val="16"/>
              <w:jc w:val="center"/>
              <w:rPr>
                <w:u w:val="none"/>
              </w:rPr>
            </w:pPr>
            <w:r>
              <w:rPr>
                <w:u w:val="none"/>
              </w:rPr>
              <w:t>废水处理站</w:t>
            </w:r>
          </w:p>
        </w:tc>
        <w:tc>
          <w:tcPr>
            <w:tcW w:w="1224" w:type="pct"/>
            <w:shd w:val="clear" w:color="auto" w:fill="auto"/>
            <w:vAlign w:val="center"/>
          </w:tcPr>
          <w:p>
            <w:pPr>
              <w:pStyle w:val="16"/>
              <w:jc w:val="center"/>
              <w:rPr>
                <w:rFonts w:hint="default" w:eastAsiaTheme="minorEastAsia"/>
                <w:u w:val="none"/>
                <w:lang w:val="en-US" w:eastAsia="zh-CN"/>
              </w:rPr>
            </w:pPr>
            <w:r>
              <w:rPr>
                <w:rFonts w:hint="eastAsia"/>
                <w:u w:val="none"/>
                <w:lang w:val="en-US" w:eastAsia="zh-CN"/>
              </w:rPr>
              <w:t>66125t/a</w:t>
            </w:r>
          </w:p>
        </w:tc>
        <w:tc>
          <w:tcPr>
            <w:tcW w:w="654" w:type="pct"/>
            <w:vMerge w:val="restart"/>
            <w:shd w:val="clear" w:color="auto" w:fill="auto"/>
            <w:vAlign w:val="center"/>
          </w:tcPr>
          <w:p>
            <w:pPr>
              <w:pStyle w:val="16"/>
              <w:jc w:val="center"/>
              <w:rPr>
                <w:u w:val="none"/>
              </w:rPr>
            </w:pPr>
            <w:r>
              <w:rPr>
                <w:rFonts w:hint="eastAsia"/>
                <w:u w:val="none"/>
              </w:rPr>
              <w:t>资江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Merge w:val="continue"/>
            <w:shd w:val="clear" w:color="auto" w:fill="auto"/>
            <w:vAlign w:val="center"/>
          </w:tcPr>
          <w:p>
            <w:pPr>
              <w:pStyle w:val="16"/>
              <w:jc w:val="center"/>
              <w:rPr>
                <w:u w:val="none"/>
              </w:rPr>
            </w:pPr>
          </w:p>
        </w:tc>
        <w:tc>
          <w:tcPr>
            <w:tcW w:w="972" w:type="pct"/>
            <w:shd w:val="clear" w:color="auto" w:fill="auto"/>
            <w:vAlign w:val="center"/>
          </w:tcPr>
          <w:p>
            <w:pPr>
              <w:pStyle w:val="16"/>
              <w:jc w:val="center"/>
              <w:rPr>
                <w:u w:val="none"/>
                <w:lang w:eastAsia="en-US"/>
              </w:rPr>
            </w:pPr>
            <w:r>
              <w:rPr>
                <w:u w:val="none"/>
              </w:rPr>
              <w:t>pH</w:t>
            </w:r>
            <w:r>
              <w:rPr>
                <w:rFonts w:hint="eastAsia"/>
                <w:u w:val="none"/>
              </w:rPr>
              <w:t>值</w:t>
            </w:r>
          </w:p>
        </w:tc>
        <w:tc>
          <w:tcPr>
            <w:tcW w:w="1060" w:type="pct"/>
            <w:shd w:val="clear" w:color="auto" w:fill="auto"/>
            <w:vAlign w:val="center"/>
          </w:tcPr>
          <w:p>
            <w:pPr>
              <w:pStyle w:val="16"/>
              <w:jc w:val="center"/>
              <w:rPr>
                <w:u w:val="none"/>
              </w:rPr>
            </w:pPr>
            <w:r>
              <w:rPr>
                <w:rFonts w:hint="eastAsia"/>
                <w:u w:val="none"/>
              </w:rPr>
              <w:t>7.8</w:t>
            </w:r>
          </w:p>
        </w:tc>
        <w:tc>
          <w:tcPr>
            <w:tcW w:w="822" w:type="pct"/>
            <w:vMerge w:val="continue"/>
            <w:shd w:val="clear" w:color="auto" w:fill="auto"/>
            <w:vAlign w:val="center"/>
          </w:tcPr>
          <w:p>
            <w:pPr>
              <w:pStyle w:val="16"/>
              <w:jc w:val="center"/>
              <w:rPr>
                <w:u w:val="none"/>
              </w:rPr>
            </w:pPr>
          </w:p>
        </w:tc>
        <w:tc>
          <w:tcPr>
            <w:tcW w:w="1224" w:type="pct"/>
            <w:shd w:val="clear" w:color="auto" w:fill="auto"/>
            <w:vAlign w:val="center"/>
          </w:tcPr>
          <w:p>
            <w:pPr>
              <w:pStyle w:val="16"/>
              <w:jc w:val="center"/>
              <w:rPr>
                <w:u w:val="none"/>
              </w:rPr>
            </w:pPr>
            <w:r>
              <w:rPr>
                <w:rFonts w:hint="eastAsia"/>
                <w:u w:val="none"/>
              </w:rPr>
              <w:t>7.6</w:t>
            </w:r>
          </w:p>
        </w:tc>
        <w:tc>
          <w:tcPr>
            <w:tcW w:w="654" w:type="pct"/>
            <w:vMerge w:val="continue"/>
            <w:shd w:val="clear" w:color="auto" w:fill="auto"/>
            <w:vAlign w:val="center"/>
          </w:tcPr>
          <w:p>
            <w:pPr>
              <w:pStyle w:val="16"/>
              <w:jc w:val="center"/>
              <w:rPr>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shd w:val="clear" w:color="auto" w:fill="auto"/>
            <w:vAlign w:val="center"/>
          </w:tcPr>
          <w:p>
            <w:pPr>
              <w:pStyle w:val="16"/>
              <w:jc w:val="center"/>
              <w:rPr>
                <w:u w:val="none"/>
              </w:rPr>
            </w:pPr>
          </w:p>
        </w:tc>
        <w:tc>
          <w:tcPr>
            <w:tcW w:w="972" w:type="pct"/>
            <w:shd w:val="clear" w:color="auto" w:fill="auto"/>
            <w:vAlign w:val="center"/>
          </w:tcPr>
          <w:p>
            <w:pPr>
              <w:pStyle w:val="16"/>
              <w:jc w:val="center"/>
              <w:rPr>
                <w:u w:val="none"/>
                <w:lang w:eastAsia="en-US"/>
              </w:rPr>
            </w:pPr>
            <w:r>
              <w:rPr>
                <w:rFonts w:hint="eastAsia"/>
                <w:u w:val="none"/>
              </w:rPr>
              <w:t>化学需氧量</w:t>
            </w:r>
          </w:p>
        </w:tc>
        <w:tc>
          <w:tcPr>
            <w:tcW w:w="1060" w:type="pct"/>
            <w:shd w:val="clear" w:color="auto" w:fill="auto"/>
            <w:vAlign w:val="center"/>
          </w:tcPr>
          <w:p>
            <w:pPr>
              <w:pStyle w:val="16"/>
              <w:jc w:val="center"/>
              <w:rPr>
                <w:u w:val="none"/>
              </w:rPr>
            </w:pPr>
            <w:r>
              <w:rPr>
                <w:u w:val="none"/>
              </w:rPr>
              <w:t>111</w:t>
            </w:r>
          </w:p>
        </w:tc>
        <w:tc>
          <w:tcPr>
            <w:tcW w:w="822" w:type="pct"/>
            <w:vMerge w:val="continue"/>
            <w:shd w:val="clear" w:color="auto" w:fill="auto"/>
            <w:vAlign w:val="center"/>
          </w:tcPr>
          <w:p>
            <w:pPr>
              <w:pStyle w:val="16"/>
              <w:jc w:val="center"/>
              <w:rPr>
                <w:u w:val="none"/>
              </w:rPr>
            </w:pPr>
          </w:p>
        </w:tc>
        <w:tc>
          <w:tcPr>
            <w:tcW w:w="1224" w:type="pct"/>
            <w:shd w:val="clear" w:color="auto" w:fill="auto"/>
            <w:vAlign w:val="center"/>
          </w:tcPr>
          <w:p>
            <w:pPr>
              <w:pStyle w:val="16"/>
              <w:jc w:val="center"/>
              <w:rPr>
                <w:u w:val="none"/>
              </w:rPr>
            </w:pPr>
            <w:r>
              <w:rPr>
                <w:u w:val="none"/>
              </w:rPr>
              <w:t>60</w:t>
            </w:r>
          </w:p>
        </w:tc>
        <w:tc>
          <w:tcPr>
            <w:tcW w:w="654" w:type="pct"/>
            <w:vMerge w:val="continue"/>
            <w:shd w:val="clear" w:color="auto" w:fill="auto"/>
            <w:vAlign w:val="center"/>
          </w:tcPr>
          <w:p>
            <w:pPr>
              <w:pStyle w:val="16"/>
              <w:jc w:val="center"/>
              <w:rPr>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shd w:val="clear" w:color="auto" w:fill="auto"/>
            <w:vAlign w:val="center"/>
          </w:tcPr>
          <w:p>
            <w:pPr>
              <w:pStyle w:val="16"/>
              <w:jc w:val="center"/>
              <w:rPr>
                <w:u w:val="none"/>
              </w:rPr>
            </w:pPr>
          </w:p>
        </w:tc>
        <w:tc>
          <w:tcPr>
            <w:tcW w:w="972" w:type="pct"/>
            <w:shd w:val="clear" w:color="auto" w:fill="auto"/>
            <w:vAlign w:val="center"/>
          </w:tcPr>
          <w:p>
            <w:pPr>
              <w:pStyle w:val="16"/>
              <w:jc w:val="center"/>
              <w:rPr>
                <w:u w:val="none"/>
                <w:lang w:eastAsia="en-US"/>
              </w:rPr>
            </w:pPr>
            <w:r>
              <w:rPr>
                <w:rFonts w:hint="eastAsia"/>
                <w:u w:val="none"/>
              </w:rPr>
              <w:t>氨氮</w:t>
            </w:r>
          </w:p>
        </w:tc>
        <w:tc>
          <w:tcPr>
            <w:tcW w:w="1060" w:type="pct"/>
            <w:shd w:val="clear" w:color="auto" w:fill="auto"/>
            <w:vAlign w:val="center"/>
          </w:tcPr>
          <w:p>
            <w:pPr>
              <w:pStyle w:val="16"/>
              <w:jc w:val="center"/>
              <w:rPr>
                <w:u w:val="none"/>
              </w:rPr>
            </w:pPr>
            <w:r>
              <w:rPr>
                <w:u w:val="none"/>
              </w:rPr>
              <w:t>6.00</w:t>
            </w:r>
          </w:p>
        </w:tc>
        <w:tc>
          <w:tcPr>
            <w:tcW w:w="822" w:type="pct"/>
            <w:vMerge w:val="continue"/>
            <w:shd w:val="clear" w:color="auto" w:fill="auto"/>
            <w:vAlign w:val="center"/>
          </w:tcPr>
          <w:p>
            <w:pPr>
              <w:pStyle w:val="16"/>
              <w:jc w:val="center"/>
              <w:rPr>
                <w:u w:val="none"/>
              </w:rPr>
            </w:pPr>
          </w:p>
        </w:tc>
        <w:tc>
          <w:tcPr>
            <w:tcW w:w="1224" w:type="pct"/>
            <w:shd w:val="clear" w:color="auto" w:fill="auto"/>
            <w:vAlign w:val="center"/>
          </w:tcPr>
          <w:p>
            <w:pPr>
              <w:pStyle w:val="16"/>
              <w:jc w:val="center"/>
              <w:rPr>
                <w:u w:val="none"/>
              </w:rPr>
            </w:pPr>
            <w:r>
              <w:rPr>
                <w:u w:val="none"/>
              </w:rPr>
              <w:t>3.45</w:t>
            </w:r>
          </w:p>
        </w:tc>
        <w:tc>
          <w:tcPr>
            <w:tcW w:w="654" w:type="pct"/>
            <w:vMerge w:val="continue"/>
            <w:shd w:val="clear" w:color="auto" w:fill="auto"/>
            <w:vAlign w:val="center"/>
          </w:tcPr>
          <w:p>
            <w:pPr>
              <w:pStyle w:val="16"/>
              <w:jc w:val="center"/>
              <w:rPr>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shd w:val="clear" w:color="auto" w:fill="auto"/>
            <w:vAlign w:val="center"/>
          </w:tcPr>
          <w:p>
            <w:pPr>
              <w:pStyle w:val="16"/>
              <w:jc w:val="center"/>
              <w:rPr>
                <w:u w:val="none"/>
              </w:rPr>
            </w:pPr>
          </w:p>
        </w:tc>
        <w:tc>
          <w:tcPr>
            <w:tcW w:w="972" w:type="pct"/>
            <w:shd w:val="clear" w:color="auto" w:fill="auto"/>
            <w:vAlign w:val="center"/>
          </w:tcPr>
          <w:p>
            <w:pPr>
              <w:pStyle w:val="16"/>
              <w:jc w:val="center"/>
              <w:rPr>
                <w:u w:val="none"/>
                <w:lang w:eastAsia="en-US"/>
              </w:rPr>
            </w:pPr>
            <w:r>
              <w:rPr>
                <w:rFonts w:hint="eastAsia"/>
                <w:u w:val="none"/>
              </w:rPr>
              <w:t>五日生化需氧量</w:t>
            </w:r>
          </w:p>
        </w:tc>
        <w:tc>
          <w:tcPr>
            <w:tcW w:w="1060" w:type="pct"/>
            <w:shd w:val="clear" w:color="auto" w:fill="auto"/>
            <w:vAlign w:val="center"/>
          </w:tcPr>
          <w:p>
            <w:pPr>
              <w:pStyle w:val="16"/>
              <w:jc w:val="center"/>
              <w:rPr>
                <w:u w:val="none"/>
              </w:rPr>
            </w:pPr>
            <w:r>
              <w:rPr>
                <w:u w:val="none"/>
              </w:rPr>
              <w:t>35.8</w:t>
            </w:r>
          </w:p>
        </w:tc>
        <w:tc>
          <w:tcPr>
            <w:tcW w:w="822" w:type="pct"/>
            <w:vMerge w:val="continue"/>
            <w:shd w:val="clear" w:color="auto" w:fill="auto"/>
            <w:vAlign w:val="center"/>
          </w:tcPr>
          <w:p>
            <w:pPr>
              <w:pStyle w:val="16"/>
              <w:jc w:val="center"/>
              <w:rPr>
                <w:u w:val="none"/>
              </w:rPr>
            </w:pPr>
          </w:p>
        </w:tc>
        <w:tc>
          <w:tcPr>
            <w:tcW w:w="1224" w:type="pct"/>
            <w:shd w:val="clear" w:color="auto" w:fill="auto"/>
            <w:vAlign w:val="center"/>
          </w:tcPr>
          <w:p>
            <w:pPr>
              <w:pStyle w:val="16"/>
              <w:jc w:val="center"/>
              <w:rPr>
                <w:u w:val="none"/>
              </w:rPr>
            </w:pPr>
            <w:r>
              <w:rPr>
                <w:u w:val="none"/>
              </w:rPr>
              <w:t>18.2</w:t>
            </w:r>
          </w:p>
        </w:tc>
        <w:tc>
          <w:tcPr>
            <w:tcW w:w="654" w:type="pct"/>
            <w:vMerge w:val="continue"/>
            <w:shd w:val="clear" w:color="auto" w:fill="auto"/>
            <w:vAlign w:val="center"/>
          </w:tcPr>
          <w:p>
            <w:pPr>
              <w:pStyle w:val="16"/>
              <w:jc w:val="center"/>
              <w:rPr>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shd w:val="clear" w:color="auto" w:fill="auto"/>
            <w:vAlign w:val="center"/>
          </w:tcPr>
          <w:p>
            <w:pPr>
              <w:pStyle w:val="16"/>
              <w:jc w:val="center"/>
              <w:rPr>
                <w:u w:val="none"/>
              </w:rPr>
            </w:pPr>
          </w:p>
        </w:tc>
        <w:tc>
          <w:tcPr>
            <w:tcW w:w="972" w:type="pct"/>
            <w:shd w:val="clear" w:color="auto" w:fill="auto"/>
            <w:vAlign w:val="center"/>
          </w:tcPr>
          <w:p>
            <w:pPr>
              <w:pStyle w:val="16"/>
              <w:jc w:val="center"/>
              <w:rPr>
                <w:u w:val="none"/>
                <w:lang w:eastAsia="en-US"/>
              </w:rPr>
            </w:pPr>
            <w:r>
              <w:rPr>
                <w:rFonts w:hint="eastAsia"/>
                <w:u w:val="none"/>
              </w:rPr>
              <w:t>悬浮物</w:t>
            </w:r>
          </w:p>
        </w:tc>
        <w:tc>
          <w:tcPr>
            <w:tcW w:w="1060" w:type="pct"/>
            <w:shd w:val="clear" w:color="auto" w:fill="auto"/>
            <w:vAlign w:val="center"/>
          </w:tcPr>
          <w:p>
            <w:pPr>
              <w:pStyle w:val="16"/>
              <w:jc w:val="center"/>
              <w:rPr>
                <w:u w:val="none"/>
              </w:rPr>
            </w:pPr>
            <w:r>
              <w:rPr>
                <w:u w:val="none"/>
              </w:rPr>
              <w:t>8</w:t>
            </w:r>
          </w:p>
        </w:tc>
        <w:tc>
          <w:tcPr>
            <w:tcW w:w="822" w:type="pct"/>
            <w:vMerge w:val="continue"/>
            <w:shd w:val="clear" w:color="auto" w:fill="auto"/>
            <w:vAlign w:val="center"/>
          </w:tcPr>
          <w:p>
            <w:pPr>
              <w:pStyle w:val="16"/>
              <w:jc w:val="center"/>
              <w:rPr>
                <w:u w:val="none"/>
              </w:rPr>
            </w:pPr>
          </w:p>
        </w:tc>
        <w:tc>
          <w:tcPr>
            <w:tcW w:w="1224" w:type="pct"/>
            <w:shd w:val="clear" w:color="auto" w:fill="auto"/>
            <w:vAlign w:val="center"/>
          </w:tcPr>
          <w:p>
            <w:pPr>
              <w:pStyle w:val="16"/>
              <w:jc w:val="center"/>
              <w:rPr>
                <w:u w:val="none"/>
              </w:rPr>
            </w:pPr>
            <w:r>
              <w:rPr>
                <w:u w:val="none"/>
              </w:rPr>
              <w:t>7</w:t>
            </w:r>
          </w:p>
        </w:tc>
        <w:tc>
          <w:tcPr>
            <w:tcW w:w="654" w:type="pct"/>
            <w:vMerge w:val="continue"/>
            <w:shd w:val="clear" w:color="auto" w:fill="auto"/>
            <w:vAlign w:val="center"/>
          </w:tcPr>
          <w:p>
            <w:pPr>
              <w:pStyle w:val="16"/>
              <w:jc w:val="center"/>
              <w:rPr>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shd w:val="clear" w:color="auto" w:fill="auto"/>
            <w:vAlign w:val="center"/>
          </w:tcPr>
          <w:p>
            <w:pPr>
              <w:pStyle w:val="16"/>
              <w:jc w:val="center"/>
              <w:rPr>
                <w:u w:val="none"/>
              </w:rPr>
            </w:pPr>
          </w:p>
        </w:tc>
        <w:tc>
          <w:tcPr>
            <w:tcW w:w="972" w:type="pct"/>
            <w:shd w:val="clear" w:color="auto" w:fill="auto"/>
            <w:vAlign w:val="center"/>
          </w:tcPr>
          <w:p>
            <w:pPr>
              <w:pStyle w:val="16"/>
              <w:jc w:val="center"/>
              <w:rPr>
                <w:u w:val="none"/>
                <w:lang w:eastAsia="en-US"/>
              </w:rPr>
            </w:pPr>
            <w:r>
              <w:rPr>
                <w:rFonts w:hint="eastAsia"/>
                <w:u w:val="none"/>
              </w:rPr>
              <w:t>石油类</w:t>
            </w:r>
          </w:p>
        </w:tc>
        <w:tc>
          <w:tcPr>
            <w:tcW w:w="1060" w:type="pct"/>
            <w:shd w:val="clear" w:color="auto" w:fill="auto"/>
            <w:vAlign w:val="center"/>
          </w:tcPr>
          <w:p>
            <w:pPr>
              <w:pStyle w:val="16"/>
              <w:jc w:val="center"/>
              <w:rPr>
                <w:u w:val="none"/>
              </w:rPr>
            </w:pPr>
            <w:r>
              <w:rPr>
                <w:u w:val="none"/>
              </w:rPr>
              <w:t>0.86</w:t>
            </w:r>
          </w:p>
        </w:tc>
        <w:tc>
          <w:tcPr>
            <w:tcW w:w="822" w:type="pct"/>
            <w:vMerge w:val="continue"/>
            <w:shd w:val="clear" w:color="auto" w:fill="auto"/>
            <w:vAlign w:val="center"/>
          </w:tcPr>
          <w:p>
            <w:pPr>
              <w:pStyle w:val="16"/>
              <w:jc w:val="center"/>
              <w:rPr>
                <w:u w:val="none"/>
              </w:rPr>
            </w:pPr>
          </w:p>
        </w:tc>
        <w:tc>
          <w:tcPr>
            <w:tcW w:w="1224" w:type="pct"/>
            <w:shd w:val="clear" w:color="auto" w:fill="auto"/>
            <w:vAlign w:val="center"/>
          </w:tcPr>
          <w:p>
            <w:pPr>
              <w:pStyle w:val="16"/>
              <w:jc w:val="center"/>
              <w:rPr>
                <w:u w:val="none"/>
              </w:rPr>
            </w:pPr>
            <w:r>
              <w:rPr>
                <w:u w:val="none"/>
              </w:rPr>
              <w:t>0.33</w:t>
            </w:r>
          </w:p>
        </w:tc>
        <w:tc>
          <w:tcPr>
            <w:tcW w:w="654" w:type="pct"/>
            <w:vMerge w:val="continue"/>
            <w:shd w:val="clear" w:color="auto" w:fill="auto"/>
            <w:vAlign w:val="center"/>
          </w:tcPr>
          <w:p>
            <w:pPr>
              <w:pStyle w:val="16"/>
              <w:jc w:val="center"/>
              <w:rPr>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shd w:val="clear" w:color="auto" w:fill="auto"/>
            <w:vAlign w:val="center"/>
          </w:tcPr>
          <w:p>
            <w:pPr>
              <w:pStyle w:val="16"/>
              <w:jc w:val="center"/>
              <w:rPr>
                <w:u w:val="none"/>
              </w:rPr>
            </w:pPr>
          </w:p>
        </w:tc>
        <w:tc>
          <w:tcPr>
            <w:tcW w:w="972" w:type="pct"/>
            <w:shd w:val="clear" w:color="auto" w:fill="auto"/>
            <w:vAlign w:val="center"/>
          </w:tcPr>
          <w:p>
            <w:pPr>
              <w:pStyle w:val="16"/>
              <w:jc w:val="center"/>
              <w:rPr>
                <w:u w:val="none"/>
                <w:lang w:eastAsia="en-US"/>
              </w:rPr>
            </w:pPr>
            <w:r>
              <w:rPr>
                <w:rFonts w:hint="eastAsia"/>
                <w:u w:val="none"/>
              </w:rPr>
              <w:t>总磷</w:t>
            </w:r>
          </w:p>
        </w:tc>
        <w:tc>
          <w:tcPr>
            <w:tcW w:w="1060" w:type="pct"/>
            <w:shd w:val="clear" w:color="auto" w:fill="auto"/>
            <w:vAlign w:val="center"/>
          </w:tcPr>
          <w:p>
            <w:pPr>
              <w:pStyle w:val="16"/>
              <w:jc w:val="center"/>
              <w:rPr>
                <w:u w:val="none"/>
              </w:rPr>
            </w:pPr>
            <w:r>
              <w:rPr>
                <w:u w:val="none"/>
              </w:rPr>
              <w:t>2.44</w:t>
            </w:r>
          </w:p>
        </w:tc>
        <w:tc>
          <w:tcPr>
            <w:tcW w:w="822" w:type="pct"/>
            <w:vMerge w:val="continue"/>
            <w:shd w:val="clear" w:color="auto" w:fill="auto"/>
            <w:vAlign w:val="center"/>
          </w:tcPr>
          <w:p>
            <w:pPr>
              <w:pStyle w:val="16"/>
              <w:jc w:val="center"/>
              <w:rPr>
                <w:u w:val="none"/>
              </w:rPr>
            </w:pPr>
          </w:p>
        </w:tc>
        <w:tc>
          <w:tcPr>
            <w:tcW w:w="1224" w:type="pct"/>
            <w:shd w:val="clear" w:color="auto" w:fill="auto"/>
            <w:vAlign w:val="center"/>
          </w:tcPr>
          <w:p>
            <w:pPr>
              <w:pStyle w:val="16"/>
              <w:jc w:val="center"/>
              <w:rPr>
                <w:u w:val="none"/>
              </w:rPr>
            </w:pPr>
            <w:r>
              <w:rPr>
                <w:u w:val="none"/>
              </w:rPr>
              <w:t>0.47</w:t>
            </w:r>
          </w:p>
        </w:tc>
        <w:tc>
          <w:tcPr>
            <w:tcW w:w="654" w:type="pct"/>
            <w:vMerge w:val="continue"/>
            <w:shd w:val="clear" w:color="auto" w:fill="auto"/>
            <w:vAlign w:val="center"/>
          </w:tcPr>
          <w:p>
            <w:pPr>
              <w:pStyle w:val="16"/>
              <w:jc w:val="center"/>
              <w:rPr>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shd w:val="clear" w:color="auto" w:fill="auto"/>
            <w:vAlign w:val="center"/>
          </w:tcPr>
          <w:p>
            <w:pPr>
              <w:pStyle w:val="16"/>
              <w:jc w:val="center"/>
              <w:rPr>
                <w:u w:val="none"/>
              </w:rPr>
            </w:pPr>
          </w:p>
        </w:tc>
        <w:tc>
          <w:tcPr>
            <w:tcW w:w="972" w:type="pct"/>
            <w:shd w:val="clear" w:color="auto" w:fill="auto"/>
            <w:vAlign w:val="center"/>
          </w:tcPr>
          <w:p>
            <w:pPr>
              <w:pStyle w:val="16"/>
              <w:jc w:val="center"/>
              <w:rPr>
                <w:u w:val="none"/>
                <w:lang w:eastAsia="en-US"/>
              </w:rPr>
            </w:pPr>
            <w:r>
              <w:rPr>
                <w:rFonts w:hint="eastAsia"/>
                <w:u w:val="none"/>
              </w:rPr>
              <w:t>氟化物</w:t>
            </w:r>
          </w:p>
        </w:tc>
        <w:tc>
          <w:tcPr>
            <w:tcW w:w="1060" w:type="pct"/>
            <w:shd w:val="clear" w:color="auto" w:fill="auto"/>
            <w:vAlign w:val="center"/>
          </w:tcPr>
          <w:p>
            <w:pPr>
              <w:pStyle w:val="16"/>
              <w:jc w:val="center"/>
              <w:rPr>
                <w:u w:val="none"/>
              </w:rPr>
            </w:pPr>
            <w:r>
              <w:rPr>
                <w:u w:val="none"/>
              </w:rPr>
              <w:t>0.258</w:t>
            </w:r>
          </w:p>
        </w:tc>
        <w:tc>
          <w:tcPr>
            <w:tcW w:w="822" w:type="pct"/>
            <w:vMerge w:val="continue"/>
            <w:shd w:val="clear" w:color="auto" w:fill="auto"/>
            <w:vAlign w:val="center"/>
          </w:tcPr>
          <w:p>
            <w:pPr>
              <w:pStyle w:val="16"/>
              <w:jc w:val="center"/>
              <w:rPr>
                <w:u w:val="none"/>
              </w:rPr>
            </w:pPr>
          </w:p>
        </w:tc>
        <w:tc>
          <w:tcPr>
            <w:tcW w:w="1224" w:type="pct"/>
            <w:shd w:val="clear" w:color="auto" w:fill="auto"/>
            <w:vAlign w:val="center"/>
          </w:tcPr>
          <w:p>
            <w:pPr>
              <w:pStyle w:val="16"/>
              <w:jc w:val="center"/>
              <w:rPr>
                <w:u w:val="none"/>
              </w:rPr>
            </w:pPr>
            <w:r>
              <w:rPr>
                <w:u w:val="none"/>
              </w:rPr>
              <w:t>0.212</w:t>
            </w:r>
          </w:p>
        </w:tc>
        <w:tc>
          <w:tcPr>
            <w:tcW w:w="654" w:type="pct"/>
            <w:vMerge w:val="continue"/>
            <w:shd w:val="clear" w:color="auto" w:fill="auto"/>
            <w:vAlign w:val="center"/>
          </w:tcPr>
          <w:p>
            <w:pPr>
              <w:pStyle w:val="16"/>
              <w:jc w:val="center"/>
              <w:rPr>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shd w:val="clear" w:color="auto" w:fill="auto"/>
            <w:vAlign w:val="center"/>
          </w:tcPr>
          <w:p>
            <w:pPr>
              <w:pStyle w:val="16"/>
              <w:jc w:val="center"/>
              <w:rPr>
                <w:u w:val="none"/>
              </w:rPr>
            </w:pPr>
          </w:p>
        </w:tc>
        <w:tc>
          <w:tcPr>
            <w:tcW w:w="972" w:type="pct"/>
            <w:shd w:val="clear" w:color="auto" w:fill="auto"/>
            <w:vAlign w:val="center"/>
          </w:tcPr>
          <w:p>
            <w:pPr>
              <w:pStyle w:val="16"/>
              <w:jc w:val="center"/>
              <w:rPr>
                <w:u w:val="none"/>
                <w:lang w:eastAsia="en-US"/>
              </w:rPr>
            </w:pPr>
            <w:r>
              <w:rPr>
                <w:rFonts w:hint="eastAsia"/>
                <w:u w:val="none"/>
              </w:rPr>
              <w:t>铜</w:t>
            </w:r>
          </w:p>
        </w:tc>
        <w:tc>
          <w:tcPr>
            <w:tcW w:w="1060" w:type="pct"/>
            <w:shd w:val="clear" w:color="auto" w:fill="auto"/>
            <w:vAlign w:val="center"/>
          </w:tcPr>
          <w:p>
            <w:pPr>
              <w:pStyle w:val="16"/>
              <w:jc w:val="center"/>
              <w:rPr>
                <w:u w:val="none"/>
              </w:rPr>
            </w:pPr>
            <w:r>
              <w:rPr>
                <w:u w:val="none"/>
              </w:rPr>
              <w:t>0.00127</w:t>
            </w:r>
          </w:p>
        </w:tc>
        <w:tc>
          <w:tcPr>
            <w:tcW w:w="822" w:type="pct"/>
            <w:vMerge w:val="continue"/>
            <w:shd w:val="clear" w:color="auto" w:fill="auto"/>
            <w:vAlign w:val="center"/>
          </w:tcPr>
          <w:p>
            <w:pPr>
              <w:pStyle w:val="16"/>
              <w:jc w:val="center"/>
              <w:rPr>
                <w:u w:val="none"/>
              </w:rPr>
            </w:pPr>
          </w:p>
        </w:tc>
        <w:tc>
          <w:tcPr>
            <w:tcW w:w="1224" w:type="pct"/>
            <w:shd w:val="clear" w:color="auto" w:fill="auto"/>
            <w:vAlign w:val="center"/>
          </w:tcPr>
          <w:p>
            <w:pPr>
              <w:pStyle w:val="16"/>
              <w:jc w:val="center"/>
              <w:rPr>
                <w:u w:val="none"/>
              </w:rPr>
            </w:pPr>
            <w:r>
              <w:rPr>
                <w:u w:val="none"/>
              </w:rPr>
              <w:t>0.00120</w:t>
            </w:r>
          </w:p>
        </w:tc>
        <w:tc>
          <w:tcPr>
            <w:tcW w:w="654" w:type="pct"/>
            <w:vMerge w:val="continue"/>
            <w:shd w:val="clear" w:color="auto" w:fill="auto"/>
            <w:vAlign w:val="center"/>
          </w:tcPr>
          <w:p>
            <w:pPr>
              <w:pStyle w:val="16"/>
              <w:jc w:val="center"/>
              <w:rPr>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shd w:val="clear" w:color="auto" w:fill="auto"/>
            <w:vAlign w:val="center"/>
          </w:tcPr>
          <w:p>
            <w:pPr>
              <w:pStyle w:val="16"/>
              <w:jc w:val="center"/>
              <w:rPr>
                <w:u w:val="none"/>
              </w:rPr>
            </w:pPr>
          </w:p>
        </w:tc>
        <w:tc>
          <w:tcPr>
            <w:tcW w:w="972" w:type="pct"/>
            <w:shd w:val="clear" w:color="auto" w:fill="auto"/>
            <w:vAlign w:val="center"/>
          </w:tcPr>
          <w:p>
            <w:pPr>
              <w:pStyle w:val="16"/>
              <w:jc w:val="center"/>
              <w:rPr>
                <w:u w:val="none"/>
                <w:lang w:eastAsia="en-US"/>
              </w:rPr>
            </w:pPr>
            <w:r>
              <w:rPr>
                <w:rFonts w:hint="eastAsia"/>
                <w:u w:val="none"/>
              </w:rPr>
              <w:t>锌</w:t>
            </w:r>
          </w:p>
        </w:tc>
        <w:tc>
          <w:tcPr>
            <w:tcW w:w="1060" w:type="pct"/>
            <w:shd w:val="clear" w:color="auto" w:fill="auto"/>
            <w:vAlign w:val="center"/>
          </w:tcPr>
          <w:p>
            <w:pPr>
              <w:pStyle w:val="16"/>
              <w:jc w:val="center"/>
              <w:rPr>
                <w:u w:val="none"/>
              </w:rPr>
            </w:pPr>
            <w:r>
              <w:rPr>
                <w:u w:val="none"/>
              </w:rPr>
              <w:t>0.0330</w:t>
            </w:r>
          </w:p>
        </w:tc>
        <w:tc>
          <w:tcPr>
            <w:tcW w:w="822" w:type="pct"/>
            <w:vMerge w:val="continue"/>
            <w:shd w:val="clear" w:color="auto" w:fill="auto"/>
            <w:vAlign w:val="center"/>
          </w:tcPr>
          <w:p>
            <w:pPr>
              <w:pStyle w:val="16"/>
              <w:jc w:val="center"/>
              <w:rPr>
                <w:u w:val="none"/>
              </w:rPr>
            </w:pPr>
          </w:p>
        </w:tc>
        <w:tc>
          <w:tcPr>
            <w:tcW w:w="1224" w:type="pct"/>
            <w:shd w:val="clear" w:color="auto" w:fill="auto"/>
            <w:vAlign w:val="center"/>
          </w:tcPr>
          <w:p>
            <w:pPr>
              <w:pStyle w:val="16"/>
              <w:jc w:val="center"/>
              <w:rPr>
                <w:u w:val="none"/>
              </w:rPr>
            </w:pPr>
            <w:r>
              <w:rPr>
                <w:u w:val="none"/>
              </w:rPr>
              <w:t>0.0139</w:t>
            </w:r>
          </w:p>
        </w:tc>
        <w:tc>
          <w:tcPr>
            <w:tcW w:w="654" w:type="pct"/>
            <w:vMerge w:val="continue"/>
            <w:shd w:val="clear" w:color="auto" w:fill="auto"/>
            <w:vAlign w:val="center"/>
          </w:tcPr>
          <w:p>
            <w:pPr>
              <w:pStyle w:val="16"/>
              <w:jc w:val="center"/>
              <w:rPr>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shd w:val="clear" w:color="auto" w:fill="auto"/>
            <w:vAlign w:val="center"/>
          </w:tcPr>
          <w:p>
            <w:pPr>
              <w:pStyle w:val="16"/>
              <w:jc w:val="center"/>
              <w:rPr>
                <w:u w:val="none"/>
              </w:rPr>
            </w:pPr>
          </w:p>
        </w:tc>
        <w:tc>
          <w:tcPr>
            <w:tcW w:w="972" w:type="pct"/>
            <w:shd w:val="clear" w:color="auto" w:fill="auto"/>
            <w:vAlign w:val="center"/>
          </w:tcPr>
          <w:p>
            <w:pPr>
              <w:pStyle w:val="16"/>
              <w:jc w:val="center"/>
              <w:rPr>
                <w:u w:val="none"/>
                <w:lang w:eastAsia="en-US"/>
              </w:rPr>
            </w:pPr>
            <w:r>
              <w:rPr>
                <w:rFonts w:hint="eastAsia"/>
                <w:u w:val="none"/>
              </w:rPr>
              <w:t>铅</w:t>
            </w:r>
          </w:p>
        </w:tc>
        <w:tc>
          <w:tcPr>
            <w:tcW w:w="1060" w:type="pct"/>
            <w:shd w:val="clear" w:color="auto" w:fill="auto"/>
            <w:vAlign w:val="center"/>
          </w:tcPr>
          <w:p>
            <w:pPr>
              <w:pStyle w:val="16"/>
              <w:jc w:val="center"/>
              <w:rPr>
                <w:u w:val="none"/>
              </w:rPr>
            </w:pPr>
            <w:r>
              <w:rPr>
                <w:u w:val="none"/>
              </w:rPr>
              <w:t>0.00040</w:t>
            </w:r>
          </w:p>
        </w:tc>
        <w:tc>
          <w:tcPr>
            <w:tcW w:w="822" w:type="pct"/>
            <w:vMerge w:val="continue"/>
            <w:shd w:val="clear" w:color="auto" w:fill="auto"/>
            <w:vAlign w:val="center"/>
          </w:tcPr>
          <w:p>
            <w:pPr>
              <w:pStyle w:val="16"/>
              <w:jc w:val="center"/>
              <w:rPr>
                <w:u w:val="none"/>
              </w:rPr>
            </w:pPr>
          </w:p>
        </w:tc>
        <w:tc>
          <w:tcPr>
            <w:tcW w:w="1224" w:type="pct"/>
            <w:shd w:val="clear" w:color="auto" w:fill="auto"/>
            <w:vAlign w:val="center"/>
          </w:tcPr>
          <w:p>
            <w:pPr>
              <w:pStyle w:val="16"/>
              <w:jc w:val="center"/>
              <w:rPr>
                <w:u w:val="none"/>
              </w:rPr>
            </w:pPr>
            <w:r>
              <w:rPr>
                <w:rFonts w:hint="eastAsia"/>
                <w:u w:val="none"/>
              </w:rPr>
              <w:t>0.00029</w:t>
            </w:r>
          </w:p>
        </w:tc>
        <w:tc>
          <w:tcPr>
            <w:tcW w:w="654" w:type="pct"/>
            <w:vMerge w:val="continue"/>
            <w:shd w:val="clear" w:color="auto" w:fill="auto"/>
            <w:vAlign w:val="center"/>
          </w:tcPr>
          <w:p>
            <w:pPr>
              <w:pStyle w:val="16"/>
              <w:jc w:val="center"/>
              <w:rPr>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shd w:val="clear" w:color="auto" w:fill="auto"/>
            <w:vAlign w:val="center"/>
          </w:tcPr>
          <w:p>
            <w:pPr>
              <w:pStyle w:val="16"/>
              <w:jc w:val="center"/>
              <w:rPr>
                <w:u w:val="none"/>
              </w:rPr>
            </w:pPr>
          </w:p>
        </w:tc>
        <w:tc>
          <w:tcPr>
            <w:tcW w:w="972" w:type="pct"/>
            <w:shd w:val="clear" w:color="auto" w:fill="auto"/>
            <w:vAlign w:val="center"/>
          </w:tcPr>
          <w:p>
            <w:pPr>
              <w:pStyle w:val="16"/>
              <w:jc w:val="center"/>
              <w:rPr>
                <w:u w:val="none"/>
                <w:lang w:eastAsia="en-US"/>
              </w:rPr>
            </w:pPr>
            <w:r>
              <w:rPr>
                <w:rFonts w:hint="eastAsia"/>
                <w:u w:val="none"/>
              </w:rPr>
              <w:t>镉</w:t>
            </w:r>
          </w:p>
        </w:tc>
        <w:tc>
          <w:tcPr>
            <w:tcW w:w="1060" w:type="pct"/>
            <w:shd w:val="clear" w:color="auto" w:fill="auto"/>
            <w:vAlign w:val="center"/>
          </w:tcPr>
          <w:p>
            <w:pPr>
              <w:pStyle w:val="16"/>
              <w:jc w:val="center"/>
              <w:rPr>
                <w:u w:val="none"/>
              </w:rPr>
            </w:pPr>
            <w:r>
              <w:rPr>
                <w:u w:val="none"/>
              </w:rPr>
              <w:t>0.000</w:t>
            </w:r>
            <w:r>
              <w:rPr>
                <w:rFonts w:hint="eastAsia"/>
                <w:u w:val="none"/>
              </w:rPr>
              <w:t>10</w:t>
            </w:r>
          </w:p>
        </w:tc>
        <w:tc>
          <w:tcPr>
            <w:tcW w:w="822" w:type="pct"/>
            <w:vMerge w:val="continue"/>
            <w:shd w:val="clear" w:color="auto" w:fill="auto"/>
            <w:vAlign w:val="center"/>
          </w:tcPr>
          <w:p>
            <w:pPr>
              <w:pStyle w:val="16"/>
              <w:jc w:val="center"/>
              <w:rPr>
                <w:u w:val="none"/>
              </w:rPr>
            </w:pPr>
          </w:p>
        </w:tc>
        <w:tc>
          <w:tcPr>
            <w:tcW w:w="1224" w:type="pct"/>
            <w:shd w:val="clear" w:color="auto" w:fill="auto"/>
            <w:vAlign w:val="center"/>
          </w:tcPr>
          <w:p>
            <w:pPr>
              <w:pStyle w:val="16"/>
              <w:jc w:val="center"/>
              <w:rPr>
                <w:u w:val="none"/>
              </w:rPr>
            </w:pPr>
            <w:r>
              <w:rPr>
                <w:u w:val="none"/>
              </w:rPr>
              <w:t>0.00010</w:t>
            </w:r>
          </w:p>
        </w:tc>
        <w:tc>
          <w:tcPr>
            <w:tcW w:w="654" w:type="pct"/>
            <w:vMerge w:val="continue"/>
            <w:shd w:val="clear" w:color="auto" w:fill="auto"/>
            <w:vAlign w:val="center"/>
          </w:tcPr>
          <w:p>
            <w:pPr>
              <w:pStyle w:val="16"/>
              <w:jc w:val="center"/>
              <w:rPr>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shd w:val="clear" w:color="auto" w:fill="auto"/>
            <w:vAlign w:val="center"/>
          </w:tcPr>
          <w:p>
            <w:pPr>
              <w:pStyle w:val="16"/>
              <w:jc w:val="center"/>
              <w:rPr>
                <w:u w:val="none"/>
              </w:rPr>
            </w:pPr>
          </w:p>
        </w:tc>
        <w:tc>
          <w:tcPr>
            <w:tcW w:w="972" w:type="pct"/>
            <w:shd w:val="clear" w:color="auto" w:fill="auto"/>
            <w:vAlign w:val="center"/>
          </w:tcPr>
          <w:p>
            <w:pPr>
              <w:pStyle w:val="16"/>
              <w:jc w:val="center"/>
              <w:rPr>
                <w:u w:val="none"/>
                <w:lang w:eastAsia="en-US"/>
              </w:rPr>
            </w:pPr>
            <w:r>
              <w:rPr>
                <w:rFonts w:hint="eastAsia"/>
                <w:u w:val="none"/>
              </w:rPr>
              <w:t>铊</w:t>
            </w:r>
          </w:p>
        </w:tc>
        <w:tc>
          <w:tcPr>
            <w:tcW w:w="1060" w:type="pct"/>
            <w:shd w:val="clear" w:color="auto" w:fill="auto"/>
            <w:vAlign w:val="center"/>
          </w:tcPr>
          <w:p>
            <w:pPr>
              <w:pStyle w:val="16"/>
              <w:jc w:val="center"/>
              <w:rPr>
                <w:u w:val="none"/>
              </w:rPr>
            </w:pPr>
            <w:r>
              <w:rPr>
                <w:u w:val="none"/>
              </w:rPr>
              <w:t>0.00002L</w:t>
            </w:r>
          </w:p>
        </w:tc>
        <w:tc>
          <w:tcPr>
            <w:tcW w:w="822" w:type="pct"/>
            <w:vMerge w:val="continue"/>
            <w:shd w:val="clear" w:color="auto" w:fill="auto"/>
            <w:vAlign w:val="center"/>
          </w:tcPr>
          <w:p>
            <w:pPr>
              <w:pStyle w:val="16"/>
              <w:jc w:val="center"/>
              <w:rPr>
                <w:u w:val="none"/>
              </w:rPr>
            </w:pPr>
          </w:p>
        </w:tc>
        <w:tc>
          <w:tcPr>
            <w:tcW w:w="1224" w:type="pct"/>
            <w:shd w:val="clear" w:color="auto" w:fill="auto"/>
            <w:vAlign w:val="center"/>
          </w:tcPr>
          <w:p>
            <w:pPr>
              <w:pStyle w:val="16"/>
              <w:jc w:val="center"/>
              <w:rPr>
                <w:u w:val="none"/>
              </w:rPr>
            </w:pPr>
            <w:r>
              <w:rPr>
                <w:u w:val="none"/>
              </w:rPr>
              <w:t>0.00002L</w:t>
            </w:r>
          </w:p>
        </w:tc>
        <w:tc>
          <w:tcPr>
            <w:tcW w:w="654" w:type="pct"/>
            <w:vMerge w:val="continue"/>
            <w:shd w:val="clear" w:color="auto" w:fill="auto"/>
            <w:vAlign w:val="center"/>
          </w:tcPr>
          <w:p>
            <w:pPr>
              <w:pStyle w:val="16"/>
              <w:jc w:val="center"/>
              <w:rPr>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shd w:val="clear" w:color="auto" w:fill="auto"/>
            <w:vAlign w:val="center"/>
          </w:tcPr>
          <w:p>
            <w:pPr>
              <w:pStyle w:val="16"/>
              <w:jc w:val="center"/>
              <w:rPr>
                <w:u w:val="none"/>
              </w:rPr>
            </w:pPr>
          </w:p>
        </w:tc>
        <w:tc>
          <w:tcPr>
            <w:tcW w:w="972" w:type="pct"/>
            <w:shd w:val="clear" w:color="auto" w:fill="auto"/>
            <w:vAlign w:val="center"/>
          </w:tcPr>
          <w:p>
            <w:pPr>
              <w:pStyle w:val="16"/>
              <w:jc w:val="center"/>
              <w:rPr>
                <w:u w:val="none"/>
                <w:lang w:eastAsia="en-US"/>
              </w:rPr>
            </w:pPr>
            <w:r>
              <w:rPr>
                <w:rFonts w:hint="eastAsia"/>
                <w:u w:val="none"/>
              </w:rPr>
              <w:t>铬</w:t>
            </w:r>
          </w:p>
        </w:tc>
        <w:tc>
          <w:tcPr>
            <w:tcW w:w="1060" w:type="pct"/>
            <w:shd w:val="clear" w:color="auto" w:fill="auto"/>
            <w:vAlign w:val="center"/>
          </w:tcPr>
          <w:p>
            <w:pPr>
              <w:pStyle w:val="16"/>
              <w:jc w:val="center"/>
              <w:rPr>
                <w:u w:val="none"/>
              </w:rPr>
            </w:pPr>
            <w:r>
              <w:rPr>
                <w:u w:val="none"/>
              </w:rPr>
              <w:t>0.00606</w:t>
            </w:r>
          </w:p>
        </w:tc>
        <w:tc>
          <w:tcPr>
            <w:tcW w:w="822" w:type="pct"/>
            <w:vMerge w:val="continue"/>
            <w:shd w:val="clear" w:color="auto" w:fill="auto"/>
            <w:vAlign w:val="center"/>
          </w:tcPr>
          <w:p>
            <w:pPr>
              <w:pStyle w:val="16"/>
              <w:jc w:val="center"/>
              <w:rPr>
                <w:u w:val="none"/>
              </w:rPr>
            </w:pPr>
          </w:p>
        </w:tc>
        <w:tc>
          <w:tcPr>
            <w:tcW w:w="1224" w:type="pct"/>
            <w:shd w:val="clear" w:color="auto" w:fill="auto"/>
            <w:vAlign w:val="center"/>
          </w:tcPr>
          <w:p>
            <w:pPr>
              <w:pStyle w:val="16"/>
              <w:jc w:val="center"/>
              <w:rPr>
                <w:u w:val="none"/>
              </w:rPr>
            </w:pPr>
            <w:r>
              <w:rPr>
                <w:u w:val="none"/>
              </w:rPr>
              <w:t>0.00550</w:t>
            </w:r>
          </w:p>
        </w:tc>
        <w:tc>
          <w:tcPr>
            <w:tcW w:w="654" w:type="pct"/>
            <w:vMerge w:val="continue"/>
            <w:shd w:val="clear" w:color="auto" w:fill="auto"/>
            <w:vAlign w:val="center"/>
          </w:tcPr>
          <w:p>
            <w:pPr>
              <w:pStyle w:val="16"/>
              <w:jc w:val="center"/>
              <w:rPr>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shd w:val="clear" w:color="auto" w:fill="auto"/>
            <w:vAlign w:val="center"/>
          </w:tcPr>
          <w:p>
            <w:pPr>
              <w:pStyle w:val="16"/>
              <w:jc w:val="center"/>
              <w:rPr>
                <w:u w:val="none"/>
              </w:rPr>
            </w:pPr>
          </w:p>
        </w:tc>
        <w:tc>
          <w:tcPr>
            <w:tcW w:w="972" w:type="pct"/>
            <w:shd w:val="clear" w:color="auto" w:fill="auto"/>
            <w:vAlign w:val="center"/>
          </w:tcPr>
          <w:p>
            <w:pPr>
              <w:pStyle w:val="16"/>
              <w:jc w:val="center"/>
              <w:rPr>
                <w:u w:val="none"/>
                <w:lang w:eastAsia="en-US"/>
              </w:rPr>
            </w:pPr>
            <w:r>
              <w:rPr>
                <w:rFonts w:hint="eastAsia"/>
                <w:u w:val="none"/>
              </w:rPr>
              <w:t>砷</w:t>
            </w:r>
          </w:p>
        </w:tc>
        <w:tc>
          <w:tcPr>
            <w:tcW w:w="1060" w:type="pct"/>
            <w:shd w:val="clear" w:color="auto" w:fill="auto"/>
            <w:vAlign w:val="center"/>
          </w:tcPr>
          <w:p>
            <w:pPr>
              <w:pStyle w:val="16"/>
              <w:jc w:val="center"/>
              <w:rPr>
                <w:u w:val="none"/>
              </w:rPr>
            </w:pPr>
            <w:r>
              <w:rPr>
                <w:u w:val="none"/>
              </w:rPr>
              <w:t>0.</w:t>
            </w:r>
            <w:r>
              <w:rPr>
                <w:rFonts w:hint="eastAsia"/>
                <w:u w:val="none"/>
              </w:rPr>
              <w:t>134</w:t>
            </w:r>
          </w:p>
        </w:tc>
        <w:tc>
          <w:tcPr>
            <w:tcW w:w="822" w:type="pct"/>
            <w:vMerge w:val="continue"/>
            <w:shd w:val="clear" w:color="auto" w:fill="auto"/>
            <w:vAlign w:val="center"/>
          </w:tcPr>
          <w:p>
            <w:pPr>
              <w:pStyle w:val="16"/>
              <w:jc w:val="center"/>
              <w:rPr>
                <w:u w:val="none"/>
              </w:rPr>
            </w:pPr>
          </w:p>
        </w:tc>
        <w:tc>
          <w:tcPr>
            <w:tcW w:w="1224" w:type="pct"/>
            <w:shd w:val="clear" w:color="auto" w:fill="auto"/>
            <w:vAlign w:val="center"/>
          </w:tcPr>
          <w:p>
            <w:pPr>
              <w:pStyle w:val="16"/>
              <w:jc w:val="center"/>
              <w:rPr>
                <w:u w:val="none"/>
              </w:rPr>
            </w:pPr>
            <w:r>
              <w:rPr>
                <w:u w:val="none"/>
              </w:rPr>
              <w:t>0.</w:t>
            </w:r>
            <w:r>
              <w:rPr>
                <w:rFonts w:hint="eastAsia"/>
                <w:u w:val="none"/>
              </w:rPr>
              <w:t>0466</w:t>
            </w:r>
          </w:p>
        </w:tc>
        <w:tc>
          <w:tcPr>
            <w:tcW w:w="654" w:type="pct"/>
            <w:vMerge w:val="continue"/>
            <w:shd w:val="clear" w:color="auto" w:fill="auto"/>
            <w:vAlign w:val="center"/>
          </w:tcPr>
          <w:p>
            <w:pPr>
              <w:pStyle w:val="16"/>
              <w:jc w:val="center"/>
              <w:rPr>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shd w:val="clear" w:color="auto" w:fill="auto"/>
            <w:vAlign w:val="center"/>
          </w:tcPr>
          <w:p>
            <w:pPr>
              <w:pStyle w:val="16"/>
              <w:jc w:val="center"/>
              <w:rPr>
                <w:u w:val="none"/>
              </w:rPr>
            </w:pPr>
          </w:p>
        </w:tc>
        <w:tc>
          <w:tcPr>
            <w:tcW w:w="972" w:type="pct"/>
            <w:shd w:val="clear" w:color="auto" w:fill="auto"/>
            <w:vAlign w:val="center"/>
          </w:tcPr>
          <w:p>
            <w:pPr>
              <w:pStyle w:val="16"/>
              <w:jc w:val="center"/>
              <w:rPr>
                <w:u w:val="none"/>
              </w:rPr>
            </w:pPr>
            <w:r>
              <w:rPr>
                <w:rFonts w:hint="eastAsia"/>
                <w:u w:val="none"/>
              </w:rPr>
              <w:t>锑</w:t>
            </w:r>
          </w:p>
        </w:tc>
        <w:tc>
          <w:tcPr>
            <w:tcW w:w="1060" w:type="pct"/>
            <w:shd w:val="clear" w:color="auto" w:fill="auto"/>
            <w:vAlign w:val="center"/>
          </w:tcPr>
          <w:p>
            <w:pPr>
              <w:pStyle w:val="16"/>
              <w:jc w:val="center"/>
              <w:rPr>
                <w:u w:val="none"/>
              </w:rPr>
            </w:pPr>
            <w:r>
              <w:rPr>
                <w:u w:val="none"/>
              </w:rPr>
              <w:t>0.0590</w:t>
            </w:r>
          </w:p>
        </w:tc>
        <w:tc>
          <w:tcPr>
            <w:tcW w:w="822" w:type="pct"/>
            <w:vMerge w:val="continue"/>
            <w:shd w:val="clear" w:color="auto" w:fill="auto"/>
            <w:vAlign w:val="center"/>
          </w:tcPr>
          <w:p>
            <w:pPr>
              <w:pStyle w:val="16"/>
              <w:jc w:val="center"/>
              <w:rPr>
                <w:u w:val="none"/>
              </w:rPr>
            </w:pPr>
          </w:p>
        </w:tc>
        <w:tc>
          <w:tcPr>
            <w:tcW w:w="1224" w:type="pct"/>
            <w:shd w:val="clear" w:color="auto" w:fill="auto"/>
            <w:vAlign w:val="center"/>
          </w:tcPr>
          <w:p>
            <w:pPr>
              <w:pStyle w:val="16"/>
              <w:jc w:val="center"/>
              <w:rPr>
                <w:u w:val="none"/>
              </w:rPr>
            </w:pPr>
            <w:r>
              <w:rPr>
                <w:u w:val="none"/>
              </w:rPr>
              <w:t>0.0318</w:t>
            </w:r>
          </w:p>
        </w:tc>
        <w:tc>
          <w:tcPr>
            <w:tcW w:w="654" w:type="pct"/>
            <w:vMerge w:val="continue"/>
            <w:shd w:val="clear" w:color="auto" w:fill="auto"/>
            <w:vAlign w:val="center"/>
          </w:tcPr>
          <w:p>
            <w:pPr>
              <w:pStyle w:val="16"/>
              <w:jc w:val="center"/>
              <w:rPr>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shd w:val="clear" w:color="auto" w:fill="auto"/>
            <w:vAlign w:val="center"/>
          </w:tcPr>
          <w:p>
            <w:pPr>
              <w:pStyle w:val="16"/>
              <w:jc w:val="center"/>
              <w:rPr>
                <w:u w:val="none"/>
              </w:rPr>
            </w:pPr>
          </w:p>
        </w:tc>
        <w:tc>
          <w:tcPr>
            <w:tcW w:w="972" w:type="pct"/>
            <w:shd w:val="clear" w:color="auto" w:fill="auto"/>
            <w:vAlign w:val="center"/>
          </w:tcPr>
          <w:p>
            <w:pPr>
              <w:pStyle w:val="16"/>
              <w:jc w:val="center"/>
              <w:rPr>
                <w:u w:val="none"/>
              </w:rPr>
            </w:pPr>
            <w:r>
              <w:rPr>
                <w:rFonts w:hint="eastAsia"/>
                <w:u w:val="none"/>
              </w:rPr>
              <w:t>硫化物</w:t>
            </w:r>
          </w:p>
        </w:tc>
        <w:tc>
          <w:tcPr>
            <w:tcW w:w="1060" w:type="pct"/>
            <w:shd w:val="clear" w:color="auto" w:fill="auto"/>
            <w:vAlign w:val="center"/>
          </w:tcPr>
          <w:p>
            <w:pPr>
              <w:pStyle w:val="16"/>
              <w:jc w:val="center"/>
              <w:rPr>
                <w:u w:val="none"/>
              </w:rPr>
            </w:pPr>
            <w:r>
              <w:rPr>
                <w:u w:val="none"/>
              </w:rPr>
              <w:t>0.84</w:t>
            </w:r>
          </w:p>
        </w:tc>
        <w:tc>
          <w:tcPr>
            <w:tcW w:w="822" w:type="pct"/>
            <w:vMerge w:val="continue"/>
            <w:shd w:val="clear" w:color="auto" w:fill="auto"/>
            <w:vAlign w:val="center"/>
          </w:tcPr>
          <w:p>
            <w:pPr>
              <w:pStyle w:val="16"/>
              <w:jc w:val="center"/>
              <w:rPr>
                <w:u w:val="none"/>
              </w:rPr>
            </w:pPr>
          </w:p>
        </w:tc>
        <w:tc>
          <w:tcPr>
            <w:tcW w:w="1224" w:type="pct"/>
            <w:shd w:val="clear" w:color="auto" w:fill="auto"/>
            <w:vAlign w:val="center"/>
          </w:tcPr>
          <w:p>
            <w:pPr>
              <w:pStyle w:val="16"/>
              <w:jc w:val="center"/>
              <w:rPr>
                <w:u w:val="none"/>
              </w:rPr>
            </w:pPr>
            <w:r>
              <w:rPr>
                <w:u w:val="none"/>
              </w:rPr>
              <w:t>0.66</w:t>
            </w:r>
          </w:p>
        </w:tc>
        <w:tc>
          <w:tcPr>
            <w:tcW w:w="654" w:type="pct"/>
            <w:vMerge w:val="continue"/>
            <w:shd w:val="clear" w:color="auto" w:fill="auto"/>
            <w:vAlign w:val="center"/>
          </w:tcPr>
          <w:p>
            <w:pPr>
              <w:pStyle w:val="16"/>
              <w:jc w:val="center"/>
              <w:rPr>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shd w:val="clear" w:color="auto" w:fill="auto"/>
            <w:vAlign w:val="center"/>
          </w:tcPr>
          <w:p>
            <w:pPr>
              <w:pStyle w:val="16"/>
              <w:jc w:val="center"/>
              <w:rPr>
                <w:u w:val="none"/>
              </w:rPr>
            </w:pPr>
          </w:p>
        </w:tc>
        <w:tc>
          <w:tcPr>
            <w:tcW w:w="972" w:type="pct"/>
            <w:shd w:val="clear" w:color="auto" w:fill="auto"/>
            <w:vAlign w:val="center"/>
          </w:tcPr>
          <w:p>
            <w:pPr>
              <w:pStyle w:val="16"/>
              <w:jc w:val="center"/>
              <w:rPr>
                <w:u w:val="none"/>
              </w:rPr>
            </w:pPr>
            <w:r>
              <w:rPr>
                <w:rFonts w:hint="eastAsia"/>
                <w:u w:val="none"/>
              </w:rPr>
              <w:t>六价铬</w:t>
            </w:r>
          </w:p>
        </w:tc>
        <w:tc>
          <w:tcPr>
            <w:tcW w:w="1060" w:type="pct"/>
            <w:shd w:val="clear" w:color="auto" w:fill="auto"/>
            <w:vAlign w:val="center"/>
          </w:tcPr>
          <w:p>
            <w:pPr>
              <w:pStyle w:val="16"/>
              <w:jc w:val="center"/>
              <w:rPr>
                <w:u w:val="none"/>
              </w:rPr>
            </w:pPr>
            <w:r>
              <w:rPr>
                <w:u w:val="none"/>
              </w:rPr>
              <w:t>0.004L</w:t>
            </w:r>
          </w:p>
        </w:tc>
        <w:tc>
          <w:tcPr>
            <w:tcW w:w="822" w:type="pct"/>
            <w:vMerge w:val="continue"/>
            <w:shd w:val="clear" w:color="auto" w:fill="auto"/>
            <w:vAlign w:val="center"/>
          </w:tcPr>
          <w:p>
            <w:pPr>
              <w:pStyle w:val="16"/>
              <w:jc w:val="center"/>
              <w:rPr>
                <w:u w:val="none"/>
              </w:rPr>
            </w:pPr>
          </w:p>
        </w:tc>
        <w:tc>
          <w:tcPr>
            <w:tcW w:w="1224" w:type="pct"/>
            <w:shd w:val="clear" w:color="auto" w:fill="auto"/>
            <w:vAlign w:val="center"/>
          </w:tcPr>
          <w:p>
            <w:pPr>
              <w:pStyle w:val="16"/>
              <w:jc w:val="center"/>
              <w:rPr>
                <w:u w:val="none"/>
              </w:rPr>
            </w:pPr>
            <w:r>
              <w:rPr>
                <w:u w:val="none"/>
              </w:rPr>
              <w:t>0.004L</w:t>
            </w:r>
          </w:p>
        </w:tc>
        <w:tc>
          <w:tcPr>
            <w:tcW w:w="654" w:type="pct"/>
            <w:vMerge w:val="continue"/>
            <w:shd w:val="clear" w:color="auto" w:fill="auto"/>
            <w:vAlign w:val="center"/>
          </w:tcPr>
          <w:p>
            <w:pPr>
              <w:pStyle w:val="16"/>
              <w:jc w:val="center"/>
              <w:rPr>
                <w:u w:val="none"/>
              </w:rPr>
            </w:pPr>
          </w:p>
        </w:tc>
      </w:tr>
    </w:tbl>
    <w:p>
      <w:pPr>
        <w:pStyle w:val="9"/>
        <w:autoSpaceDE w:val="0"/>
        <w:autoSpaceDN w:val="0"/>
        <w:ind w:firstLine="361"/>
        <w:jc w:val="both"/>
        <w:rPr>
          <w:bCs/>
          <w:sz w:val="18"/>
          <w:szCs w:val="18"/>
          <w:u w:val="none"/>
        </w:rPr>
      </w:pPr>
      <w:r>
        <w:rPr>
          <w:rFonts w:hint="eastAsia"/>
          <w:bCs/>
          <w:sz w:val="18"/>
          <w:szCs w:val="18"/>
          <w:u w:val="none"/>
        </w:rPr>
        <w:t>备注：污染物浓度小于检出限的以三分之一检出限进行计算。</w:t>
      </w:r>
    </w:p>
    <w:p>
      <w:pPr>
        <w:ind w:firstLine="480"/>
        <w:rPr>
          <w:color w:val="000000"/>
          <w:u w:val="none"/>
        </w:rPr>
      </w:pPr>
      <w:r>
        <w:rPr>
          <w:color w:val="000000"/>
          <w:u w:val="none"/>
        </w:rPr>
        <w:t>根据</w:t>
      </w:r>
      <w:r>
        <w:rPr>
          <w:rFonts w:hint="eastAsia"/>
          <w:color w:val="000000"/>
          <w:u w:val="none"/>
        </w:rPr>
        <w:t>现场勘探及业主提供的环评报告可</w:t>
      </w:r>
      <w:r>
        <w:rPr>
          <w:color w:val="000000"/>
          <w:u w:val="none"/>
        </w:rPr>
        <w:t>知，污水处理站废水主要为矿井涌水和压滤废水、尾矿库渗水、废石堆场淋溶水等</w:t>
      </w:r>
      <w:r>
        <w:rPr>
          <w:rFonts w:hint="eastAsia"/>
          <w:color w:val="000000"/>
          <w:u w:val="none"/>
        </w:rPr>
        <w:t>。</w:t>
      </w:r>
      <w:r>
        <w:rPr>
          <w:color w:val="000000"/>
          <w:u w:val="none"/>
        </w:rPr>
        <w:t>由上表可知，监测期间废水处理站废水锑监测因子能满足《锡、锑、汞工业污染物排放标准》(GB30770-2014)中表2新建企业水污染物排放限值，铊监测因子能够满足《工业废水铊污染物排放标准》(</w:t>
      </w:r>
      <w:r>
        <w:rPr>
          <w:rFonts w:hint="eastAsia"/>
          <w:color w:val="000000"/>
          <w:u w:val="none"/>
        </w:rPr>
        <w:t>DB43/968-2021</w:t>
      </w:r>
      <w:r>
        <w:rPr>
          <w:color w:val="000000"/>
          <w:u w:val="none"/>
        </w:rPr>
        <w:t>)标准要求，</w:t>
      </w:r>
      <w:r>
        <w:rPr>
          <w:rFonts w:hint="eastAsia"/>
          <w:color w:val="000000"/>
          <w:u w:val="none"/>
          <w:lang w:val="en-US" w:eastAsia="zh-CN"/>
        </w:rPr>
        <w:t>砷达到环评</w:t>
      </w:r>
      <w:r>
        <w:rPr>
          <w:rFonts w:hint="eastAsia"/>
          <w:u w:val="none"/>
        </w:rPr>
        <w:t>总量控制指标</w:t>
      </w:r>
      <w:r>
        <w:rPr>
          <w:rFonts w:hint="eastAsia"/>
          <w:u w:val="none"/>
          <w:lang w:val="en-US" w:eastAsia="zh-CN"/>
        </w:rPr>
        <w:t>核算中的0.2</w:t>
      </w:r>
      <w:r>
        <w:t>mg/L</w:t>
      </w:r>
      <w:r>
        <w:rPr>
          <w:rFonts w:hint="eastAsia"/>
          <w:lang w:val="en-US" w:eastAsia="zh-CN"/>
        </w:rPr>
        <w:t>浓度限值要求，</w:t>
      </w:r>
      <w:r>
        <w:rPr>
          <w:color w:val="000000"/>
          <w:u w:val="none"/>
        </w:rPr>
        <w:t>其余各监测因子均符合《污水综合排放标准》(GB8978-1996)表1及表4中一级标准要求。</w:t>
      </w:r>
    </w:p>
    <w:p>
      <w:pPr>
        <w:pStyle w:val="4"/>
        <w:rPr>
          <w:u w:val="none"/>
        </w:rPr>
      </w:pPr>
      <w:bookmarkStart w:id="47" w:name="_Toc10620"/>
      <w:r>
        <w:rPr>
          <w:rFonts w:hint="eastAsia"/>
          <w:u w:val="none"/>
        </w:rPr>
        <w:t>4.2.4总量控制</w:t>
      </w:r>
      <w:bookmarkEnd w:id="47"/>
    </w:p>
    <w:p>
      <w:pPr>
        <w:ind w:firstLine="480"/>
        <w:rPr>
          <w:rFonts w:hint="eastAsia"/>
          <w:u w:val="none"/>
        </w:rPr>
      </w:pPr>
      <w:r>
        <w:rPr>
          <w:rFonts w:hint="eastAsia"/>
          <w:u w:val="none"/>
        </w:rPr>
        <w:t>根据《益阳市生态环境局关于桃江县湘域矿业有限公司首溪金矿扩建项目环境影响报告书》及其环评批复（益环评书[2021]22号），</w:t>
      </w:r>
      <w:r>
        <w:rPr>
          <w:rFonts w:hint="eastAsia"/>
          <w:u w:val="none"/>
          <w:lang w:val="en-US" w:eastAsia="zh-CN"/>
        </w:rPr>
        <w:t>生产废水</w:t>
      </w:r>
      <w:r>
        <w:rPr>
          <w:rFonts w:hint="eastAsia"/>
          <w:u w:val="none"/>
        </w:rPr>
        <w:t>污染物排放总量控制指标：化学需氧量≤2.98t/a、As≤13.2kg/a。</w:t>
      </w:r>
    </w:p>
    <w:p>
      <w:pPr>
        <w:bidi w:val="0"/>
        <w:rPr>
          <w:rFonts w:hint="eastAsia"/>
          <w:u w:val="none"/>
          <w:lang w:val="en-US" w:eastAsia="zh-CN"/>
        </w:rPr>
      </w:pPr>
      <w:r>
        <w:rPr>
          <w:rFonts w:ascii="Times New Roman" w:hAnsi="Times New Roman" w:eastAsia="宋体" w:cs="Times New Roman"/>
          <w:color w:val="000000"/>
          <w:kern w:val="0"/>
          <w:sz w:val="24"/>
          <w:szCs w:val="24"/>
        </w:rPr>
        <w:t>根据项目环评报告，</w:t>
      </w:r>
      <w:r>
        <w:rPr>
          <w:rFonts w:hint="eastAsia"/>
          <w:u w:val="none"/>
          <w:lang w:val="en-US" w:eastAsia="zh-CN"/>
        </w:rPr>
        <w:t>生产废水</w:t>
      </w:r>
      <w:r>
        <w:rPr>
          <w:rFonts w:hint="eastAsia"/>
          <w:u w:val="none"/>
        </w:rPr>
        <w:t>污染物</w:t>
      </w:r>
      <w:r>
        <w:rPr>
          <w:rFonts w:hint="eastAsia"/>
          <w:u w:val="none"/>
          <w:lang w:val="en-US" w:eastAsia="zh-CN"/>
        </w:rPr>
        <w:t>排放总量控制指标计算见下表。</w:t>
      </w:r>
    </w:p>
    <w:p>
      <w:pPr>
        <w:pStyle w:val="16"/>
        <w:bidi w:val="0"/>
        <w:rPr>
          <w:rFonts w:hint="eastAsia" w:ascii="Times New Roman" w:hAnsi="Times New Roman" w:eastAsia="宋体" w:cs="Times New Roman"/>
          <w:b/>
          <w:bCs/>
          <w:kern w:val="0"/>
          <w:sz w:val="24"/>
          <w:szCs w:val="21"/>
          <w:u w:val="none"/>
          <w:lang w:val="en-US" w:eastAsia="zh-CN" w:bidi="ar-SA"/>
        </w:rPr>
      </w:pPr>
      <w:r>
        <w:rPr>
          <w:rFonts w:hint="eastAsia" w:ascii="Times New Roman" w:hAnsi="Times New Roman" w:eastAsia="宋体" w:cs="Times New Roman"/>
          <w:b/>
          <w:bCs/>
          <w:kern w:val="0"/>
          <w:sz w:val="24"/>
          <w:szCs w:val="21"/>
          <w:u w:val="none"/>
          <w:lang w:val="en-US" w:eastAsia="zh-CN" w:bidi="ar-SA"/>
        </w:rPr>
        <w:t>表4.2.4-1污染物排放总量控制指标汇总表</w:t>
      </w:r>
    </w:p>
    <w:tbl>
      <w:tblPr>
        <w:tblStyle w:val="31"/>
        <w:tblW w:w="499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28" w:type="dxa"/>
          <w:left w:w="28" w:type="dxa"/>
          <w:bottom w:w="28" w:type="dxa"/>
          <w:right w:w="28" w:type="dxa"/>
        </w:tblCellMar>
      </w:tblPr>
      <w:tblGrid>
        <w:gridCol w:w="2534"/>
        <w:gridCol w:w="1610"/>
        <w:gridCol w:w="1659"/>
        <w:gridCol w:w="1659"/>
        <w:gridCol w:w="165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28" w:type="dxa"/>
            <w:left w:w="28" w:type="dxa"/>
            <w:bottom w:w="28" w:type="dxa"/>
            <w:right w:w="28" w:type="dxa"/>
          </w:tblCellMar>
        </w:tblPrEx>
        <w:trPr>
          <w:trHeight w:val="397" w:hRule="atLeast"/>
          <w:jc w:val="center"/>
        </w:trPr>
        <w:tc>
          <w:tcPr>
            <w:tcW w:w="1389" w:type="pct"/>
            <w:tcBorders>
              <w:tl2br w:val="nil"/>
              <w:tr2bl w:val="nil"/>
            </w:tcBorders>
            <w:vAlign w:val="center"/>
          </w:tcPr>
          <w:p>
            <w:pPr>
              <w:pStyle w:val="16"/>
              <w:bidi w:val="0"/>
            </w:pPr>
            <w:r>
              <w:t>类 型</w:t>
            </w:r>
          </w:p>
        </w:tc>
        <w:tc>
          <w:tcPr>
            <w:tcW w:w="882" w:type="pct"/>
            <w:tcBorders>
              <w:tl2br w:val="nil"/>
              <w:tr2bl w:val="nil"/>
            </w:tcBorders>
            <w:vAlign w:val="center"/>
          </w:tcPr>
          <w:p>
            <w:pPr>
              <w:pStyle w:val="16"/>
              <w:bidi w:val="0"/>
            </w:pPr>
            <w:r>
              <w:t>污染物</w:t>
            </w:r>
          </w:p>
        </w:tc>
        <w:tc>
          <w:tcPr>
            <w:tcW w:w="909" w:type="pct"/>
            <w:tcBorders>
              <w:tl2br w:val="nil"/>
              <w:tr2bl w:val="nil"/>
            </w:tcBorders>
            <w:vAlign w:val="center"/>
          </w:tcPr>
          <w:p>
            <w:pPr>
              <w:pStyle w:val="16"/>
              <w:bidi w:val="0"/>
            </w:pPr>
            <w:r>
              <w:rPr>
                <w:rFonts w:hint="eastAsia"/>
              </w:rPr>
              <w:t>预计排放</w:t>
            </w:r>
            <w:r>
              <w:t>浓度(mg/L)</w:t>
            </w:r>
          </w:p>
        </w:tc>
        <w:tc>
          <w:tcPr>
            <w:tcW w:w="909" w:type="pct"/>
            <w:tcBorders>
              <w:tl2br w:val="nil"/>
              <w:tr2bl w:val="nil"/>
            </w:tcBorders>
            <w:vAlign w:val="center"/>
          </w:tcPr>
          <w:p>
            <w:pPr>
              <w:pStyle w:val="16"/>
              <w:bidi w:val="0"/>
            </w:pPr>
            <w:r>
              <w:t>排放量(t/a)</w:t>
            </w:r>
          </w:p>
        </w:tc>
        <w:tc>
          <w:tcPr>
            <w:tcW w:w="909" w:type="pct"/>
            <w:tcBorders>
              <w:tl2br w:val="nil"/>
              <w:tr2bl w:val="nil"/>
            </w:tcBorders>
            <w:vAlign w:val="center"/>
          </w:tcPr>
          <w:p>
            <w:pPr>
              <w:pStyle w:val="16"/>
              <w:bidi w:val="0"/>
            </w:pPr>
            <w:r>
              <w:rPr>
                <w:rFonts w:hint="eastAsia"/>
              </w:rPr>
              <w:t>排放标准</w:t>
            </w:r>
            <w:r>
              <w:t>(mg/L)</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28" w:type="dxa"/>
            <w:left w:w="28" w:type="dxa"/>
            <w:bottom w:w="28" w:type="dxa"/>
            <w:right w:w="28" w:type="dxa"/>
          </w:tblCellMar>
        </w:tblPrEx>
        <w:trPr>
          <w:trHeight w:val="397" w:hRule="atLeast"/>
          <w:jc w:val="center"/>
        </w:trPr>
        <w:tc>
          <w:tcPr>
            <w:tcW w:w="1389" w:type="pct"/>
            <w:vMerge w:val="restart"/>
            <w:tcBorders>
              <w:tl2br w:val="nil"/>
              <w:tr2bl w:val="nil"/>
            </w:tcBorders>
            <w:vAlign w:val="center"/>
          </w:tcPr>
          <w:p>
            <w:pPr>
              <w:pStyle w:val="16"/>
              <w:bidi w:val="0"/>
            </w:pPr>
            <w:r>
              <w:rPr>
                <w:rFonts w:hint="eastAsia"/>
              </w:rPr>
              <w:t>生产</w:t>
            </w:r>
            <w:r>
              <w:t>污水</w:t>
            </w:r>
          </w:p>
          <w:p>
            <w:pPr>
              <w:pStyle w:val="16"/>
              <w:bidi w:val="0"/>
            </w:pPr>
            <w:r>
              <w:rPr>
                <w:rFonts w:hint="eastAsia"/>
              </w:rPr>
              <w:t>年排放量</w:t>
            </w:r>
            <w:r>
              <w:t>66125</w:t>
            </w:r>
            <w:r>
              <w:rPr>
                <w:rFonts w:hint="eastAsia"/>
              </w:rPr>
              <w:t>m</w:t>
            </w:r>
            <w:r>
              <w:rPr>
                <w:vertAlign w:val="superscript"/>
              </w:rPr>
              <w:t>3</w:t>
            </w:r>
          </w:p>
        </w:tc>
        <w:tc>
          <w:tcPr>
            <w:tcW w:w="882" w:type="pct"/>
            <w:tcBorders>
              <w:tl2br w:val="nil"/>
              <w:tr2bl w:val="nil"/>
            </w:tcBorders>
            <w:vAlign w:val="center"/>
          </w:tcPr>
          <w:p>
            <w:pPr>
              <w:pStyle w:val="16"/>
              <w:bidi w:val="0"/>
            </w:pPr>
            <w:r>
              <w:t>As</w:t>
            </w:r>
          </w:p>
        </w:tc>
        <w:tc>
          <w:tcPr>
            <w:tcW w:w="909" w:type="pct"/>
            <w:tcBorders>
              <w:tl2br w:val="nil"/>
              <w:tr2bl w:val="nil"/>
            </w:tcBorders>
            <w:vAlign w:val="center"/>
          </w:tcPr>
          <w:p>
            <w:pPr>
              <w:pStyle w:val="16"/>
              <w:bidi w:val="0"/>
              <w:rPr>
                <w:rFonts w:hint="eastAsia"/>
                <w:lang w:val="en-US" w:eastAsia="zh-CN"/>
              </w:rPr>
            </w:pPr>
            <w:r>
              <w:t>45</w:t>
            </w:r>
          </w:p>
        </w:tc>
        <w:tc>
          <w:tcPr>
            <w:tcW w:w="909" w:type="pct"/>
            <w:tcBorders>
              <w:tl2br w:val="nil"/>
              <w:tr2bl w:val="nil"/>
            </w:tcBorders>
            <w:vAlign w:val="center"/>
          </w:tcPr>
          <w:p>
            <w:pPr>
              <w:pStyle w:val="16"/>
              <w:bidi w:val="0"/>
              <w:rPr>
                <w:rFonts w:hint="eastAsia"/>
                <w:lang w:val="en-US" w:eastAsia="zh-CN"/>
              </w:rPr>
            </w:pPr>
            <w:r>
              <w:rPr>
                <w:rFonts w:hint="eastAsia"/>
                <w:lang w:val="en-US" w:eastAsia="zh-CN"/>
              </w:rPr>
              <w:t>2.98</w:t>
            </w:r>
          </w:p>
        </w:tc>
        <w:tc>
          <w:tcPr>
            <w:tcW w:w="909" w:type="pct"/>
            <w:tcBorders>
              <w:tl2br w:val="nil"/>
              <w:tr2bl w:val="nil"/>
            </w:tcBorders>
            <w:vAlign w:val="center"/>
          </w:tcPr>
          <w:p>
            <w:pPr>
              <w:pStyle w:val="16"/>
              <w:bidi w:val="0"/>
            </w:pPr>
            <w:r>
              <w:rPr>
                <w:rFonts w:hint="eastAsia"/>
              </w:rPr>
              <w:t>1</w:t>
            </w:r>
            <w:r>
              <w:t>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28" w:type="dxa"/>
            <w:left w:w="28" w:type="dxa"/>
            <w:bottom w:w="28" w:type="dxa"/>
            <w:right w:w="28" w:type="dxa"/>
          </w:tblCellMar>
        </w:tblPrEx>
        <w:trPr>
          <w:trHeight w:val="397" w:hRule="atLeast"/>
          <w:jc w:val="center"/>
        </w:trPr>
        <w:tc>
          <w:tcPr>
            <w:tcW w:w="1389" w:type="pct"/>
            <w:vMerge w:val="continue"/>
            <w:tcBorders>
              <w:tl2br w:val="nil"/>
              <w:tr2bl w:val="nil"/>
            </w:tcBorders>
            <w:vAlign w:val="center"/>
          </w:tcPr>
          <w:p>
            <w:pPr>
              <w:pStyle w:val="16"/>
              <w:bidi w:val="0"/>
            </w:pPr>
          </w:p>
        </w:tc>
        <w:tc>
          <w:tcPr>
            <w:tcW w:w="882" w:type="pct"/>
            <w:tcBorders>
              <w:tl2br w:val="nil"/>
              <w:tr2bl w:val="nil"/>
            </w:tcBorders>
            <w:vAlign w:val="center"/>
          </w:tcPr>
          <w:p>
            <w:pPr>
              <w:pStyle w:val="16"/>
              <w:bidi w:val="0"/>
            </w:pPr>
            <w:r>
              <w:t>COD</w:t>
            </w:r>
          </w:p>
        </w:tc>
        <w:tc>
          <w:tcPr>
            <w:tcW w:w="909" w:type="pct"/>
            <w:tcBorders>
              <w:tl2br w:val="nil"/>
              <w:tr2bl w:val="nil"/>
            </w:tcBorders>
            <w:vAlign w:val="center"/>
          </w:tcPr>
          <w:p>
            <w:pPr>
              <w:pStyle w:val="16"/>
              <w:bidi w:val="0"/>
              <w:rPr>
                <w:rFonts w:hint="eastAsia"/>
              </w:rPr>
            </w:pPr>
            <w:r>
              <w:rPr>
                <w:rFonts w:hint="eastAsia"/>
              </w:rPr>
              <w:t>0</w:t>
            </w:r>
            <w:r>
              <w:t>.2</w:t>
            </w:r>
          </w:p>
        </w:tc>
        <w:tc>
          <w:tcPr>
            <w:tcW w:w="909" w:type="pct"/>
            <w:tcBorders>
              <w:tl2br w:val="nil"/>
              <w:tr2bl w:val="nil"/>
            </w:tcBorders>
            <w:vAlign w:val="center"/>
          </w:tcPr>
          <w:p>
            <w:pPr>
              <w:pStyle w:val="16"/>
              <w:bidi w:val="0"/>
              <w:rPr>
                <w:rFonts w:hint="default"/>
                <w:lang w:val="en-US" w:eastAsia="zh-CN"/>
              </w:rPr>
            </w:pPr>
            <w:r>
              <w:rPr>
                <w:rFonts w:hint="eastAsia"/>
                <w:lang w:val="en-US" w:eastAsia="zh-CN"/>
              </w:rPr>
              <w:t>0.0132</w:t>
            </w:r>
          </w:p>
        </w:tc>
        <w:tc>
          <w:tcPr>
            <w:tcW w:w="909" w:type="pct"/>
            <w:tcBorders>
              <w:tl2br w:val="nil"/>
              <w:tr2bl w:val="nil"/>
            </w:tcBorders>
            <w:vAlign w:val="center"/>
          </w:tcPr>
          <w:p>
            <w:pPr>
              <w:pStyle w:val="16"/>
              <w:bidi w:val="0"/>
            </w:pPr>
            <w:r>
              <w:rPr>
                <w:rFonts w:hint="eastAsia"/>
              </w:rPr>
              <w:t>0</w:t>
            </w:r>
            <w:r>
              <w:t>.5</w:t>
            </w:r>
          </w:p>
        </w:tc>
      </w:tr>
    </w:tbl>
    <w:p>
      <w:pPr>
        <w:ind w:firstLine="480"/>
        <w:rPr>
          <w:rFonts w:hint="eastAsia" w:eastAsia="宋体"/>
          <w:u w:val="none"/>
          <w:lang w:val="en-US" w:eastAsia="zh-CN"/>
        </w:rPr>
      </w:pPr>
      <w:r>
        <w:rPr>
          <w:rFonts w:hint="eastAsia"/>
          <w:u w:val="none"/>
          <w:lang w:val="en-US" w:eastAsia="zh-CN"/>
        </w:rPr>
        <w:t>其中化学需氧量排放浓度以</w:t>
      </w:r>
      <w:r>
        <w:rPr>
          <w:color w:val="000000"/>
          <w:u w:val="none"/>
        </w:rPr>
        <w:t>《污水综合排放标准》(GB8978-1996)表4中一级标准</w:t>
      </w:r>
      <w:r>
        <w:rPr>
          <w:rFonts w:hint="eastAsia"/>
          <w:color w:val="000000"/>
          <w:u w:val="none"/>
          <w:lang w:val="en-US" w:eastAsia="zh-CN"/>
        </w:rPr>
        <w:t>100</w:t>
      </w:r>
      <w:r>
        <w:t>mg/L</w:t>
      </w:r>
      <w:r>
        <w:rPr>
          <w:rFonts w:hint="eastAsia"/>
          <w:color w:val="000000"/>
          <w:u w:val="none"/>
          <w:lang w:val="en-US" w:eastAsia="zh-CN"/>
        </w:rPr>
        <w:t>为准，砷</w:t>
      </w:r>
      <w:r>
        <w:rPr>
          <w:rFonts w:hint="eastAsia"/>
          <w:u w:val="none"/>
          <w:lang w:val="en-US" w:eastAsia="zh-CN"/>
        </w:rPr>
        <w:t>排放浓度</w:t>
      </w:r>
      <w:r>
        <w:rPr>
          <w:rFonts w:hint="eastAsia"/>
          <w:color w:val="000000"/>
          <w:u w:val="none"/>
          <w:lang w:val="en-US" w:eastAsia="zh-CN"/>
        </w:rPr>
        <w:t>以环评</w:t>
      </w:r>
      <w:r>
        <w:rPr>
          <w:rFonts w:hint="eastAsia"/>
          <w:u w:val="none"/>
        </w:rPr>
        <w:t>总量控制指标</w:t>
      </w:r>
      <w:r>
        <w:rPr>
          <w:rFonts w:hint="eastAsia"/>
          <w:u w:val="none"/>
          <w:lang w:val="en-US" w:eastAsia="zh-CN"/>
        </w:rPr>
        <w:t>中的预计排放浓度0.2</w:t>
      </w:r>
      <w:r>
        <w:t>mg/L</w:t>
      </w:r>
      <w:r>
        <w:rPr>
          <w:rFonts w:hint="eastAsia"/>
          <w:lang w:val="en-US" w:eastAsia="zh-CN"/>
        </w:rPr>
        <w:t>为准。</w:t>
      </w:r>
    </w:p>
    <w:p>
      <w:pPr>
        <w:pStyle w:val="3"/>
        <w:spacing w:line="240" w:lineRule="auto"/>
        <w:rPr>
          <w:sz w:val="30"/>
          <w:szCs w:val="30"/>
          <w:u w:val="none"/>
        </w:rPr>
      </w:pPr>
      <w:bookmarkStart w:id="48" w:name="_Toc24762"/>
      <w:r>
        <w:rPr>
          <w:rFonts w:hint="eastAsia"/>
          <w:sz w:val="30"/>
          <w:szCs w:val="30"/>
          <w:u w:val="none"/>
        </w:rPr>
        <w:t>4</w:t>
      </w:r>
      <w:r>
        <w:rPr>
          <w:sz w:val="30"/>
          <w:szCs w:val="30"/>
          <w:u w:val="none"/>
        </w:rPr>
        <w:t>.</w:t>
      </w:r>
      <w:r>
        <w:rPr>
          <w:rFonts w:hint="eastAsia"/>
          <w:sz w:val="30"/>
          <w:szCs w:val="30"/>
          <w:u w:val="none"/>
        </w:rPr>
        <w:t>3</w:t>
      </w:r>
      <w:r>
        <w:rPr>
          <w:sz w:val="30"/>
          <w:szCs w:val="30"/>
          <w:u w:val="none"/>
        </w:rPr>
        <w:t>入河排污口设置可行性分析</w:t>
      </w:r>
      <w:bookmarkEnd w:id="45"/>
      <w:bookmarkEnd w:id="48"/>
    </w:p>
    <w:p>
      <w:pPr>
        <w:pStyle w:val="4"/>
        <w:spacing w:line="240" w:lineRule="auto"/>
        <w:rPr>
          <w:u w:val="none"/>
        </w:rPr>
      </w:pPr>
      <w:r>
        <w:rPr>
          <w:rFonts w:hint="eastAsia"/>
          <w:u w:val="none"/>
        </w:rPr>
        <w:t>4.3.1入河排污口排放位置、排放方式合理性分析</w:t>
      </w:r>
    </w:p>
    <w:p>
      <w:pPr>
        <w:ind w:firstLine="480"/>
        <w:rPr>
          <w:u w:val="none"/>
        </w:rPr>
      </w:pPr>
      <w:r>
        <w:rPr>
          <w:u w:val="none"/>
        </w:rPr>
        <w:t>桃江县湘域矿业有限公司首溪金矿入河排污口位于益阳市桃江县大栗港镇，</w:t>
      </w:r>
      <w:r>
        <w:rPr>
          <w:rFonts w:hint="eastAsia"/>
          <w:u w:val="none"/>
        </w:rPr>
        <w:t>资水</w:t>
      </w:r>
      <w:r>
        <w:rPr>
          <w:u w:val="none"/>
        </w:rPr>
        <w:t>水流方向右侧，入河排污口地理坐标为：E：111°48′43.72365″，N：28°30′25.66435″；污水采用</w:t>
      </w:r>
      <w:r>
        <w:rPr>
          <w:rFonts w:hint="eastAsia"/>
          <w:u w:val="none"/>
        </w:rPr>
        <w:t>500m专用排水渠</w:t>
      </w:r>
      <w:r>
        <w:rPr>
          <w:u w:val="none"/>
        </w:rPr>
        <w:t>排入</w:t>
      </w:r>
      <w:r>
        <w:rPr>
          <w:rFonts w:hint="eastAsia"/>
          <w:u w:val="none"/>
        </w:rPr>
        <w:t>资水</w:t>
      </w:r>
      <w:r>
        <w:rPr>
          <w:u w:val="none"/>
        </w:rPr>
        <w:t>，排放方式为连续岸边排放，排放流量、流速较小，出流不会对河道造成明显冲刷。通过现场调查，入河排污口周边护坡均为土坡，未进行硬化处理，故入河排污口设置时充分考虑河道防洪及护坡管理要求，拟在排污口及下游设置护砌，加强对河道及护坡的保护，排污口的设置基本不会改变原有护坡防洪功能，对防洪基本无影响。</w:t>
      </w:r>
    </w:p>
    <w:p>
      <w:pPr>
        <w:ind w:firstLine="480"/>
        <w:rPr>
          <w:u w:val="none"/>
        </w:rPr>
      </w:pPr>
      <w:r>
        <w:rPr>
          <w:u w:val="none"/>
        </w:rPr>
        <w:t>根据水质模型预测分析，废水在正常排放下经排污口进入</w:t>
      </w:r>
      <w:r>
        <w:rPr>
          <w:rFonts w:hint="eastAsia"/>
          <w:u w:val="none"/>
        </w:rPr>
        <w:t>资水</w:t>
      </w:r>
      <w:r>
        <w:rPr>
          <w:u w:val="none"/>
        </w:rPr>
        <w:t>，下游</w:t>
      </w:r>
      <w:r>
        <w:rPr>
          <w:rFonts w:hint="eastAsia"/>
          <w:u w:val="none"/>
        </w:rPr>
        <w:t>预测</w:t>
      </w:r>
      <w:r>
        <w:rPr>
          <w:u w:val="none"/>
        </w:rPr>
        <w:t>范围内均能达到《地表水环境质量标准》</w:t>
      </w:r>
      <w:r>
        <w:rPr>
          <w:rFonts w:hint="eastAsia"/>
          <w:u w:val="none"/>
        </w:rPr>
        <w:t>Ⅱ</w:t>
      </w:r>
      <w:r>
        <w:rPr>
          <w:u w:val="none"/>
        </w:rPr>
        <w:t>类水质标准要求，浓度低于标准限值，基本不会对下游水功能区造成影响。</w:t>
      </w:r>
    </w:p>
    <w:p>
      <w:pPr>
        <w:ind w:firstLine="480"/>
        <w:rPr>
          <w:u w:val="none"/>
        </w:rPr>
      </w:pPr>
      <w:r>
        <w:rPr>
          <w:u w:val="none"/>
        </w:rPr>
        <w:t>综上所述，桃江县湘域矿业有限公司首溪金矿入河排污口位置较为合理，能满足水功能区水质管理相关要求。</w:t>
      </w:r>
    </w:p>
    <w:p>
      <w:pPr>
        <w:pStyle w:val="4"/>
        <w:spacing w:line="240" w:lineRule="auto"/>
        <w:rPr>
          <w:u w:val="none"/>
        </w:rPr>
      </w:pPr>
      <w:r>
        <w:rPr>
          <w:rFonts w:hint="eastAsia"/>
          <w:u w:val="none"/>
        </w:rPr>
        <w:t>4.3.2入河排污口排放浓度、规模合理性分析</w:t>
      </w:r>
    </w:p>
    <w:p>
      <w:pPr>
        <w:ind w:firstLine="480"/>
        <w:rPr>
          <w:u w:val="none"/>
        </w:rPr>
      </w:pPr>
      <w:r>
        <w:rPr>
          <w:u w:val="none"/>
        </w:rPr>
        <w:t>根据水质模型预测分析，废水在正常排放下，未超过本功能区范围；本工程处理后的废水排入功能区后，水质仍能达到《地表水环境质量标准》（GB3838-2002）</w:t>
      </w:r>
      <w:r>
        <w:rPr>
          <w:rFonts w:hint="eastAsia"/>
          <w:u w:val="none"/>
        </w:rPr>
        <w:t>Ⅱ</w:t>
      </w:r>
      <w:r>
        <w:rPr>
          <w:u w:val="none"/>
        </w:rPr>
        <w:t>类水质标准要求，基本不会对下游水功能区造成影响。</w:t>
      </w:r>
    </w:p>
    <w:p>
      <w:pPr>
        <w:pStyle w:val="4"/>
        <w:spacing w:line="240" w:lineRule="auto"/>
        <w:rPr>
          <w:rFonts w:eastAsiaTheme="minorEastAsia"/>
          <w:position w:val="2"/>
          <w:u w:val="none"/>
          <w:lang w:bidi="zh-CN"/>
        </w:rPr>
      </w:pPr>
      <w:r>
        <w:rPr>
          <w:rFonts w:hint="eastAsia"/>
          <w:bCs/>
          <w:u w:val="none"/>
        </w:rPr>
        <w:t>4.3.3</w:t>
      </w:r>
      <w:r>
        <w:rPr>
          <w:bCs/>
          <w:spacing w:val="-3"/>
          <w:u w:val="none"/>
        </w:rPr>
        <w:t>排污口设置符合水功能区（水域）管理要求</w:t>
      </w:r>
    </w:p>
    <w:p>
      <w:pPr>
        <w:ind w:firstLine="480"/>
        <w:rPr>
          <w:u w:val="none"/>
        </w:rPr>
      </w:pPr>
      <w:r>
        <w:rPr>
          <w:rFonts w:hint="eastAsia"/>
          <w:u w:val="none"/>
        </w:rPr>
        <w:t>本项目论证排污口处于资水干流，根据《益阳市水功能区划》，项目所在区域河段为资水桃江保留区，水质管理目标为</w:t>
      </w:r>
      <w:r>
        <w:rPr>
          <w:rFonts w:hint="eastAsia"/>
          <w:u w:val="none"/>
          <w:lang w:val="en-US" w:eastAsia="zh-CN"/>
        </w:rPr>
        <w:t>二</w:t>
      </w:r>
      <w:r>
        <w:rPr>
          <w:rFonts w:hint="eastAsia"/>
          <w:u w:val="none"/>
        </w:rPr>
        <w:t>类，属于灌溉用水。本项目在正常排放情况下，尾水执行《污水综合排放标准》(GB8978-96)表4中一级标准要求，其中铊执行《湖南省工业废水铊污染物排放标准》(DB43/968-2021)标准要求，锑参考执行《锡、锑、汞工业污染物排放标准》(GB30770-2014)表2标准要求</w:t>
      </w:r>
      <w:r>
        <w:rPr>
          <w:rFonts w:hint="eastAsia"/>
          <w:u w:val="none"/>
          <w:lang w:eastAsia="zh-CN"/>
        </w:rPr>
        <w:t>，</w:t>
      </w:r>
      <w:r>
        <w:rPr>
          <w:rFonts w:hint="eastAsia"/>
          <w:color w:val="000000"/>
          <w:u w:val="none"/>
          <w:lang w:val="en-US" w:eastAsia="zh-CN"/>
        </w:rPr>
        <w:t>砷以环评</w:t>
      </w:r>
      <w:r>
        <w:rPr>
          <w:rFonts w:hint="eastAsia"/>
          <w:u w:val="none"/>
        </w:rPr>
        <w:t>总量控制指标</w:t>
      </w:r>
      <w:r>
        <w:rPr>
          <w:rFonts w:hint="eastAsia"/>
          <w:u w:val="none"/>
          <w:lang w:val="en-US" w:eastAsia="zh-CN"/>
        </w:rPr>
        <w:t>核算中的0.2</w:t>
      </w:r>
      <w:r>
        <w:t>mg/L</w:t>
      </w:r>
      <w:r>
        <w:rPr>
          <w:rFonts w:hint="eastAsia"/>
          <w:lang w:val="en-US" w:eastAsia="zh-CN"/>
        </w:rPr>
        <w:t>浓度为限值标准</w:t>
      </w:r>
      <w:r>
        <w:rPr>
          <w:rFonts w:hint="eastAsia"/>
          <w:u w:val="none"/>
        </w:rPr>
        <w:t>。不会对下游水功能区水质造成影响，符合水功能区（水域）水质要求。</w:t>
      </w:r>
    </w:p>
    <w:p>
      <w:pPr>
        <w:ind w:firstLine="480"/>
        <w:rPr>
          <w:u w:val="none"/>
        </w:rPr>
      </w:pPr>
      <w:r>
        <w:rPr>
          <w:rFonts w:hint="eastAsia"/>
          <w:u w:val="none"/>
        </w:rPr>
        <w:t>排污口所在水域不涉及饮用水水源保护区、自然保护区、风景名胜区、水产种质资源保护区以及鱼类“三场”和洄游通道，设置入河排污口不存在生态制约因素，符合水生态保护要求。</w:t>
      </w:r>
    </w:p>
    <w:p>
      <w:pPr>
        <w:pStyle w:val="4"/>
        <w:spacing w:line="240" w:lineRule="auto"/>
        <w:rPr>
          <w:bCs/>
          <w:u w:val="none"/>
          <w:lang w:val="zh-CN" w:bidi="zh-CN"/>
        </w:rPr>
      </w:pPr>
      <w:r>
        <w:rPr>
          <w:rFonts w:hint="eastAsia"/>
          <w:bCs/>
          <w:u w:val="none"/>
          <w:lang w:bidi="zh-CN"/>
        </w:rPr>
        <w:t>4.3.4</w:t>
      </w:r>
      <w:r>
        <w:rPr>
          <w:bCs/>
          <w:u w:val="none"/>
          <w:lang w:val="zh-CN" w:bidi="zh-CN"/>
        </w:rPr>
        <w:t>排污口对河势的影响分析</w:t>
      </w:r>
    </w:p>
    <w:p>
      <w:pPr>
        <w:ind w:firstLine="480"/>
        <w:rPr>
          <w:u w:val="none"/>
          <w:lang w:val="zh-CN"/>
        </w:rPr>
      </w:pPr>
      <w:r>
        <w:rPr>
          <w:u w:val="none"/>
          <w:lang w:val="zh-CN"/>
        </w:rPr>
        <w:t>本项目已建排污口为</w:t>
      </w:r>
      <w:r>
        <w:rPr>
          <w:rFonts w:hint="eastAsia"/>
          <w:u w:val="none"/>
          <w:lang w:val="zh-CN"/>
        </w:rPr>
        <w:t>连续</w:t>
      </w:r>
      <w:r>
        <w:rPr>
          <w:u w:val="none"/>
          <w:lang w:val="zh-CN"/>
        </w:rPr>
        <w:t>排放，排放流量较小。本排污口纳污河流河床基本稳定，排污口位置与污水排放方式较合理，河道条件满足本入河排污口设置的基本要求。</w:t>
      </w:r>
      <w:r>
        <w:rPr>
          <w:rFonts w:hint="eastAsia"/>
          <w:u w:val="none"/>
        </w:rPr>
        <w:t>此外，该</w:t>
      </w:r>
      <w:r>
        <w:rPr>
          <w:u w:val="none"/>
          <w:lang w:val="zh-CN"/>
        </w:rPr>
        <w:t>排污口</w:t>
      </w:r>
      <w:r>
        <w:rPr>
          <w:rFonts w:hint="eastAsia"/>
          <w:u w:val="none"/>
        </w:rPr>
        <w:t>将</w:t>
      </w:r>
      <w:r>
        <w:rPr>
          <w:u w:val="none"/>
          <w:lang w:val="zh-CN"/>
        </w:rPr>
        <w:t>按防洪标准设计，入河排污口设置应符合国家规定的防洪标准和工程安全标准要求。</w:t>
      </w:r>
    </w:p>
    <w:p>
      <w:pPr>
        <w:pStyle w:val="4"/>
        <w:spacing w:line="240" w:lineRule="auto"/>
        <w:rPr>
          <w:u w:val="none"/>
        </w:rPr>
      </w:pPr>
      <w:r>
        <w:rPr>
          <w:rFonts w:hint="eastAsia"/>
          <w:u w:val="none"/>
        </w:rPr>
        <w:t>4.3.5</w:t>
      </w:r>
      <w:r>
        <w:rPr>
          <w:u w:val="none"/>
        </w:rPr>
        <w:t>对第三方的影响分析</w:t>
      </w:r>
    </w:p>
    <w:p>
      <w:pPr>
        <w:ind w:firstLine="480"/>
        <w:rPr>
          <w:u w:val="none"/>
        </w:rPr>
      </w:pPr>
      <w:r>
        <w:rPr>
          <w:rFonts w:hint="eastAsia"/>
          <w:u w:val="none"/>
          <w:lang w:val="zh-CN"/>
        </w:rPr>
        <w:t>对上下游取水的影响：</w:t>
      </w:r>
      <w:r>
        <w:rPr>
          <w:rFonts w:hint="eastAsia"/>
          <w:u w:val="none"/>
        </w:rPr>
        <w:t>本项目排污口上下游存在农业灌溉取排水情况，有饮用水源取水口</w:t>
      </w:r>
      <w:r>
        <w:rPr>
          <w:u w:val="none"/>
        </w:rPr>
        <w:t>，</w:t>
      </w:r>
      <w:r>
        <w:rPr>
          <w:rFonts w:hint="eastAsia"/>
          <w:u w:val="none"/>
        </w:rPr>
        <w:t>项目污染物的排放不会影响上下游农业灌溉取排水和饮用水源取水</w:t>
      </w:r>
      <w:r>
        <w:rPr>
          <w:u w:val="none"/>
        </w:rPr>
        <w:t>。</w:t>
      </w:r>
      <w:r>
        <w:rPr>
          <w:rFonts w:hint="eastAsia"/>
          <w:u w:val="none"/>
        </w:rPr>
        <w:t>本项目</w:t>
      </w:r>
      <w:r>
        <w:rPr>
          <w:u w:val="none"/>
        </w:rPr>
        <w:t>排污口所处的</w:t>
      </w:r>
      <w:r>
        <w:rPr>
          <w:rFonts w:hint="eastAsia"/>
          <w:u w:val="none"/>
        </w:rPr>
        <w:t>资江</w:t>
      </w:r>
      <w:r>
        <w:rPr>
          <w:u w:val="none"/>
        </w:rPr>
        <w:t>，不会发生倒灌现象，对上游区域基本不会产生明显不利影响。</w:t>
      </w:r>
    </w:p>
    <w:p>
      <w:pPr>
        <w:ind w:firstLine="480"/>
        <w:rPr>
          <w:u w:val="none"/>
        </w:rPr>
      </w:pPr>
      <w:r>
        <w:rPr>
          <w:rFonts w:hint="eastAsia"/>
          <w:u w:val="none"/>
          <w:lang w:val="zh-CN"/>
        </w:rPr>
        <w:t>对农业灌溉的影响：</w:t>
      </w:r>
      <w:r>
        <w:rPr>
          <w:rFonts w:hint="eastAsia"/>
          <w:u w:val="none"/>
        </w:rPr>
        <w:t>项目所在河段资水目前</w:t>
      </w:r>
      <w:r>
        <w:rPr>
          <w:u w:val="none"/>
        </w:rPr>
        <w:t>主要功能是灌溉，</w:t>
      </w:r>
      <w:r>
        <w:rPr>
          <w:rFonts w:hint="eastAsia"/>
          <w:u w:val="none"/>
        </w:rPr>
        <w:t>本项目排污口后正常排放情况下，能满足农业用水要求，不会对周边农业用水产生不利影响。</w:t>
      </w:r>
    </w:p>
    <w:p>
      <w:pPr>
        <w:ind w:firstLine="480"/>
        <w:rPr>
          <w:u w:val="none"/>
        </w:rPr>
      </w:pPr>
      <w:r>
        <w:rPr>
          <w:rFonts w:hint="eastAsia"/>
          <w:u w:val="none"/>
          <w:lang w:val="zh-CN"/>
        </w:rPr>
        <w:t>对</w:t>
      </w:r>
      <w:r>
        <w:rPr>
          <w:rFonts w:hint="eastAsia"/>
          <w:u w:val="none"/>
        </w:rPr>
        <w:t>湖南桃江羞女湖国家湿地公园</w:t>
      </w:r>
      <w:r>
        <w:rPr>
          <w:rFonts w:hint="eastAsia"/>
          <w:u w:val="none"/>
          <w:lang w:val="zh-CN"/>
        </w:rPr>
        <w:t>的影响：</w:t>
      </w:r>
      <w:r>
        <w:rPr>
          <w:rFonts w:hint="eastAsia"/>
          <w:u w:val="none"/>
        </w:rPr>
        <w:t>本项目位于湖南桃江羞女湖国家湿地公园白竹洲保育区范围内，该排污口在湿地公园设立前即已存在，从预测分析结果来看，项目废水排放不会对资水水质造成明显不利的影响。</w:t>
      </w:r>
    </w:p>
    <w:p>
      <w:pPr>
        <w:ind w:firstLine="480"/>
        <w:rPr>
          <w:u w:val="none"/>
        </w:rPr>
      </w:pPr>
      <w:r>
        <w:rPr>
          <w:rFonts w:hint="eastAsia"/>
          <w:u w:val="none"/>
        </w:rPr>
        <w:t>对河道行洪能力影响分析：本项目排污口位于河岸边，采用专用排水渠排放，不影响资水正常行洪。因此，排污口设置对资水的影响较小，满足河道管理的要求。</w:t>
      </w:r>
    </w:p>
    <w:p>
      <w:pPr>
        <w:ind w:firstLine="480"/>
        <w:rPr>
          <w:u w:val="none"/>
          <w:lang w:val="zh-CN"/>
        </w:rPr>
      </w:pPr>
      <w:r>
        <w:rPr>
          <w:rFonts w:hint="eastAsia"/>
          <w:u w:val="none"/>
          <w:lang w:val="zh-CN"/>
        </w:rPr>
        <w:t>综上分析，在建设单位对入河污水进行处理，严格控制污水水质达标排放情况下，本项目入河排污口的设置不会对第三者权益方面产生不良影响。</w:t>
      </w:r>
    </w:p>
    <w:p>
      <w:pPr>
        <w:pStyle w:val="4"/>
        <w:spacing w:line="240" w:lineRule="auto"/>
        <w:rPr>
          <w:u w:val="none"/>
          <w:lang w:val="zh-CN"/>
        </w:rPr>
      </w:pPr>
      <w:r>
        <w:rPr>
          <w:rFonts w:hint="eastAsia"/>
          <w:u w:val="none"/>
        </w:rPr>
        <w:t>4.3.6</w:t>
      </w:r>
      <w:r>
        <w:rPr>
          <w:rFonts w:hint="eastAsia"/>
          <w:u w:val="none"/>
          <w:lang w:val="zh-CN"/>
        </w:rPr>
        <w:t>与生态红线相符性分析</w:t>
      </w:r>
    </w:p>
    <w:p>
      <w:pPr>
        <w:ind w:firstLine="480"/>
        <w:rPr>
          <w:u w:val="none"/>
        </w:rPr>
      </w:pPr>
      <w:r>
        <w:rPr>
          <w:rFonts w:hint="eastAsia"/>
          <w:u w:val="none"/>
          <w:lang w:val="zh-CN"/>
        </w:rPr>
        <w:t>根据《湖南省生态保护红线》（湘政发〔2018〕20号）中生态红线区范围，本项目</w:t>
      </w:r>
      <w:r>
        <w:rPr>
          <w:rFonts w:hint="eastAsia"/>
          <w:u w:val="none"/>
        </w:rPr>
        <w:t>位于</w:t>
      </w:r>
      <w:r>
        <w:rPr>
          <w:rFonts w:hint="eastAsia"/>
          <w:u w:val="none"/>
          <w:lang w:val="zh-CN"/>
        </w:rPr>
        <w:t>生态保护红线</w:t>
      </w:r>
      <w:r>
        <w:rPr>
          <w:rFonts w:hint="eastAsia"/>
          <w:u w:val="none"/>
        </w:rPr>
        <w:t>范围内，但本项目排污口的设置远早于生态红线的范围划定。</w:t>
      </w:r>
    </w:p>
    <w:p>
      <w:pPr>
        <w:pStyle w:val="4"/>
        <w:spacing w:line="240" w:lineRule="auto"/>
        <w:rPr>
          <w:u w:val="none"/>
        </w:rPr>
      </w:pPr>
      <w:r>
        <w:rPr>
          <w:rFonts w:hint="eastAsia"/>
          <w:u w:val="none"/>
        </w:rPr>
        <w:t>4.3.7与入河排污口监督管理办法相符性分析</w:t>
      </w:r>
    </w:p>
    <w:p>
      <w:pPr>
        <w:ind w:firstLine="480"/>
        <w:rPr>
          <w:u w:val="none"/>
        </w:rPr>
      </w:pPr>
      <w:r>
        <w:rPr>
          <w:rFonts w:hint="eastAsia"/>
          <w:u w:val="none"/>
        </w:rPr>
        <w:t>本项目排污口不存在《入河排污口监督管理办法》中不允许设置排污口的情况，具体对比情况下表</w:t>
      </w:r>
      <w:r>
        <w:rPr>
          <w:rFonts w:hint="eastAsia"/>
          <w:u w:val="none"/>
          <w:lang w:val="en-US" w:eastAsia="zh-CN"/>
        </w:rPr>
        <w:t>4.3.7</w:t>
      </w:r>
      <w:r>
        <w:rPr>
          <w:rFonts w:hint="eastAsia"/>
          <w:u w:val="none"/>
        </w:rPr>
        <w:t>-1。</w:t>
      </w:r>
    </w:p>
    <w:p>
      <w:pPr>
        <w:spacing w:line="240" w:lineRule="auto"/>
        <w:ind w:firstLine="422"/>
        <w:jc w:val="center"/>
        <w:rPr>
          <w:b/>
          <w:bCs/>
          <w:sz w:val="21"/>
          <w:u w:val="none"/>
        </w:rPr>
      </w:pPr>
      <w:r>
        <w:rPr>
          <w:b/>
          <w:bCs/>
          <w:sz w:val="21"/>
          <w:u w:val="none"/>
        </w:rPr>
        <w:t>表</w:t>
      </w:r>
      <w:r>
        <w:rPr>
          <w:rFonts w:hint="eastAsia"/>
          <w:b/>
          <w:bCs/>
          <w:sz w:val="21"/>
          <w:u w:val="none"/>
        </w:rPr>
        <w:t>4.3</w:t>
      </w:r>
      <w:r>
        <w:rPr>
          <w:rFonts w:hint="eastAsia"/>
          <w:b/>
          <w:bCs/>
          <w:sz w:val="21"/>
          <w:u w:val="none"/>
          <w:lang w:val="en-US" w:eastAsia="zh-CN"/>
        </w:rPr>
        <w:t>.7</w:t>
      </w:r>
      <w:r>
        <w:rPr>
          <w:rFonts w:hint="eastAsia"/>
          <w:b/>
          <w:bCs/>
          <w:sz w:val="21"/>
          <w:u w:val="none"/>
        </w:rPr>
        <w:t>-1本项目与《入河排污口管理技术导则》（SL532-2011）不予同意7种情况对比表</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535"/>
        <w:gridCol w:w="2552"/>
        <w:gridCol w:w="13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0" w:type="pct"/>
            <w:tcBorders>
              <w:tl2br w:val="nil"/>
              <w:tr2bl w:val="nil"/>
            </w:tcBorders>
            <w:noWrap/>
            <w:vAlign w:val="center"/>
          </w:tcPr>
          <w:p>
            <w:pPr>
              <w:pStyle w:val="65"/>
              <w:jc w:val="center"/>
              <w:rPr>
                <w:rFonts w:ascii="Times New Roman" w:cs="Times New Roman" w:eastAsiaTheme="majorEastAsia"/>
                <w:color w:val="auto"/>
                <w:sz w:val="21"/>
                <w:szCs w:val="21"/>
                <w:u w:val="none"/>
              </w:rPr>
            </w:pPr>
            <w:r>
              <w:rPr>
                <w:rFonts w:ascii="Times New Roman" w:cs="Times New Roman" w:eastAsiaTheme="majorEastAsia"/>
                <w:color w:val="auto"/>
                <w:sz w:val="21"/>
                <w:szCs w:val="21"/>
                <w:u w:val="none"/>
              </w:rPr>
              <w:t>序号</w:t>
            </w:r>
          </w:p>
        </w:tc>
        <w:tc>
          <w:tcPr>
            <w:tcW w:w="2442" w:type="pct"/>
            <w:tcBorders>
              <w:tl2br w:val="nil"/>
              <w:tr2bl w:val="nil"/>
            </w:tcBorders>
            <w:noWrap/>
            <w:vAlign w:val="center"/>
          </w:tcPr>
          <w:p>
            <w:pPr>
              <w:pStyle w:val="65"/>
              <w:jc w:val="center"/>
              <w:rPr>
                <w:rFonts w:ascii="Times New Roman" w:cs="Times New Roman" w:eastAsiaTheme="majorEastAsia"/>
                <w:color w:val="auto"/>
                <w:sz w:val="21"/>
                <w:szCs w:val="21"/>
                <w:u w:val="none"/>
              </w:rPr>
            </w:pPr>
            <w:r>
              <w:rPr>
                <w:rFonts w:ascii="Times New Roman" w:cs="Times New Roman" w:eastAsiaTheme="majorEastAsia"/>
                <w:color w:val="auto"/>
                <w:sz w:val="21"/>
                <w:szCs w:val="21"/>
                <w:u w:val="none"/>
              </w:rPr>
              <w:t>不予同意入河排污口设置申请的情况</w:t>
            </w:r>
          </w:p>
        </w:tc>
        <w:tc>
          <w:tcPr>
            <w:tcW w:w="1374" w:type="pct"/>
            <w:tcBorders>
              <w:tl2br w:val="nil"/>
              <w:tr2bl w:val="nil"/>
            </w:tcBorders>
            <w:noWrap/>
            <w:vAlign w:val="center"/>
          </w:tcPr>
          <w:p>
            <w:pPr>
              <w:pStyle w:val="65"/>
              <w:jc w:val="center"/>
              <w:rPr>
                <w:rFonts w:ascii="Times New Roman" w:cs="Times New Roman" w:eastAsiaTheme="majorEastAsia"/>
                <w:color w:val="auto"/>
                <w:sz w:val="21"/>
                <w:szCs w:val="21"/>
                <w:u w:val="none"/>
              </w:rPr>
            </w:pPr>
            <w:r>
              <w:rPr>
                <w:rFonts w:ascii="Times New Roman" w:cs="Times New Roman" w:eastAsiaTheme="majorEastAsia"/>
                <w:color w:val="auto"/>
                <w:sz w:val="21"/>
                <w:szCs w:val="21"/>
                <w:u w:val="none"/>
              </w:rPr>
              <w:t>本项目建设情况</w:t>
            </w:r>
          </w:p>
        </w:tc>
        <w:tc>
          <w:tcPr>
            <w:tcW w:w="744" w:type="pct"/>
            <w:tcBorders>
              <w:tl2br w:val="nil"/>
              <w:tr2bl w:val="nil"/>
            </w:tcBorders>
            <w:noWrap/>
            <w:vAlign w:val="center"/>
          </w:tcPr>
          <w:p>
            <w:pPr>
              <w:pStyle w:val="65"/>
              <w:jc w:val="center"/>
              <w:rPr>
                <w:rFonts w:ascii="Times New Roman" w:cs="Times New Roman" w:eastAsiaTheme="majorEastAsia"/>
                <w:color w:val="auto"/>
                <w:sz w:val="21"/>
                <w:szCs w:val="21"/>
                <w:u w:val="none"/>
              </w:rPr>
            </w:pPr>
            <w:r>
              <w:rPr>
                <w:rFonts w:ascii="Times New Roman" w:cs="Times New Roman" w:eastAsiaTheme="majorEastAsia"/>
                <w:color w:val="auto"/>
                <w:sz w:val="21"/>
                <w:szCs w:val="21"/>
                <w:u w:val="none"/>
              </w:rPr>
              <w:t>对比情况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0" w:type="pct"/>
            <w:tcBorders>
              <w:tl2br w:val="nil"/>
              <w:tr2bl w:val="nil"/>
            </w:tcBorders>
            <w:noWrap/>
            <w:vAlign w:val="center"/>
          </w:tcPr>
          <w:p>
            <w:pPr>
              <w:pStyle w:val="65"/>
              <w:jc w:val="center"/>
              <w:rPr>
                <w:rFonts w:ascii="Times New Roman" w:cs="Times New Roman" w:eastAsiaTheme="majorEastAsia"/>
                <w:color w:val="auto"/>
                <w:sz w:val="21"/>
                <w:szCs w:val="21"/>
                <w:u w:val="none"/>
              </w:rPr>
            </w:pPr>
            <w:r>
              <w:rPr>
                <w:rFonts w:ascii="Times New Roman" w:cs="Times New Roman" w:eastAsiaTheme="majorEastAsia"/>
                <w:color w:val="auto"/>
                <w:sz w:val="21"/>
                <w:szCs w:val="21"/>
                <w:u w:val="none"/>
              </w:rPr>
              <w:t>1</w:t>
            </w:r>
          </w:p>
        </w:tc>
        <w:tc>
          <w:tcPr>
            <w:tcW w:w="2442" w:type="pct"/>
            <w:tcBorders>
              <w:tl2br w:val="nil"/>
              <w:tr2bl w:val="nil"/>
            </w:tcBorders>
            <w:noWrap/>
            <w:vAlign w:val="center"/>
          </w:tcPr>
          <w:p>
            <w:pPr>
              <w:pStyle w:val="65"/>
              <w:jc w:val="center"/>
              <w:rPr>
                <w:rFonts w:ascii="Times New Roman" w:cs="Times New Roman" w:eastAsiaTheme="majorEastAsia"/>
                <w:color w:val="auto"/>
                <w:sz w:val="21"/>
                <w:szCs w:val="21"/>
                <w:u w:val="none"/>
              </w:rPr>
            </w:pPr>
            <w:r>
              <w:rPr>
                <w:rFonts w:ascii="Times New Roman" w:cs="Times New Roman" w:eastAsiaTheme="majorEastAsia"/>
                <w:color w:val="auto"/>
                <w:sz w:val="21"/>
                <w:szCs w:val="21"/>
                <w:u w:val="none"/>
              </w:rPr>
              <w:t>在饮用水水源保护区内设置入河排污口的</w:t>
            </w:r>
          </w:p>
        </w:tc>
        <w:tc>
          <w:tcPr>
            <w:tcW w:w="1374" w:type="pct"/>
            <w:tcBorders>
              <w:tl2br w:val="nil"/>
              <w:tr2bl w:val="nil"/>
            </w:tcBorders>
            <w:noWrap/>
            <w:vAlign w:val="center"/>
          </w:tcPr>
          <w:p>
            <w:pPr>
              <w:pStyle w:val="65"/>
              <w:jc w:val="center"/>
              <w:rPr>
                <w:rFonts w:ascii="Times New Roman" w:cs="Times New Roman" w:eastAsiaTheme="majorEastAsia"/>
                <w:color w:val="auto"/>
                <w:sz w:val="21"/>
                <w:szCs w:val="21"/>
                <w:u w:val="none"/>
              </w:rPr>
            </w:pPr>
            <w:r>
              <w:rPr>
                <w:rFonts w:ascii="Times New Roman" w:cs="Times New Roman" w:eastAsiaTheme="majorEastAsia"/>
                <w:color w:val="auto"/>
                <w:sz w:val="21"/>
                <w:szCs w:val="21"/>
                <w:u w:val="none"/>
              </w:rPr>
              <w:t>不涉及饮用水水源保护区</w:t>
            </w:r>
          </w:p>
        </w:tc>
        <w:tc>
          <w:tcPr>
            <w:tcW w:w="744" w:type="pct"/>
            <w:tcBorders>
              <w:tl2br w:val="nil"/>
              <w:tr2bl w:val="nil"/>
            </w:tcBorders>
            <w:noWrap/>
            <w:vAlign w:val="center"/>
          </w:tcPr>
          <w:p>
            <w:pPr>
              <w:pStyle w:val="65"/>
              <w:jc w:val="center"/>
              <w:rPr>
                <w:rFonts w:ascii="Times New Roman" w:cs="Times New Roman" w:eastAsiaTheme="majorEastAsia"/>
                <w:color w:val="auto"/>
                <w:sz w:val="21"/>
                <w:szCs w:val="21"/>
                <w:u w:val="none"/>
              </w:rPr>
            </w:pPr>
            <w:r>
              <w:rPr>
                <w:rFonts w:ascii="Times New Roman" w:cs="Times New Roman" w:eastAsiaTheme="majorEastAsia"/>
                <w:color w:val="auto"/>
                <w:sz w:val="21"/>
                <w:szCs w:val="21"/>
                <w:u w:val="none"/>
              </w:rPr>
              <w:t>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0" w:type="pct"/>
            <w:tcBorders>
              <w:tl2br w:val="nil"/>
              <w:tr2bl w:val="nil"/>
            </w:tcBorders>
            <w:noWrap/>
            <w:vAlign w:val="center"/>
          </w:tcPr>
          <w:p>
            <w:pPr>
              <w:pStyle w:val="65"/>
              <w:jc w:val="center"/>
              <w:rPr>
                <w:rFonts w:ascii="Times New Roman" w:cs="Times New Roman" w:eastAsiaTheme="majorEastAsia"/>
                <w:color w:val="auto"/>
                <w:sz w:val="21"/>
                <w:szCs w:val="21"/>
                <w:u w:val="none"/>
              </w:rPr>
            </w:pPr>
            <w:r>
              <w:rPr>
                <w:rFonts w:ascii="Times New Roman" w:cs="Times New Roman" w:eastAsiaTheme="majorEastAsia"/>
                <w:color w:val="auto"/>
                <w:sz w:val="21"/>
                <w:szCs w:val="21"/>
                <w:u w:val="none"/>
              </w:rPr>
              <w:t>2</w:t>
            </w:r>
          </w:p>
        </w:tc>
        <w:tc>
          <w:tcPr>
            <w:tcW w:w="2442" w:type="pct"/>
            <w:tcBorders>
              <w:tl2br w:val="nil"/>
              <w:tr2bl w:val="nil"/>
            </w:tcBorders>
            <w:noWrap/>
            <w:vAlign w:val="center"/>
          </w:tcPr>
          <w:p>
            <w:pPr>
              <w:pStyle w:val="65"/>
              <w:jc w:val="center"/>
              <w:rPr>
                <w:rFonts w:ascii="Times New Roman" w:cs="Times New Roman" w:eastAsiaTheme="majorEastAsia"/>
                <w:color w:val="auto"/>
                <w:sz w:val="21"/>
                <w:szCs w:val="21"/>
                <w:u w:val="none"/>
              </w:rPr>
            </w:pPr>
            <w:r>
              <w:rPr>
                <w:rFonts w:ascii="Times New Roman" w:cs="Times New Roman" w:eastAsiaTheme="majorEastAsia"/>
                <w:color w:val="auto"/>
                <w:sz w:val="21"/>
                <w:szCs w:val="21"/>
                <w:u w:val="none"/>
              </w:rPr>
              <w:t>在省级以上人民政府要求削减排污总量且不能通过削减现有排污量而取得环境容量的水域设置入河排污口的</w:t>
            </w:r>
          </w:p>
        </w:tc>
        <w:tc>
          <w:tcPr>
            <w:tcW w:w="1374" w:type="pct"/>
            <w:tcBorders>
              <w:tl2br w:val="nil"/>
              <w:tr2bl w:val="nil"/>
            </w:tcBorders>
            <w:noWrap/>
            <w:vAlign w:val="center"/>
          </w:tcPr>
          <w:p>
            <w:pPr>
              <w:pStyle w:val="65"/>
              <w:jc w:val="center"/>
              <w:rPr>
                <w:rFonts w:ascii="Times New Roman" w:cs="Times New Roman" w:eastAsiaTheme="majorEastAsia"/>
                <w:color w:val="auto"/>
                <w:sz w:val="21"/>
                <w:szCs w:val="21"/>
                <w:u w:val="none"/>
              </w:rPr>
            </w:pPr>
            <w:r>
              <w:rPr>
                <w:rFonts w:ascii="Times New Roman" w:cs="Times New Roman" w:eastAsiaTheme="majorEastAsia"/>
                <w:color w:val="auto"/>
                <w:sz w:val="21"/>
                <w:szCs w:val="21"/>
                <w:u w:val="none"/>
              </w:rPr>
              <w:t>收纳水体为资水，尚有环境容量</w:t>
            </w:r>
          </w:p>
        </w:tc>
        <w:tc>
          <w:tcPr>
            <w:tcW w:w="744" w:type="pct"/>
            <w:tcBorders>
              <w:tl2br w:val="nil"/>
              <w:tr2bl w:val="nil"/>
            </w:tcBorders>
            <w:noWrap/>
            <w:vAlign w:val="center"/>
          </w:tcPr>
          <w:p>
            <w:pPr>
              <w:pStyle w:val="65"/>
              <w:jc w:val="center"/>
              <w:rPr>
                <w:rFonts w:ascii="Times New Roman" w:cs="Times New Roman" w:eastAsiaTheme="majorEastAsia"/>
                <w:color w:val="auto"/>
                <w:sz w:val="21"/>
                <w:szCs w:val="21"/>
                <w:u w:val="none"/>
              </w:rPr>
            </w:pPr>
            <w:r>
              <w:rPr>
                <w:rFonts w:ascii="Times New Roman" w:cs="Times New Roman" w:eastAsiaTheme="majorEastAsia"/>
                <w:color w:val="auto"/>
                <w:sz w:val="21"/>
                <w:szCs w:val="21"/>
                <w:u w:val="none"/>
              </w:rPr>
              <w:t>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0" w:type="pct"/>
            <w:tcBorders>
              <w:tl2br w:val="nil"/>
              <w:tr2bl w:val="nil"/>
            </w:tcBorders>
            <w:noWrap/>
            <w:vAlign w:val="center"/>
          </w:tcPr>
          <w:p>
            <w:pPr>
              <w:pStyle w:val="65"/>
              <w:jc w:val="center"/>
              <w:rPr>
                <w:rFonts w:ascii="Times New Roman" w:cs="Times New Roman" w:eastAsiaTheme="majorEastAsia"/>
                <w:color w:val="auto"/>
                <w:sz w:val="21"/>
                <w:szCs w:val="21"/>
                <w:u w:val="none"/>
              </w:rPr>
            </w:pPr>
            <w:r>
              <w:rPr>
                <w:rFonts w:ascii="Times New Roman" w:cs="Times New Roman" w:eastAsiaTheme="majorEastAsia"/>
                <w:color w:val="auto"/>
                <w:sz w:val="21"/>
                <w:szCs w:val="21"/>
                <w:u w:val="none"/>
              </w:rPr>
              <w:t>3</w:t>
            </w:r>
          </w:p>
        </w:tc>
        <w:tc>
          <w:tcPr>
            <w:tcW w:w="2442" w:type="pct"/>
            <w:tcBorders>
              <w:tl2br w:val="nil"/>
              <w:tr2bl w:val="nil"/>
            </w:tcBorders>
            <w:noWrap/>
            <w:vAlign w:val="center"/>
          </w:tcPr>
          <w:p>
            <w:pPr>
              <w:pStyle w:val="65"/>
              <w:jc w:val="center"/>
              <w:rPr>
                <w:rFonts w:ascii="Times New Roman" w:cs="Times New Roman" w:eastAsiaTheme="majorEastAsia"/>
                <w:color w:val="auto"/>
                <w:sz w:val="21"/>
                <w:szCs w:val="21"/>
                <w:u w:val="none"/>
              </w:rPr>
            </w:pPr>
            <w:r>
              <w:rPr>
                <w:rFonts w:ascii="Times New Roman" w:cs="Times New Roman" w:eastAsiaTheme="majorEastAsia"/>
                <w:color w:val="auto"/>
                <w:sz w:val="21"/>
                <w:szCs w:val="21"/>
                <w:u w:val="none"/>
              </w:rPr>
              <w:t>入河排污口设置可能使水域水质不到水功能区管理要求的</w:t>
            </w:r>
          </w:p>
        </w:tc>
        <w:tc>
          <w:tcPr>
            <w:tcW w:w="1374" w:type="pct"/>
            <w:tcBorders>
              <w:tl2br w:val="nil"/>
              <w:tr2bl w:val="nil"/>
            </w:tcBorders>
            <w:noWrap/>
            <w:vAlign w:val="center"/>
          </w:tcPr>
          <w:p>
            <w:pPr>
              <w:pStyle w:val="65"/>
              <w:jc w:val="center"/>
              <w:rPr>
                <w:rFonts w:ascii="Times New Roman" w:cs="Times New Roman" w:eastAsiaTheme="majorEastAsia"/>
                <w:color w:val="auto"/>
                <w:sz w:val="21"/>
                <w:szCs w:val="21"/>
                <w:u w:val="none"/>
              </w:rPr>
            </w:pPr>
            <w:r>
              <w:rPr>
                <w:rFonts w:ascii="Times New Roman" w:cs="Times New Roman" w:eastAsiaTheme="majorEastAsia"/>
                <w:color w:val="auto"/>
                <w:sz w:val="21"/>
                <w:szCs w:val="21"/>
                <w:u w:val="none"/>
              </w:rPr>
              <w:t>外排废水水质较简单，不会改变资水开发利用区Ⅱ类水质现状与Ⅱ类水质管理目标</w:t>
            </w:r>
          </w:p>
        </w:tc>
        <w:tc>
          <w:tcPr>
            <w:tcW w:w="744" w:type="pct"/>
            <w:tcBorders>
              <w:tl2br w:val="nil"/>
              <w:tr2bl w:val="nil"/>
            </w:tcBorders>
            <w:noWrap/>
            <w:vAlign w:val="center"/>
          </w:tcPr>
          <w:p>
            <w:pPr>
              <w:pStyle w:val="65"/>
              <w:jc w:val="center"/>
              <w:rPr>
                <w:rFonts w:ascii="Times New Roman" w:cs="Times New Roman" w:eastAsiaTheme="majorEastAsia"/>
                <w:color w:val="auto"/>
                <w:sz w:val="21"/>
                <w:szCs w:val="21"/>
                <w:u w:val="none"/>
              </w:rPr>
            </w:pPr>
            <w:r>
              <w:rPr>
                <w:rFonts w:ascii="Times New Roman" w:cs="Times New Roman" w:eastAsiaTheme="majorEastAsia"/>
                <w:color w:val="auto"/>
                <w:sz w:val="21"/>
                <w:szCs w:val="21"/>
                <w:u w:val="none"/>
              </w:rPr>
              <w:t>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0" w:type="pct"/>
            <w:tcBorders>
              <w:tl2br w:val="nil"/>
              <w:tr2bl w:val="nil"/>
            </w:tcBorders>
            <w:noWrap/>
            <w:vAlign w:val="center"/>
          </w:tcPr>
          <w:p>
            <w:pPr>
              <w:pStyle w:val="65"/>
              <w:jc w:val="center"/>
              <w:rPr>
                <w:rFonts w:ascii="Times New Roman" w:cs="Times New Roman" w:eastAsiaTheme="majorEastAsia"/>
                <w:color w:val="auto"/>
                <w:sz w:val="21"/>
                <w:szCs w:val="21"/>
                <w:u w:val="none"/>
              </w:rPr>
            </w:pPr>
            <w:r>
              <w:rPr>
                <w:rFonts w:ascii="Times New Roman" w:cs="Times New Roman" w:eastAsiaTheme="majorEastAsia"/>
                <w:color w:val="auto"/>
                <w:sz w:val="21"/>
                <w:szCs w:val="21"/>
                <w:u w:val="none"/>
              </w:rPr>
              <w:t>4</w:t>
            </w:r>
          </w:p>
        </w:tc>
        <w:tc>
          <w:tcPr>
            <w:tcW w:w="2442" w:type="pct"/>
            <w:tcBorders>
              <w:tl2br w:val="nil"/>
              <w:tr2bl w:val="nil"/>
            </w:tcBorders>
            <w:noWrap/>
            <w:vAlign w:val="center"/>
          </w:tcPr>
          <w:p>
            <w:pPr>
              <w:pStyle w:val="65"/>
              <w:jc w:val="center"/>
              <w:rPr>
                <w:rFonts w:ascii="Times New Roman" w:cs="Times New Roman" w:eastAsiaTheme="majorEastAsia"/>
                <w:color w:val="auto"/>
                <w:sz w:val="21"/>
                <w:szCs w:val="21"/>
                <w:u w:val="none"/>
              </w:rPr>
            </w:pPr>
            <w:r>
              <w:rPr>
                <w:rFonts w:ascii="Times New Roman" w:cs="Times New Roman" w:eastAsiaTheme="majorEastAsia"/>
                <w:color w:val="auto"/>
                <w:sz w:val="21"/>
                <w:szCs w:val="21"/>
                <w:u w:val="none"/>
              </w:rPr>
              <w:t>入河排污口设置直接影响合法取水户用水安全的</w:t>
            </w:r>
          </w:p>
        </w:tc>
        <w:tc>
          <w:tcPr>
            <w:tcW w:w="1374" w:type="pct"/>
            <w:tcBorders>
              <w:tl2br w:val="nil"/>
              <w:tr2bl w:val="nil"/>
            </w:tcBorders>
            <w:noWrap/>
            <w:vAlign w:val="center"/>
          </w:tcPr>
          <w:p>
            <w:pPr>
              <w:pStyle w:val="65"/>
              <w:jc w:val="center"/>
              <w:rPr>
                <w:rFonts w:ascii="Times New Roman" w:cs="Times New Roman" w:eastAsiaTheme="majorEastAsia"/>
                <w:color w:val="auto"/>
                <w:sz w:val="21"/>
                <w:szCs w:val="21"/>
                <w:u w:val="none"/>
              </w:rPr>
            </w:pPr>
            <w:r>
              <w:rPr>
                <w:rFonts w:ascii="Times New Roman" w:cs="Times New Roman" w:eastAsiaTheme="majorEastAsia"/>
                <w:color w:val="auto"/>
                <w:sz w:val="21"/>
                <w:szCs w:val="21"/>
                <w:u w:val="none"/>
              </w:rPr>
              <w:t>论证范围内无集中式饮用水取水口，对第三方权益影响轻微</w:t>
            </w:r>
          </w:p>
        </w:tc>
        <w:tc>
          <w:tcPr>
            <w:tcW w:w="744" w:type="pct"/>
            <w:tcBorders>
              <w:tl2br w:val="nil"/>
              <w:tr2bl w:val="nil"/>
            </w:tcBorders>
            <w:noWrap/>
            <w:vAlign w:val="center"/>
          </w:tcPr>
          <w:p>
            <w:pPr>
              <w:pStyle w:val="65"/>
              <w:jc w:val="center"/>
              <w:rPr>
                <w:rFonts w:ascii="Times New Roman" w:cs="Times New Roman" w:eastAsiaTheme="majorEastAsia"/>
                <w:color w:val="auto"/>
                <w:sz w:val="21"/>
                <w:szCs w:val="21"/>
                <w:u w:val="none"/>
              </w:rPr>
            </w:pPr>
            <w:r>
              <w:rPr>
                <w:rFonts w:ascii="Times New Roman" w:cs="Times New Roman" w:eastAsiaTheme="majorEastAsia"/>
                <w:color w:val="auto"/>
                <w:sz w:val="21"/>
                <w:szCs w:val="21"/>
                <w:u w:val="none"/>
              </w:rPr>
              <w:t>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0" w:type="pct"/>
            <w:tcBorders>
              <w:tl2br w:val="nil"/>
              <w:tr2bl w:val="nil"/>
            </w:tcBorders>
            <w:noWrap/>
            <w:vAlign w:val="center"/>
          </w:tcPr>
          <w:p>
            <w:pPr>
              <w:pStyle w:val="65"/>
              <w:jc w:val="center"/>
              <w:rPr>
                <w:rFonts w:ascii="Times New Roman" w:cs="Times New Roman" w:eastAsiaTheme="majorEastAsia"/>
                <w:color w:val="auto"/>
                <w:sz w:val="21"/>
                <w:szCs w:val="21"/>
                <w:u w:val="none"/>
              </w:rPr>
            </w:pPr>
            <w:r>
              <w:rPr>
                <w:rFonts w:ascii="Times New Roman" w:cs="Times New Roman" w:eastAsiaTheme="majorEastAsia"/>
                <w:color w:val="auto"/>
                <w:sz w:val="21"/>
                <w:szCs w:val="21"/>
                <w:u w:val="none"/>
              </w:rPr>
              <w:t>5</w:t>
            </w:r>
          </w:p>
        </w:tc>
        <w:tc>
          <w:tcPr>
            <w:tcW w:w="2442" w:type="pct"/>
            <w:tcBorders>
              <w:tl2br w:val="nil"/>
              <w:tr2bl w:val="nil"/>
            </w:tcBorders>
            <w:noWrap/>
            <w:vAlign w:val="center"/>
          </w:tcPr>
          <w:p>
            <w:pPr>
              <w:pStyle w:val="65"/>
              <w:jc w:val="center"/>
              <w:rPr>
                <w:rFonts w:ascii="Times New Roman" w:cs="Times New Roman" w:eastAsiaTheme="majorEastAsia"/>
                <w:color w:val="auto"/>
                <w:sz w:val="21"/>
                <w:szCs w:val="21"/>
                <w:u w:val="none"/>
              </w:rPr>
            </w:pPr>
            <w:r>
              <w:rPr>
                <w:rFonts w:ascii="Times New Roman" w:cs="Times New Roman" w:eastAsiaTheme="majorEastAsia"/>
                <w:color w:val="auto"/>
                <w:sz w:val="21"/>
                <w:szCs w:val="21"/>
                <w:u w:val="none"/>
              </w:rPr>
              <w:t>入河排污口设置不符合防洪要求的</w:t>
            </w:r>
          </w:p>
        </w:tc>
        <w:tc>
          <w:tcPr>
            <w:tcW w:w="1374" w:type="pct"/>
            <w:tcBorders>
              <w:tl2br w:val="nil"/>
              <w:tr2bl w:val="nil"/>
            </w:tcBorders>
            <w:noWrap/>
            <w:vAlign w:val="center"/>
          </w:tcPr>
          <w:p>
            <w:pPr>
              <w:pStyle w:val="65"/>
              <w:jc w:val="center"/>
              <w:rPr>
                <w:rFonts w:ascii="Times New Roman" w:cs="Times New Roman" w:eastAsiaTheme="majorEastAsia"/>
                <w:color w:val="auto"/>
                <w:sz w:val="21"/>
                <w:szCs w:val="21"/>
                <w:u w:val="none"/>
              </w:rPr>
            </w:pPr>
            <w:r>
              <w:rPr>
                <w:rFonts w:ascii="Times New Roman" w:cs="Times New Roman" w:eastAsiaTheme="majorEastAsia"/>
                <w:color w:val="auto"/>
                <w:sz w:val="21"/>
                <w:szCs w:val="21"/>
                <w:u w:val="none"/>
              </w:rPr>
              <w:t>拟建入河排污口不影响资水防洪</w:t>
            </w:r>
          </w:p>
        </w:tc>
        <w:tc>
          <w:tcPr>
            <w:tcW w:w="744" w:type="pct"/>
            <w:tcBorders>
              <w:tl2br w:val="nil"/>
              <w:tr2bl w:val="nil"/>
            </w:tcBorders>
            <w:noWrap/>
            <w:vAlign w:val="center"/>
          </w:tcPr>
          <w:p>
            <w:pPr>
              <w:pStyle w:val="65"/>
              <w:jc w:val="center"/>
              <w:rPr>
                <w:rFonts w:ascii="Times New Roman" w:cs="Times New Roman" w:eastAsiaTheme="majorEastAsia"/>
                <w:color w:val="auto"/>
                <w:sz w:val="21"/>
                <w:szCs w:val="21"/>
                <w:u w:val="none"/>
              </w:rPr>
            </w:pPr>
            <w:r>
              <w:rPr>
                <w:rFonts w:ascii="Times New Roman" w:cs="Times New Roman" w:eastAsiaTheme="majorEastAsia"/>
                <w:color w:val="auto"/>
                <w:sz w:val="21"/>
                <w:szCs w:val="21"/>
                <w:u w:val="none"/>
              </w:rPr>
              <w:t>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0" w:type="pct"/>
            <w:tcBorders>
              <w:tl2br w:val="nil"/>
              <w:tr2bl w:val="nil"/>
            </w:tcBorders>
            <w:noWrap/>
            <w:vAlign w:val="center"/>
          </w:tcPr>
          <w:p>
            <w:pPr>
              <w:pStyle w:val="65"/>
              <w:jc w:val="center"/>
              <w:rPr>
                <w:rFonts w:ascii="Times New Roman" w:cs="Times New Roman" w:eastAsiaTheme="majorEastAsia"/>
                <w:color w:val="auto"/>
                <w:sz w:val="21"/>
                <w:szCs w:val="21"/>
                <w:u w:val="none"/>
              </w:rPr>
            </w:pPr>
            <w:r>
              <w:rPr>
                <w:rFonts w:ascii="Times New Roman" w:cs="Times New Roman" w:eastAsiaTheme="majorEastAsia"/>
                <w:color w:val="auto"/>
                <w:sz w:val="21"/>
                <w:szCs w:val="21"/>
                <w:u w:val="none"/>
              </w:rPr>
              <w:t>6</w:t>
            </w:r>
          </w:p>
        </w:tc>
        <w:tc>
          <w:tcPr>
            <w:tcW w:w="2442" w:type="pct"/>
            <w:tcBorders>
              <w:tl2br w:val="nil"/>
              <w:tr2bl w:val="nil"/>
            </w:tcBorders>
            <w:noWrap/>
            <w:vAlign w:val="center"/>
          </w:tcPr>
          <w:p>
            <w:pPr>
              <w:pStyle w:val="65"/>
              <w:jc w:val="center"/>
              <w:rPr>
                <w:rFonts w:ascii="Times New Roman" w:cs="Times New Roman" w:eastAsiaTheme="majorEastAsia"/>
                <w:color w:val="auto"/>
                <w:sz w:val="21"/>
                <w:szCs w:val="21"/>
                <w:u w:val="none"/>
              </w:rPr>
            </w:pPr>
            <w:r>
              <w:rPr>
                <w:rFonts w:ascii="Times New Roman" w:cs="Times New Roman" w:eastAsiaTheme="majorEastAsia"/>
                <w:color w:val="auto"/>
                <w:sz w:val="21"/>
                <w:szCs w:val="21"/>
                <w:u w:val="none"/>
              </w:rPr>
              <w:t>不符合法律、法规和国家产业政策规定的</w:t>
            </w:r>
          </w:p>
        </w:tc>
        <w:tc>
          <w:tcPr>
            <w:tcW w:w="1374" w:type="pct"/>
            <w:tcBorders>
              <w:tl2br w:val="nil"/>
              <w:tr2bl w:val="nil"/>
            </w:tcBorders>
            <w:noWrap/>
            <w:vAlign w:val="center"/>
          </w:tcPr>
          <w:p>
            <w:pPr>
              <w:pStyle w:val="65"/>
              <w:jc w:val="center"/>
              <w:rPr>
                <w:rFonts w:ascii="Times New Roman" w:cs="Times New Roman" w:eastAsiaTheme="majorEastAsia"/>
                <w:color w:val="auto"/>
                <w:sz w:val="21"/>
                <w:szCs w:val="21"/>
                <w:u w:val="none"/>
              </w:rPr>
            </w:pPr>
            <w:r>
              <w:rPr>
                <w:rFonts w:ascii="Times New Roman" w:cs="Times New Roman" w:eastAsiaTheme="majorEastAsia"/>
                <w:color w:val="auto"/>
                <w:sz w:val="21"/>
                <w:szCs w:val="21"/>
                <w:u w:val="none"/>
              </w:rPr>
              <w:t>项目建设符合国家产业政策，符合相关规划，项目建设合理合法</w:t>
            </w:r>
          </w:p>
        </w:tc>
        <w:tc>
          <w:tcPr>
            <w:tcW w:w="744" w:type="pct"/>
            <w:tcBorders>
              <w:tl2br w:val="nil"/>
              <w:tr2bl w:val="nil"/>
            </w:tcBorders>
            <w:noWrap/>
            <w:vAlign w:val="center"/>
          </w:tcPr>
          <w:p>
            <w:pPr>
              <w:pStyle w:val="65"/>
              <w:jc w:val="center"/>
              <w:rPr>
                <w:rFonts w:ascii="Times New Roman" w:cs="Times New Roman" w:eastAsiaTheme="majorEastAsia"/>
                <w:color w:val="auto"/>
                <w:sz w:val="21"/>
                <w:szCs w:val="21"/>
                <w:u w:val="none"/>
              </w:rPr>
            </w:pPr>
            <w:r>
              <w:rPr>
                <w:rFonts w:ascii="Times New Roman" w:cs="Times New Roman" w:eastAsiaTheme="majorEastAsia"/>
                <w:color w:val="auto"/>
                <w:sz w:val="21"/>
                <w:szCs w:val="21"/>
                <w:u w:val="none"/>
              </w:rPr>
              <w:t>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0" w:type="pct"/>
            <w:tcBorders>
              <w:tl2br w:val="nil"/>
              <w:tr2bl w:val="nil"/>
            </w:tcBorders>
            <w:noWrap/>
            <w:vAlign w:val="center"/>
          </w:tcPr>
          <w:p>
            <w:pPr>
              <w:pStyle w:val="65"/>
              <w:jc w:val="center"/>
              <w:rPr>
                <w:rFonts w:ascii="Times New Roman" w:cs="Times New Roman" w:eastAsiaTheme="majorEastAsia"/>
                <w:color w:val="auto"/>
                <w:sz w:val="21"/>
                <w:szCs w:val="21"/>
                <w:u w:val="none"/>
              </w:rPr>
            </w:pPr>
            <w:r>
              <w:rPr>
                <w:rFonts w:ascii="Times New Roman" w:cs="Times New Roman" w:eastAsiaTheme="majorEastAsia"/>
                <w:color w:val="auto"/>
                <w:sz w:val="21"/>
                <w:szCs w:val="21"/>
                <w:u w:val="none"/>
              </w:rPr>
              <w:t>7</w:t>
            </w:r>
          </w:p>
        </w:tc>
        <w:tc>
          <w:tcPr>
            <w:tcW w:w="2442" w:type="pct"/>
            <w:tcBorders>
              <w:tl2br w:val="nil"/>
              <w:tr2bl w:val="nil"/>
            </w:tcBorders>
            <w:noWrap/>
            <w:vAlign w:val="center"/>
          </w:tcPr>
          <w:p>
            <w:pPr>
              <w:pStyle w:val="65"/>
              <w:jc w:val="center"/>
              <w:rPr>
                <w:rFonts w:ascii="Times New Roman" w:cs="Times New Roman" w:eastAsiaTheme="majorEastAsia"/>
                <w:color w:val="auto"/>
                <w:sz w:val="21"/>
                <w:szCs w:val="21"/>
                <w:u w:val="none"/>
              </w:rPr>
            </w:pPr>
            <w:r>
              <w:rPr>
                <w:rFonts w:ascii="Times New Roman" w:cs="Times New Roman" w:eastAsiaTheme="majorEastAsia"/>
                <w:color w:val="auto"/>
                <w:sz w:val="21"/>
                <w:szCs w:val="21"/>
                <w:u w:val="none"/>
              </w:rPr>
              <w:t>其他不符合国务院水行政主管部门规定条件的</w:t>
            </w:r>
          </w:p>
        </w:tc>
        <w:tc>
          <w:tcPr>
            <w:tcW w:w="1374" w:type="pct"/>
            <w:tcBorders>
              <w:tl2br w:val="nil"/>
              <w:tr2bl w:val="nil"/>
            </w:tcBorders>
            <w:noWrap/>
            <w:vAlign w:val="center"/>
          </w:tcPr>
          <w:p>
            <w:pPr>
              <w:pStyle w:val="65"/>
              <w:jc w:val="center"/>
              <w:rPr>
                <w:rFonts w:ascii="Times New Roman" w:cs="Times New Roman" w:eastAsiaTheme="majorEastAsia"/>
                <w:color w:val="auto"/>
                <w:sz w:val="21"/>
                <w:szCs w:val="21"/>
                <w:u w:val="none"/>
              </w:rPr>
            </w:pPr>
            <w:r>
              <w:rPr>
                <w:rFonts w:ascii="Times New Roman" w:cs="Times New Roman" w:eastAsiaTheme="majorEastAsia"/>
                <w:color w:val="auto"/>
                <w:sz w:val="21"/>
                <w:szCs w:val="21"/>
                <w:u w:val="none"/>
              </w:rPr>
              <w:t>项目符合相关规定条件</w:t>
            </w:r>
          </w:p>
        </w:tc>
        <w:tc>
          <w:tcPr>
            <w:tcW w:w="744" w:type="pct"/>
            <w:tcBorders>
              <w:tl2br w:val="nil"/>
              <w:tr2bl w:val="nil"/>
            </w:tcBorders>
            <w:noWrap/>
            <w:vAlign w:val="center"/>
          </w:tcPr>
          <w:p>
            <w:pPr>
              <w:pStyle w:val="65"/>
              <w:jc w:val="center"/>
              <w:rPr>
                <w:rFonts w:ascii="Times New Roman" w:cs="Times New Roman" w:eastAsiaTheme="majorEastAsia"/>
                <w:color w:val="auto"/>
                <w:sz w:val="21"/>
                <w:szCs w:val="21"/>
                <w:u w:val="none"/>
              </w:rPr>
            </w:pPr>
            <w:r>
              <w:rPr>
                <w:rFonts w:ascii="Times New Roman" w:cs="Times New Roman" w:eastAsiaTheme="majorEastAsia"/>
                <w:color w:val="auto"/>
                <w:sz w:val="21"/>
                <w:szCs w:val="21"/>
                <w:u w:val="none"/>
              </w:rPr>
              <w:t>不涉及</w:t>
            </w:r>
          </w:p>
        </w:tc>
      </w:tr>
    </w:tbl>
    <w:p>
      <w:pPr>
        <w:pStyle w:val="4"/>
        <w:spacing w:line="240" w:lineRule="auto"/>
        <w:rPr>
          <w:u w:val="none"/>
        </w:rPr>
      </w:pPr>
      <w:r>
        <w:rPr>
          <w:rFonts w:hint="eastAsia"/>
          <w:u w:val="none"/>
        </w:rPr>
        <w:t>4.3.8《湖南省入河排污口监督管理办法》符合性分析</w:t>
      </w:r>
    </w:p>
    <w:p>
      <w:pPr>
        <w:ind w:firstLine="480"/>
        <w:rPr>
          <w:u w:val="none"/>
        </w:rPr>
      </w:pPr>
      <w:r>
        <w:rPr>
          <w:rFonts w:hint="eastAsia"/>
          <w:u w:val="none"/>
        </w:rPr>
        <w:t>与《湖南省入河排污口监督管理办法》第十五条不予同意设置入河排污口情形符合性分析如表4.3</w:t>
      </w:r>
      <w:r>
        <w:rPr>
          <w:rFonts w:hint="eastAsia"/>
          <w:u w:val="none"/>
          <w:lang w:val="en-US" w:eastAsia="zh-CN"/>
        </w:rPr>
        <w:t>.8</w:t>
      </w:r>
      <w:r>
        <w:rPr>
          <w:rFonts w:hint="eastAsia"/>
          <w:u w:val="none"/>
        </w:rPr>
        <w:t>-</w:t>
      </w:r>
      <w:r>
        <w:rPr>
          <w:rFonts w:hint="eastAsia"/>
          <w:u w:val="none"/>
          <w:lang w:val="en-US" w:eastAsia="zh-CN"/>
        </w:rPr>
        <w:t>1</w:t>
      </w:r>
      <w:r>
        <w:rPr>
          <w:rFonts w:hint="eastAsia"/>
          <w:u w:val="none"/>
        </w:rPr>
        <w:t>。</w:t>
      </w:r>
    </w:p>
    <w:p>
      <w:pPr>
        <w:pStyle w:val="98"/>
        <w:spacing w:line="240" w:lineRule="auto"/>
        <w:rPr>
          <w:rFonts w:hint="default"/>
          <w:u w:val="none"/>
        </w:rPr>
      </w:pPr>
      <w:bookmarkStart w:id="49" w:name="_Ref101261084"/>
      <w:r>
        <w:rPr>
          <w:u w:val="none"/>
        </w:rPr>
        <w:t>表4.3</w:t>
      </w:r>
      <w:bookmarkEnd w:id="49"/>
      <w:r>
        <w:rPr>
          <w:rFonts w:hint="eastAsia"/>
          <w:u w:val="none"/>
          <w:lang w:val="en-US" w:eastAsia="zh-CN"/>
        </w:rPr>
        <w:t>.8</w:t>
      </w:r>
      <w:r>
        <w:rPr>
          <w:u w:val="none"/>
        </w:rPr>
        <w:t>-</w:t>
      </w:r>
      <w:r>
        <w:rPr>
          <w:rFonts w:hint="eastAsia"/>
          <w:u w:val="none"/>
          <w:lang w:val="en-US" w:eastAsia="zh-CN"/>
        </w:rPr>
        <w:t>1</w:t>
      </w:r>
      <w:r>
        <w:rPr>
          <w:u w:val="none"/>
        </w:rPr>
        <w:t>与《湖南省入河排污口监督管理办法》符合性分析</w:t>
      </w:r>
    </w:p>
    <w:tbl>
      <w:tblPr>
        <w:tblStyle w:val="31"/>
        <w:tblW w:w="5000" w:type="pct"/>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361"/>
        <w:gridCol w:w="4925"/>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blHeader/>
        </w:trPr>
        <w:tc>
          <w:tcPr>
            <w:tcW w:w="2348" w:type="pct"/>
            <w:tcBorders>
              <w:tl2br w:val="nil"/>
              <w:tr2bl w:val="nil"/>
            </w:tcBorders>
            <w:shd w:val="clear" w:color="auto" w:fill="auto"/>
            <w:vAlign w:val="center"/>
          </w:tcPr>
          <w:p>
            <w:pPr>
              <w:pStyle w:val="67"/>
              <w:jc w:val="left"/>
              <w:rPr>
                <w:b/>
                <w:bCs/>
                <w:u w:val="none"/>
              </w:rPr>
            </w:pPr>
            <w:r>
              <w:rPr>
                <w:rFonts w:hint="eastAsia"/>
                <w:b/>
                <w:bCs/>
                <w:u w:val="none"/>
              </w:rPr>
              <w:t>湖南省入河排污口监督管理办法不予同意设置入河排污口情形</w:t>
            </w:r>
          </w:p>
        </w:tc>
        <w:tc>
          <w:tcPr>
            <w:tcW w:w="2652" w:type="pct"/>
            <w:tcBorders>
              <w:tl2br w:val="nil"/>
              <w:tr2bl w:val="nil"/>
            </w:tcBorders>
            <w:shd w:val="clear" w:color="auto" w:fill="auto"/>
            <w:vAlign w:val="center"/>
          </w:tcPr>
          <w:p>
            <w:pPr>
              <w:pStyle w:val="67"/>
              <w:rPr>
                <w:b/>
                <w:bCs/>
                <w:u w:val="none"/>
              </w:rPr>
            </w:pPr>
            <w:r>
              <w:rPr>
                <w:rFonts w:hint="eastAsia"/>
                <w:b/>
                <w:bCs/>
                <w:u w:val="none"/>
              </w:rPr>
              <w:t>本项目</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348" w:type="pct"/>
            <w:tcBorders>
              <w:tl2br w:val="nil"/>
              <w:tr2bl w:val="nil"/>
            </w:tcBorders>
            <w:shd w:val="clear" w:color="auto" w:fill="auto"/>
            <w:vAlign w:val="center"/>
          </w:tcPr>
          <w:p>
            <w:pPr>
              <w:pStyle w:val="67"/>
              <w:jc w:val="left"/>
              <w:rPr>
                <w:u w:val="none"/>
              </w:rPr>
            </w:pPr>
            <w:r>
              <w:rPr>
                <w:rFonts w:hint="eastAsia"/>
                <w:u w:val="none"/>
              </w:rPr>
              <w:t>(一)饮用水水源一级、二级保护区内。</w:t>
            </w:r>
          </w:p>
        </w:tc>
        <w:tc>
          <w:tcPr>
            <w:tcW w:w="2652" w:type="pct"/>
            <w:tcBorders>
              <w:tl2br w:val="nil"/>
              <w:tr2bl w:val="nil"/>
            </w:tcBorders>
            <w:shd w:val="clear" w:color="auto" w:fill="auto"/>
            <w:vAlign w:val="center"/>
          </w:tcPr>
          <w:p>
            <w:pPr>
              <w:pStyle w:val="67"/>
              <w:rPr>
                <w:u w:val="none"/>
              </w:rPr>
            </w:pPr>
            <w:r>
              <w:rPr>
                <w:rFonts w:hint="eastAsia"/>
                <w:u w:val="none"/>
              </w:rPr>
              <w:t>不属于</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348" w:type="pct"/>
            <w:tcBorders>
              <w:tl2br w:val="nil"/>
              <w:tr2bl w:val="nil"/>
            </w:tcBorders>
            <w:shd w:val="clear" w:color="auto" w:fill="auto"/>
            <w:vAlign w:val="center"/>
          </w:tcPr>
          <w:p>
            <w:pPr>
              <w:pStyle w:val="67"/>
              <w:jc w:val="left"/>
              <w:rPr>
                <w:u w:val="none"/>
              </w:rPr>
            </w:pPr>
            <w:r>
              <w:rPr>
                <w:rFonts w:hint="eastAsia"/>
                <w:u w:val="none"/>
              </w:rPr>
              <w:t>(二)自然保护区核心区、缓冲区内。</w:t>
            </w:r>
          </w:p>
        </w:tc>
        <w:tc>
          <w:tcPr>
            <w:tcW w:w="2652" w:type="pct"/>
            <w:tcBorders>
              <w:tl2br w:val="nil"/>
              <w:tr2bl w:val="nil"/>
            </w:tcBorders>
            <w:shd w:val="clear" w:color="auto" w:fill="auto"/>
            <w:vAlign w:val="center"/>
          </w:tcPr>
          <w:p>
            <w:pPr>
              <w:pStyle w:val="67"/>
              <w:rPr>
                <w:u w:val="none"/>
              </w:rPr>
            </w:pPr>
            <w:r>
              <w:rPr>
                <w:rFonts w:hint="eastAsia"/>
                <w:u w:val="none"/>
              </w:rPr>
              <w:t>不属于</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348" w:type="pct"/>
            <w:tcBorders>
              <w:tl2br w:val="nil"/>
              <w:tr2bl w:val="nil"/>
            </w:tcBorders>
            <w:shd w:val="clear" w:color="auto" w:fill="auto"/>
            <w:vAlign w:val="center"/>
          </w:tcPr>
          <w:p>
            <w:pPr>
              <w:pStyle w:val="67"/>
              <w:jc w:val="left"/>
              <w:rPr>
                <w:u w:val="none"/>
              </w:rPr>
            </w:pPr>
            <w:r>
              <w:rPr>
                <w:rFonts w:hint="eastAsia"/>
                <w:u w:val="none"/>
              </w:rPr>
              <w:t>(三)水产种质资源保护区内。</w:t>
            </w:r>
          </w:p>
        </w:tc>
        <w:tc>
          <w:tcPr>
            <w:tcW w:w="2652" w:type="pct"/>
            <w:tcBorders>
              <w:tl2br w:val="nil"/>
              <w:tr2bl w:val="nil"/>
            </w:tcBorders>
            <w:shd w:val="clear" w:color="auto" w:fill="auto"/>
            <w:vAlign w:val="center"/>
          </w:tcPr>
          <w:p>
            <w:pPr>
              <w:pStyle w:val="67"/>
              <w:rPr>
                <w:u w:val="none"/>
              </w:rPr>
            </w:pPr>
            <w:r>
              <w:rPr>
                <w:rFonts w:hint="eastAsia"/>
                <w:u w:val="none"/>
              </w:rPr>
              <w:t>不属于</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348" w:type="pct"/>
            <w:tcBorders>
              <w:tl2br w:val="nil"/>
              <w:tr2bl w:val="nil"/>
            </w:tcBorders>
            <w:shd w:val="clear" w:color="auto" w:fill="auto"/>
            <w:vAlign w:val="center"/>
          </w:tcPr>
          <w:p>
            <w:pPr>
              <w:pStyle w:val="67"/>
              <w:jc w:val="left"/>
              <w:rPr>
                <w:u w:val="none"/>
              </w:rPr>
            </w:pPr>
            <w:r>
              <w:rPr>
                <w:rFonts w:hint="eastAsia"/>
                <w:u w:val="none"/>
              </w:rPr>
              <w:t>(四)省级以上湿地公园保育区、恢复重建区内。</w:t>
            </w:r>
          </w:p>
        </w:tc>
        <w:tc>
          <w:tcPr>
            <w:tcW w:w="2652" w:type="pct"/>
            <w:tcBorders>
              <w:tl2br w:val="nil"/>
              <w:tr2bl w:val="nil"/>
            </w:tcBorders>
            <w:shd w:val="clear" w:color="auto" w:fill="auto"/>
            <w:vAlign w:val="center"/>
          </w:tcPr>
          <w:p>
            <w:pPr>
              <w:pStyle w:val="67"/>
              <w:rPr>
                <w:u w:val="none"/>
              </w:rPr>
            </w:pPr>
            <w:r>
              <w:rPr>
                <w:u w:val="none"/>
              </w:rPr>
              <w:t>根据湖南省生态环境厅、湖南省农业农村厅、湖南省林业局《关于规范入河排污口设置审批工作的函》（湘环函</w:t>
            </w:r>
            <w:r>
              <w:rPr>
                <w:rFonts w:hint="eastAsia"/>
                <w:u w:val="none"/>
              </w:rPr>
              <w:t>[2021]71号</w:t>
            </w:r>
            <w:r>
              <w:rPr>
                <w:u w:val="none"/>
              </w:rPr>
              <w:t>）：</w:t>
            </w:r>
            <w:r>
              <w:rPr>
                <w:rFonts w:hint="eastAsia"/>
                <w:u w:val="none"/>
              </w:rPr>
              <w:t>“</w:t>
            </w:r>
            <w:r>
              <w:rPr>
                <w:u w:val="none"/>
              </w:rPr>
              <w:t>二、关于涉及湿地公园的入河排污口设置审批</w:t>
            </w:r>
            <w:r>
              <w:rPr>
                <w:rFonts w:hint="eastAsia"/>
                <w:u w:val="none"/>
              </w:rPr>
              <w:t>”</w:t>
            </w:r>
            <w:r>
              <w:rPr>
                <w:u w:val="none"/>
              </w:rPr>
              <w:t>中第（一）条：</w:t>
            </w:r>
            <w:r>
              <w:rPr>
                <w:rFonts w:hint="eastAsia"/>
                <w:u w:val="none"/>
              </w:rPr>
              <w:t>“</w:t>
            </w:r>
            <w:r>
              <w:rPr>
                <w:u w:val="none"/>
              </w:rPr>
              <w:t>在湿地公园设立前或国家林业局《国家湿地公园管理办法（实行）》颁布实施之前建成的入河排污口，可以按程序审批，不需要征求林业部门的意见</w:t>
            </w:r>
            <w:r>
              <w:rPr>
                <w:rFonts w:hint="eastAsia"/>
                <w:u w:val="none"/>
              </w:rPr>
              <w:t>”</w:t>
            </w:r>
            <w:r>
              <w:rPr>
                <w:u w:val="none"/>
              </w:rPr>
              <w:t>。</w:t>
            </w:r>
          </w:p>
          <w:p>
            <w:pPr>
              <w:pStyle w:val="67"/>
              <w:rPr>
                <w:u w:val="none"/>
              </w:rPr>
            </w:pPr>
            <w:r>
              <w:rPr>
                <w:rFonts w:hint="eastAsia"/>
                <w:u w:val="none"/>
              </w:rPr>
              <w:t>本项目首溪金矿于1996年被发现，2010年10月通过环评审批手续取得环评批复；而湖南桃江羞女湖国家湿地公园于2014年12月31日国家林业局《关于同意北京房山长沟泉水等140处湿地开展国家湿地公园试点工作的通知》（林湿发[2014]205号）发布设立。既本项目入河排污口在湿地公园设立前即已存在。且2021年金矿在扩建环评申报阶段，湿地公园管理部门出具了相关意见（详见附件7），原则同意扩建项目的实施，明确项目不得增设排污口。因此，本次入河排污口可按程序审批，不需要征求林业部门的意见。</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348" w:type="pct"/>
            <w:tcBorders>
              <w:tl2br w:val="nil"/>
              <w:tr2bl w:val="nil"/>
            </w:tcBorders>
            <w:shd w:val="clear" w:color="auto" w:fill="auto"/>
            <w:vAlign w:val="center"/>
          </w:tcPr>
          <w:p>
            <w:pPr>
              <w:pStyle w:val="67"/>
              <w:jc w:val="left"/>
              <w:rPr>
                <w:u w:val="none"/>
              </w:rPr>
            </w:pPr>
            <w:r>
              <w:rPr>
                <w:rFonts w:hint="eastAsia"/>
                <w:u w:val="none"/>
              </w:rPr>
              <w:t>(五)能够由污水系统接纳但拒不接入的。</w:t>
            </w:r>
          </w:p>
        </w:tc>
        <w:tc>
          <w:tcPr>
            <w:tcW w:w="2652" w:type="pct"/>
            <w:tcBorders>
              <w:tl2br w:val="nil"/>
              <w:tr2bl w:val="nil"/>
            </w:tcBorders>
            <w:shd w:val="clear" w:color="auto" w:fill="auto"/>
            <w:vAlign w:val="center"/>
          </w:tcPr>
          <w:p>
            <w:pPr>
              <w:pStyle w:val="67"/>
              <w:rPr>
                <w:u w:val="none"/>
              </w:rPr>
            </w:pPr>
            <w:r>
              <w:rPr>
                <w:rFonts w:hint="eastAsia"/>
                <w:u w:val="none"/>
              </w:rPr>
              <w:t>不属于</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348" w:type="pct"/>
            <w:tcBorders>
              <w:tl2br w:val="nil"/>
              <w:tr2bl w:val="nil"/>
            </w:tcBorders>
            <w:shd w:val="clear" w:color="auto" w:fill="auto"/>
            <w:vAlign w:val="center"/>
          </w:tcPr>
          <w:p>
            <w:pPr>
              <w:pStyle w:val="67"/>
              <w:jc w:val="left"/>
              <w:rPr>
                <w:u w:val="none"/>
              </w:rPr>
            </w:pPr>
            <w:r>
              <w:rPr>
                <w:rFonts w:hint="eastAsia"/>
                <w:u w:val="none"/>
              </w:rPr>
              <w:t>(六)经论证不符合设置要求的。</w:t>
            </w:r>
          </w:p>
        </w:tc>
        <w:tc>
          <w:tcPr>
            <w:tcW w:w="2652" w:type="pct"/>
            <w:tcBorders>
              <w:tl2br w:val="nil"/>
              <w:tr2bl w:val="nil"/>
            </w:tcBorders>
            <w:shd w:val="clear" w:color="auto" w:fill="auto"/>
            <w:vAlign w:val="center"/>
          </w:tcPr>
          <w:p>
            <w:pPr>
              <w:pStyle w:val="67"/>
              <w:rPr>
                <w:u w:val="none"/>
              </w:rPr>
            </w:pPr>
            <w:r>
              <w:rPr>
                <w:rFonts w:hint="eastAsia"/>
                <w:u w:val="none"/>
              </w:rPr>
              <w:t>经论证符合设置要求的</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348" w:type="pct"/>
            <w:tcBorders>
              <w:tl2br w:val="nil"/>
              <w:tr2bl w:val="nil"/>
            </w:tcBorders>
            <w:shd w:val="clear" w:color="auto" w:fill="auto"/>
            <w:vAlign w:val="center"/>
          </w:tcPr>
          <w:p>
            <w:pPr>
              <w:pStyle w:val="67"/>
              <w:jc w:val="left"/>
              <w:rPr>
                <w:u w:val="none"/>
              </w:rPr>
            </w:pPr>
            <w:r>
              <w:rPr>
                <w:rFonts w:hint="eastAsia"/>
                <w:u w:val="none"/>
              </w:rPr>
              <w:t>(七)设置可能使水域水质达不到水功能区要求的。</w:t>
            </w:r>
          </w:p>
        </w:tc>
        <w:tc>
          <w:tcPr>
            <w:tcW w:w="2652" w:type="pct"/>
            <w:tcBorders>
              <w:tl2br w:val="nil"/>
              <w:tr2bl w:val="nil"/>
            </w:tcBorders>
            <w:shd w:val="clear" w:color="auto" w:fill="auto"/>
            <w:vAlign w:val="center"/>
          </w:tcPr>
          <w:p>
            <w:pPr>
              <w:pStyle w:val="67"/>
              <w:rPr>
                <w:u w:val="none"/>
              </w:rPr>
            </w:pPr>
            <w:r>
              <w:rPr>
                <w:rFonts w:hint="eastAsia"/>
                <w:u w:val="none"/>
              </w:rPr>
              <w:t>不属于</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348" w:type="pct"/>
            <w:tcBorders>
              <w:tl2br w:val="nil"/>
              <w:tr2bl w:val="nil"/>
            </w:tcBorders>
            <w:shd w:val="clear" w:color="auto" w:fill="auto"/>
            <w:vAlign w:val="center"/>
          </w:tcPr>
          <w:p>
            <w:pPr>
              <w:pStyle w:val="67"/>
              <w:jc w:val="left"/>
              <w:rPr>
                <w:u w:val="none"/>
              </w:rPr>
            </w:pPr>
            <w:r>
              <w:rPr>
                <w:rFonts w:hint="eastAsia"/>
                <w:u w:val="none"/>
              </w:rPr>
              <w:t>(八)其他不符合法律、法规以及国家和地方有关规定的。</w:t>
            </w:r>
          </w:p>
        </w:tc>
        <w:tc>
          <w:tcPr>
            <w:tcW w:w="2652" w:type="pct"/>
            <w:tcBorders>
              <w:tl2br w:val="nil"/>
              <w:tr2bl w:val="nil"/>
            </w:tcBorders>
            <w:shd w:val="clear" w:color="auto" w:fill="auto"/>
            <w:vAlign w:val="center"/>
          </w:tcPr>
          <w:p>
            <w:pPr>
              <w:pStyle w:val="67"/>
              <w:rPr>
                <w:u w:val="none"/>
              </w:rPr>
            </w:pPr>
            <w:r>
              <w:rPr>
                <w:rFonts w:hint="eastAsia"/>
                <w:u w:val="none"/>
              </w:rPr>
              <w:t>不属于</w:t>
            </w:r>
          </w:p>
        </w:tc>
      </w:tr>
    </w:tbl>
    <w:p>
      <w:pPr>
        <w:ind w:firstLine="480"/>
        <w:rPr>
          <w:u w:val="none"/>
        </w:rPr>
      </w:pPr>
      <w:r>
        <w:rPr>
          <w:rFonts w:hint="eastAsia"/>
          <w:u w:val="none"/>
        </w:rPr>
        <w:t>综上，本项目符合《湖南省入河排污口监督管理办法》要求。</w:t>
      </w:r>
    </w:p>
    <w:p>
      <w:pPr>
        <w:pStyle w:val="4"/>
        <w:spacing w:line="240" w:lineRule="auto"/>
        <w:rPr>
          <w:u w:val="none"/>
        </w:rPr>
      </w:pPr>
      <w:r>
        <w:rPr>
          <w:rFonts w:hint="eastAsia"/>
          <w:u w:val="none"/>
        </w:rPr>
        <w:t>4.3.9与湖南桃江羞女湖国家湿地公园符合性分析</w:t>
      </w:r>
    </w:p>
    <w:p>
      <w:pPr>
        <w:ind w:firstLine="480"/>
        <w:rPr>
          <w:u w:val="none"/>
        </w:rPr>
      </w:pPr>
      <w:r>
        <w:rPr>
          <w:u w:val="none"/>
        </w:rPr>
        <w:t>2014年国家林业局《关于同意北京房山长沟泉水等140处湿地开展国家湿地公园试点工作的通知》（林湿发</w:t>
      </w:r>
      <w:r>
        <w:rPr>
          <w:rFonts w:hint="eastAsia"/>
          <w:u w:val="none"/>
        </w:rPr>
        <w:t>[</w:t>
      </w:r>
      <w:r>
        <w:rPr>
          <w:u w:val="none"/>
        </w:rPr>
        <w:t>2014</w:t>
      </w:r>
      <w:r>
        <w:rPr>
          <w:rFonts w:hint="eastAsia"/>
          <w:u w:val="none"/>
        </w:rPr>
        <w:t>]</w:t>
      </w:r>
      <w:r>
        <w:rPr>
          <w:u w:val="none"/>
        </w:rPr>
        <w:t>205号）发布，设立湖南桃江羞女湖国家湿地公园。</w:t>
      </w:r>
    </w:p>
    <w:p>
      <w:pPr>
        <w:ind w:firstLine="480"/>
        <w:rPr>
          <w:u w:val="none"/>
        </w:rPr>
      </w:pPr>
      <w:r>
        <w:rPr>
          <w:u w:val="none"/>
        </w:rPr>
        <w:t>湖南桃江羞女湖国家湿地公园其范围主要包括位于资水下游的修山电站大坝至马迹塘电站大坝水域（含碧螺溪、渣滓溪、沾溪等一级支流的部分水域）及周边部分耕地、林地、交通运输用地。地理坐标为：北纬28°29′19.805″~28°35′2.684″，东经111°53′53.634″~111°55′51.165″。湿地公园东西长为41.8</w:t>
      </w:r>
      <w:r>
        <w:rPr>
          <w:rFonts w:hint="eastAsia"/>
          <w:u w:val="none"/>
        </w:rPr>
        <w:t>km</w:t>
      </w:r>
      <w:r>
        <w:rPr>
          <w:u w:val="none"/>
        </w:rPr>
        <w:t>，南北宽为0.6</w:t>
      </w:r>
      <w:r>
        <w:rPr>
          <w:rFonts w:hint="eastAsia"/>
          <w:u w:val="none"/>
        </w:rPr>
        <w:t>km</w:t>
      </w:r>
      <w:r>
        <w:rPr>
          <w:u w:val="none"/>
        </w:rPr>
        <w:t>，总面积2300.5</w:t>
      </w:r>
      <w:r>
        <w:rPr>
          <w:rFonts w:hint="eastAsia"/>
          <w:u w:val="none"/>
        </w:rPr>
        <w:t>hm</w:t>
      </w:r>
      <w:r>
        <w:rPr>
          <w:rFonts w:hint="eastAsia"/>
          <w:u w:val="none"/>
          <w:vertAlign w:val="superscript"/>
        </w:rPr>
        <w:t>2</w:t>
      </w:r>
      <w:r>
        <w:rPr>
          <w:u w:val="none"/>
        </w:rPr>
        <w:t>。</w:t>
      </w:r>
    </w:p>
    <w:p>
      <w:pPr>
        <w:ind w:firstLine="480"/>
        <w:rPr>
          <w:u w:val="none"/>
        </w:rPr>
      </w:pPr>
      <w:r>
        <w:rPr>
          <w:u w:val="none"/>
        </w:rPr>
        <w:t>本项目位于湖南桃江羞女湖国家湿地公园白竹洲保育区范围内，</w:t>
      </w:r>
      <w:r>
        <w:rPr>
          <w:rFonts w:hint="eastAsia"/>
          <w:u w:val="none"/>
        </w:rPr>
        <w:t>但该排污口在湿地公园设立前即已存在。从预测分析结果来看，项目废水排放不会对资水水质造成明显不利的影响。</w:t>
      </w:r>
    </w:p>
    <w:p>
      <w:pPr>
        <w:pStyle w:val="4"/>
        <w:spacing w:line="240" w:lineRule="auto"/>
        <w:rPr>
          <w:u w:val="none"/>
        </w:rPr>
      </w:pPr>
      <w:r>
        <w:rPr>
          <w:rFonts w:hint="eastAsia"/>
          <w:u w:val="none"/>
        </w:rPr>
        <w:t>4.3.10入河排污口与规划相符性分析</w:t>
      </w:r>
    </w:p>
    <w:p>
      <w:pPr>
        <w:ind w:firstLine="480"/>
        <w:rPr>
          <w:u w:val="none"/>
        </w:rPr>
      </w:pPr>
      <w:r>
        <w:rPr>
          <w:rFonts w:hint="eastAsia"/>
          <w:u w:val="none"/>
        </w:rPr>
        <w:t>根据《中华人民共和国水法》（</w:t>
      </w:r>
      <w:r>
        <w:rPr>
          <w:u w:val="none"/>
        </w:rPr>
        <w:t>2016</w:t>
      </w:r>
      <w:r>
        <w:rPr>
          <w:rFonts w:hint="eastAsia"/>
          <w:u w:val="none"/>
        </w:rPr>
        <w:t>年</w:t>
      </w:r>
      <w:r>
        <w:rPr>
          <w:u w:val="none"/>
        </w:rPr>
        <w:t>7</w:t>
      </w:r>
      <w:r>
        <w:rPr>
          <w:rFonts w:hint="eastAsia"/>
          <w:u w:val="none"/>
        </w:rPr>
        <w:t>月</w:t>
      </w:r>
      <w:r>
        <w:rPr>
          <w:u w:val="none"/>
        </w:rPr>
        <w:t>2</w:t>
      </w:r>
      <w:r>
        <w:rPr>
          <w:rFonts w:hint="eastAsia"/>
          <w:u w:val="none"/>
        </w:rPr>
        <w:t>日修订施行）第三十四条，“禁止在饮用水水源保护区内设置排污口”。</w:t>
      </w:r>
    </w:p>
    <w:p>
      <w:pPr>
        <w:ind w:firstLine="480"/>
        <w:rPr>
          <w:u w:val="none"/>
        </w:rPr>
      </w:pPr>
      <w:r>
        <w:rPr>
          <w:rFonts w:hint="eastAsia"/>
          <w:u w:val="none"/>
        </w:rPr>
        <w:t>根据《湖南省入河排污口监督管理办法》（</w:t>
      </w:r>
      <w:r>
        <w:rPr>
          <w:u w:val="none"/>
        </w:rPr>
        <w:t>2018</w:t>
      </w:r>
      <w:r>
        <w:rPr>
          <w:rFonts w:hint="eastAsia"/>
          <w:u w:val="none"/>
        </w:rPr>
        <w:t>年</w:t>
      </w:r>
      <w:r>
        <w:rPr>
          <w:u w:val="none"/>
        </w:rPr>
        <w:t>7</w:t>
      </w:r>
      <w:r>
        <w:rPr>
          <w:rFonts w:hint="eastAsia"/>
          <w:u w:val="none"/>
        </w:rPr>
        <w:t>月</w:t>
      </w:r>
      <w:r>
        <w:rPr>
          <w:u w:val="none"/>
        </w:rPr>
        <w:t>12</w:t>
      </w:r>
      <w:r>
        <w:rPr>
          <w:rFonts w:hint="eastAsia"/>
          <w:u w:val="none"/>
        </w:rPr>
        <w:t>日）第十五条规定“有下列情形之一的，不予同意设置入河排污口：饮用水水源一级、二级保护区内；自然保护区核心区、缓冲区内；水产种质资源保护区内；省级以上湿地公园保育区、恢复重建区内”。</w:t>
      </w:r>
    </w:p>
    <w:p>
      <w:pPr>
        <w:ind w:firstLine="480"/>
        <w:rPr>
          <w:u w:val="none"/>
        </w:rPr>
      </w:pPr>
      <w:r>
        <w:rPr>
          <w:rFonts w:hint="eastAsia"/>
          <w:u w:val="none"/>
        </w:rPr>
        <w:t>论证范围内无集中饮用水水源取水口，不涉及饮用水水源保护区、水产种质资源保护区敏感区域，未发现重要水生生物的产卵场、索饵场、越冬场和洄游通道等水生态敏感目标。本项目位于湖南桃江羞女湖国家湿地公园白竹洲保育区范围内，但该排污口在湿地公园设立前即已存在。从预测分析结果来看，项目废水排放不会对资水水质造成明显不利的影响。</w:t>
      </w:r>
    </w:p>
    <w:p>
      <w:pPr>
        <w:pStyle w:val="17"/>
        <w:spacing w:line="240" w:lineRule="auto"/>
        <w:ind w:firstLine="0" w:firstLineChars="0"/>
        <w:jc w:val="center"/>
        <w:rPr>
          <w:u w:val="none"/>
        </w:rPr>
      </w:pPr>
      <w:r>
        <w:rPr>
          <w:rFonts w:hint="eastAsia"/>
          <w:b/>
          <w:bCs/>
          <w:u w:val="none"/>
        </w:rPr>
        <w:t>表4.3</w:t>
      </w:r>
      <w:r>
        <w:rPr>
          <w:rFonts w:hint="eastAsia"/>
          <w:b/>
          <w:bCs/>
          <w:u w:val="none"/>
          <w:lang w:val="en-US" w:eastAsia="zh-CN"/>
        </w:rPr>
        <w:t>.10</w:t>
      </w:r>
      <w:r>
        <w:rPr>
          <w:rFonts w:hint="eastAsia"/>
          <w:b/>
          <w:bCs/>
          <w:u w:val="none"/>
        </w:rPr>
        <w:t>-</w:t>
      </w:r>
      <w:r>
        <w:rPr>
          <w:rFonts w:hint="eastAsia"/>
          <w:b/>
          <w:bCs/>
          <w:u w:val="none"/>
          <w:lang w:val="en-US" w:eastAsia="zh-CN"/>
        </w:rPr>
        <w:t>1</w:t>
      </w:r>
      <w:r>
        <w:rPr>
          <w:rFonts w:hint="eastAsia"/>
          <w:b/>
          <w:bCs/>
          <w:u w:val="none"/>
        </w:rPr>
        <w:t>本项目与《益阳市最严格水资源管理制度实施方案》相符性分析</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5040"/>
        <w:gridCol w:w="2760"/>
        <w:gridCol w:w="8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 w:hRule="atLeast"/>
          <w:tblHeader/>
        </w:trPr>
        <w:tc>
          <w:tcPr>
            <w:tcW w:w="361" w:type="pct"/>
            <w:tcBorders>
              <w:tl2br w:val="nil"/>
              <w:tr2bl w:val="nil"/>
            </w:tcBorders>
            <w:vAlign w:val="center"/>
          </w:tcPr>
          <w:p>
            <w:pPr>
              <w:pStyle w:val="11"/>
              <w:adjustRightInd/>
              <w:spacing w:before="0" w:line="240" w:lineRule="auto"/>
              <w:ind w:left="0" w:firstLine="0" w:firstLineChars="0"/>
              <w:jc w:val="center"/>
              <w:rPr>
                <w:rFonts w:ascii="Times New Roman" w:cs="Times New Roman"/>
                <w:bCs/>
                <w:sz w:val="21"/>
                <w:szCs w:val="21"/>
                <w:u w:val="none"/>
              </w:rPr>
            </w:pPr>
            <w:r>
              <w:rPr>
                <w:rFonts w:ascii="Times New Roman" w:cs="Times New Roman"/>
                <w:bCs/>
                <w:sz w:val="21"/>
                <w:szCs w:val="21"/>
                <w:u w:val="none"/>
              </w:rPr>
              <w:t>序号</w:t>
            </w:r>
          </w:p>
        </w:tc>
        <w:tc>
          <w:tcPr>
            <w:tcW w:w="2714" w:type="pct"/>
            <w:tcBorders>
              <w:tl2br w:val="nil"/>
              <w:tr2bl w:val="nil"/>
            </w:tcBorders>
            <w:vAlign w:val="center"/>
          </w:tcPr>
          <w:p>
            <w:pPr>
              <w:pStyle w:val="11"/>
              <w:adjustRightInd/>
              <w:spacing w:before="0" w:line="240" w:lineRule="auto"/>
              <w:ind w:left="0" w:firstLine="0" w:firstLineChars="0"/>
              <w:jc w:val="center"/>
              <w:rPr>
                <w:rFonts w:ascii="Times New Roman" w:cs="Times New Roman"/>
                <w:bCs/>
                <w:sz w:val="21"/>
                <w:szCs w:val="21"/>
                <w:u w:val="none"/>
              </w:rPr>
            </w:pPr>
            <w:r>
              <w:rPr>
                <w:rFonts w:ascii="Times New Roman" w:cs="Times New Roman"/>
                <w:bCs/>
                <w:sz w:val="21"/>
                <w:szCs w:val="21"/>
                <w:u w:val="none"/>
              </w:rPr>
              <w:t>情形</w:t>
            </w:r>
          </w:p>
        </w:tc>
        <w:tc>
          <w:tcPr>
            <w:tcW w:w="1486" w:type="pct"/>
            <w:tcBorders>
              <w:tl2br w:val="nil"/>
              <w:tr2bl w:val="nil"/>
            </w:tcBorders>
            <w:vAlign w:val="center"/>
          </w:tcPr>
          <w:p>
            <w:pPr>
              <w:pStyle w:val="11"/>
              <w:adjustRightInd/>
              <w:spacing w:before="0" w:line="240" w:lineRule="auto"/>
              <w:ind w:left="0" w:firstLine="0" w:firstLineChars="0"/>
              <w:jc w:val="center"/>
              <w:rPr>
                <w:rFonts w:ascii="Times New Roman" w:cs="Times New Roman"/>
                <w:bCs/>
                <w:sz w:val="21"/>
                <w:szCs w:val="21"/>
                <w:u w:val="none"/>
              </w:rPr>
            </w:pPr>
            <w:r>
              <w:rPr>
                <w:rFonts w:ascii="Times New Roman" w:cs="Times New Roman"/>
                <w:bCs/>
                <w:sz w:val="21"/>
                <w:szCs w:val="21"/>
                <w:u w:val="none"/>
              </w:rPr>
              <w:t>本项目情况分析</w:t>
            </w:r>
          </w:p>
        </w:tc>
        <w:tc>
          <w:tcPr>
            <w:tcW w:w="437" w:type="pct"/>
            <w:tcBorders>
              <w:tl2br w:val="nil"/>
              <w:tr2bl w:val="nil"/>
            </w:tcBorders>
            <w:vAlign w:val="center"/>
          </w:tcPr>
          <w:p>
            <w:pPr>
              <w:pStyle w:val="11"/>
              <w:adjustRightInd/>
              <w:spacing w:before="0" w:line="240" w:lineRule="auto"/>
              <w:ind w:left="0" w:firstLine="0" w:firstLineChars="0"/>
              <w:jc w:val="center"/>
              <w:rPr>
                <w:rFonts w:ascii="Times New Roman" w:cs="Times New Roman"/>
                <w:bCs/>
                <w:sz w:val="21"/>
                <w:szCs w:val="21"/>
                <w:u w:val="none"/>
              </w:rPr>
            </w:pPr>
            <w:r>
              <w:rPr>
                <w:rFonts w:ascii="Times New Roman" w:cs="Times New Roman"/>
                <w:bCs/>
                <w:sz w:val="21"/>
                <w:szCs w:val="21"/>
                <w:u w:val="none"/>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5000" w:type="pct"/>
            <w:gridSpan w:val="4"/>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加强水资源开发利用控制管理，严格实行用水总量控制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1"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1</w:t>
            </w:r>
          </w:p>
        </w:tc>
        <w:tc>
          <w:tcPr>
            <w:tcW w:w="2714"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严格控制取用水总量。加快制定《益阳市水资源管理</w:t>
            </w:r>
            <w:r>
              <w:rPr>
                <w:rFonts w:hint="eastAsia" w:ascii="Times New Roman" w:cs="Times New Roman"/>
                <w:sz w:val="21"/>
                <w:szCs w:val="21"/>
                <w:u w:val="none"/>
              </w:rPr>
              <w:t>“</w:t>
            </w:r>
            <w:r>
              <w:rPr>
                <w:rFonts w:ascii="Times New Roman" w:cs="Times New Roman"/>
                <w:sz w:val="21"/>
                <w:szCs w:val="21"/>
                <w:u w:val="none"/>
              </w:rPr>
              <w:t>三条红线</w:t>
            </w:r>
            <w:r>
              <w:rPr>
                <w:rFonts w:hint="eastAsia" w:ascii="Times New Roman" w:cs="Times New Roman"/>
                <w:sz w:val="21"/>
                <w:szCs w:val="21"/>
                <w:u w:val="none"/>
              </w:rPr>
              <w:t>”</w:t>
            </w:r>
            <w:r>
              <w:rPr>
                <w:rFonts w:ascii="Times New Roman" w:cs="Times New Roman"/>
                <w:sz w:val="21"/>
                <w:szCs w:val="21"/>
                <w:u w:val="none"/>
              </w:rPr>
              <w:t>指标体系》，确定区县（市）行政区域用水总量控制指标和年度用水计划控制目标，实行年度用水总量管理，控制区域用水总量。</w:t>
            </w:r>
          </w:p>
        </w:tc>
        <w:tc>
          <w:tcPr>
            <w:tcW w:w="1486"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本项目</w:t>
            </w:r>
            <w:r>
              <w:rPr>
                <w:rFonts w:hint="eastAsia" w:ascii="Times New Roman" w:cs="Times New Roman"/>
                <w:sz w:val="21"/>
                <w:szCs w:val="21"/>
                <w:u w:val="none"/>
              </w:rPr>
              <w:t>已取得</w:t>
            </w:r>
            <w:r>
              <w:rPr>
                <w:rFonts w:ascii="Times New Roman" w:cs="Times New Roman"/>
                <w:sz w:val="21"/>
                <w:szCs w:val="21"/>
                <w:u w:val="none"/>
              </w:rPr>
              <w:t>取水</w:t>
            </w:r>
            <w:r>
              <w:rPr>
                <w:rFonts w:hint="eastAsia" w:ascii="Times New Roman" w:cs="Times New Roman"/>
                <w:sz w:val="21"/>
                <w:szCs w:val="21"/>
                <w:u w:val="none"/>
              </w:rPr>
              <w:t>许可证</w:t>
            </w:r>
            <w:r>
              <w:rPr>
                <w:rFonts w:ascii="Times New Roman" w:cs="Times New Roman"/>
                <w:sz w:val="21"/>
                <w:szCs w:val="21"/>
                <w:u w:val="none"/>
              </w:rPr>
              <w:t>。</w:t>
            </w:r>
          </w:p>
        </w:tc>
        <w:tc>
          <w:tcPr>
            <w:tcW w:w="437" w:type="pct"/>
            <w:vMerge w:val="restar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1"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2</w:t>
            </w:r>
          </w:p>
        </w:tc>
        <w:tc>
          <w:tcPr>
            <w:tcW w:w="2714"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严格水资源论证。开发利用水资源，应当符合主体水功能区的要求，按照流域和区域统一制定规划，充分发挥水资源的多种功能和综合效益。制定国民经济和社会发展规划要与当地水资源条件相适应，编制城市总体规划、开发区规划、工业区规划以及重大建设项目布局，要开展水资源论证，建立规划水资源论证制度，促进生产力布局、产业结构与水资源承载能力相协调。对未依法完成水资源论证工作的规划和建设项目，发展改革部门及行业主管部门不得批准或核准，建设单位不得擅自开工建设和投产使用，对违反规定的，一律责令停止建设。建立水资源论证后评估制度。</w:t>
            </w:r>
          </w:p>
        </w:tc>
        <w:tc>
          <w:tcPr>
            <w:tcW w:w="1486"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经论证，</w:t>
            </w:r>
            <w:r>
              <w:rPr>
                <w:rFonts w:hint="eastAsia" w:ascii="Times New Roman" w:cs="Times New Roman"/>
                <w:sz w:val="21"/>
                <w:szCs w:val="21"/>
                <w:u w:val="none"/>
              </w:rPr>
              <w:t>废水</w:t>
            </w:r>
            <w:r>
              <w:rPr>
                <w:rFonts w:ascii="Times New Roman" w:cs="Times New Roman"/>
                <w:sz w:val="21"/>
                <w:szCs w:val="21"/>
                <w:u w:val="none"/>
              </w:rPr>
              <w:t>正常排放时，</w:t>
            </w:r>
            <w:r>
              <w:rPr>
                <w:rFonts w:hint="eastAsia" w:ascii="Times New Roman" w:cs="Times New Roman"/>
                <w:sz w:val="21"/>
                <w:szCs w:val="21"/>
                <w:u w:val="none"/>
              </w:rPr>
              <w:t>各</w:t>
            </w:r>
            <w:r>
              <w:rPr>
                <w:rFonts w:ascii="Times New Roman" w:cs="Times New Roman"/>
                <w:sz w:val="21"/>
                <w:szCs w:val="21"/>
                <w:u w:val="none"/>
              </w:rPr>
              <w:t>污染物浓度经距离降解衰减后，均能达到《地表水环境质量标准》（GB3838-2002）Ⅱ类标准。对下游水功能区的影响较小。</w:t>
            </w:r>
          </w:p>
        </w:tc>
        <w:tc>
          <w:tcPr>
            <w:tcW w:w="437" w:type="pct"/>
            <w:vMerge w:val="continue"/>
            <w:tcBorders>
              <w:tl2br w:val="nil"/>
              <w:tr2bl w:val="nil"/>
            </w:tcBorders>
            <w:vAlign w:val="center"/>
          </w:tcPr>
          <w:p>
            <w:pPr>
              <w:widowControl/>
              <w:spacing w:line="240" w:lineRule="auto"/>
              <w:ind w:firstLine="420"/>
              <w:jc w:val="center"/>
              <w:rPr>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1"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3</w:t>
            </w:r>
          </w:p>
        </w:tc>
        <w:tc>
          <w:tcPr>
            <w:tcW w:w="2714"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严格实施取水许可。建设项目水资源论证报告确定的节约、保护和管理措施落实并经水行政主管部门验收合格后，方可发放取水许可证。对不符合国家产业政策或列入国家产业结构调整指导目录中淘汰类的、产品不符合行业用水定额标准的、在城镇已建或规划的公共供水管网覆盖范围内通过自备取水设施取用地下水的，以及地下水超采地区取用地下水的建设项目取水申请，审批机关不予批准。未经水行政主管部门批准或未按批准进行取用水的，由水行政主管部门责令停止取用水。实行用水计量，各级水行政主管部门要加强用水计量设施安装的监督管理，取用水户必须安装符合标准的计量设施。供水企业要实行计量供水，协助有关部门调查、统计用水户的生产、生活用水基本情况，负责供用水统计，并上报政府水行政主管部门。实行取水许可登记制度，建立取水许可信息库。实行水平衡测试制度。</w:t>
            </w:r>
          </w:p>
        </w:tc>
        <w:tc>
          <w:tcPr>
            <w:tcW w:w="1486"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本项目</w:t>
            </w:r>
            <w:r>
              <w:rPr>
                <w:rFonts w:hint="eastAsia" w:ascii="Times New Roman" w:cs="Times New Roman"/>
                <w:sz w:val="21"/>
                <w:szCs w:val="21"/>
                <w:u w:val="none"/>
              </w:rPr>
              <w:t>已取得</w:t>
            </w:r>
            <w:r>
              <w:rPr>
                <w:rFonts w:ascii="Times New Roman" w:cs="Times New Roman"/>
                <w:sz w:val="21"/>
                <w:szCs w:val="21"/>
                <w:u w:val="none"/>
              </w:rPr>
              <w:t>取水</w:t>
            </w:r>
            <w:r>
              <w:rPr>
                <w:rFonts w:hint="eastAsia" w:ascii="Times New Roman" w:cs="Times New Roman"/>
                <w:sz w:val="21"/>
                <w:szCs w:val="21"/>
                <w:u w:val="none"/>
              </w:rPr>
              <w:t>许可证</w:t>
            </w:r>
            <w:r>
              <w:rPr>
                <w:rFonts w:ascii="Times New Roman" w:cs="Times New Roman"/>
                <w:sz w:val="21"/>
                <w:szCs w:val="21"/>
                <w:u w:val="none"/>
              </w:rPr>
              <w:t>。</w:t>
            </w:r>
          </w:p>
        </w:tc>
        <w:tc>
          <w:tcPr>
            <w:tcW w:w="437" w:type="pct"/>
            <w:vMerge w:val="continue"/>
            <w:tcBorders>
              <w:tl2br w:val="nil"/>
              <w:tr2bl w:val="nil"/>
            </w:tcBorders>
            <w:vAlign w:val="center"/>
          </w:tcPr>
          <w:p>
            <w:pPr>
              <w:widowControl/>
              <w:spacing w:line="240" w:lineRule="auto"/>
              <w:ind w:firstLine="420"/>
              <w:jc w:val="center"/>
              <w:rPr>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1"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4</w:t>
            </w:r>
          </w:p>
        </w:tc>
        <w:tc>
          <w:tcPr>
            <w:tcW w:w="2714"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严格地下水管理和保护。建立全市地下水动态监测体系，实行地下水取用水总量控制和水位控制。在地下水超采区，开展地下水取用评价工作。禁止农业、工业建设项目和服务业新增取用地下水，并逐步削减超采量，实现地下水采补平衡。深层承压地下水原则上只能作为应急和战略储备水源。依法规范机井建设审批管理，限期关闭在城市公共供水管网覆盖范围内的自备水井。</w:t>
            </w:r>
          </w:p>
        </w:tc>
        <w:tc>
          <w:tcPr>
            <w:tcW w:w="1486"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本项目不涉及地下水的取用。</w:t>
            </w:r>
          </w:p>
        </w:tc>
        <w:tc>
          <w:tcPr>
            <w:tcW w:w="437" w:type="pct"/>
            <w:vMerge w:val="continue"/>
            <w:tcBorders>
              <w:tl2br w:val="nil"/>
              <w:tr2bl w:val="nil"/>
            </w:tcBorders>
            <w:vAlign w:val="center"/>
          </w:tcPr>
          <w:p>
            <w:pPr>
              <w:widowControl/>
              <w:spacing w:line="240" w:lineRule="auto"/>
              <w:ind w:firstLine="420"/>
              <w:jc w:val="center"/>
              <w:rPr>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3" w:hRule="atLeast"/>
        </w:trPr>
        <w:tc>
          <w:tcPr>
            <w:tcW w:w="5000" w:type="pct"/>
            <w:gridSpan w:val="4"/>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加强用水效率控制红线管理，全面推进节水型社会建设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1"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1</w:t>
            </w:r>
          </w:p>
        </w:tc>
        <w:tc>
          <w:tcPr>
            <w:tcW w:w="2714"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建立节约用水体制和机制。各级人民政府要切实履行推进节水型社会建设的责任，把节约用水贯穿于经济社会发展和群众生产生活全过程。各项引水、调水、取水、供用水工程建设必须优先考虑节水要求。稳步推进水价改革，建立有利于节约用水的水价格体系。</w:t>
            </w:r>
          </w:p>
        </w:tc>
        <w:tc>
          <w:tcPr>
            <w:tcW w:w="1486"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highlight w:val="red"/>
                <w:u w:val="none"/>
              </w:rPr>
            </w:pPr>
            <w:r>
              <w:rPr>
                <w:rFonts w:ascii="Times New Roman" w:cs="Times New Roman"/>
                <w:sz w:val="21"/>
                <w:szCs w:val="21"/>
                <w:u w:val="none"/>
              </w:rPr>
              <w:t>本项目</w:t>
            </w:r>
            <w:r>
              <w:rPr>
                <w:rFonts w:hint="eastAsia" w:ascii="Times New Roman" w:cs="Times New Roman"/>
                <w:sz w:val="21"/>
                <w:szCs w:val="21"/>
                <w:u w:val="none"/>
              </w:rPr>
              <w:t>已取得</w:t>
            </w:r>
            <w:r>
              <w:rPr>
                <w:rFonts w:ascii="Times New Roman" w:cs="Times New Roman"/>
                <w:sz w:val="21"/>
                <w:szCs w:val="21"/>
                <w:u w:val="none"/>
              </w:rPr>
              <w:t>取水</w:t>
            </w:r>
            <w:r>
              <w:rPr>
                <w:rFonts w:hint="eastAsia" w:ascii="Times New Roman" w:cs="Times New Roman"/>
                <w:sz w:val="21"/>
                <w:szCs w:val="21"/>
                <w:u w:val="none"/>
              </w:rPr>
              <w:t>许可证</w:t>
            </w:r>
            <w:r>
              <w:rPr>
                <w:rFonts w:ascii="Times New Roman" w:cs="Times New Roman"/>
                <w:sz w:val="21"/>
                <w:szCs w:val="21"/>
                <w:u w:val="none"/>
              </w:rPr>
              <w:t>。</w:t>
            </w:r>
          </w:p>
        </w:tc>
        <w:tc>
          <w:tcPr>
            <w:tcW w:w="437" w:type="pct"/>
            <w:vMerge w:val="restar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1"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2</w:t>
            </w:r>
          </w:p>
        </w:tc>
        <w:tc>
          <w:tcPr>
            <w:tcW w:w="2714"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严格落实节水</w:t>
            </w:r>
            <w:r>
              <w:rPr>
                <w:rFonts w:hint="eastAsia" w:ascii="Times New Roman" w:cs="Times New Roman"/>
                <w:sz w:val="21"/>
                <w:szCs w:val="21"/>
                <w:u w:val="none"/>
              </w:rPr>
              <w:t>“</w:t>
            </w:r>
            <w:r>
              <w:rPr>
                <w:rFonts w:ascii="Times New Roman" w:cs="Times New Roman"/>
                <w:sz w:val="21"/>
                <w:szCs w:val="21"/>
                <w:u w:val="none"/>
              </w:rPr>
              <w:t>三同时</w:t>
            </w:r>
            <w:r>
              <w:rPr>
                <w:rFonts w:hint="eastAsia" w:ascii="Times New Roman" w:cs="Times New Roman"/>
                <w:sz w:val="21"/>
                <w:szCs w:val="21"/>
                <w:u w:val="none"/>
              </w:rPr>
              <w:t>”</w:t>
            </w:r>
            <w:r>
              <w:rPr>
                <w:rFonts w:ascii="Times New Roman" w:cs="Times New Roman"/>
                <w:sz w:val="21"/>
                <w:szCs w:val="21"/>
                <w:u w:val="none"/>
              </w:rPr>
              <w:t>制度。新建、扩建、改建的建设项目，应当制订节水措施方案，配套建设节水设施。节水设施应当与主体工程同时设计、同时施工、同时投产使用（即</w:t>
            </w:r>
            <w:r>
              <w:rPr>
                <w:rFonts w:hint="eastAsia" w:ascii="Times New Roman" w:cs="Times New Roman"/>
                <w:sz w:val="21"/>
                <w:szCs w:val="21"/>
                <w:u w:val="none"/>
              </w:rPr>
              <w:t>“</w:t>
            </w:r>
            <w:r>
              <w:rPr>
                <w:rFonts w:ascii="Times New Roman" w:cs="Times New Roman"/>
                <w:sz w:val="21"/>
                <w:szCs w:val="21"/>
                <w:u w:val="none"/>
              </w:rPr>
              <w:t>三同时</w:t>
            </w:r>
            <w:r>
              <w:rPr>
                <w:rFonts w:hint="eastAsia" w:ascii="Times New Roman" w:cs="Times New Roman"/>
                <w:sz w:val="21"/>
                <w:szCs w:val="21"/>
                <w:u w:val="none"/>
              </w:rPr>
              <w:t>”</w:t>
            </w:r>
            <w:r>
              <w:rPr>
                <w:rFonts w:ascii="Times New Roman" w:cs="Times New Roman"/>
                <w:sz w:val="21"/>
                <w:szCs w:val="21"/>
                <w:u w:val="none"/>
              </w:rPr>
              <w:t>制度）。项目主管部门在对建设项目进行审查或审核时，应会同水行政主管部门对节水措施方案进行评估。建设项目竣工验收时，应对节水设施一并验收。对违反</w:t>
            </w:r>
            <w:r>
              <w:rPr>
                <w:rFonts w:hint="eastAsia" w:ascii="Times New Roman" w:cs="Times New Roman"/>
                <w:sz w:val="21"/>
                <w:szCs w:val="21"/>
                <w:u w:val="none"/>
              </w:rPr>
              <w:t>“</w:t>
            </w:r>
            <w:r>
              <w:rPr>
                <w:rFonts w:ascii="Times New Roman" w:cs="Times New Roman"/>
                <w:sz w:val="21"/>
                <w:szCs w:val="21"/>
                <w:u w:val="none"/>
              </w:rPr>
              <w:t>三同时</w:t>
            </w:r>
            <w:r>
              <w:rPr>
                <w:rFonts w:hint="eastAsia" w:ascii="Times New Roman" w:cs="Times New Roman"/>
                <w:sz w:val="21"/>
                <w:szCs w:val="21"/>
                <w:u w:val="none"/>
              </w:rPr>
              <w:t>”</w:t>
            </w:r>
            <w:r>
              <w:rPr>
                <w:rFonts w:ascii="Times New Roman" w:cs="Times New Roman"/>
                <w:sz w:val="21"/>
                <w:szCs w:val="21"/>
                <w:u w:val="none"/>
              </w:rPr>
              <w:t>制度的，由水行政主管部门会同行业主管部门责令停止取用水并限期整改。</w:t>
            </w:r>
          </w:p>
        </w:tc>
        <w:tc>
          <w:tcPr>
            <w:tcW w:w="1486"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本项目</w:t>
            </w:r>
            <w:r>
              <w:rPr>
                <w:rFonts w:hint="eastAsia" w:ascii="Times New Roman" w:cs="Times New Roman"/>
                <w:sz w:val="21"/>
                <w:szCs w:val="21"/>
                <w:u w:val="none"/>
              </w:rPr>
              <w:t>已取得</w:t>
            </w:r>
            <w:r>
              <w:rPr>
                <w:rFonts w:ascii="Times New Roman" w:cs="Times New Roman"/>
                <w:sz w:val="21"/>
                <w:szCs w:val="21"/>
                <w:u w:val="none"/>
              </w:rPr>
              <w:t>取水</w:t>
            </w:r>
            <w:r>
              <w:rPr>
                <w:rFonts w:hint="eastAsia" w:ascii="Times New Roman" w:cs="Times New Roman"/>
                <w:sz w:val="21"/>
                <w:szCs w:val="21"/>
                <w:u w:val="none"/>
              </w:rPr>
              <w:t>许可证</w:t>
            </w:r>
            <w:r>
              <w:rPr>
                <w:rFonts w:ascii="Times New Roman" w:cs="Times New Roman"/>
                <w:sz w:val="21"/>
                <w:szCs w:val="21"/>
                <w:u w:val="none"/>
              </w:rPr>
              <w:t>。</w:t>
            </w:r>
          </w:p>
        </w:tc>
        <w:tc>
          <w:tcPr>
            <w:tcW w:w="437" w:type="pct"/>
            <w:vMerge w:val="continue"/>
            <w:tcBorders>
              <w:tl2br w:val="nil"/>
              <w:tr2bl w:val="nil"/>
            </w:tcBorders>
            <w:vAlign w:val="center"/>
          </w:tcPr>
          <w:p>
            <w:pPr>
              <w:widowControl/>
              <w:spacing w:line="240" w:lineRule="auto"/>
              <w:ind w:firstLine="420"/>
              <w:jc w:val="center"/>
              <w:rPr>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1"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3</w:t>
            </w:r>
          </w:p>
        </w:tc>
        <w:tc>
          <w:tcPr>
            <w:tcW w:w="2714"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加快推进节水技术改造。严格执行国家制定的节水强制性标准，逐步实行用水产品用水效率标识管理，禁止生产和销售不符合节水强制性标准的产品。建立并严格执行节水产品认证制度，逐步淘汰落后、高耗水的用水工艺、设备和产品。加快推进大中型灌区续建配套和节水改造，提高农田灌溉水有效利用系数。加强对钢铁、化工、火电、纺织、造纸、建材、食品等高耗水企业的用水定额管理，推广先进的节约用水和污水处理技术，实施节水技术改造和示范工程建设，提高水的重复利用率。加强对洗浴、洗车等高耗水服务行业的节水管理。</w:t>
            </w:r>
          </w:p>
        </w:tc>
        <w:tc>
          <w:tcPr>
            <w:tcW w:w="1486"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本项目不涉及落后、高耗水的用水工艺、设备和产品。</w:t>
            </w:r>
          </w:p>
        </w:tc>
        <w:tc>
          <w:tcPr>
            <w:tcW w:w="437" w:type="pct"/>
            <w:vMerge w:val="continue"/>
            <w:tcBorders>
              <w:tl2br w:val="nil"/>
              <w:tr2bl w:val="nil"/>
            </w:tcBorders>
            <w:vAlign w:val="center"/>
          </w:tcPr>
          <w:p>
            <w:pPr>
              <w:widowControl/>
              <w:spacing w:line="240" w:lineRule="auto"/>
              <w:ind w:firstLine="420"/>
              <w:jc w:val="center"/>
              <w:rPr>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4"/>
            <w:tcBorders>
              <w:tl2br w:val="nil"/>
              <w:tr2bl w:val="nil"/>
            </w:tcBorders>
            <w:vAlign w:val="center"/>
          </w:tcPr>
          <w:p>
            <w:pPr>
              <w:widowControl/>
              <w:spacing w:line="240" w:lineRule="auto"/>
              <w:ind w:firstLine="0" w:firstLineChars="0"/>
              <w:jc w:val="center"/>
              <w:rPr>
                <w:sz w:val="21"/>
                <w:szCs w:val="21"/>
                <w:u w:val="none"/>
              </w:rPr>
            </w:pPr>
            <w:r>
              <w:rPr>
                <w:sz w:val="21"/>
                <w:szCs w:val="21"/>
                <w:u w:val="none"/>
              </w:rPr>
              <w:t>加强水功能区限制纳污红线管理，严格控制入河湖排污总量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1"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1</w:t>
            </w:r>
          </w:p>
        </w:tc>
        <w:tc>
          <w:tcPr>
            <w:tcW w:w="2714"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严格水功能区监督管理。完善水功能区监督管理制度，建立水功能区水质达标评价体系，加强水功能区动态监测和科学管理。公布水功能区划确界立碑。提高城市污水处理率，改善重要水功能区水环境质量，防治江河湖库富营养化。</w:t>
            </w:r>
          </w:p>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市、区县（市）水行政主管部门和环境保护主管部门应根据各自职责组织对本行政区域水功能区的水量、水质进行同步监测，定期发布水功能区水量、水质状况信息，开展水功能区水质达标评价。逐步建设水功能区水量水质和入河湖排污口实时监控系统</w:t>
            </w:r>
          </w:p>
        </w:tc>
        <w:tc>
          <w:tcPr>
            <w:tcW w:w="1486"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本项目制定了地表水环境监测计划</w:t>
            </w:r>
          </w:p>
        </w:tc>
        <w:tc>
          <w:tcPr>
            <w:tcW w:w="437" w:type="pct"/>
            <w:vMerge w:val="restart"/>
            <w:tcBorders>
              <w:tl2br w:val="nil"/>
              <w:tr2bl w:val="nil"/>
            </w:tcBorders>
            <w:vAlign w:val="center"/>
          </w:tcPr>
          <w:p>
            <w:pPr>
              <w:widowControl/>
              <w:spacing w:line="240" w:lineRule="auto"/>
              <w:ind w:firstLine="0" w:firstLineChars="0"/>
              <w:jc w:val="center"/>
              <w:rPr>
                <w:sz w:val="21"/>
                <w:szCs w:val="21"/>
                <w:u w:val="none"/>
              </w:rPr>
            </w:pPr>
            <w:r>
              <w:rPr>
                <w:sz w:val="21"/>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1"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2</w:t>
            </w:r>
          </w:p>
        </w:tc>
        <w:tc>
          <w:tcPr>
            <w:tcW w:w="2714"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实行水功能区纳污总量控制。水行政主管部门要按照水功能区管理要求核定水功能区纳污能力，提出水功能区限制排污总量意见。环境保护行政主管部门按水功能区限制排污总量意见和水功能区达标要求，制定水功能区限制排污总量年度目标任务，明确年度入河排污控制指标。各级人民政府要把限制排污总量和年度入河排污控制指标作为水污染防治和污染减排工作的重要依据，切实加强工业污染源控制，加大主要污染物减排力度，严格控制入河湖排污总量，确保水功能区达标。</w:t>
            </w:r>
          </w:p>
        </w:tc>
        <w:tc>
          <w:tcPr>
            <w:tcW w:w="1486"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hint="eastAsia" w:ascii="Times New Roman" w:cs="Times New Roman"/>
                <w:sz w:val="21"/>
                <w:szCs w:val="21"/>
                <w:u w:val="none"/>
              </w:rPr>
              <w:t>根据</w:t>
            </w:r>
            <w:r>
              <w:rPr>
                <w:rFonts w:ascii="Times New Roman" w:cs="Times New Roman"/>
                <w:sz w:val="21"/>
                <w:szCs w:val="21"/>
                <w:u w:val="none"/>
              </w:rPr>
              <w:t>资水的纳污能力，</w:t>
            </w:r>
            <w:r>
              <w:rPr>
                <w:rFonts w:hint="eastAsia" w:ascii="Times New Roman" w:cs="Times New Roman"/>
                <w:sz w:val="21"/>
                <w:szCs w:val="21"/>
                <w:u w:val="none"/>
              </w:rPr>
              <w:t>项目</w:t>
            </w:r>
            <w:r>
              <w:rPr>
                <w:rFonts w:ascii="Times New Roman" w:cs="Times New Roman"/>
                <w:sz w:val="21"/>
                <w:szCs w:val="21"/>
                <w:u w:val="none"/>
              </w:rPr>
              <w:t>废水排放量小于直接受纳水体资</w:t>
            </w:r>
            <w:r>
              <w:rPr>
                <w:rFonts w:hint="eastAsia" w:ascii="Times New Roman" w:cs="Times New Roman"/>
                <w:sz w:val="21"/>
                <w:szCs w:val="21"/>
                <w:u w:val="none"/>
              </w:rPr>
              <w:t>水</w:t>
            </w:r>
            <w:r>
              <w:rPr>
                <w:rFonts w:ascii="Times New Roman" w:cs="Times New Roman"/>
                <w:sz w:val="21"/>
                <w:szCs w:val="21"/>
                <w:u w:val="none"/>
              </w:rPr>
              <w:t>的纳污能力。</w:t>
            </w:r>
          </w:p>
        </w:tc>
        <w:tc>
          <w:tcPr>
            <w:tcW w:w="437" w:type="pct"/>
            <w:vMerge w:val="continue"/>
            <w:tcBorders>
              <w:tl2br w:val="nil"/>
              <w:tr2bl w:val="nil"/>
            </w:tcBorders>
            <w:vAlign w:val="center"/>
          </w:tcPr>
          <w:p>
            <w:pPr>
              <w:widowControl/>
              <w:spacing w:line="240" w:lineRule="auto"/>
              <w:ind w:firstLine="420"/>
              <w:jc w:val="center"/>
              <w:rPr>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1"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3</w:t>
            </w:r>
          </w:p>
        </w:tc>
        <w:tc>
          <w:tcPr>
            <w:tcW w:w="2714"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严格入河湖排污口设置审批。新建、改建或扩大入河排污口要进行入河湖排污口设置论证，并经水行政主管部门审批同意，未经水行政主管部门同意，入河湖排污口不得擅自开工建设。入河湖排污口建设完成投入使用前，须经水行政主管部门组织验收。实行入河排污口登记制度。对排污量超出水功能区限排总量的地区，不得审批新增取水和入河湖排污口。</w:t>
            </w:r>
          </w:p>
        </w:tc>
        <w:tc>
          <w:tcPr>
            <w:tcW w:w="1486"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目前入河排污口论证正在办理中，属于新建补办。</w:t>
            </w:r>
          </w:p>
        </w:tc>
        <w:tc>
          <w:tcPr>
            <w:tcW w:w="437" w:type="pct"/>
            <w:vMerge w:val="continue"/>
            <w:tcBorders>
              <w:tl2br w:val="nil"/>
              <w:tr2bl w:val="nil"/>
            </w:tcBorders>
            <w:vAlign w:val="center"/>
          </w:tcPr>
          <w:p>
            <w:pPr>
              <w:widowControl/>
              <w:spacing w:line="240" w:lineRule="auto"/>
              <w:ind w:firstLine="420"/>
              <w:jc w:val="center"/>
              <w:rPr>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1"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4</w:t>
            </w:r>
          </w:p>
        </w:tc>
        <w:tc>
          <w:tcPr>
            <w:tcW w:w="2714"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加强饮用水水源保护。建立饮用水水源地核准和安全评估制度。加快实施全市城市饮用水水源地安全保障规划和农村饮水安全工程规划。区县（市）人民政府要依法划定饮用水水源保护区，开展重要饮用水水源地安全保障达标建设。加强水土流失治理，防治面源污染，禁止破坏水源涵养林。加快备用水源地建设，完善饮用水水源地突发事件应急预案。</w:t>
            </w:r>
          </w:p>
        </w:tc>
        <w:tc>
          <w:tcPr>
            <w:tcW w:w="1486"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根据《国务院关于全国重要江河</w:t>
            </w:r>
            <w:r>
              <w:rPr>
                <w:rFonts w:hint="eastAsia" w:ascii="Times New Roman" w:cs="Times New Roman"/>
                <w:sz w:val="21"/>
                <w:szCs w:val="21"/>
                <w:u w:val="none"/>
                <w:lang w:val="en-US" w:eastAsia="zh-CN"/>
              </w:rPr>
              <w:t>湖</w:t>
            </w:r>
            <w:r>
              <w:rPr>
                <w:rFonts w:ascii="Times New Roman" w:cs="Times New Roman"/>
                <w:sz w:val="21"/>
                <w:szCs w:val="21"/>
                <w:u w:val="none"/>
              </w:rPr>
              <w:t>泊水功能区划》与《益阳市水功能区划》，项目排污口所在水域</w:t>
            </w:r>
            <w:r>
              <w:rPr>
                <w:rFonts w:hint="eastAsia" w:ascii="Times New Roman" w:cs="Times New Roman"/>
                <w:sz w:val="21"/>
                <w:szCs w:val="21"/>
                <w:u w:val="none"/>
              </w:rPr>
              <w:t>不在</w:t>
            </w:r>
            <w:r>
              <w:rPr>
                <w:rFonts w:ascii="Times New Roman" w:cs="Times New Roman"/>
                <w:sz w:val="21"/>
                <w:szCs w:val="21"/>
                <w:u w:val="none"/>
              </w:rPr>
              <w:t>集中式饮用水源保护区内。</w:t>
            </w:r>
          </w:p>
        </w:tc>
        <w:tc>
          <w:tcPr>
            <w:tcW w:w="437" w:type="pct"/>
            <w:vMerge w:val="continue"/>
            <w:tcBorders>
              <w:tl2br w:val="nil"/>
              <w:tr2bl w:val="nil"/>
            </w:tcBorders>
            <w:vAlign w:val="center"/>
          </w:tcPr>
          <w:p>
            <w:pPr>
              <w:widowControl/>
              <w:spacing w:line="240" w:lineRule="auto"/>
              <w:ind w:firstLine="420"/>
              <w:jc w:val="center"/>
              <w:rPr>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1"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5</w:t>
            </w:r>
          </w:p>
        </w:tc>
        <w:tc>
          <w:tcPr>
            <w:tcW w:w="2714"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推进水生态系统保护与修复。加强红岩水库源头保护区、南洞庭、东洞庭湖湿地等的保护，加快志溪河、兰溪河等河流治理，推进大通湖等湖泊水生态修复。建立水生态补偿机制。开展水生态保护和修复试点，编制并实施全市水生态系统保护与修复规划。</w:t>
            </w:r>
          </w:p>
        </w:tc>
        <w:tc>
          <w:tcPr>
            <w:tcW w:w="1486" w:type="pct"/>
            <w:tcBorders>
              <w:tl2br w:val="nil"/>
              <w:tr2bl w:val="nil"/>
            </w:tcBorders>
            <w:vAlign w:val="center"/>
          </w:tcPr>
          <w:p>
            <w:pPr>
              <w:pStyle w:val="11"/>
              <w:adjustRightInd/>
              <w:spacing w:before="0" w:line="240" w:lineRule="auto"/>
              <w:ind w:left="0" w:firstLine="0" w:firstLineChars="0"/>
              <w:jc w:val="center"/>
              <w:rPr>
                <w:rFonts w:ascii="Times New Roman" w:cs="Times New Roman"/>
                <w:sz w:val="21"/>
                <w:szCs w:val="21"/>
                <w:u w:val="none"/>
              </w:rPr>
            </w:pPr>
            <w:r>
              <w:rPr>
                <w:rFonts w:ascii="Times New Roman" w:cs="Times New Roman"/>
                <w:sz w:val="21"/>
                <w:szCs w:val="21"/>
                <w:u w:val="none"/>
              </w:rPr>
              <w:t>本项目不涉及红岩水库源头保护区、南洞庭、东洞庭湖湿地等，不属于志溪河、兰溪河等河流治理与推进大通湖等湖泊水生态修复的范围。</w:t>
            </w:r>
          </w:p>
        </w:tc>
        <w:tc>
          <w:tcPr>
            <w:tcW w:w="437" w:type="pct"/>
            <w:vMerge w:val="continue"/>
            <w:tcBorders>
              <w:tl2br w:val="nil"/>
              <w:tr2bl w:val="nil"/>
            </w:tcBorders>
            <w:vAlign w:val="center"/>
          </w:tcPr>
          <w:p>
            <w:pPr>
              <w:widowControl/>
              <w:spacing w:line="240" w:lineRule="auto"/>
              <w:ind w:firstLine="420"/>
              <w:jc w:val="center"/>
              <w:rPr>
                <w:sz w:val="21"/>
                <w:szCs w:val="21"/>
                <w:u w:val="none"/>
              </w:rPr>
            </w:pPr>
          </w:p>
        </w:tc>
      </w:tr>
    </w:tbl>
    <w:p>
      <w:pPr>
        <w:ind w:firstLine="480"/>
        <w:rPr>
          <w:u w:val="none"/>
        </w:rPr>
      </w:pPr>
      <w:r>
        <w:rPr>
          <w:rFonts w:hint="eastAsia"/>
          <w:u w:val="none"/>
        </w:rPr>
        <w:t>因此，本项目入河排污</w:t>
      </w:r>
      <w:r>
        <w:rPr>
          <w:u w:val="none"/>
        </w:rPr>
        <w:t>口的设置</w:t>
      </w:r>
      <w:r>
        <w:rPr>
          <w:rFonts w:hint="eastAsia"/>
          <w:u w:val="none"/>
        </w:rPr>
        <w:t>与《益阳市最严格水资源管理制度实施方案》是相符的。</w:t>
      </w:r>
    </w:p>
    <w:p>
      <w:pPr>
        <w:spacing w:line="240" w:lineRule="auto"/>
        <w:ind w:firstLine="480"/>
        <w:rPr>
          <w:u w:val="none"/>
        </w:rPr>
      </w:pPr>
      <w:r>
        <w:rPr>
          <w:rFonts w:hint="eastAsia"/>
          <w:u w:val="none"/>
        </w:rPr>
        <w:t>综上所述，入河排污口的设置是可行的。</w:t>
      </w:r>
    </w:p>
    <w:p>
      <w:pPr>
        <w:pStyle w:val="2"/>
        <w:spacing w:before="0" w:after="0" w:line="240" w:lineRule="auto"/>
        <w:ind w:firstLine="0" w:firstLineChars="0"/>
        <w:jc w:val="left"/>
        <w:rPr>
          <w:u w:val="none"/>
        </w:rPr>
      </w:pPr>
      <w:bookmarkStart w:id="50" w:name="_Toc17784"/>
      <w:r>
        <w:rPr>
          <w:rFonts w:hint="eastAsia"/>
          <w:u w:val="none"/>
        </w:rPr>
        <w:t>5、</w:t>
      </w:r>
      <w:r>
        <w:rPr>
          <w:u w:val="none"/>
        </w:rPr>
        <w:t>入河排污口</w:t>
      </w:r>
      <w:bookmarkEnd w:id="39"/>
      <w:r>
        <w:rPr>
          <w:rFonts w:hint="eastAsia"/>
          <w:u w:val="none"/>
        </w:rPr>
        <w:t>排放</w:t>
      </w:r>
      <w:r>
        <w:rPr>
          <w:u w:val="none"/>
        </w:rPr>
        <w:t>位置、排放方式</w:t>
      </w:r>
      <w:bookmarkEnd w:id="50"/>
    </w:p>
    <w:p>
      <w:pPr>
        <w:pStyle w:val="3"/>
        <w:spacing w:line="240" w:lineRule="auto"/>
        <w:rPr>
          <w:sz w:val="30"/>
          <w:szCs w:val="30"/>
          <w:u w:val="none"/>
        </w:rPr>
      </w:pPr>
      <w:bookmarkStart w:id="51" w:name="_Toc31482"/>
      <w:bookmarkStart w:id="52" w:name="_Toc20139"/>
      <w:r>
        <w:rPr>
          <w:rFonts w:hint="eastAsia"/>
          <w:sz w:val="30"/>
          <w:szCs w:val="30"/>
          <w:u w:val="none"/>
        </w:rPr>
        <w:t>5</w:t>
      </w:r>
      <w:r>
        <w:rPr>
          <w:sz w:val="30"/>
          <w:szCs w:val="30"/>
          <w:u w:val="none"/>
        </w:rPr>
        <w:t>.</w:t>
      </w:r>
      <w:bookmarkEnd w:id="51"/>
      <w:r>
        <w:rPr>
          <w:rFonts w:hint="eastAsia"/>
          <w:sz w:val="30"/>
          <w:szCs w:val="30"/>
          <w:u w:val="none"/>
        </w:rPr>
        <w:t>1废污水来源及构成</w:t>
      </w:r>
      <w:bookmarkEnd w:id="52"/>
    </w:p>
    <w:p>
      <w:pPr>
        <w:ind w:firstLine="480"/>
        <w:rPr>
          <w:u w:val="none"/>
        </w:rPr>
      </w:pPr>
      <w:r>
        <w:rPr>
          <w:rFonts w:hint="eastAsia"/>
          <w:u w:val="none"/>
        </w:rPr>
        <w:t>本</w:t>
      </w:r>
      <w:r>
        <w:rPr>
          <w:u w:val="none"/>
        </w:rPr>
        <w:t>项目废水主要</w:t>
      </w:r>
      <w:r>
        <w:rPr>
          <w:rFonts w:hint="eastAsia"/>
          <w:u w:val="none"/>
        </w:rPr>
        <w:t>为</w:t>
      </w:r>
      <w:r>
        <w:rPr>
          <w:u w:val="none"/>
        </w:rPr>
        <w:t>生产废水</w:t>
      </w:r>
      <w:r>
        <w:rPr>
          <w:rFonts w:hint="eastAsia"/>
          <w:u w:val="none"/>
        </w:rPr>
        <w:t>，</w:t>
      </w:r>
      <w:r>
        <w:rPr>
          <w:u w:val="none"/>
        </w:rPr>
        <w:t>包括矿井涌水、压滤废水、尾矿库渗水和废石堆场淋溶水等。其中采矿过程产生的井下涌水部分回用于生产，多余部分进入废水处理系统，经三级沉淀处理达标后由专用排水渠排入资江。</w:t>
      </w:r>
    </w:p>
    <w:p>
      <w:pPr>
        <w:ind w:firstLine="480"/>
        <w:rPr>
          <w:u w:val="none"/>
        </w:rPr>
      </w:pPr>
      <w:r>
        <w:rPr>
          <w:u w:val="none"/>
        </w:rPr>
        <w:t>选矿过程、废石堆存、尾矿堆存产生的废水经处理后大部分回用，其余部分与矿井涌水一并外排入资江。</w:t>
      </w:r>
    </w:p>
    <w:p>
      <w:pPr>
        <w:pStyle w:val="3"/>
        <w:spacing w:line="240" w:lineRule="auto"/>
        <w:rPr>
          <w:sz w:val="30"/>
          <w:szCs w:val="30"/>
          <w:u w:val="none"/>
        </w:rPr>
      </w:pPr>
      <w:bookmarkStart w:id="53" w:name="_Toc6907"/>
      <w:r>
        <w:rPr>
          <w:rFonts w:hint="eastAsia"/>
          <w:sz w:val="30"/>
          <w:szCs w:val="30"/>
          <w:u w:val="none"/>
        </w:rPr>
        <w:t>5</w:t>
      </w:r>
      <w:r>
        <w:rPr>
          <w:sz w:val="30"/>
          <w:szCs w:val="30"/>
          <w:u w:val="none"/>
        </w:rPr>
        <w:t>.2废污水所含主要污染物种类</w:t>
      </w:r>
      <w:r>
        <w:rPr>
          <w:rFonts w:hint="eastAsia"/>
          <w:sz w:val="30"/>
          <w:szCs w:val="30"/>
          <w:u w:val="none"/>
        </w:rPr>
        <w:t>、</w:t>
      </w:r>
      <w:r>
        <w:rPr>
          <w:sz w:val="30"/>
          <w:szCs w:val="30"/>
          <w:u w:val="none"/>
        </w:rPr>
        <w:t>排放浓度</w:t>
      </w:r>
      <w:r>
        <w:rPr>
          <w:rFonts w:hint="eastAsia"/>
          <w:sz w:val="30"/>
          <w:szCs w:val="30"/>
          <w:u w:val="none"/>
        </w:rPr>
        <w:t>和</w:t>
      </w:r>
      <w:r>
        <w:rPr>
          <w:sz w:val="30"/>
          <w:szCs w:val="30"/>
          <w:u w:val="none"/>
        </w:rPr>
        <w:t>总量</w:t>
      </w:r>
      <w:bookmarkEnd w:id="53"/>
    </w:p>
    <w:p>
      <w:pPr>
        <w:ind w:firstLine="480"/>
        <w:rPr>
          <w:u w:val="none"/>
        </w:rPr>
      </w:pPr>
      <w:r>
        <w:rPr>
          <w:rFonts w:hint="eastAsia"/>
          <w:u w:val="none"/>
        </w:rPr>
        <w:t>本项目生产废水由</w:t>
      </w:r>
      <w:r>
        <w:rPr>
          <w:u w:val="none"/>
        </w:rPr>
        <w:t>废水处理站</w:t>
      </w:r>
      <w:r>
        <w:rPr>
          <w:rFonts w:hint="eastAsia"/>
          <w:u w:val="none"/>
        </w:rPr>
        <w:t>后</w:t>
      </w:r>
      <w:r>
        <w:rPr>
          <w:u w:val="none"/>
        </w:rPr>
        <w:t>锑监测因子能满足《锡、锑、汞工业污染物排放标准》(GB30770-2014)中表2新建企业水污染物排放限值，铊监测因子能够满足《工业废水铊污染物排放标准》(</w:t>
      </w:r>
      <w:r>
        <w:rPr>
          <w:rFonts w:hint="eastAsia"/>
          <w:u w:val="none"/>
        </w:rPr>
        <w:t>DB43/968-2021</w:t>
      </w:r>
      <w:r>
        <w:rPr>
          <w:u w:val="none"/>
        </w:rPr>
        <w:t>)标准要求，</w:t>
      </w:r>
      <w:r>
        <w:rPr>
          <w:rFonts w:hint="eastAsia"/>
          <w:color w:val="000000"/>
          <w:u w:val="none"/>
          <w:lang w:val="en-US" w:eastAsia="zh-CN"/>
        </w:rPr>
        <w:t>砷以环评</w:t>
      </w:r>
      <w:r>
        <w:rPr>
          <w:rFonts w:hint="eastAsia"/>
          <w:u w:val="none"/>
        </w:rPr>
        <w:t>总量控制指标</w:t>
      </w:r>
      <w:r>
        <w:rPr>
          <w:rFonts w:hint="eastAsia"/>
          <w:u w:val="none"/>
          <w:lang w:val="en-US" w:eastAsia="zh-CN"/>
        </w:rPr>
        <w:t>核算中的0.2</w:t>
      </w:r>
      <w:r>
        <w:t>mg/L</w:t>
      </w:r>
      <w:r>
        <w:rPr>
          <w:rFonts w:hint="eastAsia"/>
          <w:lang w:val="en-US" w:eastAsia="zh-CN"/>
        </w:rPr>
        <w:t>浓度为限值标准，</w:t>
      </w:r>
      <w:r>
        <w:rPr>
          <w:u w:val="none"/>
        </w:rPr>
        <w:t>其余各监测因子均符合《污水综合排放标准》(GB8978-1996)表1及表4中一级标准要求</w:t>
      </w:r>
      <w:r>
        <w:rPr>
          <w:rFonts w:hint="eastAsia"/>
          <w:u w:val="none"/>
        </w:rPr>
        <w:t>，</w:t>
      </w:r>
      <w:r>
        <w:rPr>
          <w:u w:val="none"/>
        </w:rPr>
        <w:t>后由专用排水渠排入资江</w:t>
      </w:r>
      <w:r>
        <w:rPr>
          <w:rFonts w:hint="eastAsia"/>
          <w:u w:val="none"/>
        </w:rPr>
        <w:t>。</w:t>
      </w:r>
    </w:p>
    <w:p>
      <w:pPr>
        <w:pStyle w:val="4"/>
        <w:spacing w:line="240" w:lineRule="auto"/>
        <w:rPr>
          <w:u w:val="none"/>
        </w:rPr>
      </w:pPr>
      <w:r>
        <w:rPr>
          <w:rFonts w:hint="eastAsia"/>
          <w:u w:val="none"/>
        </w:rPr>
        <w:t>5.2</w:t>
      </w:r>
      <w:r>
        <w:rPr>
          <w:u w:val="none"/>
        </w:rPr>
        <w:t>.1污染物排放浓度分析</w:t>
      </w:r>
    </w:p>
    <w:p>
      <w:pPr>
        <w:ind w:firstLine="480"/>
        <w:rPr>
          <w:u w:val="none"/>
        </w:rPr>
      </w:pPr>
      <w:r>
        <w:rPr>
          <w:u w:val="none"/>
        </w:rPr>
        <w:t>本次论证</w:t>
      </w:r>
      <w:r>
        <w:rPr>
          <w:rFonts w:hint="eastAsia"/>
          <w:u w:val="none"/>
        </w:rPr>
        <w:t>委托湖南湘健环保科技有限公司于2024年01月30日对外排废水进行了</w:t>
      </w:r>
      <w:r>
        <w:rPr>
          <w:u w:val="none"/>
        </w:rPr>
        <w:t>监测</w:t>
      </w:r>
      <w:r>
        <w:rPr>
          <w:rFonts w:hint="eastAsia"/>
          <w:u w:val="none"/>
        </w:rPr>
        <w:t>，本次废水处理站</w:t>
      </w:r>
      <w:r>
        <w:rPr>
          <w:rFonts w:hint="eastAsia"/>
          <w:u w:val="none"/>
          <w:lang w:val="en-US" w:eastAsia="zh-CN"/>
        </w:rPr>
        <w:t>出口</w:t>
      </w:r>
      <w:r>
        <w:rPr>
          <w:rFonts w:hint="eastAsia"/>
          <w:u w:val="none"/>
        </w:rPr>
        <w:t>的</w:t>
      </w:r>
      <w:r>
        <w:rPr>
          <w:u w:val="none"/>
        </w:rPr>
        <w:t>监测</w:t>
      </w:r>
      <w:r>
        <w:rPr>
          <w:rFonts w:hint="eastAsia"/>
          <w:u w:val="none"/>
        </w:rPr>
        <w:t>数据如下：</w:t>
      </w:r>
    </w:p>
    <w:p>
      <w:pPr>
        <w:spacing w:line="240" w:lineRule="auto"/>
        <w:ind w:firstLine="482"/>
        <w:jc w:val="center"/>
        <w:rPr>
          <w:b/>
          <w:bCs/>
          <w:u w:val="none"/>
        </w:rPr>
      </w:pPr>
      <w:bookmarkStart w:id="54" w:name="_Toc22031_WPSOffice_Level2"/>
      <w:bookmarkStart w:id="55" w:name="_Toc13419"/>
      <w:r>
        <w:rPr>
          <w:b/>
          <w:bCs/>
          <w:u w:val="none"/>
        </w:rPr>
        <w:t>表</w:t>
      </w:r>
      <w:r>
        <w:rPr>
          <w:rFonts w:hint="eastAsia"/>
          <w:b/>
          <w:bCs/>
          <w:u w:val="none"/>
          <w:lang w:val="en-US" w:eastAsia="zh-CN"/>
        </w:rPr>
        <w:t>5.2.1-1</w:t>
      </w:r>
      <w:r>
        <w:rPr>
          <w:rFonts w:hint="eastAsia"/>
          <w:b/>
          <w:bCs/>
          <w:u w:val="none"/>
        </w:rPr>
        <w:t>废</w:t>
      </w:r>
      <w:r>
        <w:rPr>
          <w:b/>
          <w:bCs/>
          <w:u w:val="none"/>
        </w:rPr>
        <w:t>水监测及评价结果</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1"/>
        <w:gridCol w:w="2715"/>
        <w:gridCol w:w="2115"/>
        <w:gridCol w:w="1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1411" w:type="pct"/>
            <w:vAlign w:val="center"/>
          </w:tcPr>
          <w:p>
            <w:pPr>
              <w:pStyle w:val="16"/>
              <w:jc w:val="center"/>
              <w:rPr>
                <w:u w:val="none"/>
              </w:rPr>
            </w:pPr>
            <w:r>
              <w:rPr>
                <w:rFonts w:hint="eastAsia"/>
                <w:u w:val="none"/>
              </w:rPr>
              <w:t>检测点位</w:t>
            </w:r>
          </w:p>
        </w:tc>
        <w:tc>
          <w:tcPr>
            <w:tcW w:w="1462" w:type="pct"/>
            <w:vAlign w:val="center"/>
          </w:tcPr>
          <w:p>
            <w:pPr>
              <w:pStyle w:val="16"/>
              <w:jc w:val="center"/>
              <w:rPr>
                <w:u w:val="none"/>
              </w:rPr>
            </w:pPr>
            <w:r>
              <w:rPr>
                <w:rFonts w:hint="eastAsia"/>
                <w:u w:val="none"/>
              </w:rPr>
              <w:t>样品编号</w:t>
            </w:r>
          </w:p>
        </w:tc>
        <w:tc>
          <w:tcPr>
            <w:tcW w:w="1139" w:type="pct"/>
            <w:vAlign w:val="center"/>
          </w:tcPr>
          <w:p>
            <w:pPr>
              <w:pStyle w:val="16"/>
              <w:jc w:val="center"/>
              <w:rPr>
                <w:u w:val="none"/>
              </w:rPr>
            </w:pPr>
            <w:r>
              <w:rPr>
                <w:rFonts w:hint="eastAsia"/>
                <w:u w:val="none"/>
              </w:rPr>
              <w:t>检测项目</w:t>
            </w:r>
          </w:p>
        </w:tc>
        <w:tc>
          <w:tcPr>
            <w:tcW w:w="986" w:type="pct"/>
            <w:vAlign w:val="center"/>
          </w:tcPr>
          <w:p>
            <w:pPr>
              <w:pStyle w:val="16"/>
              <w:jc w:val="center"/>
              <w:rPr>
                <w:u w:val="none"/>
              </w:rPr>
            </w:pPr>
            <w:r>
              <w:rPr>
                <w:rFonts w:hint="eastAsia"/>
                <w:u w:val="none"/>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1" w:type="pct"/>
            <w:vMerge w:val="restart"/>
            <w:noWrap/>
            <w:vAlign w:val="center"/>
          </w:tcPr>
          <w:p>
            <w:pPr>
              <w:pStyle w:val="16"/>
              <w:jc w:val="center"/>
              <w:rPr>
                <w:u w:val="none"/>
              </w:rPr>
            </w:pPr>
            <w:r>
              <w:rPr>
                <w:rFonts w:hint="eastAsia"/>
                <w:u w:val="none"/>
              </w:rPr>
              <w:t>污水处理站出口</w:t>
            </w:r>
          </w:p>
        </w:tc>
        <w:tc>
          <w:tcPr>
            <w:tcW w:w="1462" w:type="pct"/>
            <w:vAlign w:val="center"/>
          </w:tcPr>
          <w:p>
            <w:pPr>
              <w:pStyle w:val="16"/>
              <w:jc w:val="center"/>
              <w:rPr>
                <w:u w:val="none"/>
              </w:rPr>
            </w:pPr>
            <w:r>
              <w:rPr>
                <w:u w:val="none"/>
              </w:rPr>
              <w:t>/</w:t>
            </w:r>
          </w:p>
        </w:tc>
        <w:tc>
          <w:tcPr>
            <w:tcW w:w="1139" w:type="pct"/>
            <w:vAlign w:val="center"/>
          </w:tcPr>
          <w:p>
            <w:pPr>
              <w:pStyle w:val="16"/>
              <w:jc w:val="center"/>
              <w:rPr>
                <w:u w:val="none"/>
              </w:rPr>
            </w:pPr>
            <w:r>
              <w:rPr>
                <w:u w:val="none"/>
              </w:rPr>
              <w:t>pH</w:t>
            </w:r>
            <w:r>
              <w:rPr>
                <w:rFonts w:hint="eastAsia"/>
                <w:u w:val="none"/>
              </w:rPr>
              <w:t>值，无量纲</w:t>
            </w:r>
          </w:p>
        </w:tc>
        <w:tc>
          <w:tcPr>
            <w:tcW w:w="986" w:type="pct"/>
            <w:vAlign w:val="center"/>
          </w:tcPr>
          <w:p>
            <w:pPr>
              <w:pStyle w:val="16"/>
              <w:jc w:val="center"/>
              <w:rPr>
                <w:u w:val="none"/>
              </w:rPr>
            </w:pPr>
            <w:r>
              <w:rPr>
                <w:rFonts w:hint="eastAsia"/>
                <w:u w:val="none"/>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411" w:type="pct"/>
            <w:vMerge w:val="continue"/>
            <w:noWrap/>
            <w:vAlign w:val="center"/>
          </w:tcPr>
          <w:p>
            <w:pPr>
              <w:pStyle w:val="16"/>
              <w:jc w:val="center"/>
              <w:rPr>
                <w:u w:val="none"/>
              </w:rPr>
            </w:pPr>
          </w:p>
        </w:tc>
        <w:tc>
          <w:tcPr>
            <w:tcW w:w="1462" w:type="pct"/>
            <w:vMerge w:val="restart"/>
            <w:vAlign w:val="center"/>
          </w:tcPr>
          <w:p>
            <w:pPr>
              <w:pStyle w:val="16"/>
              <w:jc w:val="center"/>
              <w:rPr>
                <w:u w:val="none"/>
              </w:rPr>
            </w:pPr>
            <w:r>
              <w:rPr>
                <w:u w:val="none"/>
              </w:rPr>
              <w:t>0094-01-02-01</w:t>
            </w:r>
          </w:p>
        </w:tc>
        <w:tc>
          <w:tcPr>
            <w:tcW w:w="1139" w:type="pct"/>
            <w:vAlign w:val="center"/>
          </w:tcPr>
          <w:p>
            <w:pPr>
              <w:pStyle w:val="16"/>
              <w:jc w:val="center"/>
              <w:rPr>
                <w:u w:val="none"/>
              </w:rPr>
            </w:pPr>
            <w:r>
              <w:rPr>
                <w:rFonts w:hint="eastAsia"/>
                <w:u w:val="none"/>
              </w:rPr>
              <w:t>化学需氧量，</w:t>
            </w:r>
            <w:r>
              <w:rPr>
                <w:u w:val="none"/>
              </w:rPr>
              <w:t>mg/L</w:t>
            </w:r>
          </w:p>
        </w:tc>
        <w:tc>
          <w:tcPr>
            <w:tcW w:w="986" w:type="pct"/>
            <w:vAlign w:val="center"/>
          </w:tcPr>
          <w:p>
            <w:pPr>
              <w:pStyle w:val="16"/>
              <w:jc w:val="center"/>
              <w:rPr>
                <w:u w:val="none"/>
              </w:rPr>
            </w:pPr>
            <w:r>
              <w:rPr>
                <w:u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411" w:type="pct"/>
            <w:vMerge w:val="continue"/>
            <w:noWrap/>
            <w:vAlign w:val="center"/>
          </w:tcPr>
          <w:p>
            <w:pPr>
              <w:pStyle w:val="16"/>
              <w:jc w:val="center"/>
              <w:rPr>
                <w:u w:val="none"/>
              </w:rPr>
            </w:pPr>
          </w:p>
        </w:tc>
        <w:tc>
          <w:tcPr>
            <w:tcW w:w="1462" w:type="pct"/>
            <w:vMerge w:val="continue"/>
            <w:vAlign w:val="center"/>
          </w:tcPr>
          <w:p>
            <w:pPr>
              <w:pStyle w:val="16"/>
              <w:jc w:val="center"/>
              <w:rPr>
                <w:u w:val="none"/>
              </w:rPr>
            </w:pPr>
          </w:p>
        </w:tc>
        <w:tc>
          <w:tcPr>
            <w:tcW w:w="1139" w:type="pct"/>
            <w:vAlign w:val="center"/>
          </w:tcPr>
          <w:p>
            <w:pPr>
              <w:pStyle w:val="16"/>
              <w:jc w:val="center"/>
              <w:rPr>
                <w:u w:val="none"/>
              </w:rPr>
            </w:pPr>
            <w:r>
              <w:rPr>
                <w:rFonts w:hint="eastAsia"/>
                <w:u w:val="none"/>
              </w:rPr>
              <w:t>氨氮，</w:t>
            </w:r>
            <w:r>
              <w:rPr>
                <w:u w:val="none"/>
              </w:rPr>
              <w:t>mg/L</w:t>
            </w:r>
          </w:p>
        </w:tc>
        <w:tc>
          <w:tcPr>
            <w:tcW w:w="986" w:type="pct"/>
            <w:vAlign w:val="center"/>
          </w:tcPr>
          <w:p>
            <w:pPr>
              <w:pStyle w:val="16"/>
              <w:jc w:val="center"/>
              <w:rPr>
                <w:u w:val="none"/>
              </w:rPr>
            </w:pPr>
            <w:r>
              <w:rPr>
                <w:u w:val="none"/>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411" w:type="pct"/>
            <w:vMerge w:val="continue"/>
            <w:noWrap/>
            <w:vAlign w:val="center"/>
          </w:tcPr>
          <w:p>
            <w:pPr>
              <w:pStyle w:val="16"/>
              <w:jc w:val="center"/>
              <w:rPr>
                <w:u w:val="none"/>
              </w:rPr>
            </w:pPr>
          </w:p>
        </w:tc>
        <w:tc>
          <w:tcPr>
            <w:tcW w:w="1462" w:type="pct"/>
            <w:vAlign w:val="center"/>
          </w:tcPr>
          <w:p>
            <w:pPr>
              <w:pStyle w:val="16"/>
              <w:jc w:val="center"/>
              <w:rPr>
                <w:u w:val="none"/>
              </w:rPr>
            </w:pPr>
            <w:r>
              <w:rPr>
                <w:u w:val="none"/>
              </w:rPr>
              <w:t>0094-01-02-02</w:t>
            </w:r>
          </w:p>
        </w:tc>
        <w:tc>
          <w:tcPr>
            <w:tcW w:w="1139" w:type="pct"/>
            <w:vAlign w:val="center"/>
          </w:tcPr>
          <w:p>
            <w:pPr>
              <w:pStyle w:val="16"/>
              <w:jc w:val="center"/>
              <w:rPr>
                <w:u w:val="none"/>
              </w:rPr>
            </w:pPr>
            <w:r>
              <w:rPr>
                <w:rFonts w:hint="eastAsia"/>
                <w:u w:val="none"/>
              </w:rPr>
              <w:t>五日生化需氧量，</w:t>
            </w:r>
            <w:r>
              <w:rPr>
                <w:u w:val="none"/>
              </w:rPr>
              <w:t>mg/L</w:t>
            </w:r>
          </w:p>
        </w:tc>
        <w:tc>
          <w:tcPr>
            <w:tcW w:w="986" w:type="pct"/>
            <w:vAlign w:val="center"/>
          </w:tcPr>
          <w:p>
            <w:pPr>
              <w:pStyle w:val="16"/>
              <w:jc w:val="center"/>
              <w:rPr>
                <w:u w:val="none"/>
              </w:rPr>
            </w:pPr>
            <w:r>
              <w:rPr>
                <w:u w:val="none"/>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1" w:type="pct"/>
            <w:vMerge w:val="continue"/>
            <w:noWrap/>
            <w:vAlign w:val="center"/>
          </w:tcPr>
          <w:p>
            <w:pPr>
              <w:pStyle w:val="16"/>
              <w:jc w:val="center"/>
              <w:rPr>
                <w:u w:val="none"/>
              </w:rPr>
            </w:pPr>
          </w:p>
        </w:tc>
        <w:tc>
          <w:tcPr>
            <w:tcW w:w="1462" w:type="pct"/>
            <w:vAlign w:val="center"/>
          </w:tcPr>
          <w:p>
            <w:pPr>
              <w:pStyle w:val="16"/>
              <w:jc w:val="center"/>
              <w:rPr>
                <w:u w:val="none"/>
              </w:rPr>
            </w:pPr>
            <w:r>
              <w:rPr>
                <w:u w:val="none"/>
              </w:rPr>
              <w:t>0094-01-02-03</w:t>
            </w:r>
          </w:p>
        </w:tc>
        <w:tc>
          <w:tcPr>
            <w:tcW w:w="1139" w:type="pct"/>
            <w:vAlign w:val="center"/>
          </w:tcPr>
          <w:p>
            <w:pPr>
              <w:pStyle w:val="16"/>
              <w:jc w:val="center"/>
              <w:rPr>
                <w:u w:val="none"/>
              </w:rPr>
            </w:pPr>
            <w:r>
              <w:rPr>
                <w:rFonts w:hint="eastAsia"/>
                <w:u w:val="none"/>
              </w:rPr>
              <w:t>悬浮物，</w:t>
            </w:r>
            <w:r>
              <w:rPr>
                <w:u w:val="none"/>
              </w:rPr>
              <w:t>mg/L</w:t>
            </w:r>
          </w:p>
        </w:tc>
        <w:tc>
          <w:tcPr>
            <w:tcW w:w="986" w:type="pct"/>
            <w:vAlign w:val="center"/>
          </w:tcPr>
          <w:p>
            <w:pPr>
              <w:pStyle w:val="16"/>
              <w:jc w:val="center"/>
              <w:rPr>
                <w:u w:val="none"/>
              </w:rPr>
            </w:pPr>
            <w:r>
              <w:rPr>
                <w:u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1" w:type="pct"/>
            <w:vMerge w:val="continue"/>
            <w:noWrap/>
            <w:vAlign w:val="center"/>
          </w:tcPr>
          <w:p>
            <w:pPr>
              <w:pStyle w:val="16"/>
              <w:jc w:val="center"/>
              <w:rPr>
                <w:u w:val="none"/>
              </w:rPr>
            </w:pPr>
          </w:p>
        </w:tc>
        <w:tc>
          <w:tcPr>
            <w:tcW w:w="1462" w:type="pct"/>
            <w:vAlign w:val="center"/>
          </w:tcPr>
          <w:p>
            <w:pPr>
              <w:pStyle w:val="16"/>
              <w:jc w:val="center"/>
              <w:rPr>
                <w:u w:val="none"/>
              </w:rPr>
            </w:pPr>
            <w:r>
              <w:rPr>
                <w:u w:val="none"/>
              </w:rPr>
              <w:t>0094-01-02-04</w:t>
            </w:r>
          </w:p>
        </w:tc>
        <w:tc>
          <w:tcPr>
            <w:tcW w:w="1139" w:type="pct"/>
            <w:vAlign w:val="center"/>
          </w:tcPr>
          <w:p>
            <w:pPr>
              <w:pStyle w:val="16"/>
              <w:jc w:val="center"/>
              <w:rPr>
                <w:u w:val="none"/>
              </w:rPr>
            </w:pPr>
            <w:r>
              <w:rPr>
                <w:rFonts w:hint="eastAsia"/>
                <w:u w:val="none"/>
              </w:rPr>
              <w:t>石油类，</w:t>
            </w:r>
            <w:r>
              <w:rPr>
                <w:u w:val="none"/>
              </w:rPr>
              <w:t>mg/L</w:t>
            </w:r>
          </w:p>
        </w:tc>
        <w:tc>
          <w:tcPr>
            <w:tcW w:w="986" w:type="pct"/>
            <w:vAlign w:val="center"/>
          </w:tcPr>
          <w:p>
            <w:pPr>
              <w:pStyle w:val="16"/>
              <w:jc w:val="center"/>
              <w:rPr>
                <w:u w:val="none"/>
              </w:rPr>
            </w:pPr>
            <w:r>
              <w:rPr>
                <w:u w:val="none"/>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1" w:type="pct"/>
            <w:vMerge w:val="continue"/>
            <w:noWrap/>
            <w:vAlign w:val="center"/>
          </w:tcPr>
          <w:p>
            <w:pPr>
              <w:pStyle w:val="16"/>
              <w:jc w:val="center"/>
              <w:rPr>
                <w:u w:val="none"/>
              </w:rPr>
            </w:pPr>
          </w:p>
        </w:tc>
        <w:tc>
          <w:tcPr>
            <w:tcW w:w="1462" w:type="pct"/>
            <w:vAlign w:val="center"/>
          </w:tcPr>
          <w:p>
            <w:pPr>
              <w:pStyle w:val="16"/>
              <w:jc w:val="center"/>
              <w:rPr>
                <w:u w:val="none"/>
              </w:rPr>
            </w:pPr>
            <w:r>
              <w:rPr>
                <w:u w:val="none"/>
              </w:rPr>
              <w:t>0094-01-02-05</w:t>
            </w:r>
          </w:p>
        </w:tc>
        <w:tc>
          <w:tcPr>
            <w:tcW w:w="1139" w:type="pct"/>
            <w:vAlign w:val="center"/>
          </w:tcPr>
          <w:p>
            <w:pPr>
              <w:pStyle w:val="16"/>
              <w:jc w:val="center"/>
              <w:rPr>
                <w:u w:val="none"/>
              </w:rPr>
            </w:pPr>
            <w:r>
              <w:rPr>
                <w:rFonts w:hint="eastAsia"/>
                <w:u w:val="none"/>
              </w:rPr>
              <w:t>总磷，</w:t>
            </w:r>
            <w:r>
              <w:rPr>
                <w:u w:val="none"/>
              </w:rPr>
              <w:t>mg/L</w:t>
            </w:r>
          </w:p>
        </w:tc>
        <w:tc>
          <w:tcPr>
            <w:tcW w:w="986" w:type="pct"/>
            <w:vAlign w:val="center"/>
          </w:tcPr>
          <w:p>
            <w:pPr>
              <w:pStyle w:val="16"/>
              <w:jc w:val="center"/>
              <w:rPr>
                <w:u w:val="none"/>
              </w:rPr>
            </w:pPr>
            <w:r>
              <w:rPr>
                <w:u w:val="none"/>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1" w:type="pct"/>
            <w:vMerge w:val="continue"/>
            <w:noWrap/>
            <w:vAlign w:val="center"/>
          </w:tcPr>
          <w:p>
            <w:pPr>
              <w:pStyle w:val="16"/>
              <w:jc w:val="center"/>
              <w:rPr>
                <w:u w:val="none"/>
              </w:rPr>
            </w:pPr>
          </w:p>
        </w:tc>
        <w:tc>
          <w:tcPr>
            <w:tcW w:w="1462" w:type="pct"/>
            <w:vAlign w:val="center"/>
          </w:tcPr>
          <w:p>
            <w:pPr>
              <w:pStyle w:val="16"/>
              <w:jc w:val="center"/>
              <w:rPr>
                <w:u w:val="none"/>
              </w:rPr>
            </w:pPr>
            <w:r>
              <w:rPr>
                <w:u w:val="none"/>
              </w:rPr>
              <w:t>0094-01-02-06</w:t>
            </w:r>
          </w:p>
        </w:tc>
        <w:tc>
          <w:tcPr>
            <w:tcW w:w="1139" w:type="pct"/>
            <w:vAlign w:val="center"/>
          </w:tcPr>
          <w:p>
            <w:pPr>
              <w:pStyle w:val="16"/>
              <w:jc w:val="center"/>
              <w:rPr>
                <w:u w:val="none"/>
              </w:rPr>
            </w:pPr>
            <w:r>
              <w:rPr>
                <w:rFonts w:hint="eastAsia"/>
                <w:u w:val="none"/>
              </w:rPr>
              <w:t>氟化物，</w:t>
            </w:r>
            <w:r>
              <w:rPr>
                <w:u w:val="none"/>
              </w:rPr>
              <w:t>mg/L</w:t>
            </w:r>
          </w:p>
        </w:tc>
        <w:tc>
          <w:tcPr>
            <w:tcW w:w="986" w:type="pct"/>
            <w:vAlign w:val="center"/>
          </w:tcPr>
          <w:p>
            <w:pPr>
              <w:pStyle w:val="16"/>
              <w:jc w:val="center"/>
              <w:rPr>
                <w:u w:val="none"/>
              </w:rPr>
            </w:pPr>
            <w:r>
              <w:rPr>
                <w:u w:val="none"/>
              </w:rPr>
              <w:t>0.212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1" w:type="pct"/>
            <w:vMerge w:val="continue"/>
            <w:noWrap/>
            <w:vAlign w:val="center"/>
          </w:tcPr>
          <w:p>
            <w:pPr>
              <w:pStyle w:val="16"/>
              <w:jc w:val="center"/>
              <w:rPr>
                <w:u w:val="none"/>
              </w:rPr>
            </w:pPr>
          </w:p>
        </w:tc>
        <w:tc>
          <w:tcPr>
            <w:tcW w:w="1462" w:type="pct"/>
            <w:vMerge w:val="restart"/>
            <w:vAlign w:val="center"/>
          </w:tcPr>
          <w:p>
            <w:pPr>
              <w:pStyle w:val="16"/>
              <w:jc w:val="center"/>
              <w:rPr>
                <w:u w:val="none"/>
              </w:rPr>
            </w:pPr>
            <w:r>
              <w:rPr>
                <w:u w:val="none"/>
              </w:rPr>
              <w:t>0094-01-02-07</w:t>
            </w:r>
          </w:p>
        </w:tc>
        <w:tc>
          <w:tcPr>
            <w:tcW w:w="1139" w:type="pct"/>
            <w:vAlign w:val="center"/>
          </w:tcPr>
          <w:p>
            <w:pPr>
              <w:pStyle w:val="16"/>
              <w:jc w:val="center"/>
              <w:rPr>
                <w:u w:val="none"/>
              </w:rPr>
            </w:pPr>
            <w:r>
              <w:rPr>
                <w:rFonts w:hint="eastAsia"/>
                <w:u w:val="none"/>
              </w:rPr>
              <w:t>铜，</w:t>
            </w:r>
            <w:r>
              <w:rPr>
                <w:u w:val="none"/>
              </w:rPr>
              <w:t>mg/L</w:t>
            </w:r>
          </w:p>
        </w:tc>
        <w:tc>
          <w:tcPr>
            <w:tcW w:w="986" w:type="pct"/>
            <w:vAlign w:val="center"/>
          </w:tcPr>
          <w:p>
            <w:pPr>
              <w:pStyle w:val="16"/>
              <w:jc w:val="center"/>
              <w:rPr>
                <w:u w:val="none"/>
              </w:rPr>
            </w:pPr>
            <w:r>
              <w:rPr>
                <w:u w:val="none"/>
              </w:rPr>
              <w:t>0.00120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1" w:type="pct"/>
            <w:vMerge w:val="continue"/>
            <w:noWrap/>
            <w:vAlign w:val="center"/>
          </w:tcPr>
          <w:p>
            <w:pPr>
              <w:pStyle w:val="16"/>
              <w:jc w:val="center"/>
              <w:rPr>
                <w:u w:val="none"/>
              </w:rPr>
            </w:pPr>
          </w:p>
        </w:tc>
        <w:tc>
          <w:tcPr>
            <w:tcW w:w="1462" w:type="pct"/>
            <w:vMerge w:val="continue"/>
            <w:vAlign w:val="center"/>
          </w:tcPr>
          <w:p>
            <w:pPr>
              <w:pStyle w:val="16"/>
              <w:jc w:val="center"/>
              <w:rPr>
                <w:u w:val="none"/>
              </w:rPr>
            </w:pPr>
          </w:p>
        </w:tc>
        <w:tc>
          <w:tcPr>
            <w:tcW w:w="1139" w:type="pct"/>
            <w:vAlign w:val="center"/>
          </w:tcPr>
          <w:p>
            <w:pPr>
              <w:pStyle w:val="16"/>
              <w:jc w:val="center"/>
              <w:rPr>
                <w:u w:val="none"/>
              </w:rPr>
            </w:pPr>
            <w:r>
              <w:rPr>
                <w:rFonts w:hint="eastAsia"/>
                <w:u w:val="none"/>
              </w:rPr>
              <w:t>锌，</w:t>
            </w:r>
            <w:r>
              <w:rPr>
                <w:u w:val="none"/>
              </w:rPr>
              <w:t>mg/L</w:t>
            </w:r>
          </w:p>
        </w:tc>
        <w:tc>
          <w:tcPr>
            <w:tcW w:w="986" w:type="pct"/>
            <w:vAlign w:val="center"/>
          </w:tcPr>
          <w:p>
            <w:pPr>
              <w:pStyle w:val="16"/>
              <w:jc w:val="center"/>
              <w:rPr>
                <w:u w:val="none"/>
              </w:rPr>
            </w:pPr>
            <w:r>
              <w:rPr>
                <w:u w:val="none"/>
              </w:rPr>
              <w:t>0.0139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1" w:type="pct"/>
            <w:vMerge w:val="continue"/>
            <w:noWrap/>
            <w:vAlign w:val="center"/>
          </w:tcPr>
          <w:p>
            <w:pPr>
              <w:pStyle w:val="16"/>
              <w:jc w:val="center"/>
              <w:rPr>
                <w:u w:val="none"/>
              </w:rPr>
            </w:pPr>
          </w:p>
        </w:tc>
        <w:tc>
          <w:tcPr>
            <w:tcW w:w="1462" w:type="pct"/>
            <w:vMerge w:val="continue"/>
            <w:vAlign w:val="center"/>
          </w:tcPr>
          <w:p>
            <w:pPr>
              <w:pStyle w:val="16"/>
              <w:jc w:val="center"/>
              <w:rPr>
                <w:u w:val="none"/>
              </w:rPr>
            </w:pPr>
          </w:p>
        </w:tc>
        <w:tc>
          <w:tcPr>
            <w:tcW w:w="1139" w:type="pct"/>
            <w:vAlign w:val="center"/>
          </w:tcPr>
          <w:p>
            <w:pPr>
              <w:pStyle w:val="16"/>
              <w:jc w:val="center"/>
              <w:rPr>
                <w:u w:val="none"/>
              </w:rPr>
            </w:pPr>
            <w:r>
              <w:rPr>
                <w:rFonts w:hint="eastAsia"/>
                <w:u w:val="none"/>
              </w:rPr>
              <w:t>铅，</w:t>
            </w:r>
            <w:r>
              <w:rPr>
                <w:u w:val="none"/>
              </w:rPr>
              <w:t>mg/L</w:t>
            </w:r>
          </w:p>
        </w:tc>
        <w:tc>
          <w:tcPr>
            <w:tcW w:w="986" w:type="pct"/>
            <w:vAlign w:val="center"/>
          </w:tcPr>
          <w:p>
            <w:pPr>
              <w:pStyle w:val="16"/>
              <w:jc w:val="center"/>
              <w:rPr>
                <w:u w:val="none"/>
              </w:rPr>
            </w:pPr>
            <w:r>
              <w:rPr>
                <w:u w:val="none"/>
              </w:rPr>
              <w:t>0.000</w:t>
            </w:r>
            <w:r>
              <w:rPr>
                <w:rFonts w:hint="eastAsia"/>
                <w:u w:val="none"/>
              </w:rPr>
              <w:t>2</w:t>
            </w:r>
            <w:r>
              <w:rPr>
                <w:u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1" w:type="pct"/>
            <w:vMerge w:val="continue"/>
            <w:noWrap/>
            <w:vAlign w:val="center"/>
          </w:tcPr>
          <w:p>
            <w:pPr>
              <w:pStyle w:val="16"/>
              <w:jc w:val="center"/>
              <w:rPr>
                <w:u w:val="none"/>
              </w:rPr>
            </w:pPr>
          </w:p>
        </w:tc>
        <w:tc>
          <w:tcPr>
            <w:tcW w:w="1462" w:type="pct"/>
            <w:vMerge w:val="continue"/>
            <w:vAlign w:val="center"/>
          </w:tcPr>
          <w:p>
            <w:pPr>
              <w:pStyle w:val="16"/>
              <w:jc w:val="center"/>
              <w:rPr>
                <w:u w:val="none"/>
              </w:rPr>
            </w:pPr>
          </w:p>
        </w:tc>
        <w:tc>
          <w:tcPr>
            <w:tcW w:w="1139" w:type="pct"/>
            <w:vAlign w:val="center"/>
          </w:tcPr>
          <w:p>
            <w:pPr>
              <w:pStyle w:val="16"/>
              <w:jc w:val="center"/>
              <w:rPr>
                <w:u w:val="none"/>
              </w:rPr>
            </w:pPr>
            <w:r>
              <w:rPr>
                <w:rFonts w:hint="eastAsia"/>
                <w:u w:val="none"/>
              </w:rPr>
              <w:t>镉，</w:t>
            </w:r>
            <w:r>
              <w:rPr>
                <w:u w:val="none"/>
              </w:rPr>
              <w:t>mg/L</w:t>
            </w:r>
          </w:p>
        </w:tc>
        <w:tc>
          <w:tcPr>
            <w:tcW w:w="986" w:type="pct"/>
            <w:vAlign w:val="center"/>
          </w:tcPr>
          <w:p>
            <w:pPr>
              <w:pStyle w:val="16"/>
              <w:jc w:val="center"/>
              <w:rPr>
                <w:u w:val="none"/>
              </w:rPr>
            </w:pPr>
            <w:r>
              <w:rPr>
                <w:u w:val="none"/>
              </w:rPr>
              <w:t>0.000</w:t>
            </w:r>
            <w:r>
              <w:rPr>
                <w:rFonts w:hint="eastAsia"/>
                <w:u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1" w:type="pct"/>
            <w:vMerge w:val="continue"/>
            <w:noWrap/>
            <w:vAlign w:val="center"/>
          </w:tcPr>
          <w:p>
            <w:pPr>
              <w:pStyle w:val="16"/>
              <w:jc w:val="center"/>
              <w:rPr>
                <w:u w:val="none"/>
              </w:rPr>
            </w:pPr>
          </w:p>
        </w:tc>
        <w:tc>
          <w:tcPr>
            <w:tcW w:w="1462" w:type="pct"/>
            <w:vMerge w:val="continue"/>
            <w:vAlign w:val="center"/>
          </w:tcPr>
          <w:p>
            <w:pPr>
              <w:pStyle w:val="16"/>
              <w:jc w:val="center"/>
              <w:rPr>
                <w:u w:val="none"/>
              </w:rPr>
            </w:pPr>
          </w:p>
        </w:tc>
        <w:tc>
          <w:tcPr>
            <w:tcW w:w="1139" w:type="pct"/>
            <w:vAlign w:val="center"/>
          </w:tcPr>
          <w:p>
            <w:pPr>
              <w:pStyle w:val="16"/>
              <w:jc w:val="center"/>
              <w:rPr>
                <w:u w:val="none"/>
              </w:rPr>
            </w:pPr>
            <w:r>
              <w:rPr>
                <w:rFonts w:hint="eastAsia"/>
                <w:u w:val="none"/>
              </w:rPr>
              <w:t>铊，</w:t>
            </w:r>
            <w:r>
              <w:rPr>
                <w:u w:val="none"/>
              </w:rPr>
              <w:t>mg/L</w:t>
            </w:r>
          </w:p>
        </w:tc>
        <w:tc>
          <w:tcPr>
            <w:tcW w:w="986" w:type="pct"/>
            <w:vAlign w:val="center"/>
          </w:tcPr>
          <w:p>
            <w:pPr>
              <w:pStyle w:val="16"/>
              <w:jc w:val="center"/>
              <w:rPr>
                <w:u w:val="none"/>
              </w:rPr>
            </w:pPr>
            <w:r>
              <w:rPr>
                <w:u w:val="none"/>
              </w:rPr>
              <w:t>0.00002L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1" w:type="pct"/>
            <w:vMerge w:val="continue"/>
            <w:noWrap/>
            <w:vAlign w:val="center"/>
          </w:tcPr>
          <w:p>
            <w:pPr>
              <w:pStyle w:val="16"/>
              <w:jc w:val="center"/>
              <w:rPr>
                <w:u w:val="none"/>
              </w:rPr>
            </w:pPr>
          </w:p>
        </w:tc>
        <w:tc>
          <w:tcPr>
            <w:tcW w:w="1462" w:type="pct"/>
            <w:vMerge w:val="continue"/>
            <w:vAlign w:val="center"/>
          </w:tcPr>
          <w:p>
            <w:pPr>
              <w:pStyle w:val="16"/>
              <w:jc w:val="center"/>
              <w:rPr>
                <w:u w:val="none"/>
              </w:rPr>
            </w:pPr>
          </w:p>
        </w:tc>
        <w:tc>
          <w:tcPr>
            <w:tcW w:w="1139" w:type="pct"/>
            <w:vAlign w:val="center"/>
          </w:tcPr>
          <w:p>
            <w:pPr>
              <w:pStyle w:val="16"/>
              <w:jc w:val="center"/>
              <w:rPr>
                <w:u w:val="none"/>
              </w:rPr>
            </w:pPr>
            <w:r>
              <w:rPr>
                <w:rFonts w:hint="eastAsia"/>
                <w:u w:val="none"/>
              </w:rPr>
              <w:t>铬，</w:t>
            </w:r>
            <w:r>
              <w:rPr>
                <w:u w:val="none"/>
              </w:rPr>
              <w:t>mg/L</w:t>
            </w:r>
          </w:p>
        </w:tc>
        <w:tc>
          <w:tcPr>
            <w:tcW w:w="986" w:type="pct"/>
            <w:vAlign w:val="center"/>
          </w:tcPr>
          <w:p>
            <w:pPr>
              <w:pStyle w:val="16"/>
              <w:jc w:val="center"/>
              <w:rPr>
                <w:u w:val="none"/>
              </w:rPr>
            </w:pPr>
            <w:r>
              <w:rPr>
                <w:u w:val="none"/>
              </w:rPr>
              <w:t>0.00550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1" w:type="pct"/>
            <w:vMerge w:val="continue"/>
            <w:noWrap/>
            <w:vAlign w:val="center"/>
          </w:tcPr>
          <w:p>
            <w:pPr>
              <w:pStyle w:val="16"/>
              <w:jc w:val="center"/>
              <w:rPr>
                <w:u w:val="none"/>
              </w:rPr>
            </w:pPr>
          </w:p>
        </w:tc>
        <w:tc>
          <w:tcPr>
            <w:tcW w:w="1462" w:type="pct"/>
            <w:vMerge w:val="restart"/>
            <w:vAlign w:val="center"/>
          </w:tcPr>
          <w:p>
            <w:pPr>
              <w:pStyle w:val="16"/>
              <w:jc w:val="center"/>
              <w:rPr>
                <w:u w:val="none"/>
              </w:rPr>
            </w:pPr>
            <w:r>
              <w:rPr>
                <w:u w:val="none"/>
              </w:rPr>
              <w:t>0094-01-02-08</w:t>
            </w:r>
          </w:p>
        </w:tc>
        <w:tc>
          <w:tcPr>
            <w:tcW w:w="1139" w:type="pct"/>
            <w:vAlign w:val="center"/>
          </w:tcPr>
          <w:p>
            <w:pPr>
              <w:pStyle w:val="16"/>
              <w:jc w:val="center"/>
              <w:rPr>
                <w:u w:val="none"/>
              </w:rPr>
            </w:pPr>
            <w:r>
              <w:rPr>
                <w:rFonts w:hint="eastAsia"/>
                <w:u w:val="none"/>
              </w:rPr>
              <w:t>砷，</w:t>
            </w:r>
            <w:r>
              <w:rPr>
                <w:u w:val="none"/>
              </w:rPr>
              <w:t>mg/L</w:t>
            </w:r>
          </w:p>
        </w:tc>
        <w:tc>
          <w:tcPr>
            <w:tcW w:w="986" w:type="pct"/>
            <w:vAlign w:val="center"/>
          </w:tcPr>
          <w:p>
            <w:pPr>
              <w:pStyle w:val="16"/>
              <w:jc w:val="center"/>
              <w:rPr>
                <w:u w:val="none"/>
              </w:rPr>
            </w:pPr>
            <w:r>
              <w:rPr>
                <w:u w:val="none"/>
              </w:rPr>
              <w:t>0.</w:t>
            </w:r>
            <w:r>
              <w:rPr>
                <w:rFonts w:hint="eastAsia"/>
                <w:u w:val="none"/>
              </w:rPr>
              <w:t>0466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1" w:type="pct"/>
            <w:vMerge w:val="continue"/>
            <w:noWrap/>
            <w:vAlign w:val="center"/>
          </w:tcPr>
          <w:p>
            <w:pPr>
              <w:pStyle w:val="16"/>
              <w:jc w:val="center"/>
              <w:rPr>
                <w:u w:val="none"/>
              </w:rPr>
            </w:pPr>
          </w:p>
        </w:tc>
        <w:tc>
          <w:tcPr>
            <w:tcW w:w="1462" w:type="pct"/>
            <w:vMerge w:val="continue"/>
            <w:vAlign w:val="center"/>
          </w:tcPr>
          <w:p>
            <w:pPr>
              <w:pStyle w:val="16"/>
              <w:jc w:val="center"/>
              <w:rPr>
                <w:u w:val="none"/>
              </w:rPr>
            </w:pPr>
          </w:p>
        </w:tc>
        <w:tc>
          <w:tcPr>
            <w:tcW w:w="1139" w:type="pct"/>
            <w:vAlign w:val="center"/>
          </w:tcPr>
          <w:p>
            <w:pPr>
              <w:pStyle w:val="16"/>
              <w:jc w:val="center"/>
              <w:rPr>
                <w:u w:val="none"/>
              </w:rPr>
            </w:pPr>
            <w:r>
              <w:rPr>
                <w:rFonts w:hint="eastAsia"/>
                <w:u w:val="none"/>
              </w:rPr>
              <w:t>锑，</w:t>
            </w:r>
            <w:r>
              <w:rPr>
                <w:u w:val="none"/>
              </w:rPr>
              <w:t>mg/L</w:t>
            </w:r>
          </w:p>
        </w:tc>
        <w:tc>
          <w:tcPr>
            <w:tcW w:w="986" w:type="pct"/>
            <w:vAlign w:val="center"/>
          </w:tcPr>
          <w:p>
            <w:pPr>
              <w:pStyle w:val="16"/>
              <w:jc w:val="center"/>
              <w:rPr>
                <w:u w:val="none"/>
              </w:rPr>
            </w:pPr>
            <w:r>
              <w:rPr>
                <w:u w:val="none"/>
              </w:rPr>
              <w:t>0.0318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1" w:type="pct"/>
            <w:vMerge w:val="continue"/>
            <w:noWrap/>
            <w:vAlign w:val="center"/>
          </w:tcPr>
          <w:p>
            <w:pPr>
              <w:pStyle w:val="16"/>
              <w:jc w:val="center"/>
              <w:rPr>
                <w:u w:val="none"/>
              </w:rPr>
            </w:pPr>
          </w:p>
        </w:tc>
        <w:tc>
          <w:tcPr>
            <w:tcW w:w="1462" w:type="pct"/>
            <w:vAlign w:val="center"/>
          </w:tcPr>
          <w:p>
            <w:pPr>
              <w:pStyle w:val="16"/>
              <w:jc w:val="center"/>
              <w:rPr>
                <w:u w:val="none"/>
              </w:rPr>
            </w:pPr>
            <w:r>
              <w:rPr>
                <w:u w:val="none"/>
              </w:rPr>
              <w:t>0094-01-02-09</w:t>
            </w:r>
          </w:p>
        </w:tc>
        <w:tc>
          <w:tcPr>
            <w:tcW w:w="1139" w:type="pct"/>
            <w:vAlign w:val="center"/>
          </w:tcPr>
          <w:p>
            <w:pPr>
              <w:pStyle w:val="16"/>
              <w:jc w:val="center"/>
              <w:rPr>
                <w:u w:val="none"/>
              </w:rPr>
            </w:pPr>
            <w:r>
              <w:rPr>
                <w:rFonts w:hint="eastAsia"/>
                <w:u w:val="none"/>
              </w:rPr>
              <w:t>硫化物，</w:t>
            </w:r>
            <w:r>
              <w:rPr>
                <w:u w:val="none"/>
              </w:rPr>
              <w:t>mg/L</w:t>
            </w:r>
          </w:p>
        </w:tc>
        <w:tc>
          <w:tcPr>
            <w:tcW w:w="986" w:type="pct"/>
            <w:vAlign w:val="center"/>
          </w:tcPr>
          <w:p>
            <w:pPr>
              <w:pStyle w:val="16"/>
              <w:jc w:val="center"/>
              <w:rPr>
                <w:u w:val="none"/>
              </w:rPr>
            </w:pPr>
            <w:r>
              <w:rPr>
                <w:u w:val="none"/>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1" w:type="pct"/>
            <w:vMerge w:val="continue"/>
            <w:noWrap/>
            <w:vAlign w:val="center"/>
          </w:tcPr>
          <w:p>
            <w:pPr>
              <w:pStyle w:val="16"/>
              <w:jc w:val="center"/>
              <w:rPr>
                <w:u w:val="none"/>
              </w:rPr>
            </w:pPr>
          </w:p>
        </w:tc>
        <w:tc>
          <w:tcPr>
            <w:tcW w:w="1462" w:type="pct"/>
            <w:vAlign w:val="center"/>
          </w:tcPr>
          <w:p>
            <w:pPr>
              <w:pStyle w:val="16"/>
              <w:jc w:val="center"/>
              <w:rPr>
                <w:u w:val="none"/>
              </w:rPr>
            </w:pPr>
            <w:r>
              <w:rPr>
                <w:u w:val="none"/>
              </w:rPr>
              <w:t>0094-01-02-10</w:t>
            </w:r>
          </w:p>
        </w:tc>
        <w:tc>
          <w:tcPr>
            <w:tcW w:w="1139" w:type="pct"/>
            <w:vAlign w:val="center"/>
          </w:tcPr>
          <w:p>
            <w:pPr>
              <w:pStyle w:val="16"/>
              <w:jc w:val="center"/>
              <w:rPr>
                <w:u w:val="none"/>
              </w:rPr>
            </w:pPr>
            <w:r>
              <w:rPr>
                <w:rFonts w:hint="eastAsia"/>
                <w:u w:val="none"/>
              </w:rPr>
              <w:t>六价铬，</w:t>
            </w:r>
            <w:r>
              <w:rPr>
                <w:u w:val="none"/>
              </w:rPr>
              <w:t>mg/L</w:t>
            </w:r>
          </w:p>
        </w:tc>
        <w:tc>
          <w:tcPr>
            <w:tcW w:w="986" w:type="pct"/>
            <w:vAlign w:val="center"/>
          </w:tcPr>
          <w:p>
            <w:pPr>
              <w:pStyle w:val="16"/>
              <w:jc w:val="center"/>
              <w:rPr>
                <w:u w:val="none"/>
              </w:rPr>
            </w:pPr>
            <w:r>
              <w:rPr>
                <w:u w:val="none"/>
              </w:rPr>
              <w:t>0.004L</w:t>
            </w:r>
          </w:p>
        </w:tc>
      </w:tr>
    </w:tbl>
    <w:p>
      <w:pPr>
        <w:ind w:firstLine="480"/>
        <w:rPr>
          <w:rFonts w:hint="eastAsia" w:eastAsia="宋体"/>
          <w:u w:val="none"/>
          <w:lang w:eastAsia="zh-CN"/>
        </w:rPr>
      </w:pPr>
      <w:r>
        <w:rPr>
          <w:rFonts w:hint="eastAsia"/>
          <w:u w:val="none"/>
        </w:rPr>
        <w:t>由上表监测结果可知，本项目外排</w:t>
      </w:r>
      <w:r>
        <w:rPr>
          <w:rFonts w:hint="eastAsia"/>
          <w:u w:val="none"/>
          <w:lang w:val="en-US" w:eastAsia="zh-CN"/>
        </w:rPr>
        <w:t>废</w:t>
      </w:r>
      <w:r>
        <w:rPr>
          <w:rFonts w:hint="eastAsia"/>
          <w:u w:val="none"/>
        </w:rPr>
        <w:t>水满足</w:t>
      </w:r>
      <w:r>
        <w:rPr>
          <w:u w:val="none"/>
        </w:rPr>
        <w:t>《污水综合排放标准》(GB8978-1996)一级排放标准，其中铊达到《湖南省工业废水铊污染物排放标准》(</w:t>
      </w:r>
      <w:r>
        <w:rPr>
          <w:rFonts w:hint="eastAsia"/>
          <w:u w:val="none"/>
        </w:rPr>
        <w:t>DB43/968-2021</w:t>
      </w:r>
      <w:r>
        <w:rPr>
          <w:u w:val="none"/>
        </w:rPr>
        <w:t>)，锑</w:t>
      </w:r>
      <w:r>
        <w:rPr>
          <w:rFonts w:hint="eastAsia"/>
          <w:u w:val="none"/>
        </w:rPr>
        <w:t>达到</w:t>
      </w:r>
      <w:r>
        <w:rPr>
          <w:u w:val="none"/>
        </w:rPr>
        <w:t>《锡、锑、汞工业污染物排放标准》(GB30770-2014)标准要求</w:t>
      </w:r>
      <w:r>
        <w:rPr>
          <w:rFonts w:hint="eastAsia"/>
          <w:u w:val="none"/>
          <w:lang w:eastAsia="zh-CN"/>
        </w:rPr>
        <w:t>，</w:t>
      </w:r>
      <w:r>
        <w:rPr>
          <w:rFonts w:hint="eastAsia"/>
          <w:color w:val="000000"/>
          <w:u w:val="none"/>
          <w:lang w:val="en-US" w:eastAsia="zh-CN"/>
        </w:rPr>
        <w:t>砷达到环评</w:t>
      </w:r>
      <w:r>
        <w:rPr>
          <w:rFonts w:hint="eastAsia"/>
          <w:u w:val="none"/>
        </w:rPr>
        <w:t>总量控制指标</w:t>
      </w:r>
      <w:r>
        <w:rPr>
          <w:rFonts w:hint="eastAsia"/>
          <w:u w:val="none"/>
          <w:lang w:val="en-US" w:eastAsia="zh-CN"/>
        </w:rPr>
        <w:t>核算中的0.2</w:t>
      </w:r>
      <w:r>
        <w:t>mg/L</w:t>
      </w:r>
      <w:r>
        <w:rPr>
          <w:rFonts w:hint="eastAsia"/>
          <w:lang w:val="en-US" w:eastAsia="zh-CN"/>
        </w:rPr>
        <w:t>浓度限值要求</w:t>
      </w:r>
      <w:r>
        <w:rPr>
          <w:rFonts w:hint="eastAsia"/>
          <w:u w:val="none"/>
          <w:lang w:eastAsia="zh-CN"/>
        </w:rPr>
        <w:t>。</w:t>
      </w:r>
    </w:p>
    <w:p>
      <w:pPr>
        <w:pStyle w:val="4"/>
        <w:spacing w:line="240" w:lineRule="auto"/>
        <w:rPr>
          <w:u w:val="none"/>
        </w:rPr>
      </w:pPr>
      <w:r>
        <w:rPr>
          <w:rFonts w:hint="eastAsia"/>
          <w:u w:val="none"/>
        </w:rPr>
        <w:t>5.2</w:t>
      </w:r>
      <w:r>
        <w:rPr>
          <w:u w:val="none"/>
        </w:rPr>
        <w:t>.2污染物排放总量分析</w:t>
      </w:r>
      <w:bookmarkEnd w:id="54"/>
      <w:bookmarkEnd w:id="55"/>
    </w:p>
    <w:p>
      <w:pPr>
        <w:ind w:firstLine="480"/>
        <w:rPr>
          <w:u w:val="none"/>
        </w:rPr>
      </w:pPr>
      <w:r>
        <w:rPr>
          <w:rFonts w:hint="eastAsia"/>
          <w:u w:val="none"/>
        </w:rPr>
        <w:t>根据《益阳市生态环境局关于桃江县湘域矿业有限公司首溪金矿扩建项目环境影响报告书》及其环评批复（益环评书[2021]22号），</w:t>
      </w:r>
      <w:r>
        <w:rPr>
          <w:rFonts w:hint="eastAsia"/>
          <w:u w:val="none"/>
          <w:lang w:val="en-US" w:eastAsia="zh-CN"/>
        </w:rPr>
        <w:t>生产废水</w:t>
      </w:r>
      <w:r>
        <w:rPr>
          <w:rFonts w:hint="eastAsia"/>
          <w:u w:val="none"/>
        </w:rPr>
        <w:t>污染物排放总量控制指标：化学需氧量2.98t/a、、As13.2kg/a。</w:t>
      </w:r>
    </w:p>
    <w:p>
      <w:pPr>
        <w:ind w:firstLine="0" w:firstLineChars="0"/>
        <w:rPr>
          <w:u w:val="none"/>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AndChars" w:linePitch="332" w:charSpace="0"/>
        </w:sectPr>
      </w:pPr>
    </w:p>
    <w:p>
      <w:pPr>
        <w:pStyle w:val="2"/>
        <w:spacing w:before="0" w:after="0" w:line="240" w:lineRule="auto"/>
        <w:ind w:firstLine="0" w:firstLineChars="0"/>
        <w:jc w:val="left"/>
        <w:rPr>
          <w:u w:val="none"/>
        </w:rPr>
      </w:pPr>
      <w:bookmarkStart w:id="56" w:name="_Toc5063"/>
      <w:r>
        <w:rPr>
          <w:u w:val="none"/>
        </w:rPr>
        <w:drawing>
          <wp:anchor distT="0" distB="0" distL="114300" distR="114300" simplePos="0" relativeHeight="251660288" behindDoc="0" locked="0" layoutInCell="1" allowOverlap="1">
            <wp:simplePos x="0" y="0"/>
            <wp:positionH relativeFrom="column">
              <wp:posOffset>7850505</wp:posOffset>
            </wp:positionH>
            <wp:positionV relativeFrom="paragraph">
              <wp:posOffset>111760</wp:posOffset>
            </wp:positionV>
            <wp:extent cx="537210" cy="717550"/>
            <wp:effectExtent l="0" t="0" r="15240" b="6350"/>
            <wp:wrapNone/>
            <wp:docPr id="170" name="图片 654" descr="指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654" descr="指北2"/>
                    <pic:cNvPicPr>
                      <a:picLocks noChangeAspect="1"/>
                    </pic:cNvPicPr>
                  </pic:nvPicPr>
                  <pic:blipFill>
                    <a:blip r:embed="rId23" cstate="email"/>
                    <a:stretch>
                      <a:fillRect/>
                    </a:stretch>
                  </pic:blipFill>
                  <pic:spPr>
                    <a:xfrm>
                      <a:off x="0" y="0"/>
                      <a:ext cx="537210" cy="717550"/>
                    </a:xfrm>
                    <a:prstGeom prst="rect">
                      <a:avLst/>
                    </a:prstGeom>
                    <a:noFill/>
                    <a:ln>
                      <a:noFill/>
                    </a:ln>
                  </pic:spPr>
                </pic:pic>
              </a:graphicData>
            </a:graphic>
          </wp:anchor>
        </w:drawing>
      </w:r>
      <w:r>
        <w:rPr>
          <w:u w:val="none"/>
        </w:rPr>
        <w:pict>
          <v:group id="_x0000_s2062" o:spid="_x0000_s2062" o:spt="203" style="position:absolute;left:0pt;margin-left:558pt;margin-top:278.2pt;height:105.5pt;width:101.9pt;z-index:251667456;mso-width-relative:page;mso-height-relative:page;" coordorigin="170,3012" coordsize="20,21102" o:gfxdata="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">
            <o:lock v:ext="edit"/>
            <v:group id="_x0000_s2064" o:spid="_x0000_s2064" o:spt="203" style="position:absolute;left:170;top:3012;height:21;width:20;" coordorigin="117,6420" coordsize="19,20" o:gfxdata="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H88YvAAAANwAAAAPAAAAAAAAAAEAIAAAACIAAABkcnMvZG93bnJldi54bWxQ&#10;SwECFAAUAAAACACHTuJAMy8FnjsAAAA5AAAAFQAAAAAAAAABACAAAAALAQAAZHJzL2dyb3Vwc2hh&#10;cGV4bWwueG1sUEsFBgAAAAAGAAYAYAEAAMgDAAAAAA==&#10;">
              <o:lock v:ext="edit"/>
              <v:group id="_x0000_s2067" o:spid="_x0000_s2067" o:spt="203" style="position:absolute;left:117;top:6420;height:20;width:20;" coordorigin="5307,269464" coordsize="1741,1820" o:gfxdata="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mivxevAAAANwAAAAPAAAAAAAAAAEAIAAAACIAAABkcnMvZG93bnJldi54bWxQ&#10;SwECFAAUAAAACACHTuJAMy8FnjsAAAA5AAAAFQAAAAAAAAABACAAAAALAQAAZHJzL2dyb3Vwc2hh&#10;cGV4bWwueG1sUEsFBgAAAAAGAAYAYAEAAMgDAAAAAA==&#10;">
                <o:lock v:ext="edit"/>
                <v:shape id="文本框 71" o:spid="_x0000_s2069" o:spt="202" type="#_x0000_t202" style="position:absolute;left:5307;top:269464;height:1820;width:1741;" coordsize="21600,21600" o:gfxdata="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PjSIrUAAADcAAAADwAA&#10;AAAAAAABACAAAAAiAAAAZHJzL2Rvd25yZXYueG1sUEsBAhQAFAAAAAgAh07iQDMvBZ47AAAAOQAA&#10;ABAAAAAAAAAAAQAgAAAABAEAAGRycy9zaGFwZXhtbC54bWxQSwUGAAAAAAYABgBbAQAArgMAAAAA&#10;">
                  <v:path/>
                  <v:fill focussize="0,0"/>
                  <v:stroke weight="0.5pt" joinstyle="round"/>
                  <v:imagedata o:title=""/>
                  <o:lock v:ext="edit"/>
                  <v:textbox>
                    <w:txbxContent>
                      <w:p>
                        <w:pPr>
                          <w:ind w:firstLine="420"/>
                          <w:rPr>
                            <w:sz w:val="21"/>
                            <w:szCs w:val="21"/>
                          </w:rPr>
                        </w:pPr>
                        <w:r>
                          <w:rPr>
                            <w:rFonts w:hint="eastAsia"/>
                            <w:sz w:val="21"/>
                            <w:szCs w:val="21"/>
                          </w:rPr>
                          <w:t>图例：</w:t>
                        </w:r>
                      </w:p>
                      <w:p>
                        <w:pPr>
                          <w:pStyle w:val="47"/>
                          <w:spacing w:line="276" w:lineRule="auto"/>
                          <w:ind w:firstLine="630" w:firstLineChars="300"/>
                          <w:rPr>
                            <w:rFonts w:ascii="宋体" w:hAnsi="宋体" w:eastAsia="宋体" w:cs="宋体"/>
                            <w:sz w:val="21"/>
                            <w:szCs w:val="21"/>
                          </w:rPr>
                        </w:pPr>
                        <w:r>
                          <w:rPr>
                            <w:rFonts w:hint="eastAsia" w:ascii="宋体" w:hAnsi="宋体" w:eastAsia="宋体" w:cs="宋体"/>
                            <w:sz w:val="21"/>
                            <w:szCs w:val="21"/>
                          </w:rPr>
                          <w:t>厂界</w:t>
                        </w:r>
                      </w:p>
                      <w:p>
                        <w:pPr>
                          <w:pStyle w:val="47"/>
                          <w:spacing w:line="276" w:lineRule="auto"/>
                          <w:ind w:firstLine="630" w:firstLineChars="300"/>
                          <w:rPr>
                            <w:rFonts w:ascii="宋体" w:hAnsi="宋体" w:eastAsia="宋体" w:cs="宋体"/>
                            <w:sz w:val="21"/>
                            <w:szCs w:val="21"/>
                          </w:rPr>
                        </w:pPr>
                        <w:r>
                          <w:rPr>
                            <w:rFonts w:hint="eastAsia" w:ascii="宋体" w:hAnsi="宋体" w:eastAsia="宋体" w:cs="宋体"/>
                            <w:sz w:val="21"/>
                            <w:szCs w:val="21"/>
                          </w:rPr>
                          <w:t>原排污口</w:t>
                        </w:r>
                      </w:p>
                      <w:p>
                        <w:pPr>
                          <w:pStyle w:val="47"/>
                          <w:spacing w:line="276" w:lineRule="auto"/>
                          <w:ind w:firstLine="630" w:firstLineChars="300"/>
                          <w:rPr>
                            <w:rFonts w:ascii="仿宋_GB2312" w:hAnsi="仿宋_GB2312" w:cs="仿宋_GB2312"/>
                            <w:sz w:val="21"/>
                            <w:szCs w:val="21"/>
                          </w:rPr>
                        </w:pPr>
                        <w:r>
                          <w:rPr>
                            <w:rFonts w:hint="eastAsia" w:ascii="宋体" w:hAnsi="宋体" w:eastAsia="宋体" w:cs="宋体"/>
                            <w:sz w:val="21"/>
                            <w:szCs w:val="21"/>
                          </w:rPr>
                          <w:t>新建排污口</w:t>
                        </w:r>
                      </w:p>
                      <w:p>
                        <w:pPr>
                          <w:pStyle w:val="47"/>
                          <w:spacing w:line="276" w:lineRule="auto"/>
                          <w:ind w:firstLine="630" w:firstLineChars="300"/>
                          <w:rPr>
                            <w:rFonts w:ascii="宋体" w:hAnsi="宋体" w:eastAsia="宋体" w:cs="宋体"/>
                            <w:sz w:val="21"/>
                            <w:szCs w:val="21"/>
                          </w:rPr>
                        </w:pPr>
                        <w:r>
                          <w:rPr>
                            <w:rFonts w:hint="eastAsia" w:ascii="宋体" w:hAnsi="宋体" w:eastAsia="宋体" w:cs="宋体"/>
                            <w:sz w:val="21"/>
                            <w:szCs w:val="21"/>
                          </w:rPr>
                          <w:t>缓冲区</w:t>
                        </w:r>
                      </w:p>
                    </w:txbxContent>
                  </v:textbox>
                </v:shape>
                <v:rect id="矩形 72" o:spid="_x0000_s2068" o:spt="1" style="position:absolute;left:5470;top:270098;height:108;width:349;v-text-anchor:middle;" fillcolor="#FF0000" filled="t" stroked="f" coordsize="21600,21600" o:gfxdata="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hyR4bsAAADc&#10;AAAADwAAAAAAAAABACAAAAAiAAAAZHJzL2Rvd25yZXYueG1sUEsBAhQAFAAAAAgAh07iQDMvBZ47&#10;AAAAOQAAABAAAAAAAAAAAQAgAAAACgEAAGRycy9zaGFwZXhtbC54bWxQSwUGAAAAAAYABgBbAQAA&#10;tAMAAAAA&#10;">
                  <v:path/>
                  <v:fill on="t" focussize="0,0"/>
                  <v:stroke on="f" weight="1pt"/>
                  <v:imagedata o:title=""/>
                  <o:lock v:ext="edit"/>
                </v:rect>
              </v:group>
              <v:shape id="_x0000_s2066" o:spid="_x0000_s2066" o:spt="3" type="#_x0000_t3" style="position:absolute;left:120;top:6430;height:3;width:2;v-text-anchor:middle;" fillcolor="#46F739" filled="t" stroked="t" coordsize="21600,21600" o:gfxdata="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pzT+/&#10;AAAA3AAAAA8AAAAAAAAAAQAgAAAAIgAAAGRycy9kb3ducmV2LnhtbFBLAQIUABQAAAAIAIdO4kAz&#10;LwWeOwAAADkAAAAQAAAAAAAAAAEAIAAAAA4BAABkcnMvc2hhcGV4bWwueG1sUEsFBgAAAAAGAAYA&#10;WwEAALgDAAAAAA==&#10;">
                <v:path/>
                <v:fill on="t" focussize="0,0"/>
                <v:stroke weight="1pt" color="#46F739" joinstyle="miter"/>
                <v:imagedata o:title=""/>
                <o:lock v:ext="edit"/>
              </v:shape>
              <v:shape id="_x0000_s2065" o:spid="_x0000_s2065" style="position:absolute;left:120;top:6434;height:2;width:2;rotation:9043968f;v-text-anchor:middle;" fillcolor="#FF0000" filled="t" stroked="t" coordsize="180,195" o:gfxdata="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4bC1ugAAANwA&#10;AAAPAAAAAAAAAAEAIAAAACIAAABkcnMvZG93bnJldi54bWxQSwECFAAUAAAACACHTuJAMy8FnjsA&#10;AAA5AAAAEAAAAAAAAAABACAAAAAJAQAAZHJzL3NoYXBleG1sLnhtbFBLBQYAAAAABgAGAFsBAACz&#10;AwAAAAA=&#10;" path="m0,97c0,43,40,0,90,0c120,0,150,0,180,0c180,32,180,64,180,97c180,151,140,194,90,194c40,194,0,151,0,97xe">
                <v:path o:connectlocs="180,97;153,166;90,195;26,166;0,97;26,28;90,0;180,0" o:connectangles="0,82,82,82,164,247,247,247"/>
                <v:fill on="t" focussize="0,0"/>
                <v:stroke weight="1pt" color="#FF0000" joinstyle="miter"/>
                <v:imagedata o:title=""/>
                <o:lock v:ext="edit"/>
              </v:shape>
            </v:group>
            <v:rect id="矩形 72" o:spid="_x0000_s2063" o:spt="1" style="position:absolute;left:172;top:3030;height:1;width:4;v-text-anchor:middle;" fillcolor="#0000FF" filled="t" stroked="f" coordsize="21600,21600" o:gfxdata="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gbC74A&#10;AADcAAAADwAAAAAAAAABACAAAAAiAAAAZHJzL2Rvd25yZXYueG1sUEsBAhQAFAAAAAgAh07iQDMv&#10;BZ47AAAAOQAAABAAAAAAAAAAAQAgAAAADQEAAGRycy9zaGFwZXhtbC54bWxQSwUGAAAAAAYABgBb&#10;AQAAtwMAAAAA&#10;">
              <v:path/>
              <v:fill on="t" focussize="0,0"/>
              <v:stroke on="f" weight="1pt"/>
              <v:imagedata o:title=""/>
              <o:lock v:ext="edit"/>
            </v:rect>
          </v:group>
        </w:pict>
      </w:r>
      <w:bookmarkStart w:id="57" w:name="_Toc8434"/>
      <w:r>
        <w:rPr>
          <w:rFonts w:hint="eastAsia"/>
          <w:u w:val="none"/>
        </w:rPr>
        <w:t>6、</w:t>
      </w:r>
      <w:r>
        <w:rPr>
          <w:u w:val="none"/>
        </w:rPr>
        <w:t>入河排污口设置对水功能影响分析</w:t>
      </w:r>
      <w:bookmarkEnd w:id="56"/>
      <w:bookmarkEnd w:id="57"/>
    </w:p>
    <w:p>
      <w:pPr>
        <w:pStyle w:val="3"/>
        <w:spacing w:line="240" w:lineRule="auto"/>
        <w:rPr>
          <w:sz w:val="30"/>
          <w:szCs w:val="30"/>
          <w:u w:val="none"/>
        </w:rPr>
      </w:pPr>
      <w:bookmarkStart w:id="58" w:name="_Toc32650"/>
      <w:bookmarkStart w:id="59" w:name="_Toc4062"/>
      <w:r>
        <w:rPr>
          <w:rFonts w:hint="eastAsia"/>
          <w:sz w:val="30"/>
          <w:szCs w:val="30"/>
          <w:u w:val="none"/>
        </w:rPr>
        <w:t>6</w:t>
      </w:r>
      <w:r>
        <w:rPr>
          <w:sz w:val="30"/>
          <w:szCs w:val="30"/>
          <w:u w:val="none"/>
        </w:rPr>
        <w:t>.</w:t>
      </w:r>
      <w:r>
        <w:rPr>
          <w:rFonts w:hint="eastAsia"/>
          <w:sz w:val="30"/>
          <w:szCs w:val="30"/>
          <w:u w:val="none"/>
        </w:rPr>
        <w:t>1</w:t>
      </w:r>
      <w:bookmarkEnd w:id="58"/>
      <w:r>
        <w:rPr>
          <w:rFonts w:hint="eastAsia"/>
          <w:sz w:val="30"/>
          <w:szCs w:val="30"/>
          <w:u w:val="none"/>
        </w:rPr>
        <w:t>影响范围</w:t>
      </w:r>
      <w:bookmarkEnd w:id="59"/>
    </w:p>
    <w:p>
      <w:pPr>
        <w:pStyle w:val="4"/>
        <w:spacing w:line="240" w:lineRule="auto"/>
        <w:rPr>
          <w:u w:val="none"/>
        </w:rPr>
      </w:pPr>
      <w:r>
        <w:rPr>
          <w:rFonts w:hint="eastAsia"/>
          <w:u w:val="none"/>
        </w:rPr>
        <w:t>6.1</w:t>
      </w:r>
      <w:r>
        <w:rPr>
          <w:u w:val="none"/>
        </w:rPr>
        <w:t>.1预测因子</w:t>
      </w:r>
      <w:r>
        <w:rPr>
          <w:rFonts w:hint="eastAsia"/>
          <w:u w:val="none"/>
        </w:rPr>
        <w:t>及预测范围</w:t>
      </w:r>
    </w:p>
    <w:p>
      <w:pPr>
        <w:ind w:firstLine="480"/>
        <w:rPr>
          <w:u w:val="none"/>
        </w:rPr>
      </w:pPr>
      <w:r>
        <w:rPr>
          <w:u w:val="none"/>
        </w:rPr>
        <w:t>（1）预测时段</w:t>
      </w:r>
    </w:p>
    <w:p>
      <w:pPr>
        <w:ind w:firstLine="480"/>
        <w:rPr>
          <w:u w:val="none"/>
        </w:rPr>
      </w:pPr>
      <w:r>
        <w:rPr>
          <w:u w:val="none"/>
        </w:rPr>
        <w:t>本项目</w:t>
      </w:r>
      <w:r>
        <w:rPr>
          <w:rFonts w:hint="eastAsia"/>
          <w:u w:val="none"/>
        </w:rPr>
        <w:t>直接收纳水体为资水，预测时段为资水的</w:t>
      </w:r>
      <w:r>
        <w:rPr>
          <w:u w:val="none"/>
        </w:rPr>
        <w:t>枯水期，项目污水正常排放和事故排放情况下，对</w:t>
      </w:r>
      <w:r>
        <w:rPr>
          <w:rFonts w:hint="eastAsia"/>
          <w:u w:val="none"/>
        </w:rPr>
        <w:t>资水</w:t>
      </w:r>
      <w:r>
        <w:rPr>
          <w:u w:val="none"/>
        </w:rPr>
        <w:t>的水质影响。</w:t>
      </w:r>
    </w:p>
    <w:p>
      <w:pPr>
        <w:ind w:firstLine="480"/>
        <w:rPr>
          <w:u w:val="none"/>
        </w:rPr>
      </w:pPr>
      <w:r>
        <w:rPr>
          <w:rFonts w:hint="eastAsia"/>
          <w:u w:val="none"/>
        </w:rPr>
        <w:t>（2）</w:t>
      </w:r>
      <w:r>
        <w:rPr>
          <w:u w:val="none"/>
        </w:rPr>
        <w:t>预测因子</w:t>
      </w:r>
    </w:p>
    <w:p>
      <w:pPr>
        <w:ind w:firstLine="480"/>
        <w:rPr>
          <w:u w:val="none"/>
        </w:rPr>
      </w:pPr>
      <w:r>
        <w:rPr>
          <w:rFonts w:hint="eastAsia"/>
          <w:u w:val="none"/>
        </w:rPr>
        <w:t>根据5.2.1章节废水处理站出口水质监测数据，</w:t>
      </w:r>
      <w:r>
        <w:rPr>
          <w:rFonts w:hint="eastAsia"/>
          <w:u w:val="none"/>
          <w:lang w:val="en-US" w:eastAsia="zh-CN"/>
        </w:rPr>
        <w:t>重金属因子</w:t>
      </w:r>
      <w:r>
        <w:rPr>
          <w:rFonts w:hint="eastAsia"/>
          <w:kern w:val="2"/>
          <w:u w:val="none"/>
        </w:rPr>
        <w:t>铜、锌、铅、镉、铬、砷、锑均检出浓度值</w:t>
      </w:r>
      <w:r>
        <w:rPr>
          <w:rFonts w:hint="eastAsia"/>
          <w:u w:val="none"/>
        </w:rPr>
        <w:t>。因此结合</w:t>
      </w:r>
      <w:r>
        <w:rPr>
          <w:u w:val="none"/>
        </w:rPr>
        <w:t>国家和省市环保部门对实施污染物排放总量控制的要求</w:t>
      </w:r>
      <w:r>
        <w:rPr>
          <w:rFonts w:hint="eastAsia"/>
          <w:u w:val="none"/>
        </w:rPr>
        <w:t>，</w:t>
      </w:r>
      <w:r>
        <w:rPr>
          <w:u w:val="none"/>
        </w:rPr>
        <w:t>本报告确定项目预测因子为：COD</w:t>
      </w:r>
      <w:r>
        <w:rPr>
          <w:rFonts w:hint="eastAsia"/>
          <w:u w:val="none"/>
        </w:rPr>
        <w:t>、铜、锌、铅、镉、铬、砷、锑</w:t>
      </w:r>
      <w:r>
        <w:rPr>
          <w:u w:val="none"/>
        </w:rPr>
        <w:t>。</w:t>
      </w:r>
    </w:p>
    <w:p>
      <w:pPr>
        <w:ind w:firstLine="480"/>
        <w:rPr>
          <w:u w:val="none"/>
        </w:rPr>
      </w:pPr>
      <w:r>
        <w:rPr>
          <w:rFonts w:hint="eastAsia"/>
          <w:u w:val="none"/>
        </w:rPr>
        <w:t>（3</w:t>
      </w:r>
      <w:r>
        <w:rPr>
          <w:u w:val="none"/>
        </w:rPr>
        <w:t>）预测范围</w:t>
      </w:r>
    </w:p>
    <w:p>
      <w:pPr>
        <w:ind w:firstLine="480"/>
        <w:rPr>
          <w:u w:val="none"/>
        </w:rPr>
      </w:pPr>
      <w:r>
        <w:rPr>
          <w:u w:val="none"/>
        </w:rPr>
        <w:t>本项目排污口所在河段水质目标为</w:t>
      </w:r>
      <w:r>
        <w:rPr>
          <w:rFonts w:hint="eastAsia"/>
          <w:u w:val="none"/>
        </w:rPr>
        <w:t>Ⅱ</w:t>
      </w:r>
      <w:r>
        <w:rPr>
          <w:u w:val="none"/>
        </w:rPr>
        <w:t>类。根据本项目污水排放情况，结合项目水环境影响评价等级以及纳污水域水环境特点，本项目论证分析范围为</w:t>
      </w:r>
      <w:r>
        <w:rPr>
          <w:rFonts w:hint="eastAsia"/>
          <w:u w:val="none"/>
        </w:rPr>
        <w:t>排污口上游500m至下游17.5</w:t>
      </w:r>
      <w:r>
        <w:rPr>
          <w:u w:val="none"/>
        </w:rPr>
        <w:t>km</w:t>
      </w:r>
      <w:r>
        <w:rPr>
          <w:rFonts w:hint="eastAsia"/>
          <w:u w:val="none"/>
        </w:rPr>
        <w:t>资水河段，论证范围总长为18km。</w:t>
      </w:r>
    </w:p>
    <w:p>
      <w:pPr>
        <w:pStyle w:val="4"/>
        <w:spacing w:line="240" w:lineRule="auto"/>
        <w:rPr>
          <w:u w:val="none"/>
        </w:rPr>
      </w:pPr>
      <w:r>
        <w:rPr>
          <w:rFonts w:hint="eastAsia"/>
          <w:u w:val="none"/>
        </w:rPr>
        <w:t>6.1.2</w:t>
      </w:r>
      <w:bookmarkStart w:id="60" w:name="_Toc110837752"/>
      <w:r>
        <w:rPr>
          <w:rFonts w:hint="eastAsia"/>
          <w:u w:val="none"/>
        </w:rPr>
        <w:t>预测</w:t>
      </w:r>
      <w:bookmarkEnd w:id="60"/>
      <w:r>
        <w:rPr>
          <w:rFonts w:hint="eastAsia"/>
          <w:u w:val="none"/>
        </w:rPr>
        <w:t>影响程度的方法</w:t>
      </w:r>
    </w:p>
    <w:p>
      <w:pPr>
        <w:ind w:firstLine="480"/>
        <w:rPr>
          <w:u w:val="none"/>
        </w:rPr>
      </w:pPr>
      <w:r>
        <w:rPr>
          <w:rFonts w:hint="eastAsia"/>
          <w:u w:val="none"/>
        </w:rPr>
        <w:t>1、混合过程段</w:t>
      </w:r>
    </w:p>
    <w:p>
      <w:pPr>
        <w:ind w:firstLine="480"/>
        <w:rPr>
          <w:u w:val="none"/>
        </w:rPr>
      </w:pPr>
      <w:r>
        <w:rPr>
          <w:rFonts w:hint="eastAsia"/>
          <w:u w:val="none"/>
        </w:rPr>
        <w:t>采用导则推荐的混合过程段长度计算公式。</w:t>
      </w:r>
    </w:p>
    <w:p>
      <w:pPr>
        <w:pStyle w:val="11"/>
        <w:adjustRightInd/>
        <w:spacing w:before="0" w:line="240" w:lineRule="auto"/>
        <w:ind w:left="0" w:firstLine="480"/>
        <w:jc w:val="center"/>
        <w:rPr>
          <w:rFonts w:ascii="Times New Roman" w:cs="Times New Roman"/>
          <w:u w:val="none"/>
        </w:rPr>
      </w:pPr>
      <w:r>
        <w:rPr>
          <w:rFonts w:ascii="Times New Roman" w:cs="Times New Roman"/>
          <w:u w:val="none"/>
        </w:rPr>
        <w:drawing>
          <wp:inline distT="0" distB="0" distL="0" distR="0">
            <wp:extent cx="3054350" cy="54864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cstate="email"/>
                    <a:srcRect/>
                    <a:stretch>
                      <a:fillRect/>
                    </a:stretch>
                  </pic:blipFill>
                  <pic:spPr>
                    <a:xfrm>
                      <a:off x="0" y="0"/>
                      <a:ext cx="3054350" cy="548640"/>
                    </a:xfrm>
                    <a:prstGeom prst="rect">
                      <a:avLst/>
                    </a:prstGeom>
                    <a:noFill/>
                    <a:ln>
                      <a:noFill/>
                    </a:ln>
                  </pic:spPr>
                </pic:pic>
              </a:graphicData>
            </a:graphic>
          </wp:inline>
        </w:drawing>
      </w:r>
    </w:p>
    <w:p>
      <w:pPr>
        <w:ind w:firstLine="480"/>
        <w:rPr>
          <w:u w:val="none"/>
        </w:rPr>
      </w:pPr>
      <w:r>
        <w:rPr>
          <w:rFonts w:hint="eastAsia"/>
          <w:u w:val="none"/>
        </w:rPr>
        <w:t>式中：</w:t>
      </w:r>
      <w:r>
        <w:rPr>
          <w:u w:val="none"/>
        </w:rPr>
        <w:t>Lm——</w:t>
      </w:r>
      <w:r>
        <w:rPr>
          <w:rFonts w:hint="eastAsia"/>
          <w:u w:val="none"/>
        </w:rPr>
        <w:t>混合段长度，</w:t>
      </w:r>
      <w:r>
        <w:rPr>
          <w:u w:val="none"/>
        </w:rPr>
        <w:t>m</w:t>
      </w:r>
      <w:r>
        <w:rPr>
          <w:rFonts w:hint="eastAsia"/>
          <w:u w:val="none"/>
        </w:rPr>
        <w:t>；</w:t>
      </w:r>
    </w:p>
    <w:p>
      <w:pPr>
        <w:ind w:firstLine="480"/>
        <w:rPr>
          <w:u w:val="none"/>
        </w:rPr>
      </w:pPr>
      <w:r>
        <w:rPr>
          <w:u w:val="none"/>
        </w:rPr>
        <w:t>B——</w:t>
      </w:r>
      <w:r>
        <w:rPr>
          <w:rFonts w:hint="eastAsia"/>
          <w:u w:val="none"/>
        </w:rPr>
        <w:t>水面宽度，取311m；</w:t>
      </w:r>
    </w:p>
    <w:p>
      <w:pPr>
        <w:ind w:firstLine="480"/>
        <w:rPr>
          <w:u w:val="none"/>
        </w:rPr>
      </w:pPr>
      <w:r>
        <w:rPr>
          <w:u w:val="none"/>
        </w:rPr>
        <w:t>a——</w:t>
      </w:r>
      <w:r>
        <w:rPr>
          <w:rFonts w:hint="eastAsia"/>
          <w:u w:val="none"/>
        </w:rPr>
        <w:t>排放口到岸边的距离，取0m；</w:t>
      </w:r>
    </w:p>
    <w:p>
      <w:pPr>
        <w:ind w:firstLine="480"/>
        <w:rPr>
          <w:u w:val="none"/>
        </w:rPr>
      </w:pPr>
      <w:r>
        <w:rPr>
          <w:u w:val="none"/>
        </w:rPr>
        <w:t>u——</w:t>
      </w:r>
      <w:r>
        <w:rPr>
          <w:rFonts w:hint="eastAsia"/>
          <w:u w:val="none"/>
        </w:rPr>
        <w:t>断面流速，取0.29m/s；</w:t>
      </w:r>
    </w:p>
    <w:p>
      <w:pPr>
        <w:ind w:firstLine="480"/>
        <w:rPr>
          <w:u w:val="none"/>
        </w:rPr>
      </w:pPr>
      <w:r>
        <w:rPr>
          <w:u w:val="none"/>
        </w:rPr>
        <w:t>Ey——</w:t>
      </w:r>
      <w:r>
        <w:rPr>
          <w:rFonts w:hint="eastAsia"/>
          <w:u w:val="none"/>
        </w:rPr>
        <w:t>污染物横向扩散系数，</w:t>
      </w:r>
      <w:r>
        <w:rPr>
          <w:u w:val="none"/>
        </w:rPr>
        <w:t>m</w:t>
      </w:r>
      <w:r>
        <w:rPr>
          <w:u w:val="none"/>
          <w:vertAlign w:val="superscript"/>
        </w:rPr>
        <w:t>2</w:t>
      </w:r>
      <w:r>
        <w:rPr>
          <w:u w:val="none"/>
        </w:rPr>
        <w:t>/s</w:t>
      </w:r>
      <w:r>
        <w:rPr>
          <w:rFonts w:hint="eastAsia"/>
          <w:u w:val="none"/>
        </w:rPr>
        <w:t>；</w:t>
      </w:r>
    </w:p>
    <w:p>
      <w:pPr>
        <w:ind w:firstLine="480"/>
        <w:rPr>
          <w:u w:val="none"/>
        </w:rPr>
      </w:pPr>
      <w:r>
        <w:rPr>
          <w:rFonts w:hint="eastAsia"/>
          <w:u w:val="none"/>
        </w:rPr>
        <w:t>其中：横向混合系数E</w:t>
      </w:r>
      <w:r>
        <w:rPr>
          <w:u w:val="none"/>
        </w:rPr>
        <w:t>y</w:t>
      </w:r>
      <w:r>
        <w:rPr>
          <w:rFonts w:hint="eastAsia"/>
          <w:u w:val="none"/>
        </w:rPr>
        <w:t>采用泰勒法计算，公式为：</w:t>
      </w:r>
    </w:p>
    <w:p>
      <w:pPr>
        <w:ind w:firstLine="480"/>
        <w:rPr>
          <w:u w:val="none"/>
        </w:rPr>
      </w:pPr>
      <w:r>
        <w:rPr>
          <w:rFonts w:hint="eastAsia"/>
          <w:u w:val="none"/>
        </w:rPr>
        <w:t>E</w:t>
      </w:r>
      <w:r>
        <w:rPr>
          <w:u w:val="none"/>
        </w:rPr>
        <w:t>y=</w:t>
      </w:r>
      <w:r>
        <w:rPr>
          <w:rFonts w:hint="eastAsia"/>
          <w:u w:val="none"/>
        </w:rPr>
        <w:t>（</w:t>
      </w:r>
      <w:r>
        <w:rPr>
          <w:u w:val="none"/>
        </w:rPr>
        <w:t>0.058H+0.0065B</w:t>
      </w:r>
      <w:r>
        <w:rPr>
          <w:rFonts w:hint="eastAsia"/>
          <w:u w:val="none"/>
        </w:rPr>
        <w:t>）（</w:t>
      </w:r>
      <w:r>
        <w:rPr>
          <w:u w:val="none"/>
        </w:rPr>
        <w:t>gHI</w:t>
      </w:r>
      <w:r>
        <w:rPr>
          <w:rFonts w:hint="eastAsia"/>
          <w:u w:val="none"/>
        </w:rPr>
        <w:t>）</w:t>
      </w:r>
      <w:r>
        <w:rPr>
          <w:u w:val="none"/>
        </w:rPr>
        <w:t>1/2B/H</w:t>
      </w:r>
      <w:r>
        <w:rPr>
          <w:rFonts w:hint="eastAsia"/>
          <w:u w:val="none"/>
        </w:rPr>
        <w:t>＜</w:t>
      </w:r>
      <w:r>
        <w:rPr>
          <w:u w:val="none"/>
        </w:rPr>
        <w:t>100</w:t>
      </w:r>
    </w:p>
    <w:p>
      <w:pPr>
        <w:ind w:firstLine="480"/>
        <w:rPr>
          <w:u w:val="none"/>
        </w:rPr>
      </w:pPr>
      <w:r>
        <w:rPr>
          <w:rFonts w:hint="eastAsia"/>
          <w:u w:val="none"/>
        </w:rPr>
        <w:t>式中：</w:t>
      </w:r>
      <w:r>
        <w:rPr>
          <w:u w:val="none"/>
        </w:rPr>
        <w:t>g</w:t>
      </w:r>
      <w:r>
        <w:rPr>
          <w:rFonts w:hint="eastAsia"/>
          <w:u w:val="none"/>
        </w:rPr>
        <w:t>——重力加速度，取9.8</w:t>
      </w:r>
      <w:r>
        <w:rPr>
          <w:u w:val="none"/>
        </w:rPr>
        <w:t>m/s</w:t>
      </w:r>
      <w:r>
        <w:rPr>
          <w:u w:val="none"/>
          <w:vertAlign w:val="superscript"/>
        </w:rPr>
        <w:t>2</w:t>
      </w:r>
      <w:r>
        <w:rPr>
          <w:rFonts w:hint="eastAsia"/>
          <w:u w:val="none"/>
        </w:rPr>
        <w:t>；</w:t>
      </w:r>
    </w:p>
    <w:p>
      <w:pPr>
        <w:ind w:firstLine="480"/>
        <w:rPr>
          <w:u w:val="none"/>
        </w:rPr>
      </w:pPr>
      <w:r>
        <w:rPr>
          <w:u w:val="none"/>
        </w:rPr>
        <w:t>I</w:t>
      </w:r>
      <w:r>
        <w:rPr>
          <w:rFonts w:hint="eastAsia"/>
          <w:u w:val="none"/>
        </w:rPr>
        <w:t>——水力坡降，取0.8‰；</w:t>
      </w:r>
    </w:p>
    <w:p>
      <w:pPr>
        <w:ind w:firstLine="480"/>
        <w:rPr>
          <w:u w:val="none"/>
        </w:rPr>
      </w:pPr>
      <w:r>
        <w:rPr>
          <w:u w:val="none"/>
        </w:rPr>
        <w:t>H</w:t>
      </w:r>
      <w:r>
        <w:rPr>
          <w:rFonts w:hint="eastAsia"/>
          <w:u w:val="none"/>
        </w:rPr>
        <w:t>——河流深度，取7.15m；</w:t>
      </w:r>
    </w:p>
    <w:p>
      <w:pPr>
        <w:ind w:firstLine="480"/>
        <w:rPr>
          <w:u w:val="none"/>
        </w:rPr>
      </w:pPr>
      <w:r>
        <w:rPr>
          <w:u w:val="none"/>
        </w:rPr>
        <w:t>B</w:t>
      </w:r>
      <w:r>
        <w:rPr>
          <w:rFonts w:hint="eastAsia"/>
          <w:u w:val="none"/>
        </w:rPr>
        <w:t>——河流宽度，取311m。</w:t>
      </w:r>
    </w:p>
    <w:p>
      <w:pPr>
        <w:ind w:firstLine="480"/>
        <w:rPr>
          <w:u w:val="none"/>
        </w:rPr>
      </w:pPr>
      <w:r>
        <w:rPr>
          <w:rFonts w:hint="eastAsia"/>
          <w:u w:val="none"/>
        </w:rPr>
        <w:t>经计算，E</w:t>
      </w:r>
      <w:r>
        <w:rPr>
          <w:u w:val="none"/>
        </w:rPr>
        <w:t>y=0.</w:t>
      </w:r>
      <w:r>
        <w:rPr>
          <w:rFonts w:hint="eastAsia"/>
          <w:u w:val="none"/>
        </w:rPr>
        <w:t>58</w:t>
      </w:r>
      <w:r>
        <w:rPr>
          <w:u w:val="none"/>
        </w:rPr>
        <w:t>m</w:t>
      </w:r>
      <w:r>
        <w:rPr>
          <w:u w:val="none"/>
          <w:vertAlign w:val="superscript"/>
        </w:rPr>
        <w:t>2</w:t>
      </w:r>
      <w:r>
        <w:rPr>
          <w:u w:val="none"/>
        </w:rPr>
        <w:t>/s</w:t>
      </w:r>
      <w:r>
        <w:rPr>
          <w:rFonts w:hint="eastAsia"/>
          <w:u w:val="none"/>
        </w:rPr>
        <w:t>。</w:t>
      </w:r>
    </w:p>
    <w:p>
      <w:pPr>
        <w:ind w:firstLine="480"/>
        <w:rPr>
          <w:u w:val="none"/>
        </w:rPr>
      </w:pPr>
      <w:r>
        <w:rPr>
          <w:u w:val="none"/>
        </w:rPr>
        <w:t>根据计算结果，</w:t>
      </w:r>
      <w:r>
        <w:rPr>
          <w:rFonts w:hint="eastAsia"/>
          <w:u w:val="none"/>
        </w:rPr>
        <w:t>本</w:t>
      </w:r>
      <w:r>
        <w:rPr>
          <w:u w:val="none"/>
        </w:rPr>
        <w:t>项目</w:t>
      </w:r>
      <w:r>
        <w:rPr>
          <w:rFonts w:hint="eastAsia"/>
          <w:u w:val="none"/>
        </w:rPr>
        <w:t>资水段</w:t>
      </w:r>
      <w:r>
        <w:rPr>
          <w:u w:val="none"/>
        </w:rPr>
        <w:t>混合过程长度</w:t>
      </w:r>
      <w:r>
        <w:rPr>
          <w:rFonts w:hint="eastAsia"/>
          <w:u w:val="none"/>
        </w:rPr>
        <w:t>Lm结果约为21377m</w:t>
      </w:r>
      <w:r>
        <w:rPr>
          <w:u w:val="none"/>
        </w:rPr>
        <w:t>。</w:t>
      </w:r>
    </w:p>
    <w:p>
      <w:pPr>
        <w:ind w:firstLine="480"/>
        <w:rPr>
          <w:u w:val="none"/>
        </w:rPr>
      </w:pPr>
      <w:r>
        <w:rPr>
          <w:rFonts w:hint="eastAsia"/>
          <w:u w:val="none"/>
        </w:rPr>
        <w:t>（2）预测模型</w:t>
      </w:r>
    </w:p>
    <w:p>
      <w:pPr>
        <w:ind w:firstLine="480"/>
        <w:rPr>
          <w:u w:val="none"/>
        </w:rPr>
      </w:pPr>
      <w:r>
        <w:rPr>
          <w:rFonts w:hint="eastAsia"/>
          <w:u w:val="none"/>
        </w:rPr>
        <w:t>本项目纳污河流为资水，资水属于大型河流，预测河段宽深比大约20，可视为矩形河流，预测因子COD、砷</w:t>
      </w:r>
      <w:r>
        <w:rPr>
          <w:rFonts w:hint="eastAsia"/>
          <w:u w:val="none"/>
          <w:lang w:eastAsia="zh-CN"/>
        </w:rPr>
        <w:t>、</w:t>
      </w:r>
      <w:r>
        <w:rPr>
          <w:rFonts w:hint="eastAsia"/>
          <w:u w:val="none"/>
        </w:rPr>
        <w:t>铜、锌、锑等</w:t>
      </w:r>
      <w:r>
        <w:rPr>
          <w:rFonts w:hint="eastAsia"/>
          <w:u w:val="none"/>
          <w:lang w:val="en-US" w:eastAsia="zh-CN"/>
        </w:rPr>
        <w:t>均</w:t>
      </w:r>
      <w:r>
        <w:rPr>
          <w:rFonts w:hint="eastAsia"/>
          <w:u w:val="none"/>
        </w:rPr>
        <w:t>采用平面二维稳态数学模型进行预测，不考虑岸边反射影响的宽浅型平直恒定均匀河流，岸边点源稳定排放，平面二维稳态数学模型预测模式如下：</w:t>
      </w:r>
    </w:p>
    <w:p>
      <w:pPr>
        <w:ind w:firstLine="480"/>
        <w:rPr>
          <w:u w:val="none"/>
        </w:rPr>
      </w:pPr>
      <m:oMathPara>
        <m:oMath>
          <m:r>
            <m:rPr>
              <m:sty m:val="p"/>
            </m:rPr>
            <w:rPr>
              <w:rFonts w:ascii="Cambria Math" w:hAnsi="Cambria Math"/>
              <w:u w:val="none"/>
            </w:rPr>
            <m:t>c</m:t>
          </m:r>
          <m:d>
            <m:dPr>
              <m:begChr m:val="（"/>
              <m:endChr m:val="）"/>
              <m:ctrlPr>
                <w:rPr>
                  <w:rFonts w:ascii="Cambria Math" w:hAnsi="Cambria Math"/>
                  <w:u w:val="none"/>
                </w:rPr>
              </m:ctrlPr>
            </m:dPr>
            <m:e>
              <m:r>
                <m:rPr>
                  <m:sty m:val="p"/>
                </m:rPr>
                <w:rPr>
                  <w:rFonts w:ascii="Cambria Math" w:hAnsi="Cambria Math"/>
                  <w:u w:val="none"/>
                </w:rPr>
                <m:t>x，y</m:t>
              </m:r>
              <m:ctrlPr>
                <w:rPr>
                  <w:rFonts w:ascii="Cambria Math" w:hAnsi="Cambria Math"/>
                  <w:u w:val="none"/>
                </w:rPr>
              </m:ctrlPr>
            </m:e>
          </m:d>
          <m:r>
            <m:rPr>
              <m:sty m:val="p"/>
            </m:rPr>
            <w:rPr>
              <w:rFonts w:ascii="Cambria Math" w:hAnsi="Cambria Math"/>
              <w:u w:val="none"/>
            </w:rPr>
            <m:t>=</m:t>
          </m:r>
          <m:sSub>
            <m:sSubPr>
              <m:ctrlPr>
                <w:rPr>
                  <w:rFonts w:ascii="Cambria Math" w:hAnsi="Cambria Math"/>
                  <w:u w:val="none"/>
                </w:rPr>
              </m:ctrlPr>
            </m:sSubPr>
            <m:e>
              <m:r>
                <m:rPr>
                  <m:sty m:val="p"/>
                </m:rPr>
                <w:rPr>
                  <w:rFonts w:ascii="Cambria Math" w:hAnsi="Cambria Math"/>
                  <w:u w:val="none"/>
                </w:rPr>
                <m:t>c</m:t>
              </m:r>
              <m:ctrlPr>
                <w:rPr>
                  <w:rFonts w:ascii="Cambria Math" w:hAnsi="Cambria Math"/>
                  <w:u w:val="none"/>
                </w:rPr>
              </m:ctrlPr>
            </m:e>
            <m:sub>
              <m:r>
                <m:rPr>
                  <m:sty m:val="p"/>
                </m:rPr>
                <w:rPr>
                  <w:rFonts w:ascii="Cambria Math" w:hAnsi="Cambria Math"/>
                  <w:u w:val="none"/>
                </w:rPr>
                <m:t>h</m:t>
              </m:r>
              <m:ctrlPr>
                <w:rPr>
                  <w:rFonts w:ascii="Cambria Math" w:hAnsi="Cambria Math"/>
                  <w:u w:val="none"/>
                </w:rPr>
              </m:ctrlPr>
            </m:sub>
          </m:sSub>
          <m:r>
            <m:rPr>
              <m:sty m:val="p"/>
            </m:rPr>
            <w:rPr>
              <w:rFonts w:ascii="Cambria Math" w:hAnsi="Cambria Math"/>
              <w:u w:val="none"/>
            </w:rPr>
            <m:t>+</m:t>
          </m:r>
          <m:f>
            <m:fPr>
              <m:ctrlPr>
                <w:rPr>
                  <w:rFonts w:ascii="Cambria Math" w:hAnsi="Cambria Math"/>
                  <w:u w:val="none"/>
                </w:rPr>
              </m:ctrlPr>
            </m:fPr>
            <m:num>
              <m:r>
                <m:rPr>
                  <m:sty m:val="p"/>
                </m:rPr>
                <w:rPr>
                  <w:rFonts w:ascii="Cambria Math" w:hAnsi="Cambria Math"/>
                  <w:u w:val="none"/>
                </w:rPr>
                <m:t>m</m:t>
              </m:r>
              <m:ctrlPr>
                <w:rPr>
                  <w:rFonts w:ascii="Cambria Math" w:hAnsi="Cambria Math"/>
                  <w:u w:val="none"/>
                </w:rPr>
              </m:ctrlPr>
            </m:num>
            <m:den>
              <m:r>
                <m:rPr>
                  <m:sty m:val="p"/>
                </m:rPr>
                <w:rPr>
                  <w:rFonts w:ascii="Cambria Math" w:hAnsi="Cambria Math"/>
                  <w:u w:val="none"/>
                </w:rPr>
                <m:t>h</m:t>
              </m:r>
              <m:rad>
                <m:radPr>
                  <m:degHide m:val="1"/>
                  <m:ctrlPr>
                    <w:rPr>
                      <w:rFonts w:ascii="Cambria Math" w:hAnsi="Cambria Math"/>
                      <w:u w:val="none"/>
                    </w:rPr>
                  </m:ctrlPr>
                </m:radPr>
                <m:deg>
                  <m:ctrlPr>
                    <w:rPr>
                      <w:rFonts w:ascii="Cambria Math" w:hAnsi="Cambria Math"/>
                      <w:u w:val="none"/>
                    </w:rPr>
                  </m:ctrlPr>
                </m:deg>
                <m:e>
                  <m:r>
                    <m:rPr>
                      <m:sty m:val="p"/>
                    </m:rPr>
                    <w:rPr>
                      <w:rFonts w:ascii="Cambria Math" w:hAnsi="Cambria Math"/>
                      <w:u w:val="none"/>
                    </w:rPr>
                    <m:t>π</m:t>
                  </m:r>
                  <m:sSub>
                    <m:sSubPr>
                      <m:ctrlPr>
                        <w:rPr>
                          <w:rFonts w:ascii="Cambria Math" w:hAnsi="Cambria Math"/>
                          <w:u w:val="none"/>
                        </w:rPr>
                      </m:ctrlPr>
                    </m:sSubPr>
                    <m:e>
                      <m:r>
                        <m:rPr>
                          <m:sty m:val="p"/>
                        </m:rPr>
                        <w:rPr>
                          <w:rFonts w:ascii="Cambria Math" w:hAnsi="Cambria Math"/>
                          <w:u w:val="none"/>
                        </w:rPr>
                        <m:t>E</m:t>
                      </m:r>
                      <m:ctrlPr>
                        <w:rPr>
                          <w:rFonts w:ascii="Cambria Math" w:hAnsi="Cambria Math"/>
                          <w:u w:val="none"/>
                        </w:rPr>
                      </m:ctrlPr>
                    </m:e>
                    <m:sub>
                      <m:r>
                        <m:rPr>
                          <m:sty m:val="p"/>
                        </m:rPr>
                        <w:rPr>
                          <w:rFonts w:ascii="Cambria Math" w:hAnsi="Cambria Math"/>
                          <w:u w:val="none"/>
                        </w:rPr>
                        <m:t>y</m:t>
                      </m:r>
                      <m:ctrlPr>
                        <w:rPr>
                          <w:rFonts w:ascii="Cambria Math" w:hAnsi="Cambria Math"/>
                          <w:u w:val="none"/>
                        </w:rPr>
                      </m:ctrlPr>
                    </m:sub>
                  </m:sSub>
                  <m:r>
                    <m:rPr>
                      <m:sty m:val="p"/>
                    </m:rPr>
                    <w:rPr>
                      <w:rFonts w:ascii="Cambria Math" w:hAnsi="Cambria Math"/>
                      <w:u w:val="none"/>
                    </w:rPr>
                    <m:t>ux</m:t>
                  </m:r>
                  <m:ctrlPr>
                    <w:rPr>
                      <w:rFonts w:ascii="Cambria Math" w:hAnsi="Cambria Math"/>
                      <w:u w:val="none"/>
                    </w:rPr>
                  </m:ctrlPr>
                </m:e>
              </m:rad>
              <m:ctrlPr>
                <w:rPr>
                  <w:rFonts w:ascii="Cambria Math" w:hAnsi="Cambria Math"/>
                  <w:u w:val="none"/>
                </w:rPr>
              </m:ctrlPr>
            </m:den>
          </m:f>
          <m:r>
            <m:rPr>
              <m:sty m:val="p"/>
            </m:rPr>
            <w:rPr>
              <w:rFonts w:ascii="Cambria Math" w:hAnsi="Cambria Math"/>
              <w:u w:val="none"/>
            </w:rPr>
            <m:t>exp⁡（−</m:t>
          </m:r>
          <m:f>
            <m:fPr>
              <m:ctrlPr>
                <w:rPr>
                  <w:rFonts w:ascii="Cambria Math" w:hAnsi="Cambria Math"/>
                  <w:u w:val="none"/>
                </w:rPr>
              </m:ctrlPr>
            </m:fPr>
            <m:num>
              <m:r>
                <m:rPr>
                  <m:sty m:val="p"/>
                </m:rPr>
                <w:rPr>
                  <w:rFonts w:ascii="Cambria Math" w:hAnsi="Cambria Math"/>
                  <w:u w:val="none"/>
                </w:rPr>
                <m:t>u</m:t>
              </m:r>
              <m:sSup>
                <m:sSupPr>
                  <m:ctrlPr>
                    <w:rPr>
                      <w:rFonts w:ascii="Cambria Math" w:hAnsi="Cambria Math"/>
                      <w:u w:val="none"/>
                    </w:rPr>
                  </m:ctrlPr>
                </m:sSupPr>
                <m:e>
                  <m:r>
                    <m:rPr>
                      <m:sty m:val="p"/>
                    </m:rPr>
                    <w:rPr>
                      <w:rFonts w:ascii="Cambria Math" w:hAnsi="Cambria Math"/>
                      <w:u w:val="none"/>
                    </w:rPr>
                    <m:t>y</m:t>
                  </m:r>
                  <m:ctrlPr>
                    <w:rPr>
                      <w:rFonts w:ascii="Cambria Math" w:hAnsi="Cambria Math"/>
                      <w:u w:val="none"/>
                    </w:rPr>
                  </m:ctrlPr>
                </m:e>
                <m:sup>
                  <m:r>
                    <m:rPr>
                      <m:sty m:val="p"/>
                    </m:rPr>
                    <w:rPr>
                      <w:rFonts w:ascii="Cambria Math" w:hAnsi="Cambria Math"/>
                      <w:u w:val="none"/>
                    </w:rPr>
                    <m:t>2</m:t>
                  </m:r>
                  <m:ctrlPr>
                    <w:rPr>
                      <w:rFonts w:ascii="Cambria Math" w:hAnsi="Cambria Math"/>
                      <w:u w:val="none"/>
                    </w:rPr>
                  </m:ctrlPr>
                </m:sup>
              </m:sSup>
              <m:ctrlPr>
                <w:rPr>
                  <w:rFonts w:ascii="Cambria Math" w:hAnsi="Cambria Math"/>
                  <w:u w:val="none"/>
                </w:rPr>
              </m:ctrlPr>
            </m:num>
            <m:den>
              <m:r>
                <m:rPr>
                  <m:sty m:val="p"/>
                </m:rPr>
                <w:rPr>
                  <w:rFonts w:ascii="Cambria Math" w:hAnsi="Cambria Math"/>
                  <w:u w:val="none"/>
                </w:rPr>
                <m:t>4</m:t>
              </m:r>
              <m:sSub>
                <m:sSubPr>
                  <m:ctrlPr>
                    <w:rPr>
                      <w:rFonts w:ascii="Cambria Math" w:hAnsi="Cambria Math"/>
                      <w:u w:val="none"/>
                    </w:rPr>
                  </m:ctrlPr>
                </m:sSubPr>
                <m:e>
                  <m:r>
                    <m:rPr>
                      <m:sty m:val="p"/>
                    </m:rPr>
                    <w:rPr>
                      <w:rFonts w:ascii="Cambria Math" w:hAnsi="Cambria Math"/>
                      <w:u w:val="none"/>
                    </w:rPr>
                    <m:t>E</m:t>
                  </m:r>
                  <m:ctrlPr>
                    <w:rPr>
                      <w:rFonts w:ascii="Cambria Math" w:hAnsi="Cambria Math"/>
                      <w:u w:val="none"/>
                    </w:rPr>
                  </m:ctrlPr>
                </m:e>
                <m:sub>
                  <m:r>
                    <m:rPr>
                      <m:sty m:val="p"/>
                    </m:rPr>
                    <w:rPr>
                      <w:rFonts w:ascii="Cambria Math" w:hAnsi="Cambria Math"/>
                      <w:u w:val="none"/>
                    </w:rPr>
                    <m:t>y</m:t>
                  </m:r>
                  <m:ctrlPr>
                    <w:rPr>
                      <w:rFonts w:ascii="Cambria Math" w:hAnsi="Cambria Math"/>
                      <w:u w:val="none"/>
                    </w:rPr>
                  </m:ctrlPr>
                </m:sub>
              </m:sSub>
              <m:r>
                <m:rPr>
                  <m:sty m:val="p"/>
                </m:rPr>
                <w:rPr>
                  <w:rFonts w:ascii="Cambria Math" w:hAnsi="Cambria Math"/>
                  <w:u w:val="none"/>
                </w:rPr>
                <m:t>x</m:t>
              </m:r>
              <m:ctrlPr>
                <w:rPr>
                  <w:rFonts w:ascii="Cambria Math" w:hAnsi="Cambria Math"/>
                  <w:u w:val="none"/>
                </w:rPr>
              </m:ctrlPr>
            </m:den>
          </m:f>
          <m:r>
            <m:rPr>
              <m:sty m:val="p"/>
            </m:rPr>
            <w:rPr>
              <w:rFonts w:ascii="Cambria Math" w:hAnsi="Cambria Math"/>
              <w:u w:val="none"/>
            </w:rPr>
            <m:t>）exp⁡（−k</m:t>
          </m:r>
          <m:f>
            <m:fPr>
              <m:ctrlPr>
                <w:rPr>
                  <w:rFonts w:ascii="Cambria Math" w:hAnsi="Cambria Math"/>
                  <w:u w:val="none"/>
                </w:rPr>
              </m:ctrlPr>
            </m:fPr>
            <m:num>
              <m:r>
                <m:rPr>
                  <m:sty m:val="p"/>
                </m:rPr>
                <w:rPr>
                  <w:rFonts w:ascii="Cambria Math" w:hAnsi="Cambria Math"/>
                  <w:u w:val="none"/>
                </w:rPr>
                <m:t>x</m:t>
              </m:r>
              <m:ctrlPr>
                <w:rPr>
                  <w:rFonts w:ascii="Cambria Math" w:hAnsi="Cambria Math"/>
                  <w:u w:val="none"/>
                </w:rPr>
              </m:ctrlPr>
            </m:num>
            <m:den>
              <m:r>
                <m:rPr>
                  <m:sty m:val="p"/>
                </m:rPr>
                <w:rPr>
                  <w:rFonts w:ascii="Cambria Math" w:hAnsi="Cambria Math"/>
                  <w:u w:val="none"/>
                </w:rPr>
                <m:t>u</m:t>
              </m:r>
              <m:ctrlPr>
                <w:rPr>
                  <w:rFonts w:ascii="Cambria Math" w:hAnsi="Cambria Math"/>
                  <w:u w:val="none"/>
                </w:rPr>
              </m:ctrlPr>
            </m:den>
          </m:f>
          <m:r>
            <m:rPr>
              <m:sty m:val="p"/>
            </m:rPr>
            <w:rPr>
              <w:rFonts w:ascii="Cambria Math" w:hAnsi="Cambria Math"/>
              <w:u w:val="none"/>
            </w:rPr>
            <m:t>）</m:t>
          </m:r>
        </m:oMath>
      </m:oMathPara>
    </w:p>
    <w:p>
      <w:pPr>
        <w:ind w:firstLine="480"/>
        <w:rPr>
          <w:u w:val="none"/>
        </w:rPr>
      </w:pPr>
      <w:r>
        <w:rPr>
          <w:u w:val="none"/>
        </w:rPr>
        <w:t>式中：</w:t>
      </w:r>
    </w:p>
    <w:p>
      <w:pPr>
        <w:ind w:firstLine="480"/>
        <w:rPr>
          <w:u w:val="none"/>
        </w:rPr>
      </w:pPr>
      <w:r>
        <w:rPr>
          <w:u w:val="none"/>
        </w:rPr>
        <w:t>C(x，y)——纵向距离x、横向距离y点的污染物浓度，mg/L；</w:t>
      </w:r>
    </w:p>
    <w:p>
      <w:pPr>
        <w:ind w:firstLine="480"/>
        <w:rPr>
          <w:u w:val="none"/>
        </w:rPr>
      </w:pPr>
      <w:r>
        <w:rPr>
          <w:u w:val="none"/>
        </w:rPr>
        <w:t>m——污染物排放速率，g/s；</w:t>
      </w:r>
    </w:p>
    <w:p>
      <w:pPr>
        <w:ind w:firstLine="480"/>
        <w:rPr>
          <w:u w:val="none"/>
        </w:rPr>
      </w:pPr>
      <w:r>
        <w:rPr>
          <w:u w:val="none"/>
        </w:rPr>
        <w:t>u——断面流速；</w:t>
      </w:r>
    </w:p>
    <w:p>
      <w:pPr>
        <w:ind w:firstLine="480"/>
        <w:rPr>
          <w:u w:val="none"/>
        </w:rPr>
      </w:pPr>
      <w:r>
        <w:rPr>
          <w:u w:val="none"/>
        </w:rPr>
        <w:t>Ey——污染物横向扩散系数，m</w:t>
      </w:r>
      <w:r>
        <w:rPr>
          <w:u w:val="none"/>
          <w:vertAlign w:val="superscript"/>
        </w:rPr>
        <w:t>2</w:t>
      </w:r>
      <w:r>
        <w:rPr>
          <w:u w:val="none"/>
        </w:rPr>
        <w:t>/s；</w:t>
      </w:r>
    </w:p>
    <w:p>
      <w:pPr>
        <w:ind w:firstLine="480"/>
        <w:rPr>
          <w:u w:val="none"/>
        </w:rPr>
      </w:pPr>
      <w:r>
        <w:rPr>
          <w:u w:val="none"/>
        </w:rPr>
        <w:t>K——污染物综合衰减系数，1/s；</w:t>
      </w:r>
    </w:p>
    <w:p>
      <w:pPr>
        <w:ind w:firstLine="480"/>
        <w:rPr>
          <w:u w:val="none"/>
        </w:rPr>
      </w:pPr>
      <w:r>
        <w:rPr>
          <w:u w:val="none"/>
        </w:rPr>
        <w:t>h——河流平均水深，m；</w:t>
      </w:r>
    </w:p>
    <w:p>
      <w:pPr>
        <w:ind w:firstLine="480"/>
        <w:rPr>
          <w:u w:val="none"/>
        </w:rPr>
      </w:pPr>
      <w:r>
        <w:rPr>
          <w:u w:val="none"/>
        </w:rPr>
        <w:t>u——河流流速，m/s；</w:t>
      </w:r>
    </w:p>
    <w:p>
      <w:pPr>
        <w:ind w:firstLine="480"/>
        <w:rPr>
          <w:u w:val="none"/>
        </w:rPr>
      </w:pPr>
      <w:r>
        <w:rPr>
          <w:u w:val="none"/>
        </w:rPr>
        <w:t>π——圆周率。</w:t>
      </w:r>
    </w:p>
    <w:p>
      <w:pPr>
        <w:pStyle w:val="4"/>
        <w:spacing w:line="240" w:lineRule="auto"/>
        <w:jc w:val="both"/>
        <w:rPr>
          <w:szCs w:val="28"/>
          <w:u w:val="none"/>
        </w:rPr>
      </w:pPr>
      <w:bookmarkStart w:id="61" w:name="_Toc28123"/>
      <w:bookmarkStart w:id="62" w:name="_Toc13020"/>
      <w:bookmarkStart w:id="63" w:name="_Toc4090"/>
      <w:bookmarkStart w:id="64" w:name="_Toc7734"/>
      <w:bookmarkStart w:id="65" w:name="_Toc97"/>
      <w:bookmarkStart w:id="66" w:name="_Toc23974"/>
      <w:r>
        <w:rPr>
          <w:rFonts w:hint="eastAsia"/>
          <w:szCs w:val="28"/>
          <w:u w:val="none"/>
        </w:rPr>
        <w:t>6.1.3水文参数和计算参数的确定</w:t>
      </w:r>
      <w:bookmarkEnd w:id="61"/>
      <w:bookmarkEnd w:id="62"/>
      <w:bookmarkEnd w:id="63"/>
      <w:bookmarkEnd w:id="64"/>
      <w:bookmarkEnd w:id="65"/>
      <w:bookmarkEnd w:id="66"/>
    </w:p>
    <w:p>
      <w:pPr>
        <w:ind w:firstLine="482"/>
        <w:rPr>
          <w:b/>
          <w:bCs/>
          <w:u w:val="none"/>
        </w:rPr>
      </w:pPr>
      <w:r>
        <w:rPr>
          <w:rFonts w:hint="eastAsia"/>
          <w:b/>
          <w:bCs/>
          <w:u w:val="none"/>
        </w:rPr>
        <w:t>（1）水文参数</w:t>
      </w:r>
    </w:p>
    <w:p>
      <w:pPr>
        <w:ind w:firstLine="480"/>
        <w:rPr>
          <w:u w:val="none"/>
        </w:rPr>
      </w:pPr>
      <w:r>
        <w:rPr>
          <w:u w:val="none"/>
        </w:rPr>
        <w:t>根据《水域纳污能力计算规程》（GB/T25173-2010）的规定，计算河流水域污染物沿程变化情况，应采用河流90%保证率最枯月平均流量或近10年最枯月平均流量作为设计流量。通过益阳市多年降雨资料以及《湖南省桃江县资水重要河段治理工程（龙</w:t>
      </w:r>
      <w:r>
        <w:rPr>
          <w:rFonts w:hint="eastAsia"/>
          <w:u w:val="none"/>
        </w:rPr>
        <w:t>拱</w:t>
      </w:r>
      <w:r>
        <w:rPr>
          <w:u w:val="none"/>
        </w:rPr>
        <w:t>摊</w:t>
      </w:r>
      <w:r>
        <w:rPr>
          <w:rFonts w:hint="eastAsia"/>
          <w:u w:val="none"/>
        </w:rPr>
        <w:t>-回龙庵等11段岸坡防护</w:t>
      </w:r>
      <w:r>
        <w:rPr>
          <w:u w:val="none"/>
        </w:rPr>
        <w:t>）初步设计报告》，并实地走访调查，本次预测考虑最不利条件下（枯水期）入河废水的影响程度及范围，枯水期水文参数详细见表6.1.3-1。</w:t>
      </w:r>
    </w:p>
    <w:p>
      <w:pPr>
        <w:spacing w:line="240" w:lineRule="auto"/>
        <w:ind w:firstLine="482"/>
        <w:jc w:val="center"/>
        <w:rPr>
          <w:b/>
          <w:bCs/>
          <w:u w:val="none"/>
        </w:rPr>
      </w:pPr>
      <w:r>
        <w:rPr>
          <w:b/>
          <w:bCs/>
          <w:u w:val="none"/>
        </w:rPr>
        <w:t>表</w:t>
      </w:r>
      <w:r>
        <w:rPr>
          <w:rFonts w:hint="eastAsia"/>
          <w:b/>
          <w:bCs/>
          <w:u w:val="none"/>
        </w:rPr>
        <w:t>6.1.3-1</w:t>
      </w:r>
      <w:r>
        <w:rPr>
          <w:b/>
          <w:bCs/>
          <w:u w:val="none"/>
        </w:rPr>
        <w:t>水文参数一览表</w:t>
      </w:r>
    </w:p>
    <w:tbl>
      <w:tblPr>
        <w:tblStyle w:val="31"/>
        <w:tblW w:w="500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11"/>
        <w:gridCol w:w="1259"/>
        <w:gridCol w:w="1279"/>
        <w:gridCol w:w="993"/>
        <w:gridCol w:w="1990"/>
        <w:gridCol w:w="1137"/>
        <w:gridCol w:w="14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 w:hRule="atLeast"/>
        </w:trPr>
        <w:tc>
          <w:tcPr>
            <w:tcW w:w="556" w:type="pct"/>
            <w:tcBorders>
              <w:bottom w:val="single" w:color="000000" w:sz="6" w:space="0"/>
              <w:right w:val="single" w:color="000000" w:sz="6" w:space="0"/>
            </w:tcBorders>
            <w:vAlign w:val="center"/>
          </w:tcPr>
          <w:p>
            <w:pPr>
              <w:pStyle w:val="55"/>
              <w:ind w:right="25"/>
              <w:jc w:val="center"/>
              <w:rPr>
                <w:rFonts w:ascii="Times New Roman" w:hAnsi="Times New Roman"/>
                <w:sz w:val="21"/>
                <w:u w:val="none"/>
              </w:rPr>
            </w:pPr>
            <w:r>
              <w:rPr>
                <w:rFonts w:ascii="Times New Roman" w:hAnsi="Times New Roman"/>
                <w:sz w:val="21"/>
                <w:u w:val="none"/>
              </w:rPr>
              <w:t>河流</w:t>
            </w:r>
          </w:p>
        </w:tc>
        <w:tc>
          <w:tcPr>
            <w:tcW w:w="692" w:type="pct"/>
            <w:tcBorders>
              <w:left w:val="single" w:color="000000" w:sz="6" w:space="0"/>
              <w:bottom w:val="single" w:color="000000" w:sz="6" w:space="0"/>
              <w:right w:val="single" w:color="000000" w:sz="6" w:space="0"/>
            </w:tcBorders>
            <w:vAlign w:val="center"/>
          </w:tcPr>
          <w:p>
            <w:pPr>
              <w:pStyle w:val="55"/>
              <w:ind w:right="25"/>
              <w:jc w:val="center"/>
              <w:rPr>
                <w:rFonts w:ascii="Times New Roman" w:hAnsi="Times New Roman"/>
                <w:sz w:val="21"/>
                <w:u w:val="none"/>
              </w:rPr>
            </w:pPr>
            <w:r>
              <w:rPr>
                <w:rFonts w:ascii="Times New Roman" w:hAnsi="Times New Roman"/>
                <w:sz w:val="21"/>
                <w:u w:val="none"/>
              </w:rPr>
              <w:t>时期</w:t>
            </w:r>
          </w:p>
        </w:tc>
        <w:tc>
          <w:tcPr>
            <w:tcW w:w="703" w:type="pct"/>
            <w:tcBorders>
              <w:left w:val="single" w:color="000000" w:sz="6" w:space="0"/>
              <w:bottom w:val="single" w:color="000000" w:sz="6" w:space="0"/>
              <w:right w:val="single" w:color="000000" w:sz="6" w:space="0"/>
            </w:tcBorders>
            <w:vAlign w:val="center"/>
          </w:tcPr>
          <w:p>
            <w:pPr>
              <w:pStyle w:val="55"/>
              <w:ind w:left="32" w:right="25"/>
              <w:jc w:val="center"/>
              <w:rPr>
                <w:rFonts w:ascii="Times New Roman" w:hAnsi="Times New Roman"/>
                <w:sz w:val="21"/>
                <w:u w:val="none"/>
              </w:rPr>
            </w:pPr>
            <w:r>
              <w:rPr>
                <w:rFonts w:ascii="Times New Roman" w:hAnsi="Times New Roman"/>
                <w:sz w:val="21"/>
                <w:u w:val="none"/>
              </w:rPr>
              <w:t>河宽（m）</w:t>
            </w:r>
          </w:p>
        </w:tc>
        <w:tc>
          <w:tcPr>
            <w:tcW w:w="546" w:type="pct"/>
            <w:tcBorders>
              <w:left w:val="single" w:color="000000" w:sz="6" w:space="0"/>
              <w:bottom w:val="single" w:color="000000" w:sz="6" w:space="0"/>
              <w:right w:val="single" w:color="000000" w:sz="6" w:space="0"/>
            </w:tcBorders>
            <w:vAlign w:val="center"/>
          </w:tcPr>
          <w:p>
            <w:pPr>
              <w:pStyle w:val="55"/>
              <w:ind w:left="32" w:right="25"/>
              <w:jc w:val="center"/>
              <w:rPr>
                <w:rFonts w:ascii="Times New Roman" w:hAnsi="Times New Roman"/>
                <w:sz w:val="21"/>
                <w:u w:val="none"/>
              </w:rPr>
            </w:pPr>
            <w:r>
              <w:rPr>
                <w:rFonts w:ascii="Times New Roman" w:hAnsi="Times New Roman"/>
                <w:sz w:val="21"/>
                <w:u w:val="none"/>
              </w:rPr>
              <w:t>水深（m）</w:t>
            </w:r>
          </w:p>
        </w:tc>
        <w:tc>
          <w:tcPr>
            <w:tcW w:w="1094" w:type="pct"/>
            <w:tcBorders>
              <w:left w:val="single" w:color="000000" w:sz="6" w:space="0"/>
              <w:bottom w:val="single" w:color="000000" w:sz="6" w:space="0"/>
              <w:right w:val="single" w:color="000000" w:sz="6" w:space="0"/>
            </w:tcBorders>
            <w:vAlign w:val="center"/>
          </w:tcPr>
          <w:p>
            <w:pPr>
              <w:pStyle w:val="55"/>
              <w:ind w:left="32" w:right="25"/>
              <w:jc w:val="center"/>
              <w:rPr>
                <w:rFonts w:ascii="Times New Roman" w:hAnsi="Times New Roman"/>
                <w:sz w:val="21"/>
                <w:u w:val="none"/>
              </w:rPr>
            </w:pPr>
            <w:r>
              <w:rPr>
                <w:rFonts w:ascii="Times New Roman" w:hAnsi="Times New Roman"/>
                <w:sz w:val="21"/>
                <w:u w:val="none"/>
              </w:rPr>
              <w:t>流量（m</w:t>
            </w:r>
            <w:r>
              <w:rPr>
                <w:rFonts w:ascii="Times New Roman" w:hAnsi="Times New Roman"/>
                <w:sz w:val="21"/>
                <w:u w:val="none"/>
                <w:vertAlign w:val="superscript"/>
              </w:rPr>
              <w:t>3</w:t>
            </w:r>
            <w:r>
              <w:rPr>
                <w:rFonts w:ascii="Times New Roman" w:hAnsi="Times New Roman"/>
                <w:sz w:val="21"/>
                <w:u w:val="none"/>
              </w:rPr>
              <w:t>/s）</w:t>
            </w:r>
          </w:p>
        </w:tc>
        <w:tc>
          <w:tcPr>
            <w:tcW w:w="625" w:type="pct"/>
            <w:tcBorders>
              <w:left w:val="single" w:color="000000" w:sz="6" w:space="0"/>
              <w:bottom w:val="single" w:color="000000" w:sz="6" w:space="0"/>
              <w:right w:val="single" w:color="auto" w:sz="4" w:space="0"/>
            </w:tcBorders>
            <w:vAlign w:val="center"/>
          </w:tcPr>
          <w:p>
            <w:pPr>
              <w:pStyle w:val="55"/>
              <w:ind w:left="102" w:right="25"/>
              <w:jc w:val="center"/>
              <w:rPr>
                <w:rFonts w:ascii="Times New Roman" w:hAnsi="Times New Roman"/>
                <w:sz w:val="21"/>
                <w:u w:val="none"/>
              </w:rPr>
            </w:pPr>
            <w:r>
              <w:rPr>
                <w:rFonts w:ascii="Times New Roman" w:hAnsi="Times New Roman"/>
                <w:sz w:val="21"/>
                <w:u w:val="none"/>
              </w:rPr>
              <w:t>流速（m/s）</w:t>
            </w:r>
          </w:p>
        </w:tc>
        <w:tc>
          <w:tcPr>
            <w:tcW w:w="781" w:type="pct"/>
            <w:tcBorders>
              <w:left w:val="single" w:color="auto" w:sz="4" w:space="0"/>
              <w:bottom w:val="single" w:color="000000" w:sz="6" w:space="0"/>
            </w:tcBorders>
            <w:vAlign w:val="center"/>
          </w:tcPr>
          <w:p>
            <w:pPr>
              <w:pStyle w:val="55"/>
              <w:ind w:right="25"/>
              <w:jc w:val="center"/>
              <w:rPr>
                <w:rFonts w:ascii="Times New Roman" w:hAnsi="Times New Roman"/>
                <w:sz w:val="21"/>
                <w:u w:val="none"/>
              </w:rPr>
            </w:pPr>
            <w:r>
              <w:rPr>
                <w:rFonts w:ascii="Times New Roman" w:hAnsi="Times New Roman"/>
                <w:sz w:val="21"/>
                <w:u w:val="none"/>
              </w:rPr>
              <w:t>水力坡降（</w:t>
            </w:r>
            <w:r>
              <w:rPr>
                <w:rFonts w:hint="eastAsia" w:ascii="Times New Roman" w:hAnsi="Times New Roman" w:eastAsiaTheme="minorEastAsia"/>
                <w:sz w:val="21"/>
                <w:u w:val="none"/>
                <w:lang w:eastAsia="zh-CN"/>
              </w:rPr>
              <w:t>‰</w:t>
            </w:r>
            <w:r>
              <w:rPr>
                <w:rFonts w:ascii="Times New Roman" w:hAnsi="Times New Roman"/>
                <w:sz w:val="21"/>
                <w:u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 w:hRule="atLeast"/>
        </w:trPr>
        <w:tc>
          <w:tcPr>
            <w:tcW w:w="556" w:type="pct"/>
            <w:tcBorders>
              <w:right w:val="single" w:color="000000" w:sz="6" w:space="0"/>
            </w:tcBorders>
            <w:vAlign w:val="center"/>
          </w:tcPr>
          <w:p>
            <w:pPr>
              <w:pStyle w:val="55"/>
              <w:ind w:right="25"/>
              <w:jc w:val="center"/>
              <w:rPr>
                <w:rFonts w:ascii="Times New Roman" w:hAnsi="Times New Roman"/>
                <w:sz w:val="21"/>
                <w:u w:val="none"/>
              </w:rPr>
            </w:pPr>
            <w:r>
              <w:rPr>
                <w:rFonts w:hint="eastAsia" w:asciiTheme="minorEastAsia" w:hAnsiTheme="minorEastAsia" w:eastAsiaTheme="minorEastAsia"/>
                <w:sz w:val="21"/>
                <w:u w:val="none"/>
                <w:lang w:eastAsia="zh-CN"/>
              </w:rPr>
              <w:t>资水</w:t>
            </w:r>
          </w:p>
        </w:tc>
        <w:tc>
          <w:tcPr>
            <w:tcW w:w="692" w:type="pct"/>
            <w:tcBorders>
              <w:left w:val="single" w:color="000000" w:sz="6" w:space="0"/>
              <w:right w:val="single" w:color="000000" w:sz="6" w:space="0"/>
            </w:tcBorders>
            <w:vAlign w:val="center"/>
          </w:tcPr>
          <w:p>
            <w:pPr>
              <w:pStyle w:val="55"/>
              <w:ind w:right="25"/>
              <w:jc w:val="center"/>
              <w:rPr>
                <w:rFonts w:ascii="Times New Roman" w:hAnsi="Times New Roman"/>
                <w:sz w:val="21"/>
                <w:u w:val="none"/>
              </w:rPr>
            </w:pPr>
            <w:r>
              <w:rPr>
                <w:rFonts w:ascii="Times New Roman" w:hAnsi="Times New Roman"/>
                <w:sz w:val="21"/>
                <w:u w:val="none"/>
              </w:rPr>
              <w:t>枯水期</w:t>
            </w:r>
          </w:p>
        </w:tc>
        <w:tc>
          <w:tcPr>
            <w:tcW w:w="703" w:type="pct"/>
            <w:tcBorders>
              <w:left w:val="single" w:color="000000" w:sz="6" w:space="0"/>
              <w:right w:val="single" w:color="000000" w:sz="6" w:space="0"/>
            </w:tcBorders>
            <w:vAlign w:val="center"/>
          </w:tcPr>
          <w:p>
            <w:pPr>
              <w:pStyle w:val="55"/>
              <w:jc w:val="center"/>
              <w:rPr>
                <w:rFonts w:ascii="Times New Roman" w:hAnsi="Times New Roman" w:eastAsiaTheme="minorEastAsia"/>
                <w:sz w:val="21"/>
                <w:u w:val="none"/>
                <w:lang w:eastAsia="zh-CN"/>
              </w:rPr>
            </w:pPr>
            <w:r>
              <w:rPr>
                <w:rFonts w:hint="eastAsia" w:ascii="Times New Roman" w:hAnsi="Times New Roman" w:eastAsiaTheme="minorEastAsia"/>
                <w:sz w:val="21"/>
                <w:u w:val="none"/>
                <w:lang w:eastAsia="zh-CN"/>
              </w:rPr>
              <w:t>311</w:t>
            </w:r>
          </w:p>
        </w:tc>
        <w:tc>
          <w:tcPr>
            <w:tcW w:w="546" w:type="pct"/>
            <w:tcBorders>
              <w:left w:val="single" w:color="000000" w:sz="6" w:space="0"/>
              <w:right w:val="single" w:color="000000" w:sz="6" w:space="0"/>
            </w:tcBorders>
            <w:vAlign w:val="center"/>
          </w:tcPr>
          <w:p>
            <w:pPr>
              <w:pStyle w:val="55"/>
              <w:jc w:val="center"/>
              <w:rPr>
                <w:rFonts w:ascii="Times New Roman" w:hAnsi="Times New Roman" w:eastAsiaTheme="minorEastAsia"/>
                <w:sz w:val="21"/>
                <w:u w:val="none"/>
                <w:lang w:eastAsia="zh-CN"/>
              </w:rPr>
            </w:pPr>
            <w:r>
              <w:rPr>
                <w:rFonts w:hint="eastAsia" w:ascii="Times New Roman" w:hAnsi="Times New Roman" w:eastAsiaTheme="minorEastAsia"/>
                <w:sz w:val="21"/>
                <w:u w:val="none"/>
                <w:lang w:eastAsia="zh-CN"/>
              </w:rPr>
              <w:t>7.15</w:t>
            </w:r>
          </w:p>
        </w:tc>
        <w:tc>
          <w:tcPr>
            <w:tcW w:w="1094" w:type="pct"/>
            <w:tcBorders>
              <w:left w:val="single" w:color="000000" w:sz="6" w:space="0"/>
              <w:right w:val="single" w:color="000000" w:sz="6" w:space="0"/>
            </w:tcBorders>
            <w:vAlign w:val="center"/>
          </w:tcPr>
          <w:p>
            <w:pPr>
              <w:pStyle w:val="55"/>
              <w:jc w:val="center"/>
              <w:rPr>
                <w:rFonts w:ascii="Times New Roman" w:hAnsi="Times New Roman" w:eastAsiaTheme="minorEastAsia"/>
                <w:sz w:val="21"/>
                <w:u w:val="none"/>
                <w:lang w:eastAsia="zh-CN"/>
              </w:rPr>
            </w:pPr>
            <w:r>
              <w:rPr>
                <w:rFonts w:hint="eastAsia" w:ascii="Times New Roman" w:hAnsi="Times New Roman" w:eastAsiaTheme="minorEastAsia"/>
                <w:sz w:val="21"/>
                <w:u w:val="none"/>
                <w:lang w:eastAsia="zh-CN"/>
              </w:rPr>
              <w:t>363</w:t>
            </w:r>
          </w:p>
        </w:tc>
        <w:tc>
          <w:tcPr>
            <w:tcW w:w="625" w:type="pct"/>
            <w:tcBorders>
              <w:left w:val="single" w:color="000000" w:sz="6" w:space="0"/>
              <w:right w:val="single" w:color="auto" w:sz="4" w:space="0"/>
            </w:tcBorders>
            <w:vAlign w:val="center"/>
          </w:tcPr>
          <w:p>
            <w:pPr>
              <w:pStyle w:val="55"/>
              <w:jc w:val="center"/>
              <w:rPr>
                <w:rFonts w:ascii="Times New Roman" w:hAnsi="Times New Roman" w:eastAsiaTheme="minorEastAsia"/>
                <w:sz w:val="21"/>
                <w:u w:val="none"/>
                <w:lang w:eastAsia="zh-CN"/>
              </w:rPr>
            </w:pPr>
            <w:r>
              <w:rPr>
                <w:rFonts w:hint="eastAsia" w:ascii="Times New Roman" w:hAnsi="Times New Roman" w:eastAsiaTheme="minorEastAsia"/>
                <w:sz w:val="21"/>
                <w:u w:val="none"/>
                <w:lang w:eastAsia="zh-CN"/>
              </w:rPr>
              <w:t>0.29</w:t>
            </w:r>
          </w:p>
        </w:tc>
        <w:tc>
          <w:tcPr>
            <w:tcW w:w="781" w:type="pct"/>
            <w:tcBorders>
              <w:left w:val="single" w:color="auto" w:sz="4" w:space="0"/>
            </w:tcBorders>
            <w:vAlign w:val="center"/>
          </w:tcPr>
          <w:p>
            <w:pPr>
              <w:pStyle w:val="55"/>
              <w:jc w:val="center"/>
              <w:rPr>
                <w:rFonts w:ascii="Times New Roman" w:hAnsi="Times New Roman" w:eastAsiaTheme="minorEastAsia"/>
                <w:sz w:val="21"/>
                <w:u w:val="none"/>
                <w:lang w:eastAsia="zh-CN"/>
              </w:rPr>
            </w:pPr>
            <w:r>
              <w:rPr>
                <w:rFonts w:hint="eastAsia" w:ascii="Times New Roman" w:hAnsi="Times New Roman" w:eastAsiaTheme="minorEastAsia"/>
                <w:sz w:val="21"/>
                <w:u w:val="none"/>
                <w:lang w:eastAsia="zh-CN"/>
              </w:rPr>
              <w:t>0.8</w:t>
            </w:r>
          </w:p>
        </w:tc>
      </w:tr>
    </w:tbl>
    <w:p>
      <w:pPr>
        <w:ind w:firstLine="482"/>
        <w:rPr>
          <w:b/>
          <w:bCs/>
          <w:u w:val="none"/>
        </w:rPr>
      </w:pPr>
      <w:r>
        <w:rPr>
          <w:b/>
          <w:bCs/>
          <w:u w:val="none"/>
        </w:rPr>
        <w:t>（</w:t>
      </w:r>
      <w:r>
        <w:rPr>
          <w:rFonts w:hint="eastAsia"/>
          <w:b/>
          <w:bCs/>
          <w:u w:val="none"/>
        </w:rPr>
        <w:t>2</w:t>
      </w:r>
      <w:r>
        <w:rPr>
          <w:b/>
          <w:bCs/>
          <w:u w:val="none"/>
        </w:rPr>
        <w:t>）污染物综合衰减系数</w:t>
      </w:r>
      <w:r>
        <w:rPr>
          <w:rFonts w:hint="eastAsia"/>
          <w:b/>
          <w:bCs/>
          <w:u w:val="none"/>
        </w:rPr>
        <w:t>K</w:t>
      </w:r>
    </w:p>
    <w:p>
      <w:pPr>
        <w:ind w:firstLine="480"/>
        <w:rPr>
          <w:u w:val="none"/>
        </w:rPr>
      </w:pPr>
      <w:r>
        <w:rPr>
          <w:rFonts w:hint="eastAsia"/>
          <w:u w:val="none"/>
        </w:rPr>
        <w:t>根据《全国地表水水环境容量核定（技术复核要点）》，河流污染物综合衰减系数</w:t>
      </w:r>
      <w:r>
        <w:rPr>
          <w:u w:val="none"/>
        </w:rPr>
        <w:t>K</w:t>
      </w:r>
      <w:r>
        <w:rPr>
          <w:rFonts w:hint="eastAsia"/>
          <w:u w:val="none"/>
        </w:rPr>
        <w:t>：</w:t>
      </w:r>
      <w:r>
        <w:rPr>
          <w:u w:val="none"/>
        </w:rPr>
        <w:t>COD</w:t>
      </w:r>
      <w:r>
        <w:rPr>
          <w:rFonts w:hint="eastAsia"/>
          <w:u w:val="none"/>
        </w:rPr>
        <w:t>取</w:t>
      </w:r>
      <w:r>
        <w:rPr>
          <w:u w:val="none"/>
        </w:rPr>
        <w:t>0.23</w:t>
      </w:r>
      <w:r>
        <w:rPr>
          <w:rFonts w:hint="eastAsia"/>
          <w:u w:val="none"/>
        </w:rPr>
        <w:t>（</w:t>
      </w:r>
      <w:r>
        <w:rPr>
          <w:u w:val="none"/>
        </w:rPr>
        <w:t>1/d</w:t>
      </w:r>
      <w:r>
        <w:rPr>
          <w:rFonts w:hint="eastAsia"/>
          <w:u w:val="none"/>
        </w:rPr>
        <w:t>）；因重金属外排水域中不能被微生物降解而消除，只能以不同的形态，在水、底质和生物体之间相互迁移转化，发生分解和富集作用，故本次预测重金属因子</w:t>
      </w:r>
      <w:r>
        <w:rPr>
          <w:u w:val="none"/>
        </w:rPr>
        <w:t>衰减系数k</w:t>
      </w:r>
      <w:r>
        <w:rPr>
          <w:rFonts w:hint="eastAsia"/>
          <w:u w:val="none"/>
        </w:rPr>
        <w:t>均取0（</w:t>
      </w:r>
      <w:r>
        <w:rPr>
          <w:u w:val="none"/>
        </w:rPr>
        <w:t>1/d</w:t>
      </w:r>
      <w:r>
        <w:rPr>
          <w:rFonts w:hint="eastAsia"/>
          <w:u w:val="none"/>
        </w:rPr>
        <w:t>）。</w:t>
      </w:r>
    </w:p>
    <w:p>
      <w:pPr>
        <w:widowControl w:val="0"/>
        <w:spacing w:line="240" w:lineRule="auto"/>
        <w:ind w:firstLine="482"/>
        <w:jc w:val="both"/>
        <w:rPr>
          <w:b/>
          <w:u w:val="none"/>
        </w:rPr>
      </w:pPr>
      <w:r>
        <w:rPr>
          <w:rFonts w:hint="eastAsia"/>
          <w:b/>
          <w:u w:val="none"/>
        </w:rPr>
        <w:t>（3）</w:t>
      </w:r>
      <w:r>
        <w:rPr>
          <w:b/>
          <w:u w:val="none"/>
        </w:rPr>
        <w:t>废水排放源强参数</w:t>
      </w:r>
    </w:p>
    <w:p>
      <w:pPr>
        <w:ind w:firstLine="480"/>
        <w:rPr>
          <w:u w:val="none"/>
        </w:rPr>
      </w:pPr>
      <w:r>
        <w:rPr>
          <w:u w:val="none"/>
        </w:rPr>
        <w:t>本项目入河排污口废水排放总量</w:t>
      </w:r>
      <w:r>
        <w:rPr>
          <w:rFonts w:hint="eastAsia"/>
          <w:u w:val="none"/>
          <w:lang w:val="en-US" w:eastAsia="zh-CN"/>
        </w:rPr>
        <w:t>取污水处理站设计处理规模1200</w:t>
      </w:r>
      <w:r>
        <w:rPr>
          <w:u w:val="none"/>
        </w:rPr>
        <w:t>m</w:t>
      </w:r>
      <w:r>
        <w:rPr>
          <w:u w:val="none"/>
          <w:vertAlign w:val="superscript"/>
        </w:rPr>
        <w:t>3</w:t>
      </w:r>
      <w:r>
        <w:rPr>
          <w:u w:val="none"/>
        </w:rPr>
        <w:t>/d</w:t>
      </w:r>
      <w:r>
        <w:rPr>
          <w:rFonts w:hint="eastAsia"/>
          <w:u w:val="none"/>
          <w:lang w:val="en-US" w:eastAsia="zh-CN"/>
        </w:rPr>
        <w:t>进行预测</w:t>
      </w:r>
      <w:r>
        <w:rPr>
          <w:u w:val="none"/>
        </w:rPr>
        <w:t>，废水排放流量为</w:t>
      </w:r>
      <w:r>
        <w:rPr>
          <w:rFonts w:hint="eastAsia"/>
          <w:u w:val="none"/>
          <w:lang w:val="en-US" w:eastAsia="zh-CN"/>
        </w:rPr>
        <w:t>0.014</w:t>
      </w:r>
      <w:r>
        <w:rPr>
          <w:u w:val="none"/>
        </w:rPr>
        <w:t>m³/s。</w:t>
      </w:r>
    </w:p>
    <w:p>
      <w:pPr>
        <w:ind w:firstLine="480"/>
        <w:rPr>
          <w:u w:val="none"/>
        </w:rPr>
      </w:pPr>
      <w:r>
        <w:rPr>
          <w:u w:val="none"/>
        </w:rPr>
        <w:t>正常排放时取</w:t>
      </w:r>
      <w:r>
        <w:rPr>
          <w:rFonts w:hint="eastAsia"/>
          <w:u w:val="none"/>
          <w:lang w:val="en-US" w:eastAsia="zh-CN"/>
        </w:rPr>
        <w:t>相关标准限值</w:t>
      </w:r>
      <w:r>
        <w:rPr>
          <w:u w:val="none"/>
        </w:rPr>
        <w:t>，非正常排放时取进口值。按在正常排放和非正常排放情况下的排放情况列于表</w:t>
      </w:r>
      <w:r>
        <w:rPr>
          <w:rFonts w:hint="eastAsia"/>
          <w:u w:val="none"/>
        </w:rPr>
        <w:t>6.1.3-2</w:t>
      </w:r>
      <w:r>
        <w:rPr>
          <w:u w:val="none"/>
        </w:rPr>
        <w:t>。</w:t>
      </w:r>
    </w:p>
    <w:p>
      <w:pPr>
        <w:spacing w:line="240" w:lineRule="auto"/>
        <w:ind w:firstLine="482"/>
        <w:jc w:val="center"/>
        <w:rPr>
          <w:b/>
          <w:bCs/>
          <w:u w:val="none"/>
        </w:rPr>
      </w:pPr>
      <w:r>
        <w:rPr>
          <w:b/>
          <w:bCs/>
          <w:u w:val="none"/>
        </w:rPr>
        <w:t>表</w:t>
      </w:r>
      <w:r>
        <w:rPr>
          <w:rFonts w:hint="eastAsia"/>
          <w:b/>
          <w:bCs/>
          <w:u w:val="none"/>
        </w:rPr>
        <w:t>6.1.3-2</w:t>
      </w:r>
      <w:r>
        <w:rPr>
          <w:b/>
          <w:bCs/>
          <w:u w:val="none"/>
        </w:rPr>
        <w:t>项目废水排放情况表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1407"/>
        <w:gridCol w:w="1622"/>
        <w:gridCol w:w="1802"/>
        <w:gridCol w:w="1780"/>
        <w:gridCol w:w="1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10" w:type="pct"/>
            <w:vMerge w:val="restart"/>
            <w:vAlign w:val="center"/>
          </w:tcPr>
          <w:p>
            <w:pPr>
              <w:pStyle w:val="16"/>
              <w:jc w:val="center"/>
              <w:rPr>
                <w:u w:val="none"/>
              </w:rPr>
            </w:pPr>
            <w:r>
              <w:rPr>
                <w:rFonts w:hint="eastAsia"/>
                <w:u w:val="none"/>
              </w:rPr>
              <w:t>污染因子</w:t>
            </w:r>
          </w:p>
        </w:tc>
        <w:tc>
          <w:tcPr>
            <w:tcW w:w="757" w:type="pct"/>
            <w:vMerge w:val="restart"/>
            <w:vAlign w:val="center"/>
          </w:tcPr>
          <w:p>
            <w:pPr>
              <w:pStyle w:val="16"/>
              <w:jc w:val="center"/>
              <w:rPr>
                <w:u w:val="none"/>
              </w:rPr>
            </w:pPr>
            <w:r>
              <w:rPr>
                <w:rFonts w:hint="eastAsia"/>
                <w:u w:val="none"/>
              </w:rPr>
              <w:t>废水流量</w:t>
            </w:r>
          </w:p>
        </w:tc>
        <w:tc>
          <w:tcPr>
            <w:tcW w:w="1843" w:type="pct"/>
            <w:gridSpan w:val="2"/>
            <w:vAlign w:val="center"/>
          </w:tcPr>
          <w:p>
            <w:pPr>
              <w:pStyle w:val="16"/>
              <w:jc w:val="center"/>
              <w:rPr>
                <w:u w:val="none"/>
              </w:rPr>
            </w:pPr>
            <w:r>
              <w:rPr>
                <w:rFonts w:hint="eastAsia"/>
                <w:u w:val="none"/>
              </w:rPr>
              <w:t>正常排放</w:t>
            </w:r>
          </w:p>
        </w:tc>
        <w:tc>
          <w:tcPr>
            <w:tcW w:w="1788" w:type="pct"/>
            <w:gridSpan w:val="2"/>
            <w:vAlign w:val="center"/>
          </w:tcPr>
          <w:p>
            <w:pPr>
              <w:pStyle w:val="16"/>
              <w:jc w:val="center"/>
              <w:rPr>
                <w:u w:val="none"/>
              </w:rPr>
            </w:pPr>
            <w:r>
              <w:rPr>
                <w:rFonts w:hint="eastAsia"/>
                <w:u w:val="none"/>
              </w:rPr>
              <w:t>非正常排放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10" w:type="pct"/>
            <w:vMerge w:val="continue"/>
            <w:vAlign w:val="center"/>
          </w:tcPr>
          <w:p>
            <w:pPr>
              <w:pStyle w:val="16"/>
              <w:jc w:val="center"/>
              <w:rPr>
                <w:u w:val="none"/>
              </w:rPr>
            </w:pPr>
          </w:p>
        </w:tc>
        <w:tc>
          <w:tcPr>
            <w:tcW w:w="757" w:type="pct"/>
            <w:vMerge w:val="continue"/>
            <w:vAlign w:val="center"/>
          </w:tcPr>
          <w:p>
            <w:pPr>
              <w:pStyle w:val="16"/>
              <w:jc w:val="center"/>
              <w:rPr>
                <w:u w:val="none"/>
              </w:rPr>
            </w:pPr>
          </w:p>
        </w:tc>
        <w:tc>
          <w:tcPr>
            <w:tcW w:w="873" w:type="pct"/>
            <w:vAlign w:val="center"/>
          </w:tcPr>
          <w:p>
            <w:pPr>
              <w:pStyle w:val="16"/>
              <w:jc w:val="center"/>
              <w:rPr>
                <w:u w:val="none"/>
              </w:rPr>
            </w:pPr>
            <w:r>
              <w:rPr>
                <w:rFonts w:hint="eastAsia"/>
                <w:u w:val="none"/>
              </w:rPr>
              <w:t>污染物浓度</w:t>
            </w:r>
            <w:r>
              <w:rPr>
                <w:u w:val="none"/>
              </w:rPr>
              <w:t>Cp</w:t>
            </w:r>
            <w:r>
              <w:rPr>
                <w:rFonts w:hint="eastAsia"/>
                <w:u w:val="none"/>
              </w:rPr>
              <w:t>（</w:t>
            </w:r>
            <w:r>
              <w:rPr>
                <w:u w:val="none"/>
              </w:rPr>
              <w:t>mg/L</w:t>
            </w:r>
            <w:r>
              <w:rPr>
                <w:rFonts w:hint="eastAsia"/>
                <w:u w:val="none"/>
              </w:rPr>
              <w:t>）</w:t>
            </w:r>
          </w:p>
        </w:tc>
        <w:tc>
          <w:tcPr>
            <w:tcW w:w="970" w:type="pct"/>
            <w:vAlign w:val="center"/>
          </w:tcPr>
          <w:p>
            <w:pPr>
              <w:pStyle w:val="16"/>
              <w:jc w:val="center"/>
              <w:rPr>
                <w:u w:val="none"/>
              </w:rPr>
            </w:pPr>
            <w:r>
              <w:rPr>
                <w:u w:val="none"/>
                <w:lang w:val="en-US" w:eastAsia="zh-CN"/>
              </w:rPr>
              <w:t>标准</w:t>
            </w:r>
            <w:r>
              <w:rPr>
                <w:rFonts w:hint="eastAsia"/>
                <w:u w:val="none"/>
                <w:lang w:val="en-US" w:eastAsia="zh-CN"/>
              </w:rPr>
              <w:t>限</w:t>
            </w:r>
            <w:r>
              <w:rPr>
                <w:u w:val="none"/>
                <w:lang w:val="en-US" w:eastAsia="zh-CN"/>
              </w:rPr>
              <w:t>值（mg/L）</w:t>
            </w:r>
          </w:p>
        </w:tc>
        <w:tc>
          <w:tcPr>
            <w:tcW w:w="958" w:type="pct"/>
            <w:vAlign w:val="center"/>
          </w:tcPr>
          <w:p>
            <w:pPr>
              <w:pStyle w:val="16"/>
              <w:jc w:val="center"/>
              <w:rPr>
                <w:u w:val="none"/>
              </w:rPr>
            </w:pPr>
            <w:r>
              <w:rPr>
                <w:rFonts w:hint="eastAsia"/>
                <w:u w:val="none"/>
              </w:rPr>
              <w:t>污染物浓度</w:t>
            </w:r>
            <w:r>
              <w:rPr>
                <w:u w:val="none"/>
              </w:rPr>
              <w:t>Cp</w:t>
            </w:r>
            <w:r>
              <w:rPr>
                <w:rFonts w:hint="eastAsia"/>
                <w:u w:val="none"/>
              </w:rPr>
              <w:t>（</w:t>
            </w:r>
            <w:r>
              <w:rPr>
                <w:u w:val="none"/>
              </w:rPr>
              <w:t>mg/L</w:t>
            </w:r>
            <w:r>
              <w:rPr>
                <w:rFonts w:hint="eastAsia"/>
                <w:u w:val="none"/>
              </w:rPr>
              <w:t>）</w:t>
            </w:r>
          </w:p>
        </w:tc>
        <w:tc>
          <w:tcPr>
            <w:tcW w:w="830" w:type="pct"/>
            <w:vAlign w:val="center"/>
          </w:tcPr>
          <w:p>
            <w:pPr>
              <w:pStyle w:val="16"/>
              <w:jc w:val="center"/>
              <w:rPr>
                <w:u w:val="none"/>
              </w:rPr>
            </w:pPr>
            <w:r>
              <w:rPr>
                <w:u w:val="none"/>
                <w:lang w:val="en-US" w:eastAsia="zh-CN"/>
              </w:rPr>
              <w:t>标准值（mg/L）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vAlign w:val="center"/>
          </w:tcPr>
          <w:p>
            <w:pPr>
              <w:pStyle w:val="16"/>
              <w:jc w:val="center"/>
              <w:rPr>
                <w:u w:val="none"/>
              </w:rPr>
            </w:pPr>
            <w:r>
              <w:rPr>
                <w:rFonts w:hint="eastAsia"/>
                <w:u w:val="none"/>
              </w:rPr>
              <w:t>COD</w:t>
            </w:r>
          </w:p>
        </w:tc>
        <w:tc>
          <w:tcPr>
            <w:tcW w:w="757" w:type="pct"/>
            <w:vMerge w:val="restart"/>
            <w:vAlign w:val="center"/>
          </w:tcPr>
          <w:p>
            <w:pPr>
              <w:pStyle w:val="16"/>
              <w:jc w:val="center"/>
              <w:rPr>
                <w:u w:val="none"/>
              </w:rPr>
            </w:pPr>
            <w:r>
              <w:rPr>
                <w:rFonts w:hint="eastAsia"/>
                <w:u w:val="none"/>
              </w:rPr>
              <w:t>0.01</w:t>
            </w:r>
            <w:r>
              <w:rPr>
                <w:rFonts w:hint="eastAsia"/>
                <w:u w:val="none"/>
                <w:lang w:val="en-US" w:eastAsia="zh-CN"/>
              </w:rPr>
              <w:t>4</w:t>
            </w:r>
            <w:r>
              <w:rPr>
                <w:u w:val="none"/>
              </w:rPr>
              <w:t>m³/s</w:t>
            </w:r>
          </w:p>
        </w:tc>
        <w:tc>
          <w:tcPr>
            <w:tcW w:w="873" w:type="pct"/>
            <w:vAlign w:val="center"/>
          </w:tcPr>
          <w:p>
            <w:pPr>
              <w:pStyle w:val="16"/>
              <w:jc w:val="center"/>
              <w:rPr>
                <w:u w:val="none"/>
              </w:rPr>
            </w:pPr>
            <w:r>
              <w:rPr>
                <w:rFonts w:hint="eastAsia"/>
                <w:u w:val="none"/>
              </w:rPr>
              <w:t>60</w:t>
            </w:r>
          </w:p>
        </w:tc>
        <w:tc>
          <w:tcPr>
            <w:tcW w:w="970" w:type="pct"/>
            <w:vAlign w:val="center"/>
          </w:tcPr>
          <w:p>
            <w:pPr>
              <w:pStyle w:val="16"/>
              <w:bidi w:val="0"/>
              <w:jc w:val="center"/>
              <w:rPr>
                <w:rFonts w:hint="default"/>
                <w:u w:val="none"/>
                <w:lang w:val="en-US" w:eastAsia="zh-CN"/>
              </w:rPr>
            </w:pPr>
            <w:r>
              <w:rPr>
                <w:rFonts w:hint="eastAsia"/>
                <w:u w:val="none"/>
                <w:lang w:val="en-US" w:eastAsia="zh-CN"/>
              </w:rPr>
              <w:t>100</w:t>
            </w:r>
          </w:p>
        </w:tc>
        <w:tc>
          <w:tcPr>
            <w:tcW w:w="958" w:type="pct"/>
            <w:vAlign w:val="center"/>
          </w:tcPr>
          <w:p>
            <w:pPr>
              <w:pStyle w:val="16"/>
              <w:bidi w:val="0"/>
              <w:jc w:val="center"/>
              <w:rPr>
                <w:u w:val="none"/>
              </w:rPr>
            </w:pPr>
            <w:r>
              <w:rPr>
                <w:rFonts w:hint="eastAsia"/>
                <w:u w:val="none"/>
              </w:rPr>
              <w:t>111</w:t>
            </w:r>
          </w:p>
        </w:tc>
        <w:tc>
          <w:tcPr>
            <w:tcW w:w="830" w:type="pct"/>
            <w:vAlign w:val="center"/>
          </w:tcPr>
          <w:p>
            <w:pPr>
              <w:pStyle w:val="16"/>
              <w:bidi w:val="0"/>
              <w:jc w:val="center"/>
              <w:rPr>
                <w:rFonts w:hint="default"/>
                <w:u w:val="none"/>
                <w:lang w:val="en-US" w:eastAsia="zh-CN"/>
              </w:rPr>
            </w:pPr>
            <w:r>
              <w:rPr>
                <w:rFonts w:hint="eastAsia"/>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vAlign w:val="center"/>
          </w:tcPr>
          <w:p>
            <w:pPr>
              <w:pStyle w:val="16"/>
              <w:jc w:val="center"/>
              <w:rPr>
                <w:u w:val="none"/>
              </w:rPr>
            </w:pPr>
            <w:r>
              <w:rPr>
                <w:rFonts w:hint="eastAsia"/>
                <w:u w:val="none"/>
              </w:rPr>
              <w:t>铜</w:t>
            </w:r>
          </w:p>
        </w:tc>
        <w:tc>
          <w:tcPr>
            <w:tcW w:w="757" w:type="pct"/>
            <w:vMerge w:val="continue"/>
            <w:vAlign w:val="center"/>
          </w:tcPr>
          <w:p>
            <w:pPr>
              <w:pStyle w:val="16"/>
              <w:jc w:val="center"/>
              <w:rPr>
                <w:u w:val="none"/>
              </w:rPr>
            </w:pPr>
          </w:p>
        </w:tc>
        <w:tc>
          <w:tcPr>
            <w:tcW w:w="873" w:type="pct"/>
            <w:vAlign w:val="center"/>
          </w:tcPr>
          <w:p>
            <w:pPr>
              <w:pStyle w:val="16"/>
              <w:jc w:val="center"/>
              <w:rPr>
                <w:u w:val="none"/>
              </w:rPr>
            </w:pPr>
            <w:r>
              <w:rPr>
                <w:rFonts w:hint="eastAsia"/>
                <w:u w:val="none"/>
              </w:rPr>
              <w:t>0.0012</w:t>
            </w:r>
          </w:p>
        </w:tc>
        <w:tc>
          <w:tcPr>
            <w:tcW w:w="1802" w:type="dxa"/>
            <w:vAlign w:val="center"/>
          </w:tcPr>
          <w:p>
            <w:pPr>
              <w:pStyle w:val="16"/>
              <w:bidi w:val="0"/>
              <w:jc w:val="center"/>
              <w:rPr>
                <w:rFonts w:hint="default"/>
                <w:u w:val="none"/>
                <w:lang w:val="en-US"/>
              </w:rPr>
            </w:pPr>
            <w:r>
              <w:rPr>
                <w:rFonts w:hint="eastAsia"/>
                <w:u w:val="none"/>
                <w:lang w:val="en-US" w:eastAsia="zh-CN"/>
              </w:rPr>
              <w:t>0.5</w:t>
            </w:r>
          </w:p>
        </w:tc>
        <w:tc>
          <w:tcPr>
            <w:tcW w:w="958" w:type="pct"/>
            <w:vAlign w:val="center"/>
          </w:tcPr>
          <w:p>
            <w:pPr>
              <w:pStyle w:val="16"/>
              <w:bidi w:val="0"/>
              <w:jc w:val="center"/>
              <w:rPr>
                <w:u w:val="none"/>
              </w:rPr>
            </w:pPr>
            <w:r>
              <w:rPr>
                <w:rFonts w:hint="eastAsia"/>
                <w:u w:val="none"/>
              </w:rPr>
              <w:t>0.00127</w:t>
            </w:r>
          </w:p>
        </w:tc>
        <w:tc>
          <w:tcPr>
            <w:tcW w:w="1542" w:type="dxa"/>
            <w:vAlign w:val="center"/>
          </w:tcPr>
          <w:p>
            <w:pPr>
              <w:pStyle w:val="16"/>
              <w:bidi w:val="0"/>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0" w:type="pct"/>
            <w:vAlign w:val="center"/>
          </w:tcPr>
          <w:p>
            <w:pPr>
              <w:pStyle w:val="16"/>
              <w:jc w:val="center"/>
              <w:rPr>
                <w:u w:val="none"/>
              </w:rPr>
            </w:pPr>
            <w:r>
              <w:rPr>
                <w:rFonts w:hint="eastAsia"/>
                <w:u w:val="none"/>
              </w:rPr>
              <w:t>锌</w:t>
            </w:r>
          </w:p>
        </w:tc>
        <w:tc>
          <w:tcPr>
            <w:tcW w:w="757" w:type="pct"/>
            <w:vMerge w:val="continue"/>
            <w:vAlign w:val="center"/>
          </w:tcPr>
          <w:p>
            <w:pPr>
              <w:pStyle w:val="16"/>
              <w:jc w:val="center"/>
              <w:rPr>
                <w:u w:val="none"/>
              </w:rPr>
            </w:pPr>
          </w:p>
        </w:tc>
        <w:tc>
          <w:tcPr>
            <w:tcW w:w="873" w:type="pct"/>
            <w:vAlign w:val="center"/>
          </w:tcPr>
          <w:p>
            <w:pPr>
              <w:pStyle w:val="16"/>
              <w:jc w:val="center"/>
              <w:rPr>
                <w:u w:val="none"/>
              </w:rPr>
            </w:pPr>
            <w:r>
              <w:rPr>
                <w:rFonts w:hint="eastAsia"/>
                <w:u w:val="none"/>
              </w:rPr>
              <w:t>0.0139</w:t>
            </w:r>
          </w:p>
        </w:tc>
        <w:tc>
          <w:tcPr>
            <w:tcW w:w="1802" w:type="dxa"/>
            <w:vAlign w:val="center"/>
          </w:tcPr>
          <w:p>
            <w:pPr>
              <w:pStyle w:val="16"/>
              <w:bidi w:val="0"/>
              <w:jc w:val="center"/>
              <w:rPr>
                <w:rFonts w:hint="default"/>
                <w:u w:val="none"/>
                <w:lang w:val="en-US"/>
              </w:rPr>
            </w:pPr>
            <w:r>
              <w:rPr>
                <w:rFonts w:hint="eastAsia"/>
                <w:u w:val="none"/>
                <w:lang w:val="en-US" w:eastAsia="zh-CN"/>
              </w:rPr>
              <w:t>2.0</w:t>
            </w:r>
          </w:p>
        </w:tc>
        <w:tc>
          <w:tcPr>
            <w:tcW w:w="958" w:type="pct"/>
            <w:vAlign w:val="center"/>
          </w:tcPr>
          <w:p>
            <w:pPr>
              <w:pStyle w:val="16"/>
              <w:bidi w:val="0"/>
              <w:jc w:val="center"/>
              <w:rPr>
                <w:u w:val="none"/>
              </w:rPr>
            </w:pPr>
            <w:r>
              <w:rPr>
                <w:rFonts w:hint="eastAsia"/>
                <w:u w:val="none"/>
              </w:rPr>
              <w:t>0.033</w:t>
            </w:r>
          </w:p>
        </w:tc>
        <w:tc>
          <w:tcPr>
            <w:tcW w:w="1542" w:type="dxa"/>
            <w:vAlign w:val="center"/>
          </w:tcPr>
          <w:p>
            <w:pPr>
              <w:pStyle w:val="16"/>
              <w:bidi w:val="0"/>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vAlign w:val="center"/>
          </w:tcPr>
          <w:p>
            <w:pPr>
              <w:pStyle w:val="16"/>
              <w:jc w:val="center"/>
              <w:rPr>
                <w:u w:val="none"/>
              </w:rPr>
            </w:pPr>
            <w:r>
              <w:rPr>
                <w:rFonts w:hint="eastAsia"/>
                <w:u w:val="none"/>
              </w:rPr>
              <w:t>铅</w:t>
            </w:r>
          </w:p>
        </w:tc>
        <w:tc>
          <w:tcPr>
            <w:tcW w:w="757" w:type="pct"/>
            <w:vMerge w:val="continue"/>
            <w:vAlign w:val="center"/>
          </w:tcPr>
          <w:p>
            <w:pPr>
              <w:pStyle w:val="16"/>
              <w:jc w:val="center"/>
              <w:rPr>
                <w:u w:val="none"/>
              </w:rPr>
            </w:pPr>
          </w:p>
        </w:tc>
        <w:tc>
          <w:tcPr>
            <w:tcW w:w="873" w:type="pct"/>
            <w:vAlign w:val="center"/>
          </w:tcPr>
          <w:p>
            <w:pPr>
              <w:pStyle w:val="16"/>
              <w:jc w:val="center"/>
              <w:rPr>
                <w:u w:val="none"/>
              </w:rPr>
            </w:pPr>
            <w:r>
              <w:rPr>
                <w:rFonts w:hint="eastAsia"/>
                <w:u w:val="none"/>
              </w:rPr>
              <w:t>0.00029</w:t>
            </w:r>
          </w:p>
        </w:tc>
        <w:tc>
          <w:tcPr>
            <w:tcW w:w="1802" w:type="dxa"/>
            <w:vAlign w:val="center"/>
          </w:tcPr>
          <w:p>
            <w:pPr>
              <w:pStyle w:val="16"/>
              <w:bidi w:val="0"/>
              <w:jc w:val="center"/>
              <w:rPr>
                <w:rFonts w:hint="default"/>
                <w:u w:val="none"/>
                <w:lang w:val="en-US"/>
              </w:rPr>
            </w:pPr>
            <w:r>
              <w:rPr>
                <w:rFonts w:hint="eastAsia"/>
                <w:u w:val="none"/>
                <w:lang w:val="en-US" w:eastAsia="zh-CN"/>
              </w:rPr>
              <w:t>1.0</w:t>
            </w:r>
          </w:p>
        </w:tc>
        <w:tc>
          <w:tcPr>
            <w:tcW w:w="958" w:type="pct"/>
            <w:vAlign w:val="center"/>
          </w:tcPr>
          <w:p>
            <w:pPr>
              <w:pStyle w:val="16"/>
              <w:bidi w:val="0"/>
              <w:jc w:val="center"/>
              <w:rPr>
                <w:u w:val="none"/>
              </w:rPr>
            </w:pPr>
            <w:r>
              <w:rPr>
                <w:rFonts w:hint="eastAsia"/>
                <w:u w:val="none"/>
              </w:rPr>
              <w:t>0.00040</w:t>
            </w:r>
          </w:p>
        </w:tc>
        <w:tc>
          <w:tcPr>
            <w:tcW w:w="1542" w:type="dxa"/>
            <w:vAlign w:val="center"/>
          </w:tcPr>
          <w:p>
            <w:pPr>
              <w:pStyle w:val="16"/>
              <w:bidi w:val="0"/>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vAlign w:val="center"/>
          </w:tcPr>
          <w:p>
            <w:pPr>
              <w:pStyle w:val="16"/>
              <w:jc w:val="center"/>
              <w:rPr>
                <w:u w:val="none"/>
              </w:rPr>
            </w:pPr>
            <w:r>
              <w:rPr>
                <w:rFonts w:hint="eastAsia"/>
                <w:u w:val="none"/>
              </w:rPr>
              <w:t>镉</w:t>
            </w:r>
          </w:p>
        </w:tc>
        <w:tc>
          <w:tcPr>
            <w:tcW w:w="757" w:type="pct"/>
            <w:vMerge w:val="continue"/>
            <w:vAlign w:val="center"/>
          </w:tcPr>
          <w:p>
            <w:pPr>
              <w:pStyle w:val="16"/>
              <w:jc w:val="center"/>
              <w:rPr>
                <w:u w:val="none"/>
              </w:rPr>
            </w:pPr>
          </w:p>
        </w:tc>
        <w:tc>
          <w:tcPr>
            <w:tcW w:w="873" w:type="pct"/>
            <w:vAlign w:val="center"/>
          </w:tcPr>
          <w:p>
            <w:pPr>
              <w:pStyle w:val="16"/>
              <w:jc w:val="center"/>
              <w:rPr>
                <w:u w:val="none"/>
              </w:rPr>
            </w:pPr>
            <w:r>
              <w:rPr>
                <w:rFonts w:hint="eastAsia"/>
                <w:u w:val="none"/>
              </w:rPr>
              <w:t>0.00010</w:t>
            </w:r>
          </w:p>
        </w:tc>
        <w:tc>
          <w:tcPr>
            <w:tcW w:w="1802" w:type="dxa"/>
            <w:vAlign w:val="center"/>
          </w:tcPr>
          <w:p>
            <w:pPr>
              <w:pStyle w:val="16"/>
              <w:bidi w:val="0"/>
              <w:jc w:val="center"/>
              <w:rPr>
                <w:rFonts w:hint="default"/>
                <w:u w:val="none"/>
                <w:lang w:val="en-US"/>
              </w:rPr>
            </w:pPr>
            <w:r>
              <w:rPr>
                <w:rFonts w:hint="eastAsia"/>
                <w:u w:val="none"/>
                <w:lang w:val="en-US" w:eastAsia="zh-CN"/>
              </w:rPr>
              <w:t>0.1</w:t>
            </w:r>
          </w:p>
        </w:tc>
        <w:tc>
          <w:tcPr>
            <w:tcW w:w="958" w:type="pct"/>
            <w:vAlign w:val="center"/>
          </w:tcPr>
          <w:p>
            <w:pPr>
              <w:pStyle w:val="16"/>
              <w:bidi w:val="0"/>
              <w:jc w:val="center"/>
              <w:rPr>
                <w:u w:val="none"/>
              </w:rPr>
            </w:pPr>
            <w:r>
              <w:rPr>
                <w:rFonts w:hint="eastAsia"/>
                <w:u w:val="none"/>
              </w:rPr>
              <w:t>0.00010</w:t>
            </w:r>
          </w:p>
        </w:tc>
        <w:tc>
          <w:tcPr>
            <w:tcW w:w="1542" w:type="dxa"/>
            <w:vAlign w:val="center"/>
          </w:tcPr>
          <w:p>
            <w:pPr>
              <w:pStyle w:val="16"/>
              <w:bidi w:val="0"/>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vAlign w:val="center"/>
          </w:tcPr>
          <w:p>
            <w:pPr>
              <w:pStyle w:val="16"/>
              <w:jc w:val="center"/>
              <w:rPr>
                <w:u w:val="none"/>
              </w:rPr>
            </w:pPr>
            <w:r>
              <w:rPr>
                <w:rFonts w:hint="eastAsia"/>
                <w:u w:val="none"/>
              </w:rPr>
              <w:t>铬</w:t>
            </w:r>
          </w:p>
        </w:tc>
        <w:tc>
          <w:tcPr>
            <w:tcW w:w="757" w:type="pct"/>
            <w:vMerge w:val="continue"/>
            <w:vAlign w:val="center"/>
          </w:tcPr>
          <w:p>
            <w:pPr>
              <w:pStyle w:val="16"/>
              <w:jc w:val="center"/>
              <w:rPr>
                <w:u w:val="none"/>
              </w:rPr>
            </w:pPr>
          </w:p>
        </w:tc>
        <w:tc>
          <w:tcPr>
            <w:tcW w:w="873" w:type="pct"/>
            <w:vAlign w:val="center"/>
          </w:tcPr>
          <w:p>
            <w:pPr>
              <w:pStyle w:val="16"/>
              <w:jc w:val="center"/>
              <w:rPr>
                <w:u w:val="none"/>
              </w:rPr>
            </w:pPr>
            <w:r>
              <w:rPr>
                <w:rFonts w:hint="eastAsia"/>
                <w:u w:val="none"/>
              </w:rPr>
              <w:t>0.0055</w:t>
            </w:r>
          </w:p>
        </w:tc>
        <w:tc>
          <w:tcPr>
            <w:tcW w:w="1802" w:type="dxa"/>
            <w:vAlign w:val="center"/>
          </w:tcPr>
          <w:p>
            <w:pPr>
              <w:pStyle w:val="16"/>
              <w:bidi w:val="0"/>
              <w:jc w:val="center"/>
              <w:rPr>
                <w:rFonts w:hint="default"/>
                <w:u w:val="none"/>
                <w:lang w:val="en-US"/>
              </w:rPr>
            </w:pPr>
            <w:r>
              <w:rPr>
                <w:rFonts w:hint="eastAsia"/>
                <w:u w:val="none"/>
                <w:lang w:val="en-US" w:eastAsia="zh-CN"/>
              </w:rPr>
              <w:t>1.5</w:t>
            </w:r>
          </w:p>
        </w:tc>
        <w:tc>
          <w:tcPr>
            <w:tcW w:w="958" w:type="pct"/>
            <w:vAlign w:val="center"/>
          </w:tcPr>
          <w:p>
            <w:pPr>
              <w:pStyle w:val="16"/>
              <w:bidi w:val="0"/>
              <w:jc w:val="center"/>
              <w:rPr>
                <w:u w:val="none"/>
              </w:rPr>
            </w:pPr>
            <w:r>
              <w:rPr>
                <w:rFonts w:hint="eastAsia"/>
                <w:u w:val="none"/>
              </w:rPr>
              <w:t>0.00606</w:t>
            </w:r>
          </w:p>
        </w:tc>
        <w:tc>
          <w:tcPr>
            <w:tcW w:w="1542" w:type="dxa"/>
            <w:vAlign w:val="center"/>
          </w:tcPr>
          <w:p>
            <w:pPr>
              <w:pStyle w:val="16"/>
              <w:bidi w:val="0"/>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vAlign w:val="center"/>
          </w:tcPr>
          <w:p>
            <w:pPr>
              <w:pStyle w:val="16"/>
              <w:jc w:val="center"/>
              <w:rPr>
                <w:u w:val="none"/>
              </w:rPr>
            </w:pPr>
            <w:r>
              <w:rPr>
                <w:rFonts w:hint="eastAsia"/>
                <w:u w:val="none"/>
              </w:rPr>
              <w:t>砷</w:t>
            </w:r>
          </w:p>
        </w:tc>
        <w:tc>
          <w:tcPr>
            <w:tcW w:w="757" w:type="pct"/>
            <w:vMerge w:val="continue"/>
            <w:vAlign w:val="center"/>
          </w:tcPr>
          <w:p>
            <w:pPr>
              <w:pStyle w:val="16"/>
              <w:jc w:val="center"/>
              <w:rPr>
                <w:u w:val="none"/>
              </w:rPr>
            </w:pPr>
          </w:p>
        </w:tc>
        <w:tc>
          <w:tcPr>
            <w:tcW w:w="873" w:type="pct"/>
            <w:vAlign w:val="center"/>
          </w:tcPr>
          <w:p>
            <w:pPr>
              <w:pStyle w:val="16"/>
              <w:jc w:val="center"/>
              <w:rPr>
                <w:u w:val="none"/>
              </w:rPr>
            </w:pPr>
            <w:r>
              <w:rPr>
                <w:rFonts w:hint="eastAsia"/>
                <w:u w:val="none"/>
              </w:rPr>
              <w:t>0.0466</w:t>
            </w:r>
          </w:p>
        </w:tc>
        <w:tc>
          <w:tcPr>
            <w:tcW w:w="1802" w:type="dxa"/>
            <w:vAlign w:val="center"/>
          </w:tcPr>
          <w:p>
            <w:pPr>
              <w:pStyle w:val="16"/>
              <w:bidi w:val="0"/>
              <w:jc w:val="center"/>
              <w:rPr>
                <w:rFonts w:hint="default"/>
                <w:u w:val="none"/>
                <w:lang w:val="en-US"/>
              </w:rPr>
            </w:pPr>
            <w:r>
              <w:rPr>
                <w:rFonts w:hint="eastAsia"/>
                <w:u w:val="none"/>
                <w:lang w:val="en-US" w:eastAsia="zh-CN"/>
              </w:rPr>
              <w:t>0.5</w:t>
            </w:r>
          </w:p>
        </w:tc>
        <w:tc>
          <w:tcPr>
            <w:tcW w:w="958" w:type="pct"/>
            <w:vAlign w:val="center"/>
          </w:tcPr>
          <w:p>
            <w:pPr>
              <w:pStyle w:val="16"/>
              <w:bidi w:val="0"/>
              <w:jc w:val="center"/>
              <w:rPr>
                <w:u w:val="none"/>
              </w:rPr>
            </w:pPr>
            <w:r>
              <w:rPr>
                <w:rFonts w:hint="eastAsia"/>
                <w:u w:val="none"/>
              </w:rPr>
              <w:t>0.134</w:t>
            </w:r>
          </w:p>
        </w:tc>
        <w:tc>
          <w:tcPr>
            <w:tcW w:w="1542" w:type="dxa"/>
            <w:vAlign w:val="center"/>
          </w:tcPr>
          <w:p>
            <w:pPr>
              <w:pStyle w:val="16"/>
              <w:bidi w:val="0"/>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vAlign w:val="center"/>
          </w:tcPr>
          <w:p>
            <w:pPr>
              <w:pStyle w:val="16"/>
              <w:jc w:val="center"/>
              <w:rPr>
                <w:u w:val="none"/>
              </w:rPr>
            </w:pPr>
            <w:r>
              <w:rPr>
                <w:rFonts w:hint="eastAsia"/>
                <w:u w:val="none"/>
              </w:rPr>
              <w:t>锑</w:t>
            </w:r>
          </w:p>
        </w:tc>
        <w:tc>
          <w:tcPr>
            <w:tcW w:w="757" w:type="pct"/>
            <w:vMerge w:val="continue"/>
            <w:vAlign w:val="center"/>
          </w:tcPr>
          <w:p>
            <w:pPr>
              <w:pStyle w:val="16"/>
              <w:jc w:val="center"/>
              <w:rPr>
                <w:u w:val="none"/>
              </w:rPr>
            </w:pPr>
          </w:p>
        </w:tc>
        <w:tc>
          <w:tcPr>
            <w:tcW w:w="873" w:type="pct"/>
            <w:vAlign w:val="center"/>
          </w:tcPr>
          <w:p>
            <w:pPr>
              <w:pStyle w:val="16"/>
              <w:jc w:val="center"/>
              <w:rPr>
                <w:u w:val="none"/>
              </w:rPr>
            </w:pPr>
            <w:r>
              <w:rPr>
                <w:rFonts w:hint="eastAsia"/>
                <w:u w:val="none"/>
              </w:rPr>
              <w:t>0.0318</w:t>
            </w:r>
          </w:p>
        </w:tc>
        <w:tc>
          <w:tcPr>
            <w:tcW w:w="1802" w:type="dxa"/>
            <w:vAlign w:val="center"/>
          </w:tcPr>
          <w:p>
            <w:pPr>
              <w:pStyle w:val="16"/>
              <w:bidi w:val="0"/>
              <w:jc w:val="center"/>
              <w:rPr>
                <w:rFonts w:hint="default"/>
                <w:u w:val="none"/>
                <w:lang w:val="en-US"/>
              </w:rPr>
            </w:pPr>
            <w:r>
              <w:rPr>
                <w:rFonts w:hint="eastAsia"/>
                <w:u w:val="none"/>
                <w:lang w:val="en-US" w:eastAsia="zh-CN"/>
              </w:rPr>
              <w:t>0.3</w:t>
            </w:r>
          </w:p>
        </w:tc>
        <w:tc>
          <w:tcPr>
            <w:tcW w:w="958" w:type="pct"/>
            <w:vAlign w:val="center"/>
          </w:tcPr>
          <w:p>
            <w:pPr>
              <w:pStyle w:val="16"/>
              <w:bidi w:val="0"/>
              <w:jc w:val="center"/>
              <w:rPr>
                <w:u w:val="none"/>
              </w:rPr>
            </w:pPr>
            <w:r>
              <w:rPr>
                <w:rFonts w:hint="eastAsia"/>
                <w:u w:val="none"/>
              </w:rPr>
              <w:t>0.059</w:t>
            </w:r>
          </w:p>
        </w:tc>
        <w:tc>
          <w:tcPr>
            <w:tcW w:w="1542" w:type="dxa"/>
            <w:vAlign w:val="center"/>
          </w:tcPr>
          <w:p>
            <w:pPr>
              <w:pStyle w:val="16"/>
              <w:bidi w:val="0"/>
              <w:rPr>
                <w:rFonts w:hint="default"/>
                <w:lang w:val="en-US"/>
              </w:rPr>
            </w:pPr>
            <w:r>
              <w:rPr>
                <w:rFonts w:hint="eastAsia"/>
                <w:lang w:val="en-US" w:eastAsia="zh-CN"/>
              </w:rPr>
              <w:t>/</w:t>
            </w:r>
          </w:p>
        </w:tc>
      </w:tr>
    </w:tbl>
    <w:p>
      <w:pPr>
        <w:ind w:firstLine="482"/>
        <w:rPr>
          <w:b/>
          <w:bCs/>
          <w:u w:val="none"/>
        </w:rPr>
      </w:pPr>
      <w:r>
        <w:rPr>
          <w:rFonts w:hint="eastAsia"/>
          <w:b/>
          <w:bCs/>
          <w:u w:val="none"/>
        </w:rPr>
        <w:t>（4）河流本底浓度的确定</w:t>
      </w:r>
    </w:p>
    <w:p>
      <w:pPr>
        <w:ind w:firstLine="480"/>
        <w:rPr>
          <w:rFonts w:hint="eastAsia" w:eastAsia="宋体"/>
          <w:u w:val="none"/>
          <w:lang w:eastAsia="zh-CN"/>
        </w:rPr>
      </w:pPr>
      <w:r>
        <w:rPr>
          <w:u w:val="none"/>
        </w:rPr>
        <w:t>本次评价背景值</w:t>
      </w:r>
      <w:r>
        <w:rPr>
          <w:rFonts w:hint="eastAsia"/>
          <w:u w:val="none"/>
          <w:lang w:val="en-US" w:eastAsia="zh-CN"/>
        </w:rPr>
        <w:t>COD取2023年</w:t>
      </w:r>
      <w:r>
        <w:rPr>
          <w:u w:val="none"/>
        </w:rPr>
        <w:t>取</w:t>
      </w:r>
      <w:r>
        <w:rPr>
          <w:rFonts w:hint="eastAsia"/>
          <w:u w:val="none"/>
          <w:lang w:val="en-US" w:eastAsia="zh-CN"/>
        </w:rPr>
        <w:t>资江京华村断面全年最大值，其余污染物因子取</w:t>
      </w:r>
      <w:r>
        <w:rPr>
          <w:u w:val="none"/>
        </w:rPr>
        <w:t>排污口上游500m现状监测断面最大值</w:t>
      </w:r>
      <w:r>
        <w:rPr>
          <w:rFonts w:hint="eastAsia"/>
          <w:u w:val="none"/>
          <w:lang w:eastAsia="zh-CN"/>
        </w:rPr>
        <w:t>，</w:t>
      </w:r>
      <w:r>
        <w:rPr>
          <w:rFonts w:hint="eastAsia"/>
          <w:u w:val="none"/>
          <w:lang w:val="en-US" w:eastAsia="zh-CN"/>
        </w:rPr>
        <w:t>详见下表</w:t>
      </w:r>
      <w:r>
        <w:rPr>
          <w:rFonts w:hint="eastAsia"/>
          <w:u w:val="none"/>
          <w:lang w:eastAsia="zh-CN"/>
        </w:rPr>
        <w:t>：</w:t>
      </w:r>
    </w:p>
    <w:p>
      <w:pPr>
        <w:spacing w:line="240" w:lineRule="auto"/>
        <w:ind w:firstLine="482"/>
        <w:jc w:val="center"/>
        <w:rPr>
          <w:b/>
          <w:bCs/>
          <w:u w:val="none"/>
        </w:rPr>
      </w:pPr>
      <w:r>
        <w:rPr>
          <w:rFonts w:hint="eastAsia"/>
          <w:b/>
          <w:bCs/>
          <w:u w:val="none"/>
          <w:lang w:val="en-US" w:eastAsia="zh-CN"/>
        </w:rPr>
        <w:t>表6.1.3-3资江京华村断面浓度值单位：</w:t>
      </w:r>
      <w:r>
        <w:rPr>
          <w:b/>
          <w:bCs/>
          <w:u w:val="none"/>
        </w:rPr>
        <w:t>mg/L</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1"/>
        <w:gridCol w:w="7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pct"/>
            <w:vAlign w:val="center"/>
          </w:tcPr>
          <w:p>
            <w:pPr>
              <w:pStyle w:val="16"/>
              <w:bidi w:val="0"/>
              <w:rPr>
                <w:rFonts w:hint="eastAsia"/>
                <w:lang w:eastAsia="zh-CN"/>
              </w:rPr>
            </w:pPr>
            <w:r>
              <w:rPr>
                <w:rFonts w:hint="eastAsia"/>
                <w:lang w:val="en-US" w:eastAsia="zh-CN"/>
              </w:rPr>
              <w:t>月份</w:t>
            </w:r>
          </w:p>
        </w:tc>
        <w:tc>
          <w:tcPr>
            <w:tcW w:w="3798" w:type="pct"/>
            <w:vAlign w:val="center"/>
          </w:tcPr>
          <w:p>
            <w:pPr>
              <w:pStyle w:val="16"/>
              <w:bidi w:val="0"/>
            </w:pPr>
            <w:r>
              <w:rPr>
                <w:rFonts w:hint="eastAsia"/>
              </w:rPr>
              <w:t>资水背景</w:t>
            </w:r>
            <w:r>
              <w:t>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1" w:type="dxa"/>
            <w:vAlign w:val="center"/>
          </w:tcPr>
          <w:p>
            <w:pPr>
              <w:pStyle w:val="16"/>
              <w:bidi w:val="0"/>
              <w:rPr>
                <w:rFonts w:hint="eastAsia"/>
                <w:lang w:eastAsia="zh-CN"/>
              </w:rPr>
            </w:pPr>
            <w:r>
              <w:rPr>
                <w:rFonts w:hint="eastAsia"/>
                <w:lang w:val="en-US" w:eastAsia="zh-CN"/>
              </w:rPr>
              <w:t>1</w:t>
            </w:r>
          </w:p>
        </w:tc>
        <w:tc>
          <w:tcPr>
            <w:tcW w:w="7055" w:type="dxa"/>
            <w:vAlign w:val="center"/>
          </w:tcPr>
          <w:p>
            <w:pPr>
              <w:pStyle w:val="16"/>
              <w:bidi w:val="0"/>
            </w:pPr>
            <w:r>
              <w:rPr>
                <w:rFonts w:hint="eastAsia"/>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1" w:type="dxa"/>
            <w:vAlign w:val="center"/>
          </w:tcPr>
          <w:p>
            <w:pPr>
              <w:pStyle w:val="16"/>
              <w:bidi w:val="0"/>
              <w:rPr>
                <w:rFonts w:hint="eastAsia"/>
                <w:lang w:eastAsia="zh-CN"/>
              </w:rPr>
            </w:pPr>
            <w:r>
              <w:rPr>
                <w:rFonts w:hint="eastAsia"/>
                <w:lang w:val="en-US" w:eastAsia="zh-CN"/>
              </w:rPr>
              <w:t>2</w:t>
            </w:r>
          </w:p>
        </w:tc>
        <w:tc>
          <w:tcPr>
            <w:tcW w:w="7055" w:type="dxa"/>
            <w:vAlign w:val="center"/>
          </w:tcPr>
          <w:p>
            <w:pPr>
              <w:pStyle w:val="16"/>
              <w:bidi w:val="0"/>
            </w:pPr>
            <w:r>
              <w:rPr>
                <w:rFonts w:hint="eastAsia"/>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1" w:type="dxa"/>
            <w:vAlign w:val="center"/>
          </w:tcPr>
          <w:p>
            <w:pPr>
              <w:pStyle w:val="16"/>
              <w:bidi w:val="0"/>
            </w:pPr>
            <w:r>
              <w:rPr>
                <w:rFonts w:hint="eastAsia"/>
                <w:lang w:val="en-US" w:eastAsia="zh-CN"/>
              </w:rPr>
              <w:t>3</w:t>
            </w:r>
          </w:p>
        </w:tc>
        <w:tc>
          <w:tcPr>
            <w:tcW w:w="7055" w:type="dxa"/>
            <w:vAlign w:val="center"/>
          </w:tcPr>
          <w:p>
            <w:pPr>
              <w:pStyle w:val="16"/>
              <w:bidi w:val="0"/>
            </w:pPr>
            <w:r>
              <w:rPr>
                <w:rFonts w:hint="eastAsia"/>
                <w:lang w:val="en-US" w:eastAsia="zh-CN"/>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31" w:type="dxa"/>
            <w:vAlign w:val="center"/>
          </w:tcPr>
          <w:p>
            <w:pPr>
              <w:pStyle w:val="16"/>
              <w:bidi w:val="0"/>
            </w:pPr>
            <w:r>
              <w:rPr>
                <w:rFonts w:hint="eastAsia"/>
                <w:lang w:val="en-US" w:eastAsia="zh-CN"/>
              </w:rPr>
              <w:t>4</w:t>
            </w:r>
          </w:p>
        </w:tc>
        <w:tc>
          <w:tcPr>
            <w:tcW w:w="7055" w:type="dxa"/>
            <w:vAlign w:val="center"/>
          </w:tcPr>
          <w:p>
            <w:pPr>
              <w:pStyle w:val="16"/>
              <w:bidi w:val="0"/>
            </w:pPr>
            <w:r>
              <w:rPr>
                <w:rFonts w:hint="eastAsia"/>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1" w:type="dxa"/>
            <w:vAlign w:val="center"/>
          </w:tcPr>
          <w:p>
            <w:pPr>
              <w:pStyle w:val="16"/>
              <w:bidi w:val="0"/>
            </w:pPr>
            <w:r>
              <w:rPr>
                <w:rFonts w:hint="eastAsia"/>
                <w:lang w:val="en-US" w:eastAsia="zh-CN"/>
              </w:rPr>
              <w:t>5</w:t>
            </w:r>
          </w:p>
        </w:tc>
        <w:tc>
          <w:tcPr>
            <w:tcW w:w="7055" w:type="dxa"/>
            <w:vAlign w:val="center"/>
          </w:tcPr>
          <w:p>
            <w:pPr>
              <w:pStyle w:val="16"/>
              <w:bidi w:val="0"/>
            </w:pPr>
            <w:r>
              <w:rPr>
                <w:rFonts w:hint="eastAsia"/>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1" w:type="dxa"/>
            <w:vAlign w:val="center"/>
          </w:tcPr>
          <w:p>
            <w:pPr>
              <w:pStyle w:val="16"/>
              <w:bidi w:val="0"/>
            </w:pPr>
            <w:r>
              <w:rPr>
                <w:rFonts w:hint="eastAsia"/>
                <w:lang w:val="en-US" w:eastAsia="zh-CN"/>
              </w:rPr>
              <w:t>6</w:t>
            </w:r>
          </w:p>
        </w:tc>
        <w:tc>
          <w:tcPr>
            <w:tcW w:w="7055" w:type="dxa"/>
            <w:vAlign w:val="center"/>
          </w:tcPr>
          <w:p>
            <w:pPr>
              <w:pStyle w:val="16"/>
              <w:bidi w:val="0"/>
            </w:pPr>
            <w:r>
              <w:rPr>
                <w:rFonts w:hint="eastAsia"/>
                <w:lang w:val="en-US" w:eastAsia="zh-CN"/>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1" w:type="dxa"/>
            <w:vAlign w:val="center"/>
          </w:tcPr>
          <w:p>
            <w:pPr>
              <w:pStyle w:val="16"/>
              <w:bidi w:val="0"/>
            </w:pPr>
            <w:r>
              <w:rPr>
                <w:rFonts w:hint="eastAsia"/>
                <w:lang w:val="en-US" w:eastAsia="zh-CN"/>
              </w:rPr>
              <w:t>7</w:t>
            </w:r>
          </w:p>
        </w:tc>
        <w:tc>
          <w:tcPr>
            <w:tcW w:w="7055" w:type="dxa"/>
            <w:vAlign w:val="center"/>
          </w:tcPr>
          <w:p>
            <w:pPr>
              <w:pStyle w:val="16"/>
              <w:bidi w:val="0"/>
            </w:pPr>
            <w:r>
              <w:rPr>
                <w:rFonts w:hint="eastAsia"/>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1" w:type="dxa"/>
            <w:vAlign w:val="center"/>
          </w:tcPr>
          <w:p>
            <w:pPr>
              <w:pStyle w:val="16"/>
              <w:bidi w:val="0"/>
            </w:pPr>
            <w:r>
              <w:rPr>
                <w:rFonts w:hint="eastAsia"/>
                <w:lang w:val="en-US" w:eastAsia="zh-CN"/>
              </w:rPr>
              <w:t>8</w:t>
            </w:r>
          </w:p>
        </w:tc>
        <w:tc>
          <w:tcPr>
            <w:tcW w:w="7055" w:type="dxa"/>
            <w:vAlign w:val="center"/>
          </w:tcPr>
          <w:p>
            <w:pPr>
              <w:pStyle w:val="16"/>
              <w:bidi w:val="0"/>
            </w:pPr>
            <w:r>
              <w:rPr>
                <w:rFonts w:hint="eastAsia"/>
                <w:lang w:val="en-US" w:eastAsia="zh-CN"/>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1" w:type="dxa"/>
            <w:vAlign w:val="center"/>
          </w:tcPr>
          <w:p>
            <w:pPr>
              <w:pStyle w:val="16"/>
              <w:bidi w:val="0"/>
              <w:rPr>
                <w:rFonts w:hint="eastAsia"/>
              </w:rPr>
            </w:pPr>
            <w:r>
              <w:rPr>
                <w:rFonts w:hint="eastAsia"/>
                <w:lang w:val="en-US" w:eastAsia="zh-CN"/>
              </w:rPr>
              <w:t>9</w:t>
            </w:r>
          </w:p>
        </w:tc>
        <w:tc>
          <w:tcPr>
            <w:tcW w:w="7055" w:type="dxa"/>
            <w:vAlign w:val="center"/>
          </w:tcPr>
          <w:p>
            <w:pPr>
              <w:pStyle w:val="16"/>
              <w:bidi w:val="0"/>
            </w:pPr>
            <w:r>
              <w:rPr>
                <w:rFonts w:hint="eastAsia"/>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1" w:type="dxa"/>
            <w:vAlign w:val="center"/>
          </w:tcPr>
          <w:p>
            <w:pPr>
              <w:pStyle w:val="16"/>
              <w:bidi w:val="0"/>
              <w:rPr>
                <w:rFonts w:hint="eastAsia"/>
              </w:rPr>
            </w:pPr>
            <w:r>
              <w:rPr>
                <w:rFonts w:hint="eastAsia"/>
                <w:lang w:val="en-US" w:eastAsia="zh-CN"/>
              </w:rPr>
              <w:t>10</w:t>
            </w:r>
          </w:p>
        </w:tc>
        <w:tc>
          <w:tcPr>
            <w:tcW w:w="7055" w:type="dxa"/>
            <w:vAlign w:val="center"/>
          </w:tcPr>
          <w:p>
            <w:pPr>
              <w:pStyle w:val="16"/>
              <w:bidi w:val="0"/>
            </w:pPr>
            <w:r>
              <w:rPr>
                <w:rFonts w:hint="eastAsia"/>
                <w:lang w:val="en-US" w:eastAsia="zh-CN"/>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1" w:type="dxa"/>
            <w:vAlign w:val="center"/>
          </w:tcPr>
          <w:p>
            <w:pPr>
              <w:pStyle w:val="16"/>
              <w:bidi w:val="0"/>
              <w:rPr>
                <w:rFonts w:hint="eastAsia"/>
              </w:rPr>
            </w:pPr>
            <w:r>
              <w:rPr>
                <w:rFonts w:hint="eastAsia"/>
                <w:lang w:val="en-US" w:eastAsia="zh-CN"/>
              </w:rPr>
              <w:t>11</w:t>
            </w:r>
          </w:p>
        </w:tc>
        <w:tc>
          <w:tcPr>
            <w:tcW w:w="7055" w:type="dxa"/>
            <w:vAlign w:val="center"/>
          </w:tcPr>
          <w:p>
            <w:pPr>
              <w:pStyle w:val="16"/>
              <w:bidi w:val="0"/>
            </w:pPr>
            <w:r>
              <w:rPr>
                <w:rFonts w:hint="eastAsia"/>
                <w:lang w:val="en-US" w:eastAsia="zh-CN"/>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1" w:type="dxa"/>
            <w:vAlign w:val="center"/>
          </w:tcPr>
          <w:p>
            <w:pPr>
              <w:pStyle w:val="16"/>
              <w:bidi w:val="0"/>
              <w:rPr>
                <w:rFonts w:hint="eastAsia"/>
              </w:rPr>
            </w:pPr>
            <w:r>
              <w:rPr>
                <w:rFonts w:hint="eastAsia"/>
                <w:lang w:val="en-US" w:eastAsia="zh-CN"/>
              </w:rPr>
              <w:t>12</w:t>
            </w:r>
          </w:p>
        </w:tc>
        <w:tc>
          <w:tcPr>
            <w:tcW w:w="7055" w:type="dxa"/>
            <w:vAlign w:val="center"/>
          </w:tcPr>
          <w:p>
            <w:pPr>
              <w:pStyle w:val="16"/>
              <w:bidi w:val="0"/>
            </w:pPr>
            <w:r>
              <w:rPr>
                <w:rFonts w:hint="eastAsia"/>
                <w:lang w:val="en-US" w:eastAsia="zh-CN"/>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1" w:type="dxa"/>
            <w:vAlign w:val="center"/>
          </w:tcPr>
          <w:p>
            <w:pPr>
              <w:pStyle w:val="16"/>
              <w:bidi w:val="0"/>
              <w:rPr>
                <w:rFonts w:hint="eastAsia"/>
              </w:rPr>
            </w:pPr>
            <w:r>
              <w:rPr>
                <w:rFonts w:hint="eastAsia"/>
                <w:lang w:val="en-US" w:eastAsia="zh-CN"/>
              </w:rPr>
              <w:t>最大值</w:t>
            </w:r>
          </w:p>
        </w:tc>
        <w:tc>
          <w:tcPr>
            <w:tcW w:w="7055" w:type="dxa"/>
            <w:vAlign w:val="center"/>
          </w:tcPr>
          <w:p>
            <w:pPr>
              <w:pStyle w:val="16"/>
              <w:bidi w:val="0"/>
              <w:rPr>
                <w:rFonts w:hint="default"/>
                <w:lang w:val="en-US"/>
              </w:rPr>
            </w:pPr>
            <w:r>
              <w:rPr>
                <w:rFonts w:hint="eastAsia"/>
                <w:lang w:val="en-US" w:eastAsia="zh-CN"/>
              </w:rPr>
              <w:t>12.3</w:t>
            </w:r>
          </w:p>
        </w:tc>
      </w:tr>
    </w:tbl>
    <w:p>
      <w:pPr>
        <w:spacing w:line="240" w:lineRule="auto"/>
        <w:ind w:firstLine="482"/>
        <w:jc w:val="center"/>
        <w:rPr>
          <w:b/>
          <w:bCs/>
          <w:u w:val="none"/>
        </w:rPr>
      </w:pPr>
      <w:r>
        <w:rPr>
          <w:b/>
          <w:bCs/>
          <w:u w:val="none"/>
        </w:rPr>
        <w:t>表</w:t>
      </w:r>
      <w:r>
        <w:rPr>
          <w:rFonts w:hint="eastAsia"/>
          <w:b/>
          <w:bCs/>
          <w:u w:val="none"/>
        </w:rPr>
        <w:t>6.1.3-</w:t>
      </w:r>
      <w:r>
        <w:rPr>
          <w:rFonts w:hint="eastAsia"/>
          <w:b/>
          <w:bCs/>
          <w:u w:val="none"/>
          <w:lang w:val="en-US" w:eastAsia="zh-CN"/>
        </w:rPr>
        <w:t>4</w:t>
      </w:r>
      <w:r>
        <w:rPr>
          <w:b/>
          <w:bCs/>
          <w:u w:val="none"/>
        </w:rPr>
        <w:t>河流本底浓度值表单位：mg/L</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1"/>
        <w:gridCol w:w="7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pct"/>
            <w:vAlign w:val="center"/>
          </w:tcPr>
          <w:p>
            <w:pPr>
              <w:pStyle w:val="16"/>
              <w:jc w:val="center"/>
              <w:rPr>
                <w:u w:val="none"/>
              </w:rPr>
            </w:pPr>
            <w:r>
              <w:rPr>
                <w:u w:val="none"/>
              </w:rPr>
              <w:t>项目</w:t>
            </w:r>
          </w:p>
        </w:tc>
        <w:tc>
          <w:tcPr>
            <w:tcW w:w="3798" w:type="pct"/>
            <w:vAlign w:val="center"/>
          </w:tcPr>
          <w:p>
            <w:pPr>
              <w:pStyle w:val="16"/>
              <w:jc w:val="center"/>
              <w:rPr>
                <w:u w:val="none"/>
              </w:rPr>
            </w:pPr>
            <w:r>
              <w:rPr>
                <w:rFonts w:hint="eastAsia"/>
                <w:u w:val="none"/>
              </w:rPr>
              <w:t>资水背景</w:t>
            </w:r>
            <w:r>
              <w:rPr>
                <w:u w:val="none"/>
              </w:rPr>
              <w:t>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pct"/>
            <w:vAlign w:val="center"/>
          </w:tcPr>
          <w:p>
            <w:pPr>
              <w:pStyle w:val="16"/>
              <w:jc w:val="center"/>
              <w:rPr>
                <w:u w:val="none"/>
              </w:rPr>
            </w:pPr>
            <w:r>
              <w:rPr>
                <w:rFonts w:hint="eastAsia"/>
                <w:u w:val="none"/>
              </w:rPr>
              <w:t>COD</w:t>
            </w:r>
          </w:p>
        </w:tc>
        <w:tc>
          <w:tcPr>
            <w:tcW w:w="3798" w:type="pct"/>
            <w:vAlign w:val="center"/>
          </w:tcPr>
          <w:p>
            <w:pPr>
              <w:pStyle w:val="16"/>
              <w:jc w:val="center"/>
              <w:rPr>
                <w:rFonts w:hint="default" w:eastAsiaTheme="minorEastAsia"/>
                <w:u w:val="none"/>
                <w:lang w:val="en-US" w:eastAsia="zh-CN"/>
              </w:rPr>
            </w:pPr>
            <w:r>
              <w:rPr>
                <w:rFonts w:hint="eastAsia"/>
                <w:u w:val="none"/>
                <w:lang w:val="en-US" w:eastAsia="zh-CN"/>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pct"/>
            <w:vAlign w:val="center"/>
          </w:tcPr>
          <w:p>
            <w:pPr>
              <w:pStyle w:val="16"/>
              <w:jc w:val="center"/>
              <w:rPr>
                <w:u w:val="none"/>
              </w:rPr>
            </w:pPr>
            <w:r>
              <w:rPr>
                <w:rFonts w:hint="eastAsia"/>
                <w:u w:val="none"/>
              </w:rPr>
              <w:t>铜</w:t>
            </w:r>
          </w:p>
        </w:tc>
        <w:tc>
          <w:tcPr>
            <w:tcW w:w="3798" w:type="pct"/>
            <w:vAlign w:val="center"/>
          </w:tcPr>
          <w:p>
            <w:pPr>
              <w:pStyle w:val="16"/>
              <w:jc w:val="center"/>
              <w:rPr>
                <w:u w:val="none"/>
              </w:rPr>
            </w:pPr>
            <w:r>
              <w:rPr>
                <w:u w:val="none"/>
              </w:rPr>
              <w:t>0.00057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pct"/>
            <w:vAlign w:val="center"/>
          </w:tcPr>
          <w:p>
            <w:pPr>
              <w:pStyle w:val="16"/>
              <w:jc w:val="center"/>
              <w:rPr>
                <w:u w:val="none"/>
              </w:rPr>
            </w:pPr>
            <w:r>
              <w:rPr>
                <w:rFonts w:hint="eastAsia"/>
                <w:u w:val="none"/>
              </w:rPr>
              <w:t>锌</w:t>
            </w:r>
          </w:p>
        </w:tc>
        <w:tc>
          <w:tcPr>
            <w:tcW w:w="3798" w:type="pct"/>
            <w:vAlign w:val="center"/>
          </w:tcPr>
          <w:p>
            <w:pPr>
              <w:pStyle w:val="16"/>
              <w:jc w:val="center"/>
              <w:rPr>
                <w:u w:val="none"/>
              </w:rPr>
            </w:pPr>
            <w:r>
              <w:rPr>
                <w:u w:val="none"/>
              </w:rPr>
              <w:t>0.00180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pct"/>
            <w:vAlign w:val="center"/>
          </w:tcPr>
          <w:p>
            <w:pPr>
              <w:pStyle w:val="16"/>
              <w:jc w:val="center"/>
              <w:rPr>
                <w:u w:val="none"/>
              </w:rPr>
            </w:pPr>
            <w:r>
              <w:rPr>
                <w:rFonts w:hint="eastAsia"/>
                <w:u w:val="none"/>
              </w:rPr>
              <w:t>铅</w:t>
            </w:r>
          </w:p>
        </w:tc>
        <w:tc>
          <w:tcPr>
            <w:tcW w:w="3798" w:type="pct"/>
            <w:vAlign w:val="center"/>
          </w:tcPr>
          <w:p>
            <w:pPr>
              <w:pStyle w:val="16"/>
              <w:jc w:val="center"/>
              <w:rPr>
                <w:u w:val="none"/>
              </w:rPr>
            </w:pPr>
            <w:r>
              <w:rPr>
                <w:u w:val="none"/>
              </w:rPr>
              <w:t>0.00009L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pct"/>
            <w:vAlign w:val="center"/>
          </w:tcPr>
          <w:p>
            <w:pPr>
              <w:pStyle w:val="16"/>
              <w:jc w:val="center"/>
              <w:rPr>
                <w:u w:val="none"/>
              </w:rPr>
            </w:pPr>
            <w:r>
              <w:rPr>
                <w:rFonts w:hint="eastAsia"/>
                <w:u w:val="none"/>
              </w:rPr>
              <w:t>镉</w:t>
            </w:r>
          </w:p>
        </w:tc>
        <w:tc>
          <w:tcPr>
            <w:tcW w:w="3798" w:type="pct"/>
            <w:vAlign w:val="center"/>
          </w:tcPr>
          <w:p>
            <w:pPr>
              <w:pStyle w:val="16"/>
              <w:jc w:val="center"/>
              <w:rPr>
                <w:u w:val="none"/>
              </w:rPr>
            </w:pPr>
            <w:r>
              <w:rPr>
                <w:u w:val="none"/>
              </w:rPr>
              <w:t>0.00005L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pct"/>
            <w:vAlign w:val="center"/>
          </w:tcPr>
          <w:p>
            <w:pPr>
              <w:pStyle w:val="16"/>
              <w:jc w:val="center"/>
              <w:rPr>
                <w:u w:val="none"/>
              </w:rPr>
            </w:pPr>
            <w:r>
              <w:rPr>
                <w:rFonts w:hint="eastAsia"/>
                <w:u w:val="none"/>
              </w:rPr>
              <w:t>铬</w:t>
            </w:r>
          </w:p>
        </w:tc>
        <w:tc>
          <w:tcPr>
            <w:tcW w:w="3798" w:type="pct"/>
            <w:vAlign w:val="center"/>
          </w:tcPr>
          <w:p>
            <w:pPr>
              <w:pStyle w:val="16"/>
              <w:jc w:val="center"/>
              <w:rPr>
                <w:u w:val="none"/>
              </w:rPr>
            </w:pPr>
            <w:r>
              <w:rPr>
                <w:u w:val="none"/>
              </w:rPr>
              <w:t>0.00049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pct"/>
            <w:vAlign w:val="center"/>
          </w:tcPr>
          <w:p>
            <w:pPr>
              <w:pStyle w:val="16"/>
              <w:jc w:val="center"/>
              <w:rPr>
                <w:u w:val="none"/>
              </w:rPr>
            </w:pPr>
            <w:r>
              <w:rPr>
                <w:rFonts w:hint="eastAsia"/>
                <w:u w:val="none"/>
              </w:rPr>
              <w:t>砷</w:t>
            </w:r>
          </w:p>
        </w:tc>
        <w:tc>
          <w:tcPr>
            <w:tcW w:w="3798" w:type="pct"/>
            <w:vAlign w:val="center"/>
          </w:tcPr>
          <w:p>
            <w:pPr>
              <w:pStyle w:val="16"/>
              <w:jc w:val="center"/>
              <w:rPr>
                <w:u w:val="none"/>
              </w:rPr>
            </w:pPr>
            <w:r>
              <w:rPr>
                <w:u w:val="none"/>
              </w:rPr>
              <w:t>0.0046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pct"/>
            <w:vAlign w:val="center"/>
          </w:tcPr>
          <w:p>
            <w:pPr>
              <w:pStyle w:val="16"/>
              <w:jc w:val="center"/>
              <w:rPr>
                <w:u w:val="none"/>
              </w:rPr>
            </w:pPr>
            <w:r>
              <w:rPr>
                <w:rFonts w:hint="eastAsia"/>
                <w:u w:val="none"/>
              </w:rPr>
              <w:t>锑</w:t>
            </w:r>
          </w:p>
        </w:tc>
        <w:tc>
          <w:tcPr>
            <w:tcW w:w="3798" w:type="pct"/>
            <w:vAlign w:val="center"/>
          </w:tcPr>
          <w:p>
            <w:pPr>
              <w:pStyle w:val="16"/>
              <w:jc w:val="center"/>
              <w:rPr>
                <w:u w:val="none"/>
              </w:rPr>
            </w:pPr>
            <w:r>
              <w:rPr>
                <w:u w:val="none"/>
              </w:rPr>
              <w:t>0.004</w:t>
            </w:r>
            <w:r>
              <w:rPr>
                <w:rFonts w:hint="eastAsia"/>
                <w:u w:val="none"/>
              </w:rPr>
              <w:t>8</w:t>
            </w:r>
          </w:p>
        </w:tc>
      </w:tr>
    </w:tbl>
    <w:p>
      <w:pPr>
        <w:ind w:firstLine="482"/>
        <w:rPr>
          <w:b/>
          <w:bCs/>
          <w:u w:val="none"/>
        </w:rPr>
      </w:pPr>
      <w:r>
        <w:rPr>
          <w:rFonts w:hint="eastAsia"/>
          <w:b/>
          <w:bCs/>
          <w:u w:val="none"/>
        </w:rPr>
        <w:t>（5）地表水预测项目环境质量标准</w:t>
      </w:r>
    </w:p>
    <w:p>
      <w:pPr>
        <w:ind w:firstLine="480"/>
        <w:rPr>
          <w:u w:val="none"/>
        </w:rPr>
      </w:pPr>
      <w:r>
        <w:rPr>
          <w:rFonts w:hint="eastAsia"/>
          <w:u w:val="none"/>
        </w:rPr>
        <w:t>项目排污口纳污水体水质执行《地表水环境质量标准》（GB3838-2002）Ⅱ类水质标准，各标准见表</w:t>
      </w:r>
      <w:r>
        <w:rPr>
          <w:u w:val="none"/>
        </w:rPr>
        <w:t>6.1.3-</w:t>
      </w:r>
      <w:r>
        <w:rPr>
          <w:rFonts w:hint="eastAsia"/>
          <w:u w:val="none"/>
          <w:lang w:val="en-US" w:eastAsia="zh-CN"/>
        </w:rPr>
        <w:t>5</w:t>
      </w:r>
      <w:r>
        <w:rPr>
          <w:rFonts w:hint="eastAsia"/>
          <w:u w:val="none"/>
        </w:rPr>
        <w:t>。</w:t>
      </w:r>
    </w:p>
    <w:p>
      <w:pPr>
        <w:spacing w:line="240" w:lineRule="auto"/>
        <w:ind w:firstLine="482"/>
        <w:jc w:val="center"/>
        <w:rPr>
          <w:b/>
          <w:bCs/>
          <w:u w:val="none"/>
        </w:rPr>
      </w:pPr>
      <w:r>
        <w:rPr>
          <w:b/>
          <w:bCs/>
          <w:u w:val="none"/>
        </w:rPr>
        <w:t>表</w:t>
      </w:r>
      <w:r>
        <w:rPr>
          <w:rFonts w:hint="eastAsia"/>
          <w:b/>
          <w:bCs/>
          <w:u w:val="none"/>
        </w:rPr>
        <w:t>6.1.3-</w:t>
      </w:r>
      <w:r>
        <w:rPr>
          <w:rFonts w:hint="eastAsia"/>
          <w:b/>
          <w:bCs/>
          <w:u w:val="none"/>
          <w:lang w:val="en-US" w:eastAsia="zh-CN"/>
        </w:rPr>
        <w:t>5</w:t>
      </w:r>
      <w:r>
        <w:rPr>
          <w:b/>
          <w:bCs/>
          <w:u w:val="none"/>
        </w:rPr>
        <w:t>执行的水质标准表</w:t>
      </w:r>
    </w:p>
    <w:tbl>
      <w:tblPr>
        <w:tblStyle w:val="32"/>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33"/>
        <w:gridCol w:w="3653"/>
        <w:gridCol w:w="31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trPr>
        <w:tc>
          <w:tcPr>
            <w:tcW w:w="1310" w:type="pct"/>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污染物名称</w:t>
            </w:r>
          </w:p>
        </w:tc>
        <w:tc>
          <w:tcPr>
            <w:tcW w:w="1967" w:type="pct"/>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标准限值</w:t>
            </w:r>
          </w:p>
        </w:tc>
        <w:tc>
          <w:tcPr>
            <w:tcW w:w="1721" w:type="pct"/>
            <w:tcBorders>
              <w:tl2br w:val="nil"/>
              <w:tr2bl w:val="nil"/>
            </w:tcBorders>
            <w:vAlign w:val="center"/>
          </w:tcPr>
          <w:p>
            <w:pPr>
              <w:widowControl w:val="0"/>
              <w:spacing w:line="240" w:lineRule="auto"/>
              <w:ind w:firstLine="0" w:firstLineChars="0"/>
              <w:jc w:val="center"/>
              <w:rPr>
                <w:sz w:val="21"/>
                <w:szCs w:val="21"/>
                <w:u w:val="none"/>
              </w:rPr>
            </w:pPr>
            <w:r>
              <w:rPr>
                <w:rFonts w:hint="eastAsia"/>
                <w:sz w:val="21"/>
                <w:szCs w:val="21"/>
                <w:u w:val="none"/>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0" w:type="pct"/>
            <w:tcBorders>
              <w:tl2br w:val="nil"/>
              <w:tr2bl w:val="nil"/>
            </w:tcBorders>
            <w:vAlign w:val="center"/>
          </w:tcPr>
          <w:p>
            <w:pPr>
              <w:widowControl w:val="0"/>
              <w:spacing w:line="240" w:lineRule="auto"/>
              <w:ind w:firstLine="0" w:firstLineChars="0"/>
              <w:jc w:val="center"/>
              <w:rPr>
                <w:sz w:val="21"/>
                <w:szCs w:val="21"/>
                <w:u w:val="none"/>
              </w:rPr>
            </w:pPr>
            <w:r>
              <w:rPr>
                <w:rFonts w:hint="eastAsia"/>
                <w:sz w:val="21"/>
                <w:szCs w:val="21"/>
                <w:u w:val="none"/>
              </w:rPr>
              <w:t>化学需氧量</w:t>
            </w:r>
          </w:p>
        </w:tc>
        <w:tc>
          <w:tcPr>
            <w:tcW w:w="1967" w:type="pct"/>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w:t>
            </w:r>
            <w:r>
              <w:rPr>
                <w:rFonts w:hint="eastAsia" w:eastAsiaTheme="minorEastAsia"/>
                <w:sz w:val="21"/>
                <w:szCs w:val="21"/>
                <w:u w:val="none"/>
              </w:rPr>
              <w:t>15</w:t>
            </w:r>
          </w:p>
        </w:tc>
        <w:tc>
          <w:tcPr>
            <w:tcW w:w="1721" w:type="pct"/>
            <w:vMerge w:val="restart"/>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GB3838</w:t>
            </w:r>
            <w:r>
              <w:rPr>
                <w:rFonts w:hint="eastAsia" w:eastAsiaTheme="minorEastAsia"/>
                <w:sz w:val="21"/>
                <w:szCs w:val="21"/>
                <w:u w:val="none"/>
              </w:rPr>
              <w:t>-</w:t>
            </w:r>
            <w:r>
              <w:rPr>
                <w:sz w:val="21"/>
                <w:szCs w:val="21"/>
                <w:u w:val="none"/>
              </w:rPr>
              <w:t>2002Ⅱ</w:t>
            </w:r>
            <w:r>
              <w:rPr>
                <w:rFonts w:hint="eastAsia" w:ascii="宋体" w:hAnsi="宋体" w:cs="宋体"/>
                <w:sz w:val="21"/>
                <w:szCs w:val="21"/>
                <w:u w:val="none"/>
              </w:rPr>
              <w:t>类水质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0" w:type="pct"/>
            <w:tcBorders>
              <w:tl2br w:val="nil"/>
              <w:tr2bl w:val="nil"/>
            </w:tcBorders>
            <w:vAlign w:val="center"/>
          </w:tcPr>
          <w:p>
            <w:pPr>
              <w:pStyle w:val="16"/>
              <w:jc w:val="center"/>
              <w:rPr>
                <w:szCs w:val="21"/>
                <w:u w:val="none"/>
              </w:rPr>
            </w:pPr>
            <w:r>
              <w:rPr>
                <w:rFonts w:hint="eastAsia"/>
                <w:u w:val="none"/>
              </w:rPr>
              <w:t>铜</w:t>
            </w:r>
          </w:p>
        </w:tc>
        <w:tc>
          <w:tcPr>
            <w:tcW w:w="1967" w:type="pct"/>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w:t>
            </w:r>
            <w:r>
              <w:rPr>
                <w:rFonts w:hint="eastAsia"/>
                <w:sz w:val="21"/>
                <w:szCs w:val="21"/>
                <w:u w:val="none"/>
              </w:rPr>
              <w:t>1.0</w:t>
            </w:r>
          </w:p>
        </w:tc>
        <w:tc>
          <w:tcPr>
            <w:tcW w:w="1721" w:type="pct"/>
            <w:vMerge w:val="continue"/>
            <w:tcBorders>
              <w:tl2br w:val="nil"/>
              <w:tr2bl w:val="nil"/>
            </w:tcBorders>
            <w:vAlign w:val="center"/>
          </w:tcPr>
          <w:p>
            <w:pPr>
              <w:widowControl w:val="0"/>
              <w:spacing w:line="240" w:lineRule="auto"/>
              <w:ind w:firstLine="0" w:firstLineChars="0"/>
              <w:jc w:val="center"/>
              <w:rPr>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0" w:type="pct"/>
            <w:tcBorders>
              <w:tl2br w:val="nil"/>
              <w:tr2bl w:val="nil"/>
            </w:tcBorders>
            <w:vAlign w:val="center"/>
          </w:tcPr>
          <w:p>
            <w:pPr>
              <w:pStyle w:val="16"/>
              <w:jc w:val="center"/>
              <w:rPr>
                <w:szCs w:val="21"/>
                <w:u w:val="none"/>
              </w:rPr>
            </w:pPr>
            <w:r>
              <w:rPr>
                <w:rFonts w:hint="eastAsia"/>
                <w:u w:val="none"/>
              </w:rPr>
              <w:t>锌</w:t>
            </w:r>
          </w:p>
        </w:tc>
        <w:tc>
          <w:tcPr>
            <w:tcW w:w="1967" w:type="pct"/>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w:t>
            </w:r>
            <w:r>
              <w:rPr>
                <w:rFonts w:hint="eastAsia"/>
                <w:sz w:val="21"/>
                <w:szCs w:val="21"/>
                <w:u w:val="none"/>
              </w:rPr>
              <w:t>1.0</w:t>
            </w:r>
          </w:p>
        </w:tc>
        <w:tc>
          <w:tcPr>
            <w:tcW w:w="1721" w:type="pct"/>
            <w:vMerge w:val="continue"/>
            <w:tcBorders>
              <w:tl2br w:val="nil"/>
              <w:tr2bl w:val="nil"/>
            </w:tcBorders>
            <w:vAlign w:val="center"/>
          </w:tcPr>
          <w:p>
            <w:pPr>
              <w:widowControl w:val="0"/>
              <w:spacing w:line="240" w:lineRule="auto"/>
              <w:ind w:firstLine="0" w:firstLineChars="0"/>
              <w:jc w:val="center"/>
              <w:rPr>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0" w:type="pct"/>
            <w:tcBorders>
              <w:tl2br w:val="nil"/>
              <w:tr2bl w:val="nil"/>
            </w:tcBorders>
            <w:vAlign w:val="center"/>
          </w:tcPr>
          <w:p>
            <w:pPr>
              <w:pStyle w:val="16"/>
              <w:jc w:val="center"/>
              <w:rPr>
                <w:szCs w:val="21"/>
                <w:u w:val="none"/>
              </w:rPr>
            </w:pPr>
            <w:r>
              <w:rPr>
                <w:rFonts w:hint="eastAsia"/>
                <w:u w:val="none"/>
              </w:rPr>
              <w:t>铅</w:t>
            </w:r>
          </w:p>
        </w:tc>
        <w:tc>
          <w:tcPr>
            <w:tcW w:w="1967" w:type="pct"/>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w:t>
            </w:r>
            <w:r>
              <w:rPr>
                <w:rFonts w:hint="eastAsia"/>
                <w:sz w:val="21"/>
                <w:szCs w:val="21"/>
                <w:u w:val="none"/>
              </w:rPr>
              <w:t>0.01</w:t>
            </w:r>
          </w:p>
        </w:tc>
        <w:tc>
          <w:tcPr>
            <w:tcW w:w="1721" w:type="pct"/>
            <w:vMerge w:val="continue"/>
            <w:tcBorders>
              <w:tl2br w:val="nil"/>
              <w:tr2bl w:val="nil"/>
            </w:tcBorders>
            <w:vAlign w:val="center"/>
          </w:tcPr>
          <w:p>
            <w:pPr>
              <w:widowControl w:val="0"/>
              <w:spacing w:line="240" w:lineRule="auto"/>
              <w:ind w:firstLine="0" w:firstLineChars="0"/>
              <w:jc w:val="center"/>
              <w:rPr>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0" w:type="pct"/>
            <w:tcBorders>
              <w:tl2br w:val="nil"/>
              <w:tr2bl w:val="nil"/>
            </w:tcBorders>
            <w:vAlign w:val="center"/>
          </w:tcPr>
          <w:p>
            <w:pPr>
              <w:pStyle w:val="16"/>
              <w:jc w:val="center"/>
              <w:rPr>
                <w:szCs w:val="21"/>
                <w:u w:val="none"/>
              </w:rPr>
            </w:pPr>
            <w:r>
              <w:rPr>
                <w:rFonts w:hint="eastAsia"/>
                <w:u w:val="none"/>
              </w:rPr>
              <w:t>镉</w:t>
            </w:r>
          </w:p>
        </w:tc>
        <w:tc>
          <w:tcPr>
            <w:tcW w:w="1967" w:type="pct"/>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w:t>
            </w:r>
            <w:r>
              <w:rPr>
                <w:rFonts w:hint="eastAsia"/>
                <w:sz w:val="21"/>
                <w:szCs w:val="21"/>
                <w:u w:val="none"/>
              </w:rPr>
              <w:t>0.005</w:t>
            </w:r>
          </w:p>
        </w:tc>
        <w:tc>
          <w:tcPr>
            <w:tcW w:w="1721" w:type="pct"/>
            <w:vMerge w:val="continue"/>
            <w:tcBorders>
              <w:tl2br w:val="nil"/>
              <w:tr2bl w:val="nil"/>
            </w:tcBorders>
            <w:vAlign w:val="center"/>
          </w:tcPr>
          <w:p>
            <w:pPr>
              <w:widowControl w:val="0"/>
              <w:spacing w:line="240" w:lineRule="auto"/>
              <w:ind w:firstLine="0" w:firstLineChars="0"/>
              <w:jc w:val="center"/>
              <w:rPr>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0" w:type="pct"/>
            <w:tcBorders>
              <w:tl2br w:val="nil"/>
              <w:tr2bl w:val="nil"/>
            </w:tcBorders>
            <w:vAlign w:val="center"/>
          </w:tcPr>
          <w:p>
            <w:pPr>
              <w:pStyle w:val="16"/>
              <w:jc w:val="center"/>
              <w:rPr>
                <w:szCs w:val="21"/>
                <w:u w:val="none"/>
              </w:rPr>
            </w:pPr>
            <w:r>
              <w:rPr>
                <w:rFonts w:hint="eastAsia"/>
                <w:u w:val="none"/>
              </w:rPr>
              <w:t>铬</w:t>
            </w:r>
          </w:p>
        </w:tc>
        <w:tc>
          <w:tcPr>
            <w:tcW w:w="1967" w:type="pct"/>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w:t>
            </w:r>
            <w:r>
              <w:rPr>
                <w:rFonts w:hint="eastAsia"/>
                <w:sz w:val="21"/>
                <w:szCs w:val="21"/>
                <w:u w:val="none"/>
              </w:rPr>
              <w:t>0.05</w:t>
            </w:r>
          </w:p>
        </w:tc>
        <w:tc>
          <w:tcPr>
            <w:tcW w:w="1721" w:type="pct"/>
            <w:vMerge w:val="continue"/>
            <w:tcBorders>
              <w:tl2br w:val="nil"/>
              <w:tr2bl w:val="nil"/>
            </w:tcBorders>
            <w:vAlign w:val="center"/>
          </w:tcPr>
          <w:p>
            <w:pPr>
              <w:widowControl w:val="0"/>
              <w:spacing w:line="240" w:lineRule="auto"/>
              <w:ind w:firstLine="0" w:firstLineChars="0"/>
              <w:jc w:val="center"/>
              <w:rPr>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0" w:type="pct"/>
            <w:tcBorders>
              <w:tl2br w:val="nil"/>
              <w:tr2bl w:val="nil"/>
            </w:tcBorders>
            <w:vAlign w:val="center"/>
          </w:tcPr>
          <w:p>
            <w:pPr>
              <w:pStyle w:val="16"/>
              <w:jc w:val="center"/>
              <w:rPr>
                <w:szCs w:val="21"/>
                <w:u w:val="none"/>
              </w:rPr>
            </w:pPr>
            <w:r>
              <w:rPr>
                <w:rFonts w:hint="eastAsia"/>
                <w:u w:val="none"/>
              </w:rPr>
              <w:t>砷</w:t>
            </w:r>
          </w:p>
        </w:tc>
        <w:tc>
          <w:tcPr>
            <w:tcW w:w="1967" w:type="pct"/>
            <w:tcBorders>
              <w:tl2br w:val="nil"/>
              <w:tr2bl w:val="nil"/>
            </w:tcBorders>
            <w:vAlign w:val="center"/>
          </w:tcPr>
          <w:p>
            <w:pPr>
              <w:widowControl w:val="0"/>
              <w:spacing w:line="240" w:lineRule="auto"/>
              <w:ind w:firstLine="0" w:firstLineChars="0"/>
              <w:jc w:val="center"/>
              <w:rPr>
                <w:sz w:val="21"/>
                <w:szCs w:val="21"/>
                <w:u w:val="none"/>
              </w:rPr>
            </w:pPr>
            <w:r>
              <w:rPr>
                <w:sz w:val="21"/>
                <w:szCs w:val="21"/>
                <w:u w:val="none"/>
              </w:rPr>
              <w:t>≤</w:t>
            </w:r>
            <w:r>
              <w:rPr>
                <w:rFonts w:hint="eastAsia"/>
                <w:sz w:val="21"/>
                <w:szCs w:val="21"/>
                <w:u w:val="none"/>
              </w:rPr>
              <w:t>0.05</w:t>
            </w:r>
          </w:p>
        </w:tc>
        <w:tc>
          <w:tcPr>
            <w:tcW w:w="1721" w:type="pct"/>
            <w:vMerge w:val="continue"/>
            <w:tcBorders>
              <w:tl2br w:val="nil"/>
              <w:tr2bl w:val="nil"/>
            </w:tcBorders>
            <w:vAlign w:val="center"/>
          </w:tcPr>
          <w:p>
            <w:pPr>
              <w:widowControl w:val="0"/>
              <w:spacing w:line="240" w:lineRule="auto"/>
              <w:ind w:firstLine="0" w:firstLineChars="0"/>
              <w:jc w:val="center"/>
              <w:rPr>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0" w:type="pct"/>
            <w:tcBorders>
              <w:tl2br w:val="nil"/>
              <w:tr2bl w:val="nil"/>
            </w:tcBorders>
            <w:vAlign w:val="center"/>
          </w:tcPr>
          <w:p>
            <w:pPr>
              <w:pStyle w:val="16"/>
              <w:jc w:val="center"/>
              <w:rPr>
                <w:u w:val="none"/>
              </w:rPr>
            </w:pPr>
            <w:r>
              <w:rPr>
                <w:rFonts w:hint="eastAsia"/>
                <w:u w:val="none"/>
              </w:rPr>
              <w:t>锑</w:t>
            </w:r>
          </w:p>
        </w:tc>
        <w:tc>
          <w:tcPr>
            <w:tcW w:w="1967" w:type="pct"/>
            <w:tcBorders>
              <w:tl2br w:val="nil"/>
              <w:tr2bl w:val="nil"/>
            </w:tcBorders>
            <w:vAlign w:val="center"/>
          </w:tcPr>
          <w:p>
            <w:pPr>
              <w:widowControl w:val="0"/>
              <w:spacing w:line="240" w:lineRule="auto"/>
              <w:ind w:firstLine="0" w:firstLineChars="0"/>
              <w:jc w:val="center"/>
              <w:rPr>
                <w:sz w:val="21"/>
                <w:szCs w:val="21"/>
                <w:u w:val="none"/>
              </w:rPr>
            </w:pPr>
            <w:r>
              <w:rPr>
                <w:rFonts w:hint="eastAsia"/>
                <w:sz w:val="21"/>
                <w:szCs w:val="21"/>
                <w:u w:val="none"/>
              </w:rPr>
              <w:t>0.005</w:t>
            </w:r>
          </w:p>
        </w:tc>
        <w:tc>
          <w:tcPr>
            <w:tcW w:w="1721" w:type="pct"/>
            <w:vMerge w:val="continue"/>
            <w:tcBorders>
              <w:tl2br w:val="nil"/>
              <w:tr2bl w:val="nil"/>
            </w:tcBorders>
            <w:vAlign w:val="center"/>
          </w:tcPr>
          <w:p>
            <w:pPr>
              <w:widowControl w:val="0"/>
              <w:spacing w:line="240" w:lineRule="auto"/>
              <w:ind w:firstLine="0" w:firstLineChars="0"/>
              <w:jc w:val="center"/>
              <w:rPr>
                <w:sz w:val="21"/>
                <w:szCs w:val="21"/>
                <w:u w:val="none"/>
              </w:rPr>
            </w:pPr>
          </w:p>
        </w:tc>
      </w:tr>
    </w:tbl>
    <w:p>
      <w:pPr>
        <w:pStyle w:val="4"/>
        <w:spacing w:line="240" w:lineRule="auto"/>
        <w:jc w:val="both"/>
        <w:rPr>
          <w:u w:val="none"/>
        </w:rPr>
      </w:pPr>
      <w:bookmarkStart w:id="67" w:name="_Toc9588"/>
      <w:bookmarkStart w:id="68" w:name="_Toc22044"/>
      <w:bookmarkStart w:id="69" w:name="_Toc19907"/>
      <w:bookmarkStart w:id="70" w:name="_Toc17012"/>
      <w:bookmarkStart w:id="71" w:name="_Toc11582"/>
      <w:bookmarkStart w:id="72" w:name="_Toc16177"/>
      <w:r>
        <w:rPr>
          <w:rFonts w:hint="eastAsia"/>
          <w:u w:val="none"/>
        </w:rPr>
        <w:t>6.1.4</w:t>
      </w:r>
      <w:r>
        <w:rPr>
          <w:rFonts w:hint="eastAsia"/>
          <w:szCs w:val="28"/>
          <w:u w:val="none"/>
        </w:rPr>
        <w:t>预测结果</w:t>
      </w:r>
      <w:bookmarkEnd w:id="67"/>
      <w:bookmarkEnd w:id="68"/>
      <w:bookmarkEnd w:id="69"/>
      <w:bookmarkEnd w:id="70"/>
      <w:bookmarkEnd w:id="71"/>
      <w:bookmarkEnd w:id="72"/>
    </w:p>
    <w:p>
      <w:pPr>
        <w:ind w:firstLine="480"/>
        <w:rPr>
          <w:u w:val="none"/>
        </w:rPr>
      </w:pPr>
      <w:r>
        <w:rPr>
          <w:rFonts w:hint="eastAsia"/>
          <w:u w:val="none"/>
        </w:rPr>
        <w:t>依照前述水质计算模型和水文计算条件，在正常排放和非正常排放情况下，COD、砷</w:t>
      </w:r>
      <w:r>
        <w:rPr>
          <w:rFonts w:hint="eastAsia"/>
          <w:u w:val="none"/>
          <w:lang w:eastAsia="zh-CN"/>
        </w:rPr>
        <w:t>、</w:t>
      </w:r>
      <w:r>
        <w:rPr>
          <w:rFonts w:hint="eastAsia"/>
          <w:u w:val="none"/>
        </w:rPr>
        <w:t>铜、锌、锑等</w:t>
      </w:r>
      <w:r>
        <w:rPr>
          <w:rFonts w:hint="eastAsia"/>
          <w:u w:val="none"/>
          <w:lang w:val="en-US" w:eastAsia="zh-CN"/>
        </w:rPr>
        <w:t>污染物</w:t>
      </w:r>
      <w:r>
        <w:rPr>
          <w:rFonts w:hint="eastAsia"/>
          <w:u w:val="none"/>
        </w:rPr>
        <w:t>排放对评价河段水质预测结果见下表。</w:t>
      </w:r>
    </w:p>
    <w:p>
      <w:pPr>
        <w:numPr>
          <w:ilvl w:val="0"/>
          <w:numId w:val="4"/>
        </w:numPr>
        <w:spacing w:line="240" w:lineRule="auto"/>
        <w:ind w:firstLine="482"/>
        <w:rPr>
          <w:b/>
          <w:bCs/>
          <w:u w:val="none"/>
        </w:rPr>
      </w:pPr>
      <w:r>
        <w:rPr>
          <w:rFonts w:hint="eastAsia"/>
          <w:b/>
          <w:bCs/>
          <w:u w:val="none"/>
        </w:rPr>
        <w:t>外排废水</w:t>
      </w:r>
      <w:r>
        <w:rPr>
          <w:rFonts w:hint="eastAsia"/>
          <w:b/>
          <w:bCs/>
          <w:u w:val="none"/>
          <w:lang w:val="en-US" w:eastAsia="zh-CN"/>
        </w:rPr>
        <w:t>COD、</w:t>
      </w:r>
      <w:r>
        <w:rPr>
          <w:rFonts w:hint="eastAsia"/>
          <w:b/>
          <w:bCs/>
          <w:u w:val="none"/>
        </w:rPr>
        <w:t>砷</w:t>
      </w:r>
      <w:r>
        <w:rPr>
          <w:rFonts w:hint="eastAsia"/>
          <w:b/>
          <w:bCs/>
          <w:u w:val="none"/>
          <w:lang w:eastAsia="zh-CN"/>
        </w:rPr>
        <w:t>、</w:t>
      </w:r>
      <w:r>
        <w:rPr>
          <w:rFonts w:hint="eastAsia"/>
          <w:b/>
          <w:bCs/>
          <w:u w:val="none"/>
        </w:rPr>
        <w:t>铜、锌、锑</w:t>
      </w:r>
      <w:r>
        <w:rPr>
          <w:rFonts w:hint="eastAsia"/>
          <w:b/>
          <w:bCs/>
          <w:u w:val="none"/>
          <w:lang w:val="en-US" w:eastAsia="zh-CN"/>
        </w:rPr>
        <w:t>等污染物</w:t>
      </w:r>
      <w:r>
        <w:rPr>
          <w:rFonts w:hint="eastAsia"/>
          <w:b/>
          <w:bCs/>
          <w:u w:val="none"/>
        </w:rPr>
        <w:t>排放对评价河段水质预测</w:t>
      </w:r>
    </w:p>
    <w:p>
      <w:pPr>
        <w:ind w:firstLine="480"/>
        <w:rPr>
          <w:u w:val="none"/>
        </w:rPr>
      </w:pPr>
      <w:r>
        <w:rPr>
          <w:rFonts w:hint="eastAsia"/>
          <w:u w:val="none"/>
        </w:rPr>
        <w:t>外排废水</w:t>
      </w:r>
      <w:r>
        <w:rPr>
          <w:rFonts w:hint="eastAsia"/>
          <w:u w:val="none"/>
          <w:lang w:val="en-US" w:eastAsia="zh-CN"/>
        </w:rPr>
        <w:t>COD、</w:t>
      </w:r>
      <w:r>
        <w:rPr>
          <w:rFonts w:hint="eastAsia"/>
          <w:u w:val="none"/>
        </w:rPr>
        <w:t>砷</w:t>
      </w:r>
      <w:r>
        <w:rPr>
          <w:rFonts w:hint="eastAsia"/>
          <w:u w:val="none"/>
          <w:lang w:eastAsia="zh-CN"/>
        </w:rPr>
        <w:t>、</w:t>
      </w:r>
      <w:r>
        <w:rPr>
          <w:rFonts w:hint="eastAsia"/>
          <w:u w:val="none"/>
        </w:rPr>
        <w:t>铜、锌、锑</w:t>
      </w:r>
      <w:r>
        <w:rPr>
          <w:rFonts w:hint="eastAsia"/>
          <w:u w:val="none"/>
          <w:lang w:val="en-US" w:eastAsia="zh-CN"/>
        </w:rPr>
        <w:t>等污染物</w:t>
      </w:r>
      <w:r>
        <w:rPr>
          <w:rFonts w:hint="eastAsia"/>
          <w:u w:val="none"/>
        </w:rPr>
        <w:t>排放对评价河段水质预测结果见下表。</w:t>
      </w:r>
    </w:p>
    <w:p>
      <w:pPr>
        <w:spacing w:line="240" w:lineRule="auto"/>
        <w:ind w:firstLine="482"/>
        <w:jc w:val="center"/>
        <w:rPr>
          <w:b/>
          <w:bCs/>
          <w:u w:val="none"/>
        </w:rPr>
      </w:pPr>
      <w:r>
        <w:rPr>
          <w:b/>
          <w:bCs/>
          <w:u w:val="none"/>
        </w:rPr>
        <w:t>表</w:t>
      </w:r>
      <w:r>
        <w:rPr>
          <w:rFonts w:hint="eastAsia"/>
          <w:b/>
          <w:bCs/>
          <w:u w:val="none"/>
        </w:rPr>
        <w:t>6.1.4-1</w:t>
      </w:r>
      <w:r>
        <w:rPr>
          <w:b/>
          <w:bCs/>
          <w:u w:val="none"/>
        </w:rPr>
        <w:t>正常排放对枯水期</w:t>
      </w:r>
      <w:r>
        <w:rPr>
          <w:rFonts w:hint="eastAsia"/>
          <w:b/>
          <w:bCs/>
          <w:u w:val="none"/>
        </w:rPr>
        <w:t>资水</w:t>
      </w:r>
      <w:r>
        <w:rPr>
          <w:b/>
          <w:bCs/>
          <w:u w:val="none"/>
        </w:rPr>
        <w:t>评价河段COD浓度预测值</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1"/>
        <w:gridCol w:w="978"/>
        <w:gridCol w:w="959"/>
        <w:gridCol w:w="959"/>
        <w:gridCol w:w="959"/>
        <w:gridCol w:w="960"/>
        <w:gridCol w:w="960"/>
        <w:gridCol w:w="960"/>
        <w:gridCol w:w="960"/>
        <w:gridCol w:w="9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631" w:type="dxa"/>
            <w:tcBorders>
              <w:tl2br w:val="nil"/>
              <w:tr2bl w:val="nil"/>
            </w:tcBorders>
            <w:shd w:val="clear" w:color="auto" w:fill="auto"/>
            <w:noWrap/>
            <w:vAlign w:val="center"/>
          </w:tcPr>
          <w:p>
            <w:pPr>
              <w:pStyle w:val="16"/>
              <w:jc w:val="center"/>
              <w:rPr>
                <w:u w:val="none"/>
              </w:rPr>
            </w:pPr>
            <w:r>
              <w:rPr>
                <w:rFonts w:hint="eastAsia"/>
                <w:u w:val="none"/>
              </w:rPr>
              <w:t>X/Y</w:t>
            </w:r>
          </w:p>
        </w:tc>
        <w:tc>
          <w:tcPr>
            <w:tcW w:w="978" w:type="dxa"/>
            <w:tcBorders>
              <w:tl2br w:val="nil"/>
              <w:tr2bl w:val="nil"/>
            </w:tcBorders>
            <w:shd w:val="clear" w:color="auto" w:fill="auto"/>
            <w:noWrap/>
            <w:vAlign w:val="center"/>
          </w:tcPr>
          <w:p>
            <w:pPr>
              <w:pStyle w:val="16"/>
              <w:jc w:val="center"/>
              <w:rPr>
                <w:u w:val="none"/>
              </w:rPr>
            </w:pPr>
            <w:r>
              <w:rPr>
                <w:rFonts w:hint="eastAsia"/>
                <w:u w:val="none"/>
              </w:rPr>
              <w:t>1</w:t>
            </w:r>
          </w:p>
        </w:tc>
        <w:tc>
          <w:tcPr>
            <w:tcW w:w="959" w:type="dxa"/>
            <w:tcBorders>
              <w:tl2br w:val="nil"/>
              <w:tr2bl w:val="nil"/>
            </w:tcBorders>
            <w:shd w:val="clear" w:color="auto" w:fill="auto"/>
            <w:noWrap/>
            <w:vAlign w:val="center"/>
          </w:tcPr>
          <w:p>
            <w:pPr>
              <w:pStyle w:val="16"/>
              <w:jc w:val="center"/>
              <w:rPr>
                <w:u w:val="none"/>
              </w:rPr>
            </w:pPr>
            <w:r>
              <w:rPr>
                <w:rFonts w:hint="eastAsia"/>
                <w:u w:val="none"/>
              </w:rPr>
              <w:t>20</w:t>
            </w:r>
          </w:p>
        </w:tc>
        <w:tc>
          <w:tcPr>
            <w:tcW w:w="959" w:type="dxa"/>
            <w:tcBorders>
              <w:tl2br w:val="nil"/>
              <w:tr2bl w:val="nil"/>
            </w:tcBorders>
            <w:shd w:val="clear" w:color="auto" w:fill="auto"/>
            <w:noWrap/>
            <w:vAlign w:val="center"/>
          </w:tcPr>
          <w:p>
            <w:pPr>
              <w:pStyle w:val="16"/>
              <w:jc w:val="center"/>
              <w:rPr>
                <w:u w:val="none"/>
              </w:rPr>
            </w:pPr>
            <w:r>
              <w:rPr>
                <w:rFonts w:hint="eastAsia"/>
                <w:u w:val="none"/>
              </w:rPr>
              <w:t>50</w:t>
            </w:r>
          </w:p>
        </w:tc>
        <w:tc>
          <w:tcPr>
            <w:tcW w:w="959" w:type="dxa"/>
            <w:tcBorders>
              <w:tl2br w:val="nil"/>
              <w:tr2bl w:val="nil"/>
            </w:tcBorders>
            <w:shd w:val="clear" w:color="auto" w:fill="auto"/>
            <w:noWrap/>
            <w:vAlign w:val="center"/>
          </w:tcPr>
          <w:p>
            <w:pPr>
              <w:pStyle w:val="16"/>
              <w:jc w:val="center"/>
              <w:rPr>
                <w:u w:val="none"/>
              </w:rPr>
            </w:pPr>
            <w:r>
              <w:rPr>
                <w:rFonts w:hint="eastAsia"/>
                <w:u w:val="none"/>
              </w:rPr>
              <w:t>100</w:t>
            </w:r>
          </w:p>
        </w:tc>
        <w:tc>
          <w:tcPr>
            <w:tcW w:w="960" w:type="dxa"/>
            <w:tcBorders>
              <w:tl2br w:val="nil"/>
              <w:tr2bl w:val="nil"/>
            </w:tcBorders>
            <w:shd w:val="clear" w:color="auto" w:fill="auto"/>
            <w:noWrap/>
            <w:vAlign w:val="center"/>
          </w:tcPr>
          <w:p>
            <w:pPr>
              <w:pStyle w:val="16"/>
              <w:jc w:val="center"/>
              <w:rPr>
                <w:u w:val="none"/>
              </w:rPr>
            </w:pPr>
            <w:r>
              <w:rPr>
                <w:rFonts w:hint="eastAsia"/>
                <w:u w:val="none"/>
              </w:rPr>
              <w:t>150</w:t>
            </w:r>
          </w:p>
        </w:tc>
        <w:tc>
          <w:tcPr>
            <w:tcW w:w="960" w:type="dxa"/>
            <w:tcBorders>
              <w:tl2br w:val="nil"/>
              <w:tr2bl w:val="nil"/>
            </w:tcBorders>
            <w:shd w:val="clear" w:color="auto" w:fill="auto"/>
            <w:noWrap/>
            <w:vAlign w:val="center"/>
          </w:tcPr>
          <w:p>
            <w:pPr>
              <w:pStyle w:val="16"/>
              <w:jc w:val="center"/>
              <w:rPr>
                <w:u w:val="none"/>
              </w:rPr>
            </w:pPr>
            <w:r>
              <w:rPr>
                <w:rFonts w:hint="eastAsia"/>
                <w:u w:val="none"/>
              </w:rPr>
              <w:t>200</w:t>
            </w:r>
          </w:p>
        </w:tc>
        <w:tc>
          <w:tcPr>
            <w:tcW w:w="960" w:type="dxa"/>
            <w:tcBorders>
              <w:tl2br w:val="nil"/>
              <w:tr2bl w:val="nil"/>
            </w:tcBorders>
            <w:shd w:val="clear" w:color="auto" w:fill="auto"/>
            <w:noWrap/>
            <w:vAlign w:val="center"/>
          </w:tcPr>
          <w:p>
            <w:pPr>
              <w:pStyle w:val="16"/>
              <w:jc w:val="center"/>
              <w:rPr>
                <w:u w:val="none"/>
              </w:rPr>
            </w:pPr>
            <w:r>
              <w:rPr>
                <w:rFonts w:hint="eastAsia"/>
                <w:u w:val="none"/>
              </w:rPr>
              <w:t>250</w:t>
            </w:r>
          </w:p>
        </w:tc>
        <w:tc>
          <w:tcPr>
            <w:tcW w:w="960" w:type="dxa"/>
            <w:tcBorders>
              <w:tl2br w:val="nil"/>
              <w:tr2bl w:val="nil"/>
            </w:tcBorders>
            <w:shd w:val="clear" w:color="auto" w:fill="auto"/>
            <w:noWrap/>
            <w:vAlign w:val="center"/>
          </w:tcPr>
          <w:p>
            <w:pPr>
              <w:pStyle w:val="16"/>
              <w:jc w:val="center"/>
              <w:rPr>
                <w:u w:val="none"/>
              </w:rPr>
            </w:pPr>
            <w:r>
              <w:rPr>
                <w:rFonts w:hint="eastAsia"/>
                <w:u w:val="none"/>
              </w:rPr>
              <w:t>300</w:t>
            </w:r>
          </w:p>
        </w:tc>
        <w:tc>
          <w:tcPr>
            <w:tcW w:w="960" w:type="dxa"/>
            <w:tcBorders>
              <w:tl2br w:val="nil"/>
              <w:tr2bl w:val="nil"/>
            </w:tcBorders>
            <w:shd w:val="clear" w:color="auto" w:fill="auto"/>
            <w:noWrap/>
            <w:vAlign w:val="center"/>
          </w:tcPr>
          <w:p>
            <w:pPr>
              <w:pStyle w:val="16"/>
              <w:jc w:val="center"/>
              <w:rPr>
                <w:u w:val="none"/>
              </w:rPr>
            </w:pPr>
            <w:r>
              <w:rPr>
                <w:rFonts w:hint="eastAsia"/>
                <w:u w:val="none"/>
              </w:rPr>
              <w:t>311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tcBorders>
              <w:tl2br w:val="nil"/>
              <w:tr2bl w:val="nil"/>
            </w:tcBorders>
            <w:shd w:val="clear" w:color="auto" w:fill="auto"/>
            <w:noWrap/>
            <w:vAlign w:val="center"/>
          </w:tcPr>
          <w:p>
            <w:pPr>
              <w:pStyle w:val="16"/>
              <w:jc w:val="center"/>
              <w:rPr>
                <w:u w:val="none"/>
              </w:rPr>
            </w:pPr>
            <w:r>
              <w:rPr>
                <w:rFonts w:hint="eastAsia"/>
                <w:u w:val="none"/>
              </w:rPr>
              <w:t>1</w:t>
            </w:r>
          </w:p>
        </w:tc>
        <w:tc>
          <w:tcPr>
            <w:tcW w:w="978" w:type="dxa"/>
            <w:tcBorders>
              <w:tl2br w:val="nil"/>
              <w:tr2bl w:val="nil"/>
            </w:tcBorders>
            <w:shd w:val="clear" w:color="auto" w:fill="auto"/>
            <w:noWrap/>
            <w:vAlign w:val="center"/>
          </w:tcPr>
          <w:p>
            <w:pPr>
              <w:pStyle w:val="16"/>
              <w:bidi w:val="0"/>
            </w:pPr>
            <w:r>
              <w:rPr>
                <w:rFonts w:hint="eastAsia"/>
                <w:lang w:val="en-US" w:eastAsia="zh-CN"/>
              </w:rPr>
              <w:t xml:space="preserve">12.5377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12.3531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12.3380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12.3269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12.3219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12.3190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12.3170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12.3155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12.3152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tcBorders>
              <w:tl2br w:val="nil"/>
              <w:tr2bl w:val="nil"/>
            </w:tcBorders>
            <w:shd w:val="clear" w:color="auto" w:fill="auto"/>
            <w:noWrap/>
            <w:vAlign w:val="center"/>
          </w:tcPr>
          <w:p>
            <w:pPr>
              <w:pStyle w:val="16"/>
              <w:jc w:val="center"/>
              <w:rPr>
                <w:u w:val="none"/>
              </w:rPr>
            </w:pPr>
            <w:r>
              <w:rPr>
                <w:rFonts w:hint="eastAsia"/>
                <w:u w:val="none"/>
              </w:rPr>
              <w:t>10</w:t>
            </w:r>
          </w:p>
        </w:tc>
        <w:tc>
          <w:tcPr>
            <w:tcW w:w="978"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12.3322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12.3297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12.3237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12.3202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12.3179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12.3162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12.3149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12.3146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tcBorders>
              <w:tl2br w:val="nil"/>
              <w:tr2bl w:val="nil"/>
            </w:tcBorders>
            <w:shd w:val="clear" w:color="auto" w:fill="auto"/>
            <w:noWrap/>
            <w:vAlign w:val="center"/>
          </w:tcPr>
          <w:p>
            <w:pPr>
              <w:pStyle w:val="16"/>
              <w:jc w:val="center"/>
              <w:rPr>
                <w:u w:val="none"/>
              </w:rPr>
            </w:pPr>
            <w:r>
              <w:rPr>
                <w:rFonts w:hint="eastAsia"/>
                <w:u w:val="none"/>
              </w:rPr>
              <w:t>100</w:t>
            </w:r>
          </w:p>
        </w:tc>
        <w:tc>
          <w:tcPr>
            <w:tcW w:w="978"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12.3001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12.3002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tcBorders>
              <w:tl2br w:val="nil"/>
              <w:tr2bl w:val="nil"/>
            </w:tcBorders>
            <w:shd w:val="clear" w:color="auto" w:fill="auto"/>
            <w:noWrap/>
            <w:vAlign w:val="center"/>
          </w:tcPr>
          <w:p>
            <w:pPr>
              <w:pStyle w:val="16"/>
              <w:jc w:val="center"/>
              <w:rPr>
                <w:u w:val="none"/>
              </w:rPr>
            </w:pPr>
            <w:r>
              <w:rPr>
                <w:rFonts w:hint="eastAsia"/>
                <w:u w:val="none"/>
              </w:rPr>
              <w:t>200</w:t>
            </w:r>
          </w:p>
        </w:tc>
        <w:tc>
          <w:tcPr>
            <w:tcW w:w="978"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tcBorders>
              <w:tl2br w:val="nil"/>
              <w:tr2bl w:val="nil"/>
            </w:tcBorders>
            <w:shd w:val="clear" w:color="auto" w:fill="auto"/>
            <w:noWrap/>
            <w:vAlign w:val="center"/>
          </w:tcPr>
          <w:p>
            <w:pPr>
              <w:pStyle w:val="16"/>
              <w:jc w:val="center"/>
              <w:rPr>
                <w:u w:val="none"/>
              </w:rPr>
            </w:pPr>
            <w:r>
              <w:rPr>
                <w:rFonts w:hint="eastAsia"/>
                <w:u w:val="none"/>
              </w:rPr>
              <w:t>600</w:t>
            </w:r>
          </w:p>
        </w:tc>
        <w:tc>
          <w:tcPr>
            <w:tcW w:w="978"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tcBorders>
              <w:tl2br w:val="nil"/>
              <w:tr2bl w:val="nil"/>
            </w:tcBorders>
            <w:shd w:val="clear" w:color="auto" w:fill="auto"/>
            <w:noWrap/>
            <w:vAlign w:val="center"/>
          </w:tcPr>
          <w:p>
            <w:pPr>
              <w:pStyle w:val="16"/>
              <w:jc w:val="center"/>
              <w:rPr>
                <w:u w:val="none"/>
              </w:rPr>
            </w:pPr>
            <w:r>
              <w:rPr>
                <w:rFonts w:hint="eastAsia"/>
                <w:u w:val="none"/>
              </w:rPr>
              <w:t>800</w:t>
            </w:r>
          </w:p>
        </w:tc>
        <w:tc>
          <w:tcPr>
            <w:tcW w:w="978"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tcBorders>
              <w:tl2br w:val="nil"/>
              <w:tr2bl w:val="nil"/>
            </w:tcBorders>
            <w:shd w:val="clear" w:color="auto" w:fill="auto"/>
            <w:noWrap/>
            <w:vAlign w:val="center"/>
          </w:tcPr>
          <w:p>
            <w:pPr>
              <w:pStyle w:val="16"/>
              <w:jc w:val="center"/>
              <w:rPr>
                <w:u w:val="none"/>
              </w:rPr>
            </w:pPr>
            <w:r>
              <w:rPr>
                <w:rFonts w:hint="eastAsia"/>
                <w:u w:val="none"/>
              </w:rPr>
              <w:t>1000</w:t>
            </w:r>
          </w:p>
        </w:tc>
        <w:tc>
          <w:tcPr>
            <w:tcW w:w="978"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tcBorders>
              <w:tl2br w:val="nil"/>
              <w:tr2bl w:val="nil"/>
            </w:tcBorders>
            <w:shd w:val="clear" w:color="auto" w:fill="auto"/>
            <w:noWrap/>
            <w:vAlign w:val="center"/>
          </w:tcPr>
          <w:p>
            <w:pPr>
              <w:pStyle w:val="16"/>
              <w:jc w:val="center"/>
              <w:rPr>
                <w:u w:val="none"/>
              </w:rPr>
            </w:pPr>
            <w:r>
              <w:rPr>
                <w:rFonts w:hint="eastAsia"/>
                <w:u w:val="none"/>
              </w:rPr>
              <w:t>2000</w:t>
            </w:r>
          </w:p>
        </w:tc>
        <w:tc>
          <w:tcPr>
            <w:tcW w:w="978"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tcBorders>
              <w:tl2br w:val="nil"/>
              <w:tr2bl w:val="nil"/>
            </w:tcBorders>
            <w:shd w:val="clear" w:color="auto" w:fill="auto"/>
            <w:noWrap/>
            <w:vAlign w:val="center"/>
          </w:tcPr>
          <w:p>
            <w:pPr>
              <w:pStyle w:val="16"/>
              <w:jc w:val="center"/>
              <w:rPr>
                <w:u w:val="none"/>
              </w:rPr>
            </w:pPr>
            <w:r>
              <w:rPr>
                <w:rFonts w:hint="eastAsia"/>
                <w:u w:val="none"/>
              </w:rPr>
              <w:t>3000</w:t>
            </w:r>
          </w:p>
        </w:tc>
        <w:tc>
          <w:tcPr>
            <w:tcW w:w="978"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tcBorders>
              <w:tl2br w:val="nil"/>
              <w:tr2bl w:val="nil"/>
            </w:tcBorders>
            <w:shd w:val="clear" w:color="auto" w:fill="auto"/>
            <w:noWrap/>
            <w:vAlign w:val="center"/>
          </w:tcPr>
          <w:p>
            <w:pPr>
              <w:pStyle w:val="16"/>
              <w:jc w:val="center"/>
              <w:rPr>
                <w:u w:val="none"/>
              </w:rPr>
            </w:pPr>
            <w:r>
              <w:rPr>
                <w:rFonts w:hint="eastAsia"/>
                <w:u w:val="none"/>
              </w:rPr>
              <w:t>4000</w:t>
            </w:r>
          </w:p>
        </w:tc>
        <w:tc>
          <w:tcPr>
            <w:tcW w:w="978"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tcBorders>
              <w:tl2br w:val="nil"/>
              <w:tr2bl w:val="nil"/>
            </w:tcBorders>
            <w:shd w:val="clear" w:color="auto" w:fill="auto"/>
            <w:noWrap/>
            <w:vAlign w:val="center"/>
          </w:tcPr>
          <w:p>
            <w:pPr>
              <w:pStyle w:val="16"/>
              <w:jc w:val="center"/>
              <w:rPr>
                <w:u w:val="none"/>
              </w:rPr>
            </w:pPr>
            <w:r>
              <w:rPr>
                <w:rFonts w:hint="eastAsia"/>
                <w:u w:val="none"/>
              </w:rPr>
              <w:t>5000</w:t>
            </w:r>
          </w:p>
        </w:tc>
        <w:tc>
          <w:tcPr>
            <w:tcW w:w="978"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tcBorders>
              <w:tl2br w:val="nil"/>
              <w:tr2bl w:val="nil"/>
            </w:tcBorders>
            <w:shd w:val="clear" w:color="auto" w:fill="auto"/>
            <w:noWrap/>
            <w:vAlign w:val="center"/>
          </w:tcPr>
          <w:p>
            <w:pPr>
              <w:pStyle w:val="16"/>
              <w:jc w:val="center"/>
              <w:rPr>
                <w:u w:val="none"/>
              </w:rPr>
            </w:pPr>
            <w:r>
              <w:rPr>
                <w:rFonts w:hint="eastAsia"/>
                <w:u w:val="none"/>
              </w:rPr>
              <w:t>6000</w:t>
            </w:r>
          </w:p>
        </w:tc>
        <w:tc>
          <w:tcPr>
            <w:tcW w:w="978"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tcBorders>
              <w:tl2br w:val="nil"/>
              <w:tr2bl w:val="nil"/>
            </w:tcBorders>
            <w:shd w:val="clear" w:color="auto" w:fill="auto"/>
            <w:noWrap/>
            <w:vAlign w:val="center"/>
          </w:tcPr>
          <w:p>
            <w:pPr>
              <w:pStyle w:val="16"/>
              <w:jc w:val="center"/>
              <w:rPr>
                <w:u w:val="none"/>
              </w:rPr>
            </w:pPr>
            <w:r>
              <w:rPr>
                <w:rFonts w:hint="eastAsia"/>
                <w:u w:val="none"/>
              </w:rPr>
              <w:t>8000</w:t>
            </w:r>
          </w:p>
        </w:tc>
        <w:tc>
          <w:tcPr>
            <w:tcW w:w="978"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tcBorders>
              <w:tl2br w:val="nil"/>
              <w:tr2bl w:val="nil"/>
            </w:tcBorders>
            <w:shd w:val="clear" w:color="auto" w:fill="auto"/>
            <w:noWrap/>
            <w:vAlign w:val="center"/>
          </w:tcPr>
          <w:p>
            <w:pPr>
              <w:pStyle w:val="16"/>
              <w:jc w:val="center"/>
              <w:rPr>
                <w:u w:val="none"/>
              </w:rPr>
            </w:pPr>
            <w:r>
              <w:rPr>
                <w:rFonts w:hint="eastAsia"/>
                <w:u w:val="none"/>
              </w:rPr>
              <w:t>10000</w:t>
            </w:r>
          </w:p>
        </w:tc>
        <w:tc>
          <w:tcPr>
            <w:tcW w:w="978"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tcBorders>
              <w:tl2br w:val="nil"/>
              <w:tr2bl w:val="nil"/>
            </w:tcBorders>
            <w:shd w:val="clear" w:color="auto" w:fill="auto"/>
            <w:noWrap/>
            <w:vAlign w:val="center"/>
          </w:tcPr>
          <w:p>
            <w:pPr>
              <w:pStyle w:val="16"/>
              <w:jc w:val="center"/>
              <w:rPr>
                <w:u w:val="none"/>
              </w:rPr>
            </w:pPr>
            <w:r>
              <w:rPr>
                <w:rFonts w:hint="eastAsia"/>
                <w:u w:val="none"/>
              </w:rPr>
              <w:t>15000</w:t>
            </w:r>
          </w:p>
        </w:tc>
        <w:tc>
          <w:tcPr>
            <w:tcW w:w="978"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tcBorders>
              <w:tl2br w:val="nil"/>
              <w:tr2bl w:val="nil"/>
            </w:tcBorders>
            <w:shd w:val="clear" w:color="auto" w:fill="auto"/>
            <w:noWrap/>
            <w:vAlign w:val="center"/>
          </w:tcPr>
          <w:p>
            <w:pPr>
              <w:pStyle w:val="16"/>
              <w:jc w:val="center"/>
              <w:rPr>
                <w:u w:val="none"/>
              </w:rPr>
            </w:pPr>
            <w:r>
              <w:rPr>
                <w:rFonts w:hint="eastAsia"/>
                <w:u w:val="none"/>
              </w:rPr>
              <w:t>20000</w:t>
            </w:r>
          </w:p>
        </w:tc>
        <w:tc>
          <w:tcPr>
            <w:tcW w:w="978"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59"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c>
          <w:tcPr>
            <w:tcW w:w="960" w:type="dxa"/>
            <w:tcBorders>
              <w:tl2br w:val="nil"/>
              <w:tr2bl w:val="nil"/>
            </w:tcBorders>
            <w:shd w:val="clear" w:color="auto" w:fill="auto"/>
            <w:noWrap/>
            <w:vAlign w:val="center"/>
          </w:tcPr>
          <w:p>
            <w:pPr>
              <w:pStyle w:val="16"/>
              <w:bidi w:val="0"/>
            </w:pPr>
            <w:r>
              <w:rPr>
                <w:rFonts w:hint="eastAsia"/>
                <w:lang w:val="en-US" w:eastAsia="zh-CN"/>
              </w:rPr>
              <w:t xml:space="preserve">12.3000 </w:t>
            </w:r>
          </w:p>
        </w:tc>
      </w:tr>
    </w:tbl>
    <w:p>
      <w:pPr>
        <w:spacing w:line="240" w:lineRule="auto"/>
        <w:ind w:firstLine="482"/>
        <w:jc w:val="center"/>
        <w:rPr>
          <w:b/>
          <w:bCs/>
          <w:u w:val="none"/>
        </w:rPr>
      </w:pPr>
      <w:r>
        <w:rPr>
          <w:b/>
          <w:bCs/>
          <w:u w:val="none"/>
        </w:rPr>
        <w:t>表</w:t>
      </w:r>
      <w:r>
        <w:rPr>
          <w:rFonts w:hint="eastAsia"/>
          <w:b/>
          <w:bCs/>
          <w:u w:val="none"/>
        </w:rPr>
        <w:t>6.1.4-</w:t>
      </w:r>
      <w:r>
        <w:rPr>
          <w:rFonts w:hint="eastAsia"/>
          <w:b/>
          <w:bCs/>
          <w:u w:val="none"/>
          <w:lang w:val="en-US" w:eastAsia="zh-CN"/>
        </w:rPr>
        <w:t>2</w:t>
      </w:r>
      <w:r>
        <w:rPr>
          <w:b/>
          <w:bCs/>
          <w:u w:val="none"/>
        </w:rPr>
        <w:t>正常排放对枯水期</w:t>
      </w:r>
      <w:r>
        <w:rPr>
          <w:rFonts w:hint="eastAsia"/>
          <w:b/>
          <w:bCs/>
          <w:u w:val="none"/>
        </w:rPr>
        <w:t>资水</w:t>
      </w:r>
      <w:r>
        <w:rPr>
          <w:b/>
          <w:bCs/>
          <w:u w:val="none"/>
        </w:rPr>
        <w:t>评价河段</w:t>
      </w:r>
      <w:r>
        <w:rPr>
          <w:rFonts w:hint="eastAsia"/>
          <w:b/>
          <w:bCs/>
          <w:u w:val="none"/>
        </w:rPr>
        <w:t>砷</w:t>
      </w:r>
      <w:r>
        <w:rPr>
          <w:b/>
          <w:bCs/>
          <w:u w:val="none"/>
        </w:rPr>
        <w:t>浓度预测值</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
        <w:gridCol w:w="923"/>
        <w:gridCol w:w="979"/>
        <w:gridCol w:w="979"/>
        <w:gridCol w:w="979"/>
        <w:gridCol w:w="979"/>
        <w:gridCol w:w="875"/>
        <w:gridCol w:w="892"/>
        <w:gridCol w:w="892"/>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X/Y</w:t>
            </w:r>
          </w:p>
        </w:tc>
        <w:tc>
          <w:tcPr>
            <w:tcW w:w="923" w:type="dxa"/>
            <w:shd w:val="clear" w:color="auto" w:fill="auto"/>
            <w:noWrap/>
            <w:vAlign w:val="center"/>
          </w:tcPr>
          <w:p>
            <w:pPr>
              <w:pStyle w:val="16"/>
              <w:jc w:val="center"/>
              <w:rPr>
                <w:u w:val="none"/>
              </w:rPr>
            </w:pPr>
            <w:r>
              <w:rPr>
                <w:rFonts w:hint="eastAsia"/>
                <w:u w:val="none"/>
              </w:rPr>
              <w:t>1</w:t>
            </w:r>
          </w:p>
        </w:tc>
        <w:tc>
          <w:tcPr>
            <w:tcW w:w="979" w:type="dxa"/>
            <w:shd w:val="clear" w:color="auto" w:fill="auto"/>
            <w:noWrap/>
            <w:vAlign w:val="center"/>
          </w:tcPr>
          <w:p>
            <w:pPr>
              <w:pStyle w:val="16"/>
              <w:jc w:val="center"/>
              <w:rPr>
                <w:u w:val="none"/>
              </w:rPr>
            </w:pPr>
            <w:r>
              <w:rPr>
                <w:rFonts w:hint="eastAsia"/>
                <w:u w:val="none"/>
              </w:rPr>
              <w:t>20</w:t>
            </w:r>
          </w:p>
        </w:tc>
        <w:tc>
          <w:tcPr>
            <w:tcW w:w="979" w:type="dxa"/>
            <w:shd w:val="clear" w:color="auto" w:fill="auto"/>
            <w:noWrap/>
            <w:vAlign w:val="center"/>
          </w:tcPr>
          <w:p>
            <w:pPr>
              <w:pStyle w:val="16"/>
              <w:jc w:val="center"/>
              <w:rPr>
                <w:u w:val="none"/>
              </w:rPr>
            </w:pPr>
            <w:r>
              <w:rPr>
                <w:rFonts w:hint="eastAsia"/>
                <w:u w:val="none"/>
              </w:rPr>
              <w:t>50</w:t>
            </w:r>
          </w:p>
        </w:tc>
        <w:tc>
          <w:tcPr>
            <w:tcW w:w="979" w:type="dxa"/>
            <w:shd w:val="clear" w:color="auto" w:fill="auto"/>
            <w:noWrap/>
            <w:vAlign w:val="center"/>
          </w:tcPr>
          <w:p>
            <w:pPr>
              <w:pStyle w:val="16"/>
              <w:jc w:val="center"/>
              <w:rPr>
                <w:u w:val="none"/>
              </w:rPr>
            </w:pPr>
            <w:r>
              <w:rPr>
                <w:rFonts w:hint="eastAsia"/>
                <w:u w:val="none"/>
              </w:rPr>
              <w:t>100</w:t>
            </w:r>
          </w:p>
        </w:tc>
        <w:tc>
          <w:tcPr>
            <w:tcW w:w="979" w:type="dxa"/>
            <w:shd w:val="clear" w:color="auto" w:fill="auto"/>
            <w:noWrap/>
            <w:vAlign w:val="center"/>
          </w:tcPr>
          <w:p>
            <w:pPr>
              <w:pStyle w:val="16"/>
              <w:jc w:val="center"/>
              <w:rPr>
                <w:u w:val="none"/>
              </w:rPr>
            </w:pPr>
            <w:r>
              <w:rPr>
                <w:rFonts w:hint="eastAsia"/>
                <w:u w:val="none"/>
              </w:rPr>
              <w:t>150</w:t>
            </w:r>
          </w:p>
        </w:tc>
        <w:tc>
          <w:tcPr>
            <w:tcW w:w="875" w:type="dxa"/>
            <w:shd w:val="clear" w:color="auto" w:fill="auto"/>
            <w:noWrap/>
            <w:vAlign w:val="center"/>
          </w:tcPr>
          <w:p>
            <w:pPr>
              <w:pStyle w:val="16"/>
              <w:jc w:val="center"/>
              <w:rPr>
                <w:u w:val="none"/>
              </w:rPr>
            </w:pPr>
            <w:r>
              <w:rPr>
                <w:rFonts w:hint="eastAsia"/>
                <w:u w:val="none"/>
              </w:rPr>
              <w:t>200</w:t>
            </w:r>
          </w:p>
        </w:tc>
        <w:tc>
          <w:tcPr>
            <w:tcW w:w="892" w:type="dxa"/>
            <w:shd w:val="clear" w:color="auto" w:fill="auto"/>
            <w:noWrap/>
            <w:vAlign w:val="center"/>
          </w:tcPr>
          <w:p>
            <w:pPr>
              <w:pStyle w:val="16"/>
              <w:jc w:val="center"/>
              <w:rPr>
                <w:u w:val="none"/>
              </w:rPr>
            </w:pPr>
            <w:r>
              <w:rPr>
                <w:rFonts w:hint="eastAsia"/>
                <w:u w:val="none"/>
              </w:rPr>
              <w:t>250</w:t>
            </w:r>
          </w:p>
        </w:tc>
        <w:tc>
          <w:tcPr>
            <w:tcW w:w="892" w:type="dxa"/>
            <w:shd w:val="clear" w:color="auto" w:fill="auto"/>
            <w:noWrap/>
            <w:vAlign w:val="center"/>
          </w:tcPr>
          <w:p>
            <w:pPr>
              <w:pStyle w:val="16"/>
              <w:jc w:val="center"/>
              <w:rPr>
                <w:u w:val="none"/>
              </w:rPr>
            </w:pPr>
            <w:r>
              <w:rPr>
                <w:rFonts w:hint="eastAsia"/>
                <w:u w:val="none"/>
              </w:rPr>
              <w:t>300</w:t>
            </w:r>
          </w:p>
        </w:tc>
        <w:tc>
          <w:tcPr>
            <w:tcW w:w="892" w:type="dxa"/>
            <w:shd w:val="clear" w:color="auto" w:fill="auto"/>
            <w:noWrap/>
            <w:vAlign w:val="center"/>
          </w:tcPr>
          <w:p>
            <w:pPr>
              <w:pStyle w:val="16"/>
              <w:jc w:val="center"/>
              <w:rPr>
                <w:u w:val="none"/>
              </w:rPr>
            </w:pPr>
            <w:r>
              <w:rPr>
                <w:rFonts w:hint="eastAsia"/>
                <w:u w:val="none"/>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1</w:t>
            </w:r>
          </w:p>
        </w:tc>
        <w:tc>
          <w:tcPr>
            <w:tcW w:w="923" w:type="dxa"/>
            <w:shd w:val="clear" w:color="auto" w:fill="auto"/>
            <w:noWrap/>
            <w:vAlign w:val="center"/>
          </w:tcPr>
          <w:p>
            <w:pPr>
              <w:pStyle w:val="16"/>
              <w:bidi w:val="0"/>
            </w:pPr>
            <w:r>
              <w:rPr>
                <w:rFonts w:hint="eastAsia"/>
                <w:lang w:val="en-US" w:eastAsia="zh-CN"/>
              </w:rPr>
              <w:t xml:space="preserve">0.0058 </w:t>
            </w:r>
          </w:p>
        </w:tc>
        <w:tc>
          <w:tcPr>
            <w:tcW w:w="979" w:type="dxa"/>
            <w:shd w:val="clear" w:color="auto" w:fill="auto"/>
            <w:noWrap/>
            <w:vAlign w:val="center"/>
          </w:tcPr>
          <w:p>
            <w:pPr>
              <w:pStyle w:val="16"/>
              <w:bidi w:val="0"/>
            </w:pPr>
            <w:r>
              <w:rPr>
                <w:rFonts w:hint="eastAsia"/>
                <w:lang w:val="en-US" w:eastAsia="zh-CN"/>
              </w:rPr>
              <w:t xml:space="preserve">0.0049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0.0047 </w:t>
            </w:r>
          </w:p>
        </w:tc>
        <w:tc>
          <w:tcPr>
            <w:tcW w:w="979" w:type="dxa"/>
            <w:shd w:val="clear" w:color="auto" w:fill="auto"/>
            <w:noWrap/>
            <w:vAlign w:val="center"/>
          </w:tcPr>
          <w:p>
            <w:pPr>
              <w:pStyle w:val="16"/>
              <w:bidi w:val="0"/>
            </w:pPr>
            <w:r>
              <w:rPr>
                <w:rFonts w:hint="eastAsia"/>
                <w:lang w:val="en-US" w:eastAsia="zh-CN"/>
              </w:rPr>
              <w:t xml:space="preserve">0.0047 </w:t>
            </w:r>
          </w:p>
        </w:tc>
        <w:tc>
          <w:tcPr>
            <w:tcW w:w="875" w:type="dxa"/>
            <w:shd w:val="clear" w:color="auto" w:fill="auto"/>
            <w:noWrap/>
            <w:vAlign w:val="center"/>
          </w:tcPr>
          <w:p>
            <w:pPr>
              <w:pStyle w:val="16"/>
              <w:bidi w:val="0"/>
            </w:pPr>
            <w:r>
              <w:rPr>
                <w:rFonts w:hint="eastAsia"/>
                <w:lang w:val="en-US" w:eastAsia="zh-CN"/>
              </w:rPr>
              <w:t xml:space="preserve">0.0047 </w:t>
            </w:r>
          </w:p>
        </w:tc>
        <w:tc>
          <w:tcPr>
            <w:tcW w:w="892" w:type="dxa"/>
            <w:shd w:val="clear" w:color="auto" w:fill="auto"/>
            <w:noWrap/>
            <w:vAlign w:val="center"/>
          </w:tcPr>
          <w:p>
            <w:pPr>
              <w:pStyle w:val="16"/>
              <w:bidi w:val="0"/>
            </w:pPr>
            <w:r>
              <w:rPr>
                <w:rFonts w:hint="eastAsia"/>
                <w:lang w:val="en-US" w:eastAsia="zh-CN"/>
              </w:rPr>
              <w:t xml:space="preserve">0.0047 </w:t>
            </w:r>
          </w:p>
        </w:tc>
        <w:tc>
          <w:tcPr>
            <w:tcW w:w="892" w:type="dxa"/>
            <w:shd w:val="clear" w:color="auto" w:fill="auto"/>
            <w:noWrap/>
            <w:vAlign w:val="center"/>
          </w:tcPr>
          <w:p>
            <w:pPr>
              <w:pStyle w:val="16"/>
              <w:bidi w:val="0"/>
            </w:pPr>
            <w:r>
              <w:rPr>
                <w:rFonts w:hint="eastAsia"/>
                <w:lang w:val="en-US" w:eastAsia="zh-CN"/>
              </w:rPr>
              <w:t xml:space="preserve">0.0047 </w:t>
            </w:r>
          </w:p>
        </w:tc>
        <w:tc>
          <w:tcPr>
            <w:tcW w:w="892" w:type="dxa"/>
            <w:shd w:val="clear" w:color="auto" w:fill="auto"/>
            <w:noWrap/>
            <w:vAlign w:val="center"/>
          </w:tcPr>
          <w:p>
            <w:pPr>
              <w:pStyle w:val="16"/>
              <w:bidi w:val="0"/>
            </w:pPr>
            <w:r>
              <w:rPr>
                <w:rFonts w:hint="eastAsia"/>
                <w:lang w:val="en-US" w:eastAsia="zh-CN"/>
              </w:rPr>
              <w:t xml:space="preserve">0.0047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10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0.0047 </w:t>
            </w:r>
          </w:p>
        </w:tc>
        <w:tc>
          <w:tcPr>
            <w:tcW w:w="979" w:type="dxa"/>
            <w:shd w:val="clear" w:color="auto" w:fill="auto"/>
            <w:noWrap/>
            <w:vAlign w:val="center"/>
          </w:tcPr>
          <w:p>
            <w:pPr>
              <w:pStyle w:val="16"/>
              <w:bidi w:val="0"/>
            </w:pPr>
            <w:r>
              <w:rPr>
                <w:rFonts w:hint="eastAsia"/>
                <w:lang w:val="en-US" w:eastAsia="zh-CN"/>
              </w:rPr>
              <w:t xml:space="preserve">0.0047 </w:t>
            </w:r>
          </w:p>
        </w:tc>
        <w:tc>
          <w:tcPr>
            <w:tcW w:w="979" w:type="dxa"/>
            <w:shd w:val="clear" w:color="auto" w:fill="auto"/>
            <w:noWrap/>
            <w:vAlign w:val="center"/>
          </w:tcPr>
          <w:p>
            <w:pPr>
              <w:pStyle w:val="16"/>
              <w:bidi w:val="0"/>
            </w:pPr>
            <w:r>
              <w:rPr>
                <w:rFonts w:hint="eastAsia"/>
                <w:lang w:val="en-US" w:eastAsia="zh-CN"/>
              </w:rPr>
              <w:t xml:space="preserve">0.0047 </w:t>
            </w:r>
          </w:p>
        </w:tc>
        <w:tc>
          <w:tcPr>
            <w:tcW w:w="875" w:type="dxa"/>
            <w:shd w:val="clear" w:color="auto" w:fill="auto"/>
            <w:noWrap/>
            <w:vAlign w:val="center"/>
          </w:tcPr>
          <w:p>
            <w:pPr>
              <w:pStyle w:val="16"/>
              <w:bidi w:val="0"/>
            </w:pPr>
            <w:r>
              <w:rPr>
                <w:rFonts w:hint="eastAsia"/>
                <w:lang w:val="en-US" w:eastAsia="zh-CN"/>
              </w:rPr>
              <w:t xml:space="preserve">0.0047 </w:t>
            </w:r>
          </w:p>
        </w:tc>
        <w:tc>
          <w:tcPr>
            <w:tcW w:w="892" w:type="dxa"/>
            <w:shd w:val="clear" w:color="auto" w:fill="auto"/>
            <w:noWrap/>
            <w:vAlign w:val="center"/>
          </w:tcPr>
          <w:p>
            <w:pPr>
              <w:pStyle w:val="16"/>
              <w:bidi w:val="0"/>
            </w:pPr>
            <w:r>
              <w:rPr>
                <w:rFonts w:hint="eastAsia"/>
                <w:lang w:val="en-US" w:eastAsia="zh-CN"/>
              </w:rPr>
              <w:t xml:space="preserve">0.0047 </w:t>
            </w:r>
          </w:p>
        </w:tc>
        <w:tc>
          <w:tcPr>
            <w:tcW w:w="892" w:type="dxa"/>
            <w:shd w:val="clear" w:color="auto" w:fill="auto"/>
            <w:noWrap/>
            <w:vAlign w:val="center"/>
          </w:tcPr>
          <w:p>
            <w:pPr>
              <w:pStyle w:val="16"/>
              <w:bidi w:val="0"/>
            </w:pPr>
            <w:r>
              <w:rPr>
                <w:rFonts w:hint="eastAsia"/>
                <w:lang w:val="en-US" w:eastAsia="zh-CN"/>
              </w:rPr>
              <w:t xml:space="preserve">0.0047 </w:t>
            </w:r>
          </w:p>
        </w:tc>
        <w:tc>
          <w:tcPr>
            <w:tcW w:w="892" w:type="dxa"/>
            <w:shd w:val="clear" w:color="auto" w:fill="auto"/>
            <w:noWrap/>
            <w:vAlign w:val="center"/>
          </w:tcPr>
          <w:p>
            <w:pPr>
              <w:pStyle w:val="16"/>
              <w:bidi w:val="0"/>
            </w:pPr>
            <w:r>
              <w:rPr>
                <w:rFonts w:hint="eastAsia"/>
                <w:lang w:val="en-US" w:eastAsia="zh-CN"/>
              </w:rPr>
              <w:t xml:space="preserve">0.0047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100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875"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200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875"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600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875"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800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875"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1000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875"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2000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875"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3000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875"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4000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875"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5000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875"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6000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875"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8000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875"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10000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875"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15000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875"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20000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875"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15000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875"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20000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875"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r>
    </w:tbl>
    <w:p>
      <w:pPr>
        <w:spacing w:line="240" w:lineRule="auto"/>
        <w:ind w:firstLine="482"/>
        <w:jc w:val="center"/>
        <w:rPr>
          <w:b/>
          <w:bCs/>
          <w:u w:val="none"/>
        </w:rPr>
      </w:pPr>
      <w:r>
        <w:rPr>
          <w:b/>
          <w:bCs/>
          <w:u w:val="none"/>
        </w:rPr>
        <w:t>表</w:t>
      </w:r>
      <w:r>
        <w:rPr>
          <w:rFonts w:hint="eastAsia"/>
          <w:b/>
          <w:bCs/>
          <w:u w:val="none"/>
        </w:rPr>
        <w:t>6.1.4-</w:t>
      </w:r>
      <w:r>
        <w:rPr>
          <w:rFonts w:hint="eastAsia"/>
          <w:b/>
          <w:bCs/>
          <w:u w:val="none"/>
          <w:lang w:val="en-US" w:eastAsia="zh-CN"/>
        </w:rPr>
        <w:t>3</w:t>
      </w:r>
      <w:r>
        <w:rPr>
          <w:b/>
          <w:bCs/>
          <w:u w:val="none"/>
        </w:rPr>
        <w:t>正常排放对枯水期</w:t>
      </w:r>
      <w:r>
        <w:rPr>
          <w:rFonts w:hint="eastAsia"/>
          <w:b/>
          <w:bCs/>
          <w:u w:val="none"/>
        </w:rPr>
        <w:t>资水</w:t>
      </w:r>
      <w:r>
        <w:rPr>
          <w:b/>
          <w:bCs/>
          <w:u w:val="none"/>
        </w:rPr>
        <w:t>评价河段</w:t>
      </w:r>
      <w:r>
        <w:rPr>
          <w:rFonts w:hint="eastAsia"/>
          <w:b/>
          <w:bCs/>
          <w:u w:val="none"/>
        </w:rPr>
        <w:t>锑</w:t>
      </w:r>
      <w:r>
        <w:rPr>
          <w:b/>
          <w:bCs/>
          <w:u w:val="none"/>
        </w:rPr>
        <w:t>浓度预测值</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
        <w:gridCol w:w="923"/>
        <w:gridCol w:w="979"/>
        <w:gridCol w:w="979"/>
        <w:gridCol w:w="979"/>
        <w:gridCol w:w="979"/>
        <w:gridCol w:w="875"/>
        <w:gridCol w:w="892"/>
        <w:gridCol w:w="892"/>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X/Y</w:t>
            </w:r>
          </w:p>
        </w:tc>
        <w:tc>
          <w:tcPr>
            <w:tcW w:w="497" w:type="pct"/>
            <w:shd w:val="clear" w:color="auto" w:fill="auto"/>
            <w:noWrap/>
            <w:vAlign w:val="center"/>
          </w:tcPr>
          <w:p>
            <w:pPr>
              <w:pStyle w:val="16"/>
              <w:jc w:val="center"/>
              <w:rPr>
                <w:u w:val="none"/>
              </w:rPr>
            </w:pPr>
            <w:r>
              <w:rPr>
                <w:rFonts w:hint="eastAsia"/>
                <w:u w:val="none"/>
              </w:rPr>
              <w:t>1</w:t>
            </w:r>
          </w:p>
        </w:tc>
        <w:tc>
          <w:tcPr>
            <w:tcW w:w="527" w:type="pct"/>
            <w:shd w:val="clear" w:color="auto" w:fill="auto"/>
            <w:noWrap/>
            <w:vAlign w:val="center"/>
          </w:tcPr>
          <w:p>
            <w:pPr>
              <w:pStyle w:val="16"/>
              <w:jc w:val="center"/>
              <w:rPr>
                <w:u w:val="none"/>
              </w:rPr>
            </w:pPr>
            <w:r>
              <w:rPr>
                <w:rFonts w:hint="eastAsia"/>
                <w:u w:val="none"/>
              </w:rPr>
              <w:t>20</w:t>
            </w:r>
          </w:p>
        </w:tc>
        <w:tc>
          <w:tcPr>
            <w:tcW w:w="527" w:type="pct"/>
            <w:shd w:val="clear" w:color="auto" w:fill="auto"/>
            <w:noWrap/>
            <w:vAlign w:val="center"/>
          </w:tcPr>
          <w:p>
            <w:pPr>
              <w:pStyle w:val="16"/>
              <w:jc w:val="center"/>
              <w:rPr>
                <w:u w:val="none"/>
              </w:rPr>
            </w:pPr>
            <w:r>
              <w:rPr>
                <w:rFonts w:hint="eastAsia"/>
                <w:u w:val="none"/>
              </w:rPr>
              <w:t>50</w:t>
            </w:r>
          </w:p>
        </w:tc>
        <w:tc>
          <w:tcPr>
            <w:tcW w:w="527" w:type="pct"/>
            <w:shd w:val="clear" w:color="auto" w:fill="auto"/>
            <w:noWrap/>
            <w:vAlign w:val="center"/>
          </w:tcPr>
          <w:p>
            <w:pPr>
              <w:pStyle w:val="16"/>
              <w:jc w:val="center"/>
              <w:rPr>
                <w:u w:val="none"/>
              </w:rPr>
            </w:pPr>
            <w:r>
              <w:rPr>
                <w:rFonts w:hint="eastAsia"/>
                <w:u w:val="none"/>
              </w:rPr>
              <w:t>100</w:t>
            </w:r>
          </w:p>
        </w:tc>
        <w:tc>
          <w:tcPr>
            <w:tcW w:w="527" w:type="pct"/>
            <w:shd w:val="clear" w:color="auto" w:fill="auto"/>
            <w:noWrap/>
            <w:vAlign w:val="center"/>
          </w:tcPr>
          <w:p>
            <w:pPr>
              <w:pStyle w:val="16"/>
              <w:jc w:val="center"/>
              <w:rPr>
                <w:u w:val="none"/>
              </w:rPr>
            </w:pPr>
            <w:r>
              <w:rPr>
                <w:rFonts w:hint="eastAsia"/>
                <w:u w:val="none"/>
              </w:rPr>
              <w:t>150</w:t>
            </w:r>
          </w:p>
        </w:tc>
        <w:tc>
          <w:tcPr>
            <w:tcW w:w="471" w:type="pct"/>
            <w:shd w:val="clear" w:color="auto" w:fill="auto"/>
            <w:noWrap/>
            <w:vAlign w:val="center"/>
          </w:tcPr>
          <w:p>
            <w:pPr>
              <w:pStyle w:val="16"/>
              <w:jc w:val="center"/>
              <w:rPr>
                <w:u w:val="none"/>
              </w:rPr>
            </w:pPr>
            <w:r>
              <w:rPr>
                <w:rFonts w:hint="eastAsia"/>
                <w:u w:val="none"/>
              </w:rPr>
              <w:t>200</w:t>
            </w:r>
          </w:p>
        </w:tc>
        <w:tc>
          <w:tcPr>
            <w:tcW w:w="480" w:type="pct"/>
            <w:shd w:val="clear" w:color="auto" w:fill="auto"/>
            <w:noWrap/>
            <w:vAlign w:val="center"/>
          </w:tcPr>
          <w:p>
            <w:pPr>
              <w:pStyle w:val="16"/>
              <w:jc w:val="center"/>
              <w:rPr>
                <w:u w:val="none"/>
              </w:rPr>
            </w:pPr>
            <w:r>
              <w:rPr>
                <w:rFonts w:hint="eastAsia"/>
                <w:u w:val="none"/>
              </w:rPr>
              <w:t>250</w:t>
            </w:r>
          </w:p>
        </w:tc>
        <w:tc>
          <w:tcPr>
            <w:tcW w:w="480" w:type="pct"/>
            <w:shd w:val="clear" w:color="auto" w:fill="auto"/>
            <w:noWrap/>
            <w:vAlign w:val="center"/>
          </w:tcPr>
          <w:p>
            <w:pPr>
              <w:pStyle w:val="16"/>
              <w:jc w:val="center"/>
              <w:rPr>
                <w:u w:val="none"/>
              </w:rPr>
            </w:pPr>
            <w:r>
              <w:rPr>
                <w:rFonts w:hint="eastAsia"/>
                <w:u w:val="none"/>
              </w:rPr>
              <w:t>300</w:t>
            </w:r>
          </w:p>
        </w:tc>
        <w:tc>
          <w:tcPr>
            <w:tcW w:w="480" w:type="pct"/>
            <w:shd w:val="clear" w:color="auto" w:fill="auto"/>
            <w:noWrap/>
            <w:vAlign w:val="center"/>
          </w:tcPr>
          <w:p>
            <w:pPr>
              <w:pStyle w:val="16"/>
              <w:jc w:val="center"/>
              <w:rPr>
                <w:u w:val="none"/>
              </w:rPr>
            </w:pPr>
            <w:r>
              <w:rPr>
                <w:rFonts w:hint="eastAsia"/>
                <w:u w:val="none"/>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1</w:t>
            </w:r>
          </w:p>
        </w:tc>
        <w:tc>
          <w:tcPr>
            <w:tcW w:w="923" w:type="dxa"/>
            <w:shd w:val="clear" w:color="auto" w:fill="auto"/>
            <w:noWrap/>
            <w:vAlign w:val="center"/>
          </w:tcPr>
          <w:p>
            <w:pPr>
              <w:pStyle w:val="16"/>
              <w:bidi w:val="0"/>
            </w:pPr>
            <w:r>
              <w:rPr>
                <w:rFonts w:hint="eastAsia"/>
                <w:lang w:val="en-US" w:eastAsia="zh-CN"/>
              </w:rPr>
              <w:t xml:space="preserve">0.0055 </w:t>
            </w:r>
          </w:p>
        </w:tc>
        <w:tc>
          <w:tcPr>
            <w:tcW w:w="979" w:type="dxa"/>
            <w:shd w:val="clear" w:color="auto" w:fill="auto"/>
            <w:noWrap/>
            <w:vAlign w:val="center"/>
          </w:tcPr>
          <w:p>
            <w:pPr>
              <w:pStyle w:val="16"/>
              <w:bidi w:val="0"/>
            </w:pPr>
            <w:r>
              <w:rPr>
                <w:rFonts w:hint="eastAsia"/>
                <w:lang w:val="en-US" w:eastAsia="zh-CN"/>
              </w:rPr>
              <w:t xml:space="preserve">0.0050 </w:t>
            </w:r>
          </w:p>
        </w:tc>
        <w:tc>
          <w:tcPr>
            <w:tcW w:w="979" w:type="dxa"/>
            <w:shd w:val="clear" w:color="auto" w:fill="auto"/>
            <w:noWrap/>
            <w:vAlign w:val="center"/>
          </w:tcPr>
          <w:p>
            <w:pPr>
              <w:pStyle w:val="16"/>
              <w:bidi w:val="0"/>
            </w:pPr>
            <w:r>
              <w:rPr>
                <w:rFonts w:hint="eastAsia"/>
                <w:lang w:val="en-US" w:eastAsia="zh-CN"/>
              </w:rPr>
              <w:t xml:space="preserve">0.0049 </w:t>
            </w:r>
          </w:p>
        </w:tc>
        <w:tc>
          <w:tcPr>
            <w:tcW w:w="979" w:type="dxa"/>
            <w:shd w:val="clear" w:color="auto" w:fill="auto"/>
            <w:noWrap/>
            <w:vAlign w:val="center"/>
          </w:tcPr>
          <w:p>
            <w:pPr>
              <w:pStyle w:val="16"/>
              <w:bidi w:val="0"/>
            </w:pPr>
            <w:r>
              <w:rPr>
                <w:rFonts w:hint="eastAsia"/>
                <w:lang w:val="en-US" w:eastAsia="zh-CN"/>
              </w:rPr>
              <w:t xml:space="preserve">0.0049 </w:t>
            </w:r>
          </w:p>
        </w:tc>
        <w:tc>
          <w:tcPr>
            <w:tcW w:w="979" w:type="dxa"/>
            <w:shd w:val="clear" w:color="auto" w:fill="auto"/>
            <w:noWrap/>
            <w:vAlign w:val="center"/>
          </w:tcPr>
          <w:p>
            <w:pPr>
              <w:pStyle w:val="16"/>
              <w:bidi w:val="0"/>
            </w:pPr>
            <w:r>
              <w:rPr>
                <w:rFonts w:hint="eastAsia"/>
                <w:lang w:val="en-US" w:eastAsia="zh-CN"/>
              </w:rPr>
              <w:t xml:space="preserve">0.0049 </w:t>
            </w:r>
          </w:p>
        </w:tc>
        <w:tc>
          <w:tcPr>
            <w:tcW w:w="875" w:type="dxa"/>
            <w:shd w:val="clear" w:color="auto" w:fill="auto"/>
            <w:noWrap/>
            <w:vAlign w:val="center"/>
          </w:tcPr>
          <w:p>
            <w:pPr>
              <w:pStyle w:val="16"/>
              <w:bidi w:val="0"/>
            </w:pPr>
            <w:r>
              <w:rPr>
                <w:rFonts w:hint="eastAsia"/>
                <w:lang w:val="en-US" w:eastAsia="zh-CN"/>
              </w:rPr>
              <w:t xml:space="preserve">0.0049 </w:t>
            </w:r>
          </w:p>
        </w:tc>
        <w:tc>
          <w:tcPr>
            <w:tcW w:w="892" w:type="dxa"/>
            <w:shd w:val="clear" w:color="auto" w:fill="auto"/>
            <w:noWrap/>
            <w:vAlign w:val="center"/>
          </w:tcPr>
          <w:p>
            <w:pPr>
              <w:pStyle w:val="16"/>
              <w:bidi w:val="0"/>
            </w:pPr>
            <w:r>
              <w:rPr>
                <w:rFonts w:hint="eastAsia"/>
                <w:lang w:val="en-US" w:eastAsia="zh-CN"/>
              </w:rPr>
              <w:t xml:space="preserve">0.0049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10</w:t>
            </w:r>
          </w:p>
        </w:tc>
        <w:tc>
          <w:tcPr>
            <w:tcW w:w="923"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0.0049 </w:t>
            </w:r>
          </w:p>
        </w:tc>
        <w:tc>
          <w:tcPr>
            <w:tcW w:w="979" w:type="dxa"/>
            <w:shd w:val="clear" w:color="auto" w:fill="auto"/>
            <w:noWrap/>
            <w:vAlign w:val="center"/>
          </w:tcPr>
          <w:p>
            <w:pPr>
              <w:pStyle w:val="16"/>
              <w:bidi w:val="0"/>
            </w:pPr>
            <w:r>
              <w:rPr>
                <w:rFonts w:hint="eastAsia"/>
                <w:lang w:val="en-US" w:eastAsia="zh-CN"/>
              </w:rPr>
              <w:t xml:space="preserve">0.0049 </w:t>
            </w:r>
          </w:p>
        </w:tc>
        <w:tc>
          <w:tcPr>
            <w:tcW w:w="979" w:type="dxa"/>
            <w:shd w:val="clear" w:color="auto" w:fill="auto"/>
            <w:noWrap/>
            <w:vAlign w:val="center"/>
          </w:tcPr>
          <w:p>
            <w:pPr>
              <w:pStyle w:val="16"/>
              <w:bidi w:val="0"/>
            </w:pPr>
            <w:r>
              <w:rPr>
                <w:rFonts w:hint="eastAsia"/>
                <w:lang w:val="en-US" w:eastAsia="zh-CN"/>
              </w:rPr>
              <w:t xml:space="preserve">0.0049 </w:t>
            </w:r>
          </w:p>
        </w:tc>
        <w:tc>
          <w:tcPr>
            <w:tcW w:w="979" w:type="dxa"/>
            <w:shd w:val="clear" w:color="auto" w:fill="auto"/>
            <w:noWrap/>
            <w:vAlign w:val="center"/>
          </w:tcPr>
          <w:p>
            <w:pPr>
              <w:pStyle w:val="16"/>
              <w:bidi w:val="0"/>
            </w:pPr>
            <w:r>
              <w:rPr>
                <w:rFonts w:hint="eastAsia"/>
                <w:lang w:val="en-US" w:eastAsia="zh-CN"/>
              </w:rPr>
              <w:t xml:space="preserve">0.0049 </w:t>
            </w:r>
          </w:p>
        </w:tc>
        <w:tc>
          <w:tcPr>
            <w:tcW w:w="875" w:type="dxa"/>
            <w:shd w:val="clear" w:color="auto" w:fill="auto"/>
            <w:noWrap/>
            <w:vAlign w:val="center"/>
          </w:tcPr>
          <w:p>
            <w:pPr>
              <w:pStyle w:val="16"/>
              <w:bidi w:val="0"/>
            </w:pPr>
            <w:r>
              <w:rPr>
                <w:rFonts w:hint="eastAsia"/>
                <w:lang w:val="en-US" w:eastAsia="zh-CN"/>
              </w:rPr>
              <w:t xml:space="preserve">0.0049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100</w:t>
            </w:r>
          </w:p>
        </w:tc>
        <w:tc>
          <w:tcPr>
            <w:tcW w:w="923"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875"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200</w:t>
            </w:r>
          </w:p>
        </w:tc>
        <w:tc>
          <w:tcPr>
            <w:tcW w:w="923"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875"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600</w:t>
            </w:r>
          </w:p>
        </w:tc>
        <w:tc>
          <w:tcPr>
            <w:tcW w:w="923"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875"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800</w:t>
            </w:r>
          </w:p>
        </w:tc>
        <w:tc>
          <w:tcPr>
            <w:tcW w:w="923"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875"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1000</w:t>
            </w:r>
          </w:p>
        </w:tc>
        <w:tc>
          <w:tcPr>
            <w:tcW w:w="923"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875"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2000</w:t>
            </w:r>
          </w:p>
        </w:tc>
        <w:tc>
          <w:tcPr>
            <w:tcW w:w="923"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875"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3000</w:t>
            </w:r>
          </w:p>
        </w:tc>
        <w:tc>
          <w:tcPr>
            <w:tcW w:w="923"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875"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4000</w:t>
            </w:r>
          </w:p>
        </w:tc>
        <w:tc>
          <w:tcPr>
            <w:tcW w:w="923"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875"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5000</w:t>
            </w:r>
          </w:p>
        </w:tc>
        <w:tc>
          <w:tcPr>
            <w:tcW w:w="923"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875"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6000</w:t>
            </w:r>
          </w:p>
        </w:tc>
        <w:tc>
          <w:tcPr>
            <w:tcW w:w="923"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875"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8000</w:t>
            </w:r>
          </w:p>
        </w:tc>
        <w:tc>
          <w:tcPr>
            <w:tcW w:w="923"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875"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10000</w:t>
            </w:r>
          </w:p>
        </w:tc>
        <w:tc>
          <w:tcPr>
            <w:tcW w:w="923"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875"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15000</w:t>
            </w:r>
          </w:p>
        </w:tc>
        <w:tc>
          <w:tcPr>
            <w:tcW w:w="923"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875"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20000</w:t>
            </w:r>
          </w:p>
        </w:tc>
        <w:tc>
          <w:tcPr>
            <w:tcW w:w="923"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875"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15000</w:t>
            </w:r>
          </w:p>
        </w:tc>
        <w:tc>
          <w:tcPr>
            <w:tcW w:w="923"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875"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20000</w:t>
            </w:r>
          </w:p>
        </w:tc>
        <w:tc>
          <w:tcPr>
            <w:tcW w:w="923"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979" w:type="dxa"/>
            <w:shd w:val="clear" w:color="auto" w:fill="auto"/>
            <w:noWrap/>
            <w:vAlign w:val="center"/>
          </w:tcPr>
          <w:p>
            <w:pPr>
              <w:pStyle w:val="16"/>
              <w:bidi w:val="0"/>
            </w:pPr>
            <w:r>
              <w:rPr>
                <w:rFonts w:hint="eastAsia"/>
                <w:lang w:val="en-US" w:eastAsia="zh-CN"/>
              </w:rPr>
              <w:t xml:space="preserve">0.0048 </w:t>
            </w:r>
          </w:p>
        </w:tc>
        <w:tc>
          <w:tcPr>
            <w:tcW w:w="875"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r>
    </w:tbl>
    <w:p>
      <w:pPr>
        <w:spacing w:line="240" w:lineRule="auto"/>
        <w:ind w:firstLine="482"/>
        <w:jc w:val="center"/>
        <w:rPr>
          <w:b/>
          <w:bCs/>
          <w:u w:val="none"/>
        </w:rPr>
      </w:pPr>
      <w:r>
        <w:rPr>
          <w:b/>
          <w:bCs/>
          <w:u w:val="none"/>
        </w:rPr>
        <w:t>表</w:t>
      </w:r>
      <w:r>
        <w:rPr>
          <w:rFonts w:hint="eastAsia"/>
          <w:b/>
          <w:bCs/>
          <w:u w:val="none"/>
        </w:rPr>
        <w:t>6.1.4-</w:t>
      </w:r>
      <w:r>
        <w:rPr>
          <w:rFonts w:hint="eastAsia"/>
          <w:b/>
          <w:bCs/>
          <w:u w:val="none"/>
          <w:lang w:val="en-US" w:eastAsia="zh-CN"/>
        </w:rPr>
        <w:t>4</w:t>
      </w:r>
      <w:r>
        <w:rPr>
          <w:b/>
          <w:bCs/>
          <w:u w:val="none"/>
        </w:rPr>
        <w:t>正常排放对枯水期</w:t>
      </w:r>
      <w:r>
        <w:rPr>
          <w:rFonts w:hint="eastAsia"/>
          <w:b/>
          <w:bCs/>
          <w:u w:val="none"/>
        </w:rPr>
        <w:t>资水</w:t>
      </w:r>
      <w:r>
        <w:rPr>
          <w:b/>
          <w:bCs/>
          <w:u w:val="none"/>
        </w:rPr>
        <w:t>评价河段</w:t>
      </w:r>
      <w:r>
        <w:rPr>
          <w:rFonts w:hint="eastAsia"/>
          <w:b/>
          <w:bCs/>
          <w:u w:val="none"/>
        </w:rPr>
        <w:t>铅</w:t>
      </w:r>
      <w:r>
        <w:rPr>
          <w:b/>
          <w:bCs/>
          <w:u w:val="none"/>
        </w:rPr>
        <w:t>浓度预测值</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960"/>
        <w:gridCol w:w="960"/>
        <w:gridCol w:w="960"/>
        <w:gridCol w:w="960"/>
        <w:gridCol w:w="960"/>
        <w:gridCol w:w="960"/>
        <w:gridCol w:w="960"/>
        <w:gridCol w:w="960"/>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44" w:type="dxa"/>
            <w:shd w:val="clear" w:color="auto" w:fill="auto"/>
            <w:noWrap/>
            <w:vAlign w:val="center"/>
          </w:tcPr>
          <w:p>
            <w:pPr>
              <w:pStyle w:val="16"/>
              <w:bidi w:val="0"/>
              <w:rPr>
                <w:u w:val="none"/>
              </w:rPr>
            </w:pPr>
            <w:r>
              <w:rPr>
                <w:rFonts w:hint="eastAsia"/>
                <w:u w:val="none"/>
                <w:lang w:val="en-US" w:eastAsia="zh-CN"/>
              </w:rPr>
              <w:t>X/Y</w:t>
            </w:r>
          </w:p>
        </w:tc>
        <w:tc>
          <w:tcPr>
            <w:tcW w:w="960" w:type="dxa"/>
            <w:shd w:val="clear" w:color="auto" w:fill="auto"/>
            <w:noWrap/>
            <w:vAlign w:val="center"/>
          </w:tcPr>
          <w:p>
            <w:pPr>
              <w:pStyle w:val="16"/>
              <w:bidi w:val="0"/>
              <w:rPr>
                <w:u w:val="none"/>
              </w:rPr>
            </w:pPr>
            <w:r>
              <w:rPr>
                <w:rFonts w:hint="eastAsia"/>
                <w:u w:val="none"/>
                <w:lang w:val="en-US" w:eastAsia="zh-CN"/>
              </w:rPr>
              <w:t>1</w:t>
            </w:r>
          </w:p>
        </w:tc>
        <w:tc>
          <w:tcPr>
            <w:tcW w:w="960" w:type="dxa"/>
            <w:shd w:val="clear" w:color="auto" w:fill="auto"/>
            <w:noWrap/>
            <w:vAlign w:val="center"/>
          </w:tcPr>
          <w:p>
            <w:pPr>
              <w:pStyle w:val="16"/>
              <w:bidi w:val="0"/>
              <w:rPr>
                <w:u w:val="none"/>
              </w:rPr>
            </w:pPr>
            <w:r>
              <w:rPr>
                <w:rFonts w:hint="eastAsia"/>
                <w:u w:val="none"/>
                <w:lang w:val="en-US" w:eastAsia="zh-CN"/>
              </w:rPr>
              <w:t>20</w:t>
            </w:r>
          </w:p>
        </w:tc>
        <w:tc>
          <w:tcPr>
            <w:tcW w:w="960" w:type="dxa"/>
            <w:shd w:val="clear" w:color="auto" w:fill="auto"/>
            <w:noWrap/>
            <w:vAlign w:val="center"/>
          </w:tcPr>
          <w:p>
            <w:pPr>
              <w:pStyle w:val="16"/>
              <w:bidi w:val="0"/>
              <w:rPr>
                <w:u w:val="none"/>
              </w:rPr>
            </w:pPr>
            <w:r>
              <w:rPr>
                <w:rFonts w:hint="eastAsia"/>
                <w:u w:val="none"/>
                <w:lang w:val="en-US" w:eastAsia="zh-CN"/>
              </w:rPr>
              <w:t>50</w:t>
            </w:r>
          </w:p>
        </w:tc>
        <w:tc>
          <w:tcPr>
            <w:tcW w:w="960" w:type="dxa"/>
            <w:shd w:val="clear" w:color="auto" w:fill="auto"/>
            <w:noWrap/>
            <w:vAlign w:val="center"/>
          </w:tcPr>
          <w:p>
            <w:pPr>
              <w:pStyle w:val="16"/>
              <w:bidi w:val="0"/>
              <w:rPr>
                <w:u w:val="none"/>
              </w:rPr>
            </w:pPr>
            <w:r>
              <w:rPr>
                <w:rFonts w:hint="eastAsia"/>
                <w:u w:val="none"/>
                <w:lang w:val="en-US" w:eastAsia="zh-CN"/>
              </w:rPr>
              <w:t>100</w:t>
            </w:r>
          </w:p>
        </w:tc>
        <w:tc>
          <w:tcPr>
            <w:tcW w:w="960" w:type="dxa"/>
            <w:shd w:val="clear" w:color="auto" w:fill="auto"/>
            <w:noWrap/>
            <w:vAlign w:val="center"/>
          </w:tcPr>
          <w:p>
            <w:pPr>
              <w:pStyle w:val="16"/>
              <w:bidi w:val="0"/>
              <w:rPr>
                <w:u w:val="none"/>
              </w:rPr>
            </w:pPr>
            <w:r>
              <w:rPr>
                <w:rFonts w:hint="eastAsia"/>
                <w:u w:val="none"/>
                <w:lang w:val="en-US" w:eastAsia="zh-CN"/>
              </w:rPr>
              <w:t>150</w:t>
            </w:r>
          </w:p>
        </w:tc>
        <w:tc>
          <w:tcPr>
            <w:tcW w:w="960" w:type="dxa"/>
            <w:shd w:val="clear" w:color="auto" w:fill="auto"/>
            <w:noWrap/>
            <w:vAlign w:val="center"/>
          </w:tcPr>
          <w:p>
            <w:pPr>
              <w:pStyle w:val="16"/>
              <w:bidi w:val="0"/>
              <w:rPr>
                <w:u w:val="none"/>
              </w:rPr>
            </w:pPr>
            <w:r>
              <w:rPr>
                <w:rFonts w:hint="eastAsia"/>
                <w:u w:val="none"/>
                <w:lang w:val="en-US" w:eastAsia="zh-CN"/>
              </w:rPr>
              <w:t>200</w:t>
            </w:r>
          </w:p>
        </w:tc>
        <w:tc>
          <w:tcPr>
            <w:tcW w:w="960" w:type="dxa"/>
            <w:shd w:val="clear" w:color="auto" w:fill="auto"/>
            <w:noWrap/>
            <w:vAlign w:val="center"/>
          </w:tcPr>
          <w:p>
            <w:pPr>
              <w:pStyle w:val="16"/>
              <w:bidi w:val="0"/>
              <w:rPr>
                <w:u w:val="none"/>
              </w:rPr>
            </w:pPr>
            <w:r>
              <w:rPr>
                <w:rFonts w:hint="eastAsia"/>
                <w:u w:val="none"/>
                <w:lang w:val="en-US" w:eastAsia="zh-CN"/>
              </w:rPr>
              <w:t>250</w:t>
            </w:r>
          </w:p>
        </w:tc>
        <w:tc>
          <w:tcPr>
            <w:tcW w:w="960" w:type="dxa"/>
            <w:shd w:val="clear" w:color="auto" w:fill="auto"/>
            <w:noWrap/>
            <w:vAlign w:val="center"/>
          </w:tcPr>
          <w:p>
            <w:pPr>
              <w:pStyle w:val="16"/>
              <w:bidi w:val="0"/>
              <w:rPr>
                <w:u w:val="none"/>
              </w:rPr>
            </w:pPr>
            <w:r>
              <w:rPr>
                <w:rFonts w:hint="eastAsia"/>
                <w:u w:val="none"/>
                <w:lang w:val="en-US" w:eastAsia="zh-CN"/>
              </w:rPr>
              <w:t>300</w:t>
            </w:r>
          </w:p>
        </w:tc>
        <w:tc>
          <w:tcPr>
            <w:tcW w:w="962" w:type="dxa"/>
            <w:shd w:val="clear" w:color="auto" w:fill="auto"/>
            <w:noWrap/>
            <w:vAlign w:val="center"/>
          </w:tcPr>
          <w:p>
            <w:pPr>
              <w:pStyle w:val="16"/>
              <w:bidi w:val="0"/>
              <w:rPr>
                <w:u w:val="none"/>
              </w:rPr>
            </w:pPr>
            <w:r>
              <w:rPr>
                <w:rFonts w:hint="eastAsia"/>
                <w:u w:val="none"/>
                <w:lang w:val="en-US" w:eastAsia="zh-CN"/>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44" w:type="dxa"/>
            <w:shd w:val="clear" w:color="auto" w:fill="auto"/>
            <w:noWrap/>
            <w:vAlign w:val="center"/>
          </w:tcPr>
          <w:p>
            <w:pPr>
              <w:pStyle w:val="16"/>
              <w:bidi w:val="0"/>
              <w:rPr>
                <w:u w:val="none"/>
              </w:rPr>
            </w:pPr>
            <w:r>
              <w:rPr>
                <w:rFonts w:hint="eastAsia"/>
                <w:u w:val="none"/>
                <w:lang w:val="en-US" w:eastAsia="zh-CN"/>
              </w:rPr>
              <w:t>1</w:t>
            </w:r>
          </w:p>
        </w:tc>
        <w:tc>
          <w:tcPr>
            <w:tcW w:w="960" w:type="dxa"/>
            <w:shd w:val="clear" w:color="auto" w:fill="auto"/>
            <w:noWrap/>
            <w:vAlign w:val="center"/>
          </w:tcPr>
          <w:p>
            <w:pPr>
              <w:pStyle w:val="16"/>
              <w:bidi w:val="0"/>
            </w:pPr>
            <w:r>
              <w:rPr>
                <w:rFonts w:hint="eastAsia"/>
                <w:lang w:val="en-US" w:eastAsia="zh-CN"/>
              </w:rPr>
              <w:t xml:space="preserve">0.00241 </w:t>
            </w:r>
          </w:p>
        </w:tc>
        <w:tc>
          <w:tcPr>
            <w:tcW w:w="960" w:type="dxa"/>
            <w:shd w:val="clear" w:color="auto" w:fill="auto"/>
            <w:noWrap/>
            <w:vAlign w:val="center"/>
          </w:tcPr>
          <w:p>
            <w:pPr>
              <w:pStyle w:val="16"/>
              <w:bidi w:val="0"/>
            </w:pPr>
            <w:r>
              <w:rPr>
                <w:rFonts w:hint="eastAsia"/>
                <w:lang w:val="en-US" w:eastAsia="zh-CN"/>
              </w:rPr>
              <w:t xml:space="preserve">0.00056 </w:t>
            </w:r>
          </w:p>
        </w:tc>
        <w:tc>
          <w:tcPr>
            <w:tcW w:w="960" w:type="dxa"/>
            <w:shd w:val="clear" w:color="auto" w:fill="auto"/>
            <w:noWrap/>
            <w:vAlign w:val="center"/>
          </w:tcPr>
          <w:p>
            <w:pPr>
              <w:pStyle w:val="16"/>
              <w:bidi w:val="0"/>
            </w:pPr>
            <w:r>
              <w:rPr>
                <w:rFonts w:hint="eastAsia"/>
                <w:lang w:val="en-US" w:eastAsia="zh-CN"/>
              </w:rPr>
              <w:t xml:space="preserve">0.00041 </w:t>
            </w:r>
          </w:p>
        </w:tc>
        <w:tc>
          <w:tcPr>
            <w:tcW w:w="960" w:type="dxa"/>
            <w:shd w:val="clear" w:color="auto" w:fill="auto"/>
            <w:noWrap/>
            <w:vAlign w:val="center"/>
          </w:tcPr>
          <w:p>
            <w:pPr>
              <w:pStyle w:val="16"/>
              <w:bidi w:val="0"/>
            </w:pPr>
            <w:r>
              <w:rPr>
                <w:rFonts w:hint="eastAsia"/>
                <w:lang w:val="en-US" w:eastAsia="zh-CN"/>
              </w:rPr>
              <w:t xml:space="preserve">0.00030 </w:t>
            </w:r>
          </w:p>
        </w:tc>
        <w:tc>
          <w:tcPr>
            <w:tcW w:w="960" w:type="dxa"/>
            <w:shd w:val="clear" w:color="auto" w:fill="auto"/>
            <w:noWrap/>
            <w:vAlign w:val="center"/>
          </w:tcPr>
          <w:p>
            <w:pPr>
              <w:pStyle w:val="16"/>
              <w:bidi w:val="0"/>
            </w:pPr>
            <w:r>
              <w:rPr>
                <w:rFonts w:hint="eastAsia"/>
                <w:lang w:val="en-US" w:eastAsia="zh-CN"/>
              </w:rPr>
              <w:t xml:space="preserve">0.00025 </w:t>
            </w:r>
          </w:p>
        </w:tc>
        <w:tc>
          <w:tcPr>
            <w:tcW w:w="960" w:type="dxa"/>
            <w:shd w:val="clear" w:color="auto" w:fill="auto"/>
            <w:noWrap/>
            <w:vAlign w:val="center"/>
          </w:tcPr>
          <w:p>
            <w:pPr>
              <w:pStyle w:val="16"/>
              <w:bidi w:val="0"/>
            </w:pPr>
            <w:r>
              <w:rPr>
                <w:rFonts w:hint="eastAsia"/>
                <w:lang w:val="en-US" w:eastAsia="zh-CN"/>
              </w:rPr>
              <w:t xml:space="preserve">0.00022 </w:t>
            </w:r>
          </w:p>
        </w:tc>
        <w:tc>
          <w:tcPr>
            <w:tcW w:w="960" w:type="dxa"/>
            <w:shd w:val="clear" w:color="auto" w:fill="auto"/>
            <w:noWrap/>
            <w:vAlign w:val="center"/>
          </w:tcPr>
          <w:p>
            <w:pPr>
              <w:pStyle w:val="16"/>
              <w:bidi w:val="0"/>
            </w:pPr>
            <w:r>
              <w:rPr>
                <w:rFonts w:hint="eastAsia"/>
                <w:lang w:val="en-US" w:eastAsia="zh-CN"/>
              </w:rPr>
              <w:t xml:space="preserve">0.00020 </w:t>
            </w:r>
          </w:p>
        </w:tc>
        <w:tc>
          <w:tcPr>
            <w:tcW w:w="960" w:type="dxa"/>
            <w:shd w:val="clear" w:color="auto" w:fill="auto"/>
            <w:noWrap/>
            <w:vAlign w:val="center"/>
          </w:tcPr>
          <w:p>
            <w:pPr>
              <w:pStyle w:val="16"/>
              <w:bidi w:val="0"/>
            </w:pPr>
            <w:r>
              <w:rPr>
                <w:rFonts w:hint="eastAsia"/>
                <w:lang w:val="en-US" w:eastAsia="zh-CN"/>
              </w:rPr>
              <w:t xml:space="preserve">0.00019 </w:t>
            </w:r>
          </w:p>
        </w:tc>
        <w:tc>
          <w:tcPr>
            <w:tcW w:w="962" w:type="dxa"/>
            <w:shd w:val="clear" w:color="auto" w:fill="auto"/>
            <w:noWrap/>
            <w:vAlign w:val="center"/>
          </w:tcPr>
          <w:p>
            <w:pPr>
              <w:pStyle w:val="16"/>
              <w:bidi w:val="0"/>
            </w:pPr>
            <w:r>
              <w:rPr>
                <w:rFonts w:hint="eastAsia"/>
                <w:lang w:val="en-US" w:eastAsia="zh-CN"/>
              </w:rPr>
              <w:t xml:space="preserve">0.00018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44" w:type="dxa"/>
            <w:shd w:val="clear" w:color="auto" w:fill="auto"/>
            <w:noWrap/>
            <w:vAlign w:val="center"/>
          </w:tcPr>
          <w:p>
            <w:pPr>
              <w:pStyle w:val="16"/>
              <w:bidi w:val="0"/>
              <w:rPr>
                <w:u w:val="none"/>
              </w:rPr>
            </w:pPr>
            <w:r>
              <w:rPr>
                <w:rFonts w:hint="eastAsia"/>
                <w:u w:val="none"/>
                <w:lang w:val="en-US" w:eastAsia="zh-CN"/>
              </w:rPr>
              <w:t>10</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0.00035 </w:t>
            </w:r>
          </w:p>
        </w:tc>
        <w:tc>
          <w:tcPr>
            <w:tcW w:w="960" w:type="dxa"/>
            <w:shd w:val="clear" w:color="auto" w:fill="auto"/>
            <w:noWrap/>
            <w:vAlign w:val="center"/>
          </w:tcPr>
          <w:p>
            <w:pPr>
              <w:pStyle w:val="16"/>
              <w:bidi w:val="0"/>
            </w:pPr>
            <w:r>
              <w:rPr>
                <w:rFonts w:hint="eastAsia"/>
                <w:lang w:val="en-US" w:eastAsia="zh-CN"/>
              </w:rPr>
              <w:t xml:space="preserve">0.00033 </w:t>
            </w:r>
          </w:p>
        </w:tc>
        <w:tc>
          <w:tcPr>
            <w:tcW w:w="960" w:type="dxa"/>
            <w:shd w:val="clear" w:color="auto" w:fill="auto"/>
            <w:noWrap/>
            <w:vAlign w:val="center"/>
          </w:tcPr>
          <w:p>
            <w:pPr>
              <w:pStyle w:val="16"/>
              <w:bidi w:val="0"/>
            </w:pPr>
            <w:r>
              <w:rPr>
                <w:rFonts w:hint="eastAsia"/>
                <w:lang w:val="en-US" w:eastAsia="zh-CN"/>
              </w:rPr>
              <w:t xml:space="preserve">0.00027 </w:t>
            </w:r>
          </w:p>
        </w:tc>
        <w:tc>
          <w:tcPr>
            <w:tcW w:w="960" w:type="dxa"/>
            <w:shd w:val="clear" w:color="auto" w:fill="auto"/>
            <w:noWrap/>
            <w:vAlign w:val="center"/>
          </w:tcPr>
          <w:p>
            <w:pPr>
              <w:pStyle w:val="16"/>
              <w:bidi w:val="0"/>
            </w:pPr>
            <w:r>
              <w:rPr>
                <w:rFonts w:hint="eastAsia"/>
                <w:lang w:val="en-US" w:eastAsia="zh-CN"/>
              </w:rPr>
              <w:t xml:space="preserve">0.00023 </w:t>
            </w:r>
          </w:p>
        </w:tc>
        <w:tc>
          <w:tcPr>
            <w:tcW w:w="960" w:type="dxa"/>
            <w:shd w:val="clear" w:color="auto" w:fill="auto"/>
            <w:noWrap/>
            <w:vAlign w:val="center"/>
          </w:tcPr>
          <w:p>
            <w:pPr>
              <w:pStyle w:val="16"/>
              <w:bidi w:val="0"/>
            </w:pPr>
            <w:r>
              <w:rPr>
                <w:rFonts w:hint="eastAsia"/>
                <w:lang w:val="en-US" w:eastAsia="zh-CN"/>
              </w:rPr>
              <w:t xml:space="preserve">0.00021 </w:t>
            </w:r>
          </w:p>
        </w:tc>
        <w:tc>
          <w:tcPr>
            <w:tcW w:w="960" w:type="dxa"/>
            <w:shd w:val="clear" w:color="auto" w:fill="auto"/>
            <w:noWrap/>
            <w:vAlign w:val="center"/>
          </w:tcPr>
          <w:p>
            <w:pPr>
              <w:pStyle w:val="16"/>
              <w:bidi w:val="0"/>
            </w:pPr>
            <w:r>
              <w:rPr>
                <w:rFonts w:hint="eastAsia"/>
                <w:lang w:val="en-US" w:eastAsia="zh-CN"/>
              </w:rPr>
              <w:t xml:space="preserve">0.00019 </w:t>
            </w:r>
          </w:p>
        </w:tc>
        <w:tc>
          <w:tcPr>
            <w:tcW w:w="960" w:type="dxa"/>
            <w:shd w:val="clear" w:color="auto" w:fill="auto"/>
            <w:noWrap/>
            <w:vAlign w:val="center"/>
          </w:tcPr>
          <w:p>
            <w:pPr>
              <w:pStyle w:val="16"/>
              <w:bidi w:val="0"/>
            </w:pPr>
            <w:r>
              <w:rPr>
                <w:rFonts w:hint="eastAsia"/>
                <w:lang w:val="en-US" w:eastAsia="zh-CN"/>
              </w:rPr>
              <w:t xml:space="preserve">0.00018 </w:t>
            </w:r>
          </w:p>
        </w:tc>
        <w:tc>
          <w:tcPr>
            <w:tcW w:w="962" w:type="dxa"/>
            <w:shd w:val="clear" w:color="auto" w:fill="auto"/>
            <w:noWrap/>
            <w:vAlign w:val="center"/>
          </w:tcPr>
          <w:p>
            <w:pPr>
              <w:pStyle w:val="16"/>
              <w:bidi w:val="0"/>
            </w:pPr>
            <w:r>
              <w:rPr>
                <w:rFonts w:hint="eastAsia"/>
                <w:lang w:val="en-US" w:eastAsia="zh-CN"/>
              </w:rPr>
              <w:t xml:space="preserve">0.00018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44" w:type="dxa"/>
            <w:shd w:val="clear" w:color="auto" w:fill="auto"/>
            <w:noWrap/>
            <w:vAlign w:val="center"/>
          </w:tcPr>
          <w:p>
            <w:pPr>
              <w:pStyle w:val="16"/>
              <w:bidi w:val="0"/>
              <w:rPr>
                <w:u w:val="none"/>
              </w:rPr>
            </w:pPr>
            <w:r>
              <w:rPr>
                <w:rFonts w:hint="eastAsia"/>
                <w:u w:val="none"/>
                <w:lang w:val="en-US" w:eastAsia="zh-CN"/>
              </w:rPr>
              <w:t>100</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2" w:type="dxa"/>
            <w:shd w:val="clear" w:color="auto" w:fill="auto"/>
            <w:noWrap/>
            <w:vAlign w:val="center"/>
          </w:tcPr>
          <w:p>
            <w:pPr>
              <w:pStyle w:val="16"/>
              <w:bidi w:val="0"/>
            </w:pPr>
            <w:r>
              <w:rPr>
                <w:rFonts w:hint="eastAsia"/>
                <w:lang w:val="en-US" w:eastAsia="zh-CN"/>
              </w:rPr>
              <w:t xml:space="preserve">0.00003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44" w:type="dxa"/>
            <w:shd w:val="clear" w:color="auto" w:fill="auto"/>
            <w:noWrap/>
            <w:vAlign w:val="center"/>
          </w:tcPr>
          <w:p>
            <w:pPr>
              <w:pStyle w:val="16"/>
              <w:bidi w:val="0"/>
              <w:rPr>
                <w:u w:val="none"/>
              </w:rPr>
            </w:pPr>
            <w:r>
              <w:rPr>
                <w:rFonts w:hint="eastAsia"/>
                <w:u w:val="none"/>
                <w:lang w:val="en-US" w:eastAsia="zh-CN"/>
              </w:rPr>
              <w:t>200</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2" w:type="dxa"/>
            <w:shd w:val="clear" w:color="auto" w:fill="auto"/>
            <w:noWrap/>
            <w:vAlign w:val="center"/>
          </w:tcPr>
          <w:p>
            <w:pPr>
              <w:pStyle w:val="16"/>
              <w:bidi w:val="0"/>
            </w:pPr>
            <w:r>
              <w:rPr>
                <w:rFonts w:hint="eastAsia"/>
                <w:lang w:val="en-US" w:eastAsia="zh-CN"/>
              </w:rPr>
              <w:t xml:space="preserve">0.00003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44" w:type="dxa"/>
            <w:shd w:val="clear" w:color="auto" w:fill="auto"/>
            <w:noWrap/>
            <w:vAlign w:val="center"/>
          </w:tcPr>
          <w:p>
            <w:pPr>
              <w:pStyle w:val="16"/>
              <w:bidi w:val="0"/>
              <w:rPr>
                <w:u w:val="none"/>
              </w:rPr>
            </w:pPr>
            <w:r>
              <w:rPr>
                <w:rFonts w:hint="eastAsia"/>
                <w:u w:val="none"/>
                <w:lang w:val="en-US" w:eastAsia="zh-CN"/>
              </w:rPr>
              <w:t>600</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2" w:type="dxa"/>
            <w:shd w:val="clear" w:color="auto" w:fill="auto"/>
            <w:noWrap/>
            <w:vAlign w:val="center"/>
          </w:tcPr>
          <w:p>
            <w:pPr>
              <w:pStyle w:val="16"/>
              <w:bidi w:val="0"/>
            </w:pPr>
            <w:r>
              <w:rPr>
                <w:rFonts w:hint="eastAsia"/>
                <w:lang w:val="en-US" w:eastAsia="zh-CN"/>
              </w:rPr>
              <w:t xml:space="preserve">0.00003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44" w:type="dxa"/>
            <w:shd w:val="clear" w:color="auto" w:fill="auto"/>
            <w:noWrap/>
            <w:vAlign w:val="center"/>
          </w:tcPr>
          <w:p>
            <w:pPr>
              <w:pStyle w:val="16"/>
              <w:bidi w:val="0"/>
              <w:rPr>
                <w:u w:val="none"/>
              </w:rPr>
            </w:pPr>
            <w:r>
              <w:rPr>
                <w:rFonts w:hint="eastAsia"/>
                <w:u w:val="none"/>
                <w:lang w:val="en-US" w:eastAsia="zh-CN"/>
              </w:rPr>
              <w:t>800</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2" w:type="dxa"/>
            <w:shd w:val="clear" w:color="auto" w:fill="auto"/>
            <w:noWrap/>
            <w:vAlign w:val="center"/>
          </w:tcPr>
          <w:p>
            <w:pPr>
              <w:pStyle w:val="16"/>
              <w:bidi w:val="0"/>
            </w:pPr>
            <w:r>
              <w:rPr>
                <w:rFonts w:hint="eastAsia"/>
                <w:lang w:val="en-US" w:eastAsia="zh-CN"/>
              </w:rPr>
              <w:t xml:space="preserve">0.00003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44" w:type="dxa"/>
            <w:shd w:val="clear" w:color="auto" w:fill="auto"/>
            <w:noWrap/>
            <w:vAlign w:val="center"/>
          </w:tcPr>
          <w:p>
            <w:pPr>
              <w:pStyle w:val="16"/>
              <w:bidi w:val="0"/>
              <w:rPr>
                <w:u w:val="none"/>
              </w:rPr>
            </w:pPr>
            <w:r>
              <w:rPr>
                <w:rFonts w:hint="eastAsia"/>
                <w:u w:val="none"/>
                <w:lang w:val="en-US" w:eastAsia="zh-CN"/>
              </w:rPr>
              <w:t>1000</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2" w:type="dxa"/>
            <w:shd w:val="clear" w:color="auto" w:fill="auto"/>
            <w:noWrap/>
            <w:vAlign w:val="center"/>
          </w:tcPr>
          <w:p>
            <w:pPr>
              <w:pStyle w:val="16"/>
              <w:bidi w:val="0"/>
            </w:pPr>
            <w:r>
              <w:rPr>
                <w:rFonts w:hint="eastAsia"/>
                <w:lang w:val="en-US" w:eastAsia="zh-CN"/>
              </w:rPr>
              <w:t xml:space="preserve">0.00003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44" w:type="dxa"/>
            <w:shd w:val="clear" w:color="auto" w:fill="auto"/>
            <w:noWrap/>
            <w:vAlign w:val="center"/>
          </w:tcPr>
          <w:p>
            <w:pPr>
              <w:pStyle w:val="16"/>
              <w:bidi w:val="0"/>
              <w:rPr>
                <w:u w:val="none"/>
              </w:rPr>
            </w:pPr>
            <w:r>
              <w:rPr>
                <w:rFonts w:hint="eastAsia"/>
                <w:u w:val="none"/>
                <w:lang w:val="en-US" w:eastAsia="zh-CN"/>
              </w:rPr>
              <w:t>2000</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2" w:type="dxa"/>
            <w:shd w:val="clear" w:color="auto" w:fill="auto"/>
            <w:noWrap/>
            <w:vAlign w:val="center"/>
          </w:tcPr>
          <w:p>
            <w:pPr>
              <w:pStyle w:val="16"/>
              <w:bidi w:val="0"/>
            </w:pPr>
            <w:r>
              <w:rPr>
                <w:rFonts w:hint="eastAsia"/>
                <w:lang w:val="en-US" w:eastAsia="zh-CN"/>
              </w:rPr>
              <w:t xml:space="preserve">0.00003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44" w:type="dxa"/>
            <w:shd w:val="clear" w:color="auto" w:fill="auto"/>
            <w:noWrap/>
            <w:vAlign w:val="center"/>
          </w:tcPr>
          <w:p>
            <w:pPr>
              <w:pStyle w:val="16"/>
              <w:bidi w:val="0"/>
              <w:rPr>
                <w:u w:val="none"/>
              </w:rPr>
            </w:pPr>
            <w:r>
              <w:rPr>
                <w:rFonts w:hint="eastAsia"/>
                <w:u w:val="none"/>
                <w:lang w:val="en-US" w:eastAsia="zh-CN"/>
              </w:rPr>
              <w:t>3000</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2" w:type="dxa"/>
            <w:shd w:val="clear" w:color="auto" w:fill="auto"/>
            <w:noWrap/>
            <w:vAlign w:val="center"/>
          </w:tcPr>
          <w:p>
            <w:pPr>
              <w:pStyle w:val="16"/>
              <w:bidi w:val="0"/>
            </w:pPr>
            <w:r>
              <w:rPr>
                <w:rFonts w:hint="eastAsia"/>
                <w:lang w:val="en-US" w:eastAsia="zh-CN"/>
              </w:rPr>
              <w:t xml:space="preserve">0.00003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44" w:type="dxa"/>
            <w:shd w:val="clear" w:color="auto" w:fill="auto"/>
            <w:noWrap/>
            <w:vAlign w:val="center"/>
          </w:tcPr>
          <w:p>
            <w:pPr>
              <w:pStyle w:val="16"/>
              <w:bidi w:val="0"/>
              <w:rPr>
                <w:u w:val="none"/>
              </w:rPr>
            </w:pPr>
            <w:r>
              <w:rPr>
                <w:rFonts w:hint="eastAsia"/>
                <w:u w:val="none"/>
                <w:lang w:val="en-US" w:eastAsia="zh-CN"/>
              </w:rPr>
              <w:t>4000</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2" w:type="dxa"/>
            <w:shd w:val="clear" w:color="auto" w:fill="auto"/>
            <w:noWrap/>
            <w:vAlign w:val="center"/>
          </w:tcPr>
          <w:p>
            <w:pPr>
              <w:pStyle w:val="16"/>
              <w:bidi w:val="0"/>
            </w:pPr>
            <w:r>
              <w:rPr>
                <w:rFonts w:hint="eastAsia"/>
                <w:lang w:val="en-US" w:eastAsia="zh-CN"/>
              </w:rPr>
              <w:t xml:space="preserve">0.00003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44" w:type="dxa"/>
            <w:shd w:val="clear" w:color="auto" w:fill="auto"/>
            <w:noWrap/>
            <w:vAlign w:val="center"/>
          </w:tcPr>
          <w:p>
            <w:pPr>
              <w:pStyle w:val="16"/>
              <w:bidi w:val="0"/>
              <w:rPr>
                <w:u w:val="none"/>
              </w:rPr>
            </w:pPr>
            <w:r>
              <w:rPr>
                <w:rFonts w:hint="eastAsia"/>
                <w:u w:val="none"/>
                <w:lang w:val="en-US" w:eastAsia="zh-CN"/>
              </w:rPr>
              <w:t>5000</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2" w:type="dxa"/>
            <w:shd w:val="clear" w:color="auto" w:fill="auto"/>
            <w:noWrap/>
            <w:vAlign w:val="center"/>
          </w:tcPr>
          <w:p>
            <w:pPr>
              <w:pStyle w:val="16"/>
              <w:bidi w:val="0"/>
            </w:pPr>
            <w:r>
              <w:rPr>
                <w:rFonts w:hint="eastAsia"/>
                <w:lang w:val="en-US" w:eastAsia="zh-CN"/>
              </w:rPr>
              <w:t xml:space="preserve">0.00003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44" w:type="dxa"/>
            <w:shd w:val="clear" w:color="auto" w:fill="auto"/>
            <w:noWrap/>
            <w:vAlign w:val="center"/>
          </w:tcPr>
          <w:p>
            <w:pPr>
              <w:pStyle w:val="16"/>
              <w:bidi w:val="0"/>
              <w:rPr>
                <w:u w:val="none"/>
              </w:rPr>
            </w:pPr>
            <w:r>
              <w:rPr>
                <w:rFonts w:hint="eastAsia"/>
                <w:u w:val="none"/>
                <w:lang w:val="en-US" w:eastAsia="zh-CN"/>
              </w:rPr>
              <w:t>6000</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2" w:type="dxa"/>
            <w:shd w:val="clear" w:color="auto" w:fill="auto"/>
            <w:noWrap/>
            <w:vAlign w:val="center"/>
          </w:tcPr>
          <w:p>
            <w:pPr>
              <w:pStyle w:val="16"/>
              <w:bidi w:val="0"/>
            </w:pPr>
            <w:r>
              <w:rPr>
                <w:rFonts w:hint="eastAsia"/>
                <w:lang w:val="en-US" w:eastAsia="zh-CN"/>
              </w:rPr>
              <w:t xml:space="preserve">0.00003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44" w:type="dxa"/>
            <w:shd w:val="clear" w:color="auto" w:fill="auto"/>
            <w:noWrap/>
            <w:vAlign w:val="center"/>
          </w:tcPr>
          <w:p>
            <w:pPr>
              <w:pStyle w:val="16"/>
              <w:bidi w:val="0"/>
              <w:rPr>
                <w:u w:val="none"/>
              </w:rPr>
            </w:pPr>
            <w:r>
              <w:rPr>
                <w:rFonts w:hint="eastAsia"/>
                <w:u w:val="none"/>
                <w:lang w:val="en-US" w:eastAsia="zh-CN"/>
              </w:rPr>
              <w:t>8000</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2" w:type="dxa"/>
            <w:shd w:val="clear" w:color="auto" w:fill="auto"/>
            <w:noWrap/>
            <w:vAlign w:val="center"/>
          </w:tcPr>
          <w:p>
            <w:pPr>
              <w:pStyle w:val="16"/>
              <w:bidi w:val="0"/>
            </w:pPr>
            <w:r>
              <w:rPr>
                <w:rFonts w:hint="eastAsia"/>
                <w:lang w:val="en-US" w:eastAsia="zh-CN"/>
              </w:rPr>
              <w:t xml:space="preserve">0.00003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44" w:type="dxa"/>
            <w:shd w:val="clear" w:color="auto" w:fill="auto"/>
            <w:noWrap/>
            <w:vAlign w:val="center"/>
          </w:tcPr>
          <w:p>
            <w:pPr>
              <w:pStyle w:val="16"/>
              <w:bidi w:val="0"/>
              <w:rPr>
                <w:u w:val="none"/>
              </w:rPr>
            </w:pPr>
            <w:r>
              <w:rPr>
                <w:rFonts w:hint="eastAsia"/>
                <w:u w:val="none"/>
                <w:lang w:val="en-US" w:eastAsia="zh-CN"/>
              </w:rPr>
              <w:t>10000</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2" w:type="dxa"/>
            <w:shd w:val="clear" w:color="auto" w:fill="auto"/>
            <w:noWrap/>
            <w:vAlign w:val="center"/>
          </w:tcPr>
          <w:p>
            <w:pPr>
              <w:pStyle w:val="16"/>
              <w:bidi w:val="0"/>
            </w:pPr>
            <w:r>
              <w:rPr>
                <w:rFonts w:hint="eastAsia"/>
                <w:lang w:val="en-US" w:eastAsia="zh-CN"/>
              </w:rPr>
              <w:t xml:space="preserve">0.00003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44" w:type="dxa"/>
            <w:shd w:val="clear" w:color="auto" w:fill="auto"/>
            <w:noWrap/>
            <w:vAlign w:val="center"/>
          </w:tcPr>
          <w:p>
            <w:pPr>
              <w:pStyle w:val="16"/>
              <w:bidi w:val="0"/>
              <w:rPr>
                <w:u w:val="none"/>
              </w:rPr>
            </w:pPr>
            <w:r>
              <w:rPr>
                <w:rFonts w:hint="eastAsia"/>
                <w:u w:val="none"/>
                <w:lang w:val="en-US" w:eastAsia="zh-CN"/>
              </w:rPr>
              <w:t>15000</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2" w:type="dxa"/>
            <w:shd w:val="clear" w:color="auto" w:fill="auto"/>
            <w:noWrap/>
            <w:vAlign w:val="center"/>
          </w:tcPr>
          <w:p>
            <w:pPr>
              <w:pStyle w:val="16"/>
              <w:bidi w:val="0"/>
            </w:pPr>
            <w:r>
              <w:rPr>
                <w:rFonts w:hint="eastAsia"/>
                <w:lang w:val="en-US" w:eastAsia="zh-CN"/>
              </w:rPr>
              <w:t xml:space="preserve">0.00003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44" w:type="dxa"/>
            <w:shd w:val="clear" w:color="auto" w:fill="auto"/>
            <w:noWrap/>
            <w:vAlign w:val="center"/>
          </w:tcPr>
          <w:p>
            <w:pPr>
              <w:pStyle w:val="16"/>
              <w:bidi w:val="0"/>
              <w:rPr>
                <w:u w:val="none"/>
              </w:rPr>
            </w:pPr>
            <w:r>
              <w:rPr>
                <w:rFonts w:hint="eastAsia"/>
                <w:u w:val="none"/>
                <w:lang w:val="en-US" w:eastAsia="zh-CN"/>
              </w:rPr>
              <w:t>20000</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2" w:type="dxa"/>
            <w:shd w:val="clear" w:color="auto" w:fill="auto"/>
            <w:noWrap/>
            <w:vAlign w:val="center"/>
          </w:tcPr>
          <w:p>
            <w:pPr>
              <w:pStyle w:val="16"/>
              <w:bidi w:val="0"/>
            </w:pPr>
            <w:r>
              <w:rPr>
                <w:rFonts w:hint="eastAsia"/>
                <w:lang w:val="en-US" w:eastAsia="zh-CN"/>
              </w:rPr>
              <w:t xml:space="preserve">0.00003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44" w:type="dxa"/>
            <w:shd w:val="clear" w:color="auto" w:fill="auto"/>
            <w:noWrap/>
            <w:vAlign w:val="center"/>
          </w:tcPr>
          <w:p>
            <w:pPr>
              <w:pStyle w:val="16"/>
              <w:bidi w:val="0"/>
              <w:rPr>
                <w:u w:val="none"/>
              </w:rPr>
            </w:pPr>
            <w:r>
              <w:rPr>
                <w:rFonts w:hint="eastAsia"/>
                <w:u w:val="none"/>
                <w:lang w:val="en-US" w:eastAsia="zh-CN"/>
              </w:rPr>
              <w:t>15000</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2" w:type="dxa"/>
            <w:shd w:val="clear" w:color="auto" w:fill="auto"/>
            <w:noWrap/>
            <w:vAlign w:val="center"/>
          </w:tcPr>
          <w:p>
            <w:pPr>
              <w:pStyle w:val="16"/>
              <w:bidi w:val="0"/>
            </w:pPr>
            <w:r>
              <w:rPr>
                <w:rFonts w:hint="eastAsia"/>
                <w:lang w:val="en-US" w:eastAsia="zh-CN"/>
              </w:rPr>
              <w:t xml:space="preserve">0.00003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44" w:type="dxa"/>
            <w:shd w:val="clear" w:color="auto" w:fill="auto"/>
            <w:noWrap/>
            <w:vAlign w:val="center"/>
          </w:tcPr>
          <w:p>
            <w:pPr>
              <w:pStyle w:val="16"/>
              <w:bidi w:val="0"/>
              <w:rPr>
                <w:u w:val="none"/>
              </w:rPr>
            </w:pPr>
            <w:r>
              <w:rPr>
                <w:rFonts w:hint="eastAsia"/>
                <w:u w:val="none"/>
                <w:lang w:val="en-US" w:eastAsia="zh-CN"/>
              </w:rPr>
              <w:t>20000</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0" w:type="dxa"/>
            <w:shd w:val="clear" w:color="auto" w:fill="auto"/>
            <w:noWrap/>
            <w:vAlign w:val="center"/>
          </w:tcPr>
          <w:p>
            <w:pPr>
              <w:pStyle w:val="16"/>
              <w:bidi w:val="0"/>
            </w:pPr>
            <w:r>
              <w:rPr>
                <w:rFonts w:hint="eastAsia"/>
                <w:lang w:val="en-US" w:eastAsia="zh-CN"/>
              </w:rPr>
              <w:t xml:space="preserve">0.00003 </w:t>
            </w:r>
          </w:p>
        </w:tc>
        <w:tc>
          <w:tcPr>
            <w:tcW w:w="962" w:type="dxa"/>
            <w:shd w:val="clear" w:color="auto" w:fill="auto"/>
            <w:noWrap/>
            <w:vAlign w:val="center"/>
          </w:tcPr>
          <w:p>
            <w:pPr>
              <w:pStyle w:val="16"/>
              <w:bidi w:val="0"/>
            </w:pPr>
            <w:r>
              <w:rPr>
                <w:rFonts w:hint="eastAsia"/>
                <w:lang w:val="en-US" w:eastAsia="zh-CN"/>
              </w:rPr>
              <w:t xml:space="preserve">0.00003 </w:t>
            </w:r>
          </w:p>
        </w:tc>
      </w:tr>
    </w:tbl>
    <w:p>
      <w:pPr>
        <w:spacing w:line="240" w:lineRule="auto"/>
        <w:ind w:firstLine="482"/>
        <w:jc w:val="center"/>
        <w:rPr>
          <w:b/>
          <w:bCs/>
          <w:u w:val="none"/>
        </w:rPr>
      </w:pPr>
      <w:r>
        <w:rPr>
          <w:b/>
          <w:bCs/>
          <w:u w:val="none"/>
        </w:rPr>
        <w:t>表</w:t>
      </w:r>
      <w:r>
        <w:rPr>
          <w:rFonts w:hint="eastAsia"/>
          <w:b/>
          <w:bCs/>
          <w:u w:val="none"/>
        </w:rPr>
        <w:t>6.1.4-</w:t>
      </w:r>
      <w:r>
        <w:rPr>
          <w:rFonts w:hint="eastAsia"/>
          <w:b/>
          <w:bCs/>
          <w:u w:val="none"/>
          <w:lang w:val="en-US" w:eastAsia="zh-CN"/>
        </w:rPr>
        <w:t>5</w:t>
      </w:r>
      <w:r>
        <w:rPr>
          <w:b/>
          <w:bCs/>
          <w:u w:val="none"/>
        </w:rPr>
        <w:t>正常排放对枯水期</w:t>
      </w:r>
      <w:r>
        <w:rPr>
          <w:rFonts w:hint="eastAsia"/>
          <w:b/>
          <w:bCs/>
          <w:u w:val="none"/>
        </w:rPr>
        <w:t>资水</w:t>
      </w:r>
      <w:r>
        <w:rPr>
          <w:b/>
          <w:bCs/>
          <w:u w:val="none"/>
        </w:rPr>
        <w:t>评价河段</w:t>
      </w:r>
      <w:r>
        <w:rPr>
          <w:rFonts w:hint="eastAsia"/>
          <w:b/>
          <w:bCs/>
          <w:u w:val="none"/>
        </w:rPr>
        <w:t>镉</w:t>
      </w:r>
      <w:r>
        <w:rPr>
          <w:b/>
          <w:bCs/>
          <w:u w:val="none"/>
        </w:rPr>
        <w:t>浓度预测值</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960"/>
        <w:gridCol w:w="960"/>
        <w:gridCol w:w="960"/>
        <w:gridCol w:w="960"/>
        <w:gridCol w:w="960"/>
        <w:gridCol w:w="960"/>
        <w:gridCol w:w="960"/>
        <w:gridCol w:w="960"/>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46" w:type="pct"/>
            <w:shd w:val="clear" w:color="auto" w:fill="auto"/>
            <w:noWrap/>
            <w:vAlign w:val="center"/>
          </w:tcPr>
          <w:p>
            <w:pPr>
              <w:pStyle w:val="16"/>
              <w:jc w:val="center"/>
              <w:rPr>
                <w:u w:val="none"/>
              </w:rPr>
            </w:pPr>
            <w:r>
              <w:rPr>
                <w:rFonts w:hint="eastAsia"/>
                <w:u w:val="none"/>
              </w:rPr>
              <w:t>X/Y</w:t>
            </w:r>
          </w:p>
        </w:tc>
        <w:tc>
          <w:tcPr>
            <w:tcW w:w="516" w:type="pct"/>
            <w:shd w:val="clear" w:color="auto" w:fill="auto"/>
            <w:noWrap/>
            <w:vAlign w:val="center"/>
          </w:tcPr>
          <w:p>
            <w:pPr>
              <w:pStyle w:val="16"/>
              <w:jc w:val="center"/>
              <w:rPr>
                <w:u w:val="none"/>
              </w:rPr>
            </w:pPr>
            <w:r>
              <w:rPr>
                <w:rFonts w:hint="eastAsia"/>
                <w:u w:val="none"/>
              </w:rPr>
              <w:t>1</w:t>
            </w:r>
          </w:p>
        </w:tc>
        <w:tc>
          <w:tcPr>
            <w:tcW w:w="516" w:type="pct"/>
            <w:shd w:val="clear" w:color="auto" w:fill="auto"/>
            <w:noWrap/>
            <w:vAlign w:val="center"/>
          </w:tcPr>
          <w:p>
            <w:pPr>
              <w:pStyle w:val="16"/>
              <w:jc w:val="center"/>
              <w:rPr>
                <w:u w:val="none"/>
              </w:rPr>
            </w:pPr>
            <w:r>
              <w:rPr>
                <w:rFonts w:hint="eastAsia"/>
                <w:u w:val="none"/>
              </w:rPr>
              <w:t>20</w:t>
            </w:r>
          </w:p>
        </w:tc>
        <w:tc>
          <w:tcPr>
            <w:tcW w:w="516" w:type="pct"/>
            <w:shd w:val="clear" w:color="auto" w:fill="auto"/>
            <w:noWrap/>
            <w:vAlign w:val="center"/>
          </w:tcPr>
          <w:p>
            <w:pPr>
              <w:pStyle w:val="16"/>
              <w:jc w:val="center"/>
              <w:rPr>
                <w:u w:val="none"/>
              </w:rPr>
            </w:pPr>
            <w:r>
              <w:rPr>
                <w:rFonts w:hint="eastAsia"/>
                <w:u w:val="none"/>
              </w:rPr>
              <w:t>50</w:t>
            </w:r>
          </w:p>
        </w:tc>
        <w:tc>
          <w:tcPr>
            <w:tcW w:w="516" w:type="pct"/>
            <w:shd w:val="clear" w:color="auto" w:fill="auto"/>
            <w:noWrap/>
            <w:vAlign w:val="center"/>
          </w:tcPr>
          <w:p>
            <w:pPr>
              <w:pStyle w:val="16"/>
              <w:jc w:val="center"/>
              <w:rPr>
                <w:u w:val="none"/>
              </w:rPr>
            </w:pPr>
            <w:r>
              <w:rPr>
                <w:rFonts w:hint="eastAsia"/>
                <w:u w:val="none"/>
              </w:rPr>
              <w:t>100</w:t>
            </w:r>
          </w:p>
        </w:tc>
        <w:tc>
          <w:tcPr>
            <w:tcW w:w="516" w:type="pct"/>
            <w:shd w:val="clear" w:color="auto" w:fill="auto"/>
            <w:noWrap/>
            <w:vAlign w:val="center"/>
          </w:tcPr>
          <w:p>
            <w:pPr>
              <w:pStyle w:val="16"/>
              <w:jc w:val="center"/>
              <w:rPr>
                <w:u w:val="none"/>
              </w:rPr>
            </w:pPr>
            <w:r>
              <w:rPr>
                <w:rFonts w:hint="eastAsia"/>
                <w:u w:val="none"/>
              </w:rPr>
              <w:t>150</w:t>
            </w:r>
          </w:p>
        </w:tc>
        <w:tc>
          <w:tcPr>
            <w:tcW w:w="516" w:type="pct"/>
            <w:shd w:val="clear" w:color="auto" w:fill="auto"/>
            <w:noWrap/>
            <w:vAlign w:val="center"/>
          </w:tcPr>
          <w:p>
            <w:pPr>
              <w:pStyle w:val="16"/>
              <w:jc w:val="center"/>
              <w:rPr>
                <w:u w:val="none"/>
              </w:rPr>
            </w:pPr>
            <w:r>
              <w:rPr>
                <w:rFonts w:hint="eastAsia"/>
                <w:u w:val="none"/>
              </w:rPr>
              <w:t>200</w:t>
            </w:r>
          </w:p>
        </w:tc>
        <w:tc>
          <w:tcPr>
            <w:tcW w:w="516" w:type="pct"/>
            <w:shd w:val="clear" w:color="auto" w:fill="auto"/>
            <w:noWrap/>
            <w:vAlign w:val="center"/>
          </w:tcPr>
          <w:p>
            <w:pPr>
              <w:pStyle w:val="16"/>
              <w:jc w:val="center"/>
              <w:rPr>
                <w:u w:val="none"/>
              </w:rPr>
            </w:pPr>
            <w:r>
              <w:rPr>
                <w:rFonts w:hint="eastAsia"/>
                <w:u w:val="none"/>
              </w:rPr>
              <w:t>250</w:t>
            </w:r>
          </w:p>
        </w:tc>
        <w:tc>
          <w:tcPr>
            <w:tcW w:w="516" w:type="pct"/>
            <w:shd w:val="clear" w:color="auto" w:fill="auto"/>
            <w:noWrap/>
            <w:vAlign w:val="center"/>
          </w:tcPr>
          <w:p>
            <w:pPr>
              <w:pStyle w:val="16"/>
              <w:jc w:val="center"/>
              <w:rPr>
                <w:u w:val="none"/>
              </w:rPr>
            </w:pPr>
            <w:r>
              <w:rPr>
                <w:rFonts w:hint="eastAsia"/>
                <w:u w:val="none"/>
              </w:rPr>
              <w:t>300</w:t>
            </w:r>
          </w:p>
        </w:tc>
        <w:tc>
          <w:tcPr>
            <w:tcW w:w="518" w:type="pct"/>
            <w:shd w:val="clear" w:color="auto" w:fill="auto"/>
            <w:noWrap/>
            <w:vAlign w:val="center"/>
          </w:tcPr>
          <w:p>
            <w:pPr>
              <w:pStyle w:val="16"/>
              <w:jc w:val="center"/>
              <w:rPr>
                <w:u w:val="none"/>
              </w:rPr>
            </w:pPr>
            <w:r>
              <w:rPr>
                <w:rFonts w:hint="eastAsia"/>
                <w:u w:val="none"/>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46" w:type="pct"/>
            <w:shd w:val="clear" w:color="auto" w:fill="auto"/>
            <w:noWrap/>
            <w:vAlign w:val="center"/>
          </w:tcPr>
          <w:p>
            <w:pPr>
              <w:pStyle w:val="16"/>
              <w:bidi w:val="0"/>
              <w:rPr>
                <w:u w:val="none"/>
              </w:rPr>
            </w:pPr>
            <w:r>
              <w:rPr>
                <w:rFonts w:hint="eastAsia"/>
                <w:u w:val="none"/>
                <w:lang w:val="en-US" w:eastAsia="zh-CN"/>
              </w:rPr>
              <w:t>1</w:t>
            </w:r>
          </w:p>
        </w:tc>
        <w:tc>
          <w:tcPr>
            <w:tcW w:w="516" w:type="pct"/>
            <w:shd w:val="clear" w:color="auto" w:fill="auto"/>
            <w:noWrap/>
            <w:vAlign w:val="center"/>
          </w:tcPr>
          <w:p>
            <w:pPr>
              <w:pStyle w:val="16"/>
              <w:bidi w:val="0"/>
            </w:pPr>
            <w:r>
              <w:rPr>
                <w:rFonts w:hint="eastAsia"/>
                <w:lang w:val="en-US" w:eastAsia="zh-CN"/>
              </w:rPr>
              <w:t xml:space="preserve">0.00025 </w:t>
            </w:r>
          </w:p>
        </w:tc>
        <w:tc>
          <w:tcPr>
            <w:tcW w:w="516" w:type="pct"/>
            <w:shd w:val="clear" w:color="auto" w:fill="auto"/>
            <w:noWrap/>
            <w:vAlign w:val="center"/>
          </w:tcPr>
          <w:p>
            <w:pPr>
              <w:pStyle w:val="16"/>
              <w:bidi w:val="0"/>
            </w:pPr>
            <w:r>
              <w:rPr>
                <w:rFonts w:hint="eastAsia"/>
                <w:lang w:val="en-US" w:eastAsia="zh-CN"/>
              </w:rPr>
              <w:t xml:space="preserve">0.00007 </w:t>
            </w:r>
          </w:p>
        </w:tc>
        <w:tc>
          <w:tcPr>
            <w:tcW w:w="516" w:type="pct"/>
            <w:shd w:val="clear" w:color="auto" w:fill="auto"/>
            <w:noWrap/>
            <w:vAlign w:val="center"/>
          </w:tcPr>
          <w:p>
            <w:pPr>
              <w:pStyle w:val="16"/>
              <w:bidi w:val="0"/>
            </w:pPr>
            <w:r>
              <w:rPr>
                <w:rFonts w:hint="eastAsia"/>
                <w:lang w:val="en-US" w:eastAsia="zh-CN"/>
              </w:rPr>
              <w:t xml:space="preserve">0.00005 </w:t>
            </w:r>
          </w:p>
        </w:tc>
        <w:tc>
          <w:tcPr>
            <w:tcW w:w="516" w:type="pct"/>
            <w:shd w:val="clear" w:color="auto" w:fill="auto"/>
            <w:noWrap/>
            <w:vAlign w:val="center"/>
          </w:tcPr>
          <w:p>
            <w:pPr>
              <w:pStyle w:val="16"/>
              <w:bidi w:val="0"/>
            </w:pPr>
            <w:r>
              <w:rPr>
                <w:rFonts w:hint="eastAsia"/>
                <w:lang w:val="en-US" w:eastAsia="zh-CN"/>
              </w:rPr>
              <w:t xml:space="preserve">0.00004 </w:t>
            </w:r>
          </w:p>
        </w:tc>
        <w:tc>
          <w:tcPr>
            <w:tcW w:w="516" w:type="pct"/>
            <w:shd w:val="clear" w:color="auto" w:fill="auto"/>
            <w:noWrap/>
            <w:vAlign w:val="center"/>
          </w:tcPr>
          <w:p>
            <w:pPr>
              <w:pStyle w:val="16"/>
              <w:bidi w:val="0"/>
            </w:pPr>
            <w:r>
              <w:rPr>
                <w:rFonts w:hint="eastAsia"/>
                <w:lang w:val="en-US" w:eastAsia="zh-CN"/>
              </w:rPr>
              <w:t xml:space="preserve">0.00004 </w:t>
            </w:r>
          </w:p>
        </w:tc>
        <w:tc>
          <w:tcPr>
            <w:tcW w:w="516" w:type="pct"/>
            <w:shd w:val="clear" w:color="auto" w:fill="auto"/>
            <w:noWrap/>
            <w:vAlign w:val="center"/>
          </w:tcPr>
          <w:p>
            <w:pPr>
              <w:pStyle w:val="16"/>
              <w:bidi w:val="0"/>
            </w:pPr>
            <w:r>
              <w:rPr>
                <w:rFonts w:hint="eastAsia"/>
                <w:lang w:val="en-US" w:eastAsia="zh-CN"/>
              </w:rPr>
              <w:t xml:space="preserve">0.00004 </w:t>
            </w:r>
          </w:p>
        </w:tc>
        <w:tc>
          <w:tcPr>
            <w:tcW w:w="516" w:type="pct"/>
            <w:shd w:val="clear" w:color="auto" w:fill="auto"/>
            <w:noWrap/>
            <w:vAlign w:val="center"/>
          </w:tcPr>
          <w:p>
            <w:pPr>
              <w:pStyle w:val="16"/>
              <w:bidi w:val="0"/>
            </w:pPr>
            <w:r>
              <w:rPr>
                <w:rFonts w:hint="eastAsia"/>
                <w:lang w:val="en-US" w:eastAsia="zh-CN"/>
              </w:rPr>
              <w:t xml:space="preserve">0.00003 </w:t>
            </w:r>
          </w:p>
        </w:tc>
        <w:tc>
          <w:tcPr>
            <w:tcW w:w="516" w:type="pct"/>
            <w:shd w:val="clear" w:color="auto" w:fill="auto"/>
            <w:noWrap/>
            <w:vAlign w:val="center"/>
          </w:tcPr>
          <w:p>
            <w:pPr>
              <w:pStyle w:val="16"/>
              <w:bidi w:val="0"/>
            </w:pPr>
            <w:r>
              <w:rPr>
                <w:rFonts w:hint="eastAsia"/>
                <w:lang w:val="en-US" w:eastAsia="zh-CN"/>
              </w:rPr>
              <w:t xml:space="preserve">0.00003 </w:t>
            </w:r>
          </w:p>
        </w:tc>
        <w:tc>
          <w:tcPr>
            <w:tcW w:w="518" w:type="pct"/>
            <w:shd w:val="clear" w:color="auto" w:fill="auto"/>
            <w:noWrap/>
            <w:vAlign w:val="center"/>
          </w:tcPr>
          <w:p>
            <w:pPr>
              <w:pStyle w:val="16"/>
              <w:bidi w:val="0"/>
            </w:pPr>
            <w:r>
              <w:rPr>
                <w:rFonts w:hint="eastAsia"/>
                <w:lang w:val="en-US" w:eastAsia="zh-CN"/>
              </w:rPr>
              <w:t xml:space="preserve">0.00003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46" w:type="pct"/>
            <w:shd w:val="clear" w:color="auto" w:fill="auto"/>
            <w:noWrap/>
            <w:vAlign w:val="center"/>
          </w:tcPr>
          <w:p>
            <w:pPr>
              <w:pStyle w:val="16"/>
              <w:bidi w:val="0"/>
              <w:rPr>
                <w:u w:val="none"/>
              </w:rPr>
            </w:pPr>
            <w:r>
              <w:rPr>
                <w:rFonts w:hint="eastAsia"/>
                <w:u w:val="none"/>
                <w:lang w:val="en-US" w:eastAsia="zh-CN"/>
              </w:rPr>
              <w:t>10</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0.00005 </w:t>
            </w:r>
          </w:p>
        </w:tc>
        <w:tc>
          <w:tcPr>
            <w:tcW w:w="516" w:type="pct"/>
            <w:shd w:val="clear" w:color="auto" w:fill="auto"/>
            <w:noWrap/>
            <w:vAlign w:val="center"/>
          </w:tcPr>
          <w:p>
            <w:pPr>
              <w:pStyle w:val="16"/>
              <w:bidi w:val="0"/>
            </w:pPr>
            <w:r>
              <w:rPr>
                <w:rFonts w:hint="eastAsia"/>
                <w:lang w:val="en-US" w:eastAsia="zh-CN"/>
              </w:rPr>
              <w:t xml:space="preserve">0.00005 </w:t>
            </w:r>
          </w:p>
        </w:tc>
        <w:tc>
          <w:tcPr>
            <w:tcW w:w="516" w:type="pct"/>
            <w:shd w:val="clear" w:color="auto" w:fill="auto"/>
            <w:noWrap/>
            <w:vAlign w:val="center"/>
          </w:tcPr>
          <w:p>
            <w:pPr>
              <w:pStyle w:val="16"/>
              <w:bidi w:val="0"/>
            </w:pPr>
            <w:r>
              <w:rPr>
                <w:rFonts w:hint="eastAsia"/>
                <w:lang w:val="en-US" w:eastAsia="zh-CN"/>
              </w:rPr>
              <w:t xml:space="preserve">0.00004 </w:t>
            </w:r>
          </w:p>
        </w:tc>
        <w:tc>
          <w:tcPr>
            <w:tcW w:w="516" w:type="pct"/>
            <w:shd w:val="clear" w:color="auto" w:fill="auto"/>
            <w:noWrap/>
            <w:vAlign w:val="center"/>
          </w:tcPr>
          <w:p>
            <w:pPr>
              <w:pStyle w:val="16"/>
              <w:bidi w:val="0"/>
            </w:pPr>
            <w:r>
              <w:rPr>
                <w:rFonts w:hint="eastAsia"/>
                <w:lang w:val="en-US" w:eastAsia="zh-CN"/>
              </w:rPr>
              <w:t xml:space="preserve">0.00004 </w:t>
            </w:r>
          </w:p>
        </w:tc>
        <w:tc>
          <w:tcPr>
            <w:tcW w:w="516" w:type="pct"/>
            <w:shd w:val="clear" w:color="auto" w:fill="auto"/>
            <w:noWrap/>
            <w:vAlign w:val="center"/>
          </w:tcPr>
          <w:p>
            <w:pPr>
              <w:pStyle w:val="16"/>
              <w:bidi w:val="0"/>
            </w:pPr>
            <w:r>
              <w:rPr>
                <w:rFonts w:hint="eastAsia"/>
                <w:lang w:val="en-US" w:eastAsia="zh-CN"/>
              </w:rPr>
              <w:t xml:space="preserve">0.00003 </w:t>
            </w:r>
          </w:p>
        </w:tc>
        <w:tc>
          <w:tcPr>
            <w:tcW w:w="516" w:type="pct"/>
            <w:shd w:val="clear" w:color="auto" w:fill="auto"/>
            <w:noWrap/>
            <w:vAlign w:val="center"/>
          </w:tcPr>
          <w:p>
            <w:pPr>
              <w:pStyle w:val="16"/>
              <w:bidi w:val="0"/>
            </w:pPr>
            <w:r>
              <w:rPr>
                <w:rFonts w:hint="eastAsia"/>
                <w:lang w:val="en-US" w:eastAsia="zh-CN"/>
              </w:rPr>
              <w:t xml:space="preserve">0.00003 </w:t>
            </w:r>
          </w:p>
        </w:tc>
        <w:tc>
          <w:tcPr>
            <w:tcW w:w="516" w:type="pct"/>
            <w:shd w:val="clear" w:color="auto" w:fill="auto"/>
            <w:noWrap/>
            <w:vAlign w:val="center"/>
          </w:tcPr>
          <w:p>
            <w:pPr>
              <w:pStyle w:val="16"/>
              <w:bidi w:val="0"/>
            </w:pPr>
            <w:r>
              <w:rPr>
                <w:rFonts w:hint="eastAsia"/>
                <w:lang w:val="en-US" w:eastAsia="zh-CN"/>
              </w:rPr>
              <w:t xml:space="preserve">0.00003 </w:t>
            </w:r>
          </w:p>
        </w:tc>
        <w:tc>
          <w:tcPr>
            <w:tcW w:w="518" w:type="pct"/>
            <w:shd w:val="clear" w:color="auto" w:fill="auto"/>
            <w:noWrap/>
            <w:vAlign w:val="center"/>
          </w:tcPr>
          <w:p>
            <w:pPr>
              <w:pStyle w:val="16"/>
              <w:bidi w:val="0"/>
            </w:pPr>
            <w:r>
              <w:rPr>
                <w:rFonts w:hint="eastAsia"/>
                <w:lang w:val="en-US" w:eastAsia="zh-CN"/>
              </w:rPr>
              <w:t xml:space="preserve">0.00003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46" w:type="pct"/>
            <w:shd w:val="clear" w:color="auto" w:fill="auto"/>
            <w:noWrap/>
            <w:vAlign w:val="center"/>
          </w:tcPr>
          <w:p>
            <w:pPr>
              <w:pStyle w:val="16"/>
              <w:bidi w:val="0"/>
              <w:rPr>
                <w:u w:val="none"/>
              </w:rPr>
            </w:pPr>
            <w:r>
              <w:rPr>
                <w:rFonts w:hint="eastAsia"/>
                <w:u w:val="none"/>
                <w:lang w:val="en-US" w:eastAsia="zh-CN"/>
              </w:rPr>
              <w:t>100</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8" w:type="pct"/>
            <w:shd w:val="clear" w:color="auto" w:fill="auto"/>
            <w:noWrap/>
            <w:vAlign w:val="center"/>
          </w:tcPr>
          <w:p>
            <w:pPr>
              <w:pStyle w:val="16"/>
              <w:bidi w:val="0"/>
            </w:pPr>
            <w:r>
              <w:rPr>
                <w:rFonts w:hint="eastAsia"/>
                <w:lang w:val="en-US" w:eastAsia="zh-CN"/>
              </w:rPr>
              <w:t xml:space="preserve">0.00002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46" w:type="pct"/>
            <w:shd w:val="clear" w:color="auto" w:fill="auto"/>
            <w:noWrap/>
            <w:vAlign w:val="center"/>
          </w:tcPr>
          <w:p>
            <w:pPr>
              <w:pStyle w:val="16"/>
              <w:bidi w:val="0"/>
              <w:rPr>
                <w:u w:val="none"/>
              </w:rPr>
            </w:pPr>
            <w:r>
              <w:rPr>
                <w:rFonts w:hint="eastAsia"/>
                <w:u w:val="none"/>
                <w:lang w:val="en-US" w:eastAsia="zh-CN"/>
              </w:rPr>
              <w:t>200</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8" w:type="pct"/>
            <w:shd w:val="clear" w:color="auto" w:fill="auto"/>
            <w:noWrap/>
            <w:vAlign w:val="center"/>
          </w:tcPr>
          <w:p>
            <w:pPr>
              <w:pStyle w:val="16"/>
              <w:bidi w:val="0"/>
            </w:pPr>
            <w:r>
              <w:rPr>
                <w:rFonts w:hint="eastAsia"/>
                <w:lang w:val="en-US" w:eastAsia="zh-CN"/>
              </w:rPr>
              <w:t xml:space="preserve">0.00002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46" w:type="pct"/>
            <w:shd w:val="clear" w:color="auto" w:fill="auto"/>
            <w:noWrap/>
            <w:vAlign w:val="center"/>
          </w:tcPr>
          <w:p>
            <w:pPr>
              <w:pStyle w:val="16"/>
              <w:bidi w:val="0"/>
              <w:rPr>
                <w:u w:val="none"/>
              </w:rPr>
            </w:pPr>
            <w:r>
              <w:rPr>
                <w:rFonts w:hint="eastAsia"/>
                <w:u w:val="none"/>
                <w:lang w:val="en-US" w:eastAsia="zh-CN"/>
              </w:rPr>
              <w:t>600</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8" w:type="pct"/>
            <w:shd w:val="clear" w:color="auto" w:fill="auto"/>
            <w:noWrap/>
            <w:vAlign w:val="center"/>
          </w:tcPr>
          <w:p>
            <w:pPr>
              <w:pStyle w:val="16"/>
              <w:bidi w:val="0"/>
            </w:pPr>
            <w:r>
              <w:rPr>
                <w:rFonts w:hint="eastAsia"/>
                <w:lang w:val="en-US" w:eastAsia="zh-CN"/>
              </w:rPr>
              <w:t xml:space="preserve">0.00002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46" w:type="pct"/>
            <w:shd w:val="clear" w:color="auto" w:fill="auto"/>
            <w:noWrap/>
            <w:vAlign w:val="center"/>
          </w:tcPr>
          <w:p>
            <w:pPr>
              <w:pStyle w:val="16"/>
              <w:bidi w:val="0"/>
              <w:rPr>
                <w:u w:val="none"/>
              </w:rPr>
            </w:pPr>
            <w:r>
              <w:rPr>
                <w:rFonts w:hint="eastAsia"/>
                <w:u w:val="none"/>
                <w:lang w:val="en-US" w:eastAsia="zh-CN"/>
              </w:rPr>
              <w:t>800</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8" w:type="pct"/>
            <w:shd w:val="clear" w:color="auto" w:fill="auto"/>
            <w:noWrap/>
            <w:vAlign w:val="center"/>
          </w:tcPr>
          <w:p>
            <w:pPr>
              <w:pStyle w:val="16"/>
              <w:bidi w:val="0"/>
            </w:pPr>
            <w:r>
              <w:rPr>
                <w:rFonts w:hint="eastAsia"/>
                <w:lang w:val="en-US" w:eastAsia="zh-CN"/>
              </w:rPr>
              <w:t xml:space="preserve">0.00002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46" w:type="pct"/>
            <w:shd w:val="clear" w:color="auto" w:fill="auto"/>
            <w:noWrap/>
            <w:vAlign w:val="center"/>
          </w:tcPr>
          <w:p>
            <w:pPr>
              <w:pStyle w:val="16"/>
              <w:bidi w:val="0"/>
              <w:rPr>
                <w:u w:val="none"/>
              </w:rPr>
            </w:pPr>
            <w:r>
              <w:rPr>
                <w:rFonts w:hint="eastAsia"/>
                <w:u w:val="none"/>
                <w:lang w:val="en-US" w:eastAsia="zh-CN"/>
              </w:rPr>
              <w:t>1000</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8" w:type="pct"/>
            <w:shd w:val="clear" w:color="auto" w:fill="auto"/>
            <w:noWrap/>
            <w:vAlign w:val="center"/>
          </w:tcPr>
          <w:p>
            <w:pPr>
              <w:pStyle w:val="16"/>
              <w:bidi w:val="0"/>
            </w:pPr>
            <w:r>
              <w:rPr>
                <w:rFonts w:hint="eastAsia"/>
                <w:lang w:val="en-US" w:eastAsia="zh-CN"/>
              </w:rPr>
              <w:t xml:space="preserve">0.00002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46" w:type="pct"/>
            <w:shd w:val="clear" w:color="auto" w:fill="auto"/>
            <w:noWrap/>
            <w:vAlign w:val="center"/>
          </w:tcPr>
          <w:p>
            <w:pPr>
              <w:pStyle w:val="16"/>
              <w:bidi w:val="0"/>
              <w:rPr>
                <w:u w:val="none"/>
              </w:rPr>
            </w:pPr>
            <w:r>
              <w:rPr>
                <w:rFonts w:hint="eastAsia"/>
                <w:u w:val="none"/>
                <w:lang w:val="en-US" w:eastAsia="zh-CN"/>
              </w:rPr>
              <w:t>2000</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8" w:type="pct"/>
            <w:shd w:val="clear" w:color="auto" w:fill="auto"/>
            <w:noWrap/>
            <w:vAlign w:val="center"/>
          </w:tcPr>
          <w:p>
            <w:pPr>
              <w:pStyle w:val="16"/>
              <w:bidi w:val="0"/>
            </w:pPr>
            <w:r>
              <w:rPr>
                <w:rFonts w:hint="eastAsia"/>
                <w:lang w:val="en-US" w:eastAsia="zh-CN"/>
              </w:rPr>
              <w:t xml:space="preserve">0.00002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46" w:type="pct"/>
            <w:shd w:val="clear" w:color="auto" w:fill="auto"/>
            <w:noWrap/>
            <w:vAlign w:val="center"/>
          </w:tcPr>
          <w:p>
            <w:pPr>
              <w:pStyle w:val="16"/>
              <w:bidi w:val="0"/>
              <w:rPr>
                <w:u w:val="none"/>
              </w:rPr>
            </w:pPr>
            <w:r>
              <w:rPr>
                <w:rFonts w:hint="eastAsia"/>
                <w:u w:val="none"/>
                <w:lang w:val="en-US" w:eastAsia="zh-CN"/>
              </w:rPr>
              <w:t>3000</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8" w:type="pct"/>
            <w:shd w:val="clear" w:color="auto" w:fill="auto"/>
            <w:noWrap/>
            <w:vAlign w:val="center"/>
          </w:tcPr>
          <w:p>
            <w:pPr>
              <w:pStyle w:val="16"/>
              <w:bidi w:val="0"/>
            </w:pPr>
            <w:r>
              <w:rPr>
                <w:rFonts w:hint="eastAsia"/>
                <w:lang w:val="en-US" w:eastAsia="zh-CN"/>
              </w:rPr>
              <w:t xml:space="preserve">0.00002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46" w:type="pct"/>
            <w:shd w:val="clear" w:color="auto" w:fill="auto"/>
            <w:noWrap/>
            <w:vAlign w:val="center"/>
          </w:tcPr>
          <w:p>
            <w:pPr>
              <w:pStyle w:val="16"/>
              <w:bidi w:val="0"/>
              <w:rPr>
                <w:u w:val="none"/>
              </w:rPr>
            </w:pPr>
            <w:r>
              <w:rPr>
                <w:rFonts w:hint="eastAsia"/>
                <w:u w:val="none"/>
                <w:lang w:val="en-US" w:eastAsia="zh-CN"/>
              </w:rPr>
              <w:t>4000</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8" w:type="pct"/>
            <w:shd w:val="clear" w:color="auto" w:fill="auto"/>
            <w:noWrap/>
            <w:vAlign w:val="center"/>
          </w:tcPr>
          <w:p>
            <w:pPr>
              <w:pStyle w:val="16"/>
              <w:bidi w:val="0"/>
            </w:pPr>
            <w:r>
              <w:rPr>
                <w:rFonts w:hint="eastAsia"/>
                <w:lang w:val="en-US" w:eastAsia="zh-CN"/>
              </w:rPr>
              <w:t xml:space="preserve">0.00002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46" w:type="pct"/>
            <w:shd w:val="clear" w:color="auto" w:fill="auto"/>
            <w:noWrap/>
            <w:vAlign w:val="center"/>
          </w:tcPr>
          <w:p>
            <w:pPr>
              <w:pStyle w:val="16"/>
              <w:bidi w:val="0"/>
              <w:rPr>
                <w:u w:val="none"/>
              </w:rPr>
            </w:pPr>
            <w:r>
              <w:rPr>
                <w:rFonts w:hint="eastAsia"/>
                <w:u w:val="none"/>
                <w:lang w:val="en-US" w:eastAsia="zh-CN"/>
              </w:rPr>
              <w:t>5000</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8" w:type="pct"/>
            <w:shd w:val="clear" w:color="auto" w:fill="auto"/>
            <w:noWrap/>
            <w:vAlign w:val="center"/>
          </w:tcPr>
          <w:p>
            <w:pPr>
              <w:pStyle w:val="16"/>
              <w:bidi w:val="0"/>
            </w:pPr>
            <w:r>
              <w:rPr>
                <w:rFonts w:hint="eastAsia"/>
                <w:lang w:val="en-US" w:eastAsia="zh-CN"/>
              </w:rPr>
              <w:t xml:space="preserve">0.00002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46" w:type="pct"/>
            <w:shd w:val="clear" w:color="auto" w:fill="auto"/>
            <w:noWrap/>
            <w:vAlign w:val="center"/>
          </w:tcPr>
          <w:p>
            <w:pPr>
              <w:pStyle w:val="16"/>
              <w:bidi w:val="0"/>
              <w:rPr>
                <w:u w:val="none"/>
              </w:rPr>
            </w:pPr>
            <w:r>
              <w:rPr>
                <w:rFonts w:hint="eastAsia"/>
                <w:u w:val="none"/>
                <w:lang w:val="en-US" w:eastAsia="zh-CN"/>
              </w:rPr>
              <w:t>6000</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8" w:type="pct"/>
            <w:shd w:val="clear" w:color="auto" w:fill="auto"/>
            <w:noWrap/>
            <w:vAlign w:val="center"/>
          </w:tcPr>
          <w:p>
            <w:pPr>
              <w:pStyle w:val="16"/>
              <w:bidi w:val="0"/>
            </w:pPr>
            <w:r>
              <w:rPr>
                <w:rFonts w:hint="eastAsia"/>
                <w:lang w:val="en-US" w:eastAsia="zh-CN"/>
              </w:rPr>
              <w:t xml:space="preserve">0.00002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46" w:type="pct"/>
            <w:shd w:val="clear" w:color="auto" w:fill="auto"/>
            <w:noWrap/>
            <w:vAlign w:val="center"/>
          </w:tcPr>
          <w:p>
            <w:pPr>
              <w:pStyle w:val="16"/>
              <w:bidi w:val="0"/>
              <w:rPr>
                <w:u w:val="none"/>
              </w:rPr>
            </w:pPr>
            <w:r>
              <w:rPr>
                <w:rFonts w:hint="eastAsia"/>
                <w:u w:val="none"/>
                <w:lang w:val="en-US" w:eastAsia="zh-CN"/>
              </w:rPr>
              <w:t>8000</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8" w:type="pct"/>
            <w:shd w:val="clear" w:color="auto" w:fill="auto"/>
            <w:noWrap/>
            <w:vAlign w:val="center"/>
          </w:tcPr>
          <w:p>
            <w:pPr>
              <w:pStyle w:val="16"/>
              <w:bidi w:val="0"/>
            </w:pPr>
            <w:r>
              <w:rPr>
                <w:rFonts w:hint="eastAsia"/>
                <w:lang w:val="en-US" w:eastAsia="zh-CN"/>
              </w:rPr>
              <w:t xml:space="preserve">0.00002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46" w:type="pct"/>
            <w:shd w:val="clear" w:color="auto" w:fill="auto"/>
            <w:noWrap/>
            <w:vAlign w:val="center"/>
          </w:tcPr>
          <w:p>
            <w:pPr>
              <w:pStyle w:val="16"/>
              <w:bidi w:val="0"/>
              <w:rPr>
                <w:u w:val="none"/>
              </w:rPr>
            </w:pPr>
            <w:r>
              <w:rPr>
                <w:rFonts w:hint="eastAsia"/>
                <w:u w:val="none"/>
                <w:lang w:val="en-US" w:eastAsia="zh-CN"/>
              </w:rPr>
              <w:t>10000</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8" w:type="pct"/>
            <w:shd w:val="clear" w:color="auto" w:fill="auto"/>
            <w:noWrap/>
            <w:vAlign w:val="center"/>
          </w:tcPr>
          <w:p>
            <w:pPr>
              <w:pStyle w:val="16"/>
              <w:bidi w:val="0"/>
            </w:pPr>
            <w:r>
              <w:rPr>
                <w:rFonts w:hint="eastAsia"/>
                <w:lang w:val="en-US" w:eastAsia="zh-CN"/>
              </w:rPr>
              <w:t xml:space="preserve">0.00002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46" w:type="pct"/>
            <w:shd w:val="clear" w:color="auto" w:fill="auto"/>
            <w:noWrap/>
            <w:vAlign w:val="center"/>
          </w:tcPr>
          <w:p>
            <w:pPr>
              <w:pStyle w:val="16"/>
              <w:bidi w:val="0"/>
              <w:rPr>
                <w:u w:val="none"/>
              </w:rPr>
            </w:pPr>
            <w:r>
              <w:rPr>
                <w:rFonts w:hint="eastAsia"/>
                <w:u w:val="none"/>
                <w:lang w:val="en-US" w:eastAsia="zh-CN"/>
              </w:rPr>
              <w:t>15000</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8" w:type="pct"/>
            <w:shd w:val="clear" w:color="auto" w:fill="auto"/>
            <w:noWrap/>
            <w:vAlign w:val="center"/>
          </w:tcPr>
          <w:p>
            <w:pPr>
              <w:pStyle w:val="16"/>
              <w:bidi w:val="0"/>
            </w:pPr>
            <w:r>
              <w:rPr>
                <w:rFonts w:hint="eastAsia"/>
                <w:lang w:val="en-US" w:eastAsia="zh-CN"/>
              </w:rPr>
              <w:t xml:space="preserve">0.00002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46" w:type="pct"/>
            <w:shd w:val="clear" w:color="auto" w:fill="auto"/>
            <w:noWrap/>
            <w:vAlign w:val="center"/>
          </w:tcPr>
          <w:p>
            <w:pPr>
              <w:pStyle w:val="16"/>
              <w:bidi w:val="0"/>
              <w:rPr>
                <w:u w:val="none"/>
              </w:rPr>
            </w:pPr>
            <w:r>
              <w:rPr>
                <w:rFonts w:hint="eastAsia"/>
                <w:u w:val="none"/>
                <w:lang w:val="en-US" w:eastAsia="zh-CN"/>
              </w:rPr>
              <w:t>20000</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8" w:type="pct"/>
            <w:shd w:val="clear" w:color="auto" w:fill="auto"/>
            <w:noWrap/>
            <w:vAlign w:val="center"/>
          </w:tcPr>
          <w:p>
            <w:pPr>
              <w:pStyle w:val="16"/>
              <w:bidi w:val="0"/>
            </w:pPr>
            <w:r>
              <w:rPr>
                <w:rFonts w:hint="eastAsia"/>
                <w:lang w:val="en-US" w:eastAsia="zh-CN"/>
              </w:rPr>
              <w:t xml:space="preserve">0.00002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46" w:type="pct"/>
            <w:shd w:val="clear" w:color="auto" w:fill="auto"/>
            <w:noWrap/>
            <w:vAlign w:val="center"/>
          </w:tcPr>
          <w:p>
            <w:pPr>
              <w:pStyle w:val="16"/>
              <w:bidi w:val="0"/>
              <w:rPr>
                <w:u w:val="none"/>
              </w:rPr>
            </w:pPr>
            <w:r>
              <w:rPr>
                <w:rFonts w:hint="eastAsia"/>
                <w:u w:val="none"/>
                <w:lang w:val="en-US" w:eastAsia="zh-CN"/>
              </w:rPr>
              <w:t>15000</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8" w:type="pct"/>
            <w:shd w:val="clear" w:color="auto" w:fill="auto"/>
            <w:noWrap/>
            <w:vAlign w:val="center"/>
          </w:tcPr>
          <w:p>
            <w:pPr>
              <w:pStyle w:val="16"/>
              <w:bidi w:val="0"/>
            </w:pPr>
            <w:r>
              <w:rPr>
                <w:rFonts w:hint="eastAsia"/>
                <w:lang w:val="en-US" w:eastAsia="zh-CN"/>
              </w:rPr>
              <w:t xml:space="preserve">0.00002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46" w:type="pct"/>
            <w:shd w:val="clear" w:color="auto" w:fill="auto"/>
            <w:noWrap/>
            <w:vAlign w:val="center"/>
          </w:tcPr>
          <w:p>
            <w:pPr>
              <w:pStyle w:val="16"/>
              <w:bidi w:val="0"/>
              <w:rPr>
                <w:u w:val="none"/>
              </w:rPr>
            </w:pPr>
            <w:r>
              <w:rPr>
                <w:rFonts w:hint="eastAsia"/>
                <w:u w:val="none"/>
                <w:lang w:val="en-US" w:eastAsia="zh-CN"/>
              </w:rPr>
              <w:t>20000</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6" w:type="pct"/>
            <w:shd w:val="clear" w:color="auto" w:fill="auto"/>
            <w:noWrap/>
            <w:vAlign w:val="center"/>
          </w:tcPr>
          <w:p>
            <w:pPr>
              <w:pStyle w:val="16"/>
              <w:bidi w:val="0"/>
            </w:pPr>
            <w:r>
              <w:rPr>
                <w:rFonts w:hint="eastAsia"/>
                <w:lang w:val="en-US" w:eastAsia="zh-CN"/>
              </w:rPr>
              <w:t xml:space="preserve">0.00002 </w:t>
            </w:r>
          </w:p>
        </w:tc>
        <w:tc>
          <w:tcPr>
            <w:tcW w:w="518" w:type="pct"/>
            <w:shd w:val="clear" w:color="auto" w:fill="auto"/>
            <w:noWrap/>
            <w:vAlign w:val="center"/>
          </w:tcPr>
          <w:p>
            <w:pPr>
              <w:pStyle w:val="16"/>
              <w:bidi w:val="0"/>
            </w:pPr>
            <w:r>
              <w:rPr>
                <w:rFonts w:hint="eastAsia"/>
                <w:lang w:val="en-US" w:eastAsia="zh-CN"/>
              </w:rPr>
              <w:t xml:space="preserve">0.00002 </w:t>
            </w:r>
          </w:p>
        </w:tc>
      </w:tr>
    </w:tbl>
    <w:p>
      <w:pPr>
        <w:spacing w:line="240" w:lineRule="auto"/>
        <w:ind w:firstLine="482"/>
        <w:jc w:val="center"/>
        <w:rPr>
          <w:u w:val="none"/>
        </w:rPr>
      </w:pPr>
      <w:r>
        <w:rPr>
          <w:b/>
          <w:bCs/>
          <w:u w:val="none"/>
        </w:rPr>
        <w:t>表</w:t>
      </w:r>
      <w:r>
        <w:rPr>
          <w:rFonts w:hint="eastAsia"/>
          <w:b/>
          <w:bCs/>
          <w:u w:val="none"/>
        </w:rPr>
        <w:t>6.1.4-</w:t>
      </w:r>
      <w:r>
        <w:rPr>
          <w:rFonts w:hint="eastAsia"/>
          <w:b/>
          <w:bCs/>
          <w:u w:val="none"/>
          <w:lang w:val="en-US" w:eastAsia="zh-CN"/>
        </w:rPr>
        <w:t>6</w:t>
      </w:r>
      <w:r>
        <w:rPr>
          <w:b/>
          <w:bCs/>
          <w:u w:val="none"/>
        </w:rPr>
        <w:t>正常排放对枯水期</w:t>
      </w:r>
      <w:r>
        <w:rPr>
          <w:rFonts w:hint="eastAsia"/>
          <w:b/>
          <w:bCs/>
          <w:u w:val="none"/>
        </w:rPr>
        <w:t>资水</w:t>
      </w:r>
      <w:r>
        <w:rPr>
          <w:b/>
          <w:bCs/>
          <w:u w:val="none"/>
        </w:rPr>
        <w:t>评价河段</w:t>
      </w:r>
      <w:r>
        <w:rPr>
          <w:rFonts w:hint="eastAsia"/>
          <w:b/>
          <w:bCs/>
          <w:u w:val="none"/>
        </w:rPr>
        <w:t>铬</w:t>
      </w:r>
      <w:r>
        <w:rPr>
          <w:b/>
          <w:bCs/>
          <w:u w:val="none"/>
        </w:rPr>
        <w:t>浓度预测值</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
        <w:gridCol w:w="923"/>
        <w:gridCol w:w="979"/>
        <w:gridCol w:w="979"/>
        <w:gridCol w:w="979"/>
        <w:gridCol w:w="979"/>
        <w:gridCol w:w="875"/>
        <w:gridCol w:w="892"/>
        <w:gridCol w:w="892"/>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X/Y</w:t>
            </w:r>
          </w:p>
        </w:tc>
        <w:tc>
          <w:tcPr>
            <w:tcW w:w="497" w:type="pct"/>
            <w:shd w:val="clear" w:color="auto" w:fill="auto"/>
            <w:noWrap/>
            <w:vAlign w:val="center"/>
          </w:tcPr>
          <w:p>
            <w:pPr>
              <w:pStyle w:val="16"/>
              <w:jc w:val="center"/>
              <w:rPr>
                <w:u w:val="none"/>
              </w:rPr>
            </w:pPr>
            <w:r>
              <w:rPr>
                <w:rFonts w:hint="eastAsia"/>
                <w:u w:val="none"/>
              </w:rPr>
              <w:t>1</w:t>
            </w:r>
          </w:p>
        </w:tc>
        <w:tc>
          <w:tcPr>
            <w:tcW w:w="527" w:type="pct"/>
            <w:shd w:val="clear" w:color="auto" w:fill="auto"/>
            <w:noWrap/>
            <w:vAlign w:val="center"/>
          </w:tcPr>
          <w:p>
            <w:pPr>
              <w:pStyle w:val="16"/>
              <w:jc w:val="center"/>
              <w:rPr>
                <w:u w:val="none"/>
              </w:rPr>
            </w:pPr>
            <w:r>
              <w:rPr>
                <w:rFonts w:hint="eastAsia"/>
                <w:u w:val="none"/>
              </w:rPr>
              <w:t>20</w:t>
            </w:r>
          </w:p>
        </w:tc>
        <w:tc>
          <w:tcPr>
            <w:tcW w:w="527" w:type="pct"/>
            <w:shd w:val="clear" w:color="auto" w:fill="auto"/>
            <w:noWrap/>
            <w:vAlign w:val="center"/>
          </w:tcPr>
          <w:p>
            <w:pPr>
              <w:pStyle w:val="16"/>
              <w:jc w:val="center"/>
              <w:rPr>
                <w:u w:val="none"/>
              </w:rPr>
            </w:pPr>
            <w:r>
              <w:rPr>
                <w:rFonts w:hint="eastAsia"/>
                <w:u w:val="none"/>
              </w:rPr>
              <w:t>50</w:t>
            </w:r>
          </w:p>
        </w:tc>
        <w:tc>
          <w:tcPr>
            <w:tcW w:w="527" w:type="pct"/>
            <w:shd w:val="clear" w:color="auto" w:fill="auto"/>
            <w:noWrap/>
            <w:vAlign w:val="center"/>
          </w:tcPr>
          <w:p>
            <w:pPr>
              <w:pStyle w:val="16"/>
              <w:jc w:val="center"/>
              <w:rPr>
                <w:u w:val="none"/>
              </w:rPr>
            </w:pPr>
            <w:r>
              <w:rPr>
                <w:rFonts w:hint="eastAsia"/>
                <w:u w:val="none"/>
              </w:rPr>
              <w:t>100</w:t>
            </w:r>
          </w:p>
        </w:tc>
        <w:tc>
          <w:tcPr>
            <w:tcW w:w="527" w:type="pct"/>
            <w:shd w:val="clear" w:color="auto" w:fill="auto"/>
            <w:noWrap/>
            <w:vAlign w:val="center"/>
          </w:tcPr>
          <w:p>
            <w:pPr>
              <w:pStyle w:val="16"/>
              <w:jc w:val="center"/>
              <w:rPr>
                <w:u w:val="none"/>
              </w:rPr>
            </w:pPr>
            <w:r>
              <w:rPr>
                <w:rFonts w:hint="eastAsia"/>
                <w:u w:val="none"/>
              </w:rPr>
              <w:t>150</w:t>
            </w:r>
          </w:p>
        </w:tc>
        <w:tc>
          <w:tcPr>
            <w:tcW w:w="471" w:type="pct"/>
            <w:shd w:val="clear" w:color="auto" w:fill="auto"/>
            <w:noWrap/>
            <w:vAlign w:val="center"/>
          </w:tcPr>
          <w:p>
            <w:pPr>
              <w:pStyle w:val="16"/>
              <w:jc w:val="center"/>
              <w:rPr>
                <w:u w:val="none"/>
              </w:rPr>
            </w:pPr>
            <w:r>
              <w:rPr>
                <w:rFonts w:hint="eastAsia"/>
                <w:u w:val="none"/>
              </w:rPr>
              <w:t>200</w:t>
            </w:r>
          </w:p>
        </w:tc>
        <w:tc>
          <w:tcPr>
            <w:tcW w:w="480" w:type="pct"/>
            <w:shd w:val="clear" w:color="auto" w:fill="auto"/>
            <w:noWrap/>
            <w:vAlign w:val="center"/>
          </w:tcPr>
          <w:p>
            <w:pPr>
              <w:pStyle w:val="16"/>
              <w:jc w:val="center"/>
              <w:rPr>
                <w:u w:val="none"/>
              </w:rPr>
            </w:pPr>
            <w:r>
              <w:rPr>
                <w:rFonts w:hint="eastAsia"/>
                <w:u w:val="none"/>
              </w:rPr>
              <w:t>250</w:t>
            </w:r>
          </w:p>
        </w:tc>
        <w:tc>
          <w:tcPr>
            <w:tcW w:w="480" w:type="pct"/>
            <w:shd w:val="clear" w:color="auto" w:fill="auto"/>
            <w:noWrap/>
            <w:vAlign w:val="center"/>
          </w:tcPr>
          <w:p>
            <w:pPr>
              <w:pStyle w:val="16"/>
              <w:jc w:val="center"/>
              <w:rPr>
                <w:u w:val="none"/>
              </w:rPr>
            </w:pPr>
            <w:r>
              <w:rPr>
                <w:rFonts w:hint="eastAsia"/>
                <w:u w:val="none"/>
              </w:rPr>
              <w:t>300</w:t>
            </w:r>
          </w:p>
        </w:tc>
        <w:tc>
          <w:tcPr>
            <w:tcW w:w="480" w:type="pct"/>
            <w:shd w:val="clear" w:color="auto" w:fill="auto"/>
            <w:noWrap/>
            <w:vAlign w:val="center"/>
          </w:tcPr>
          <w:p>
            <w:pPr>
              <w:pStyle w:val="16"/>
              <w:jc w:val="center"/>
              <w:rPr>
                <w:u w:val="none"/>
              </w:rPr>
            </w:pPr>
            <w:r>
              <w:rPr>
                <w:rFonts w:hint="eastAsia"/>
                <w:u w:val="none"/>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1</w:t>
            </w:r>
          </w:p>
        </w:tc>
        <w:tc>
          <w:tcPr>
            <w:tcW w:w="923" w:type="dxa"/>
            <w:shd w:val="clear" w:color="auto" w:fill="auto"/>
            <w:noWrap/>
            <w:vAlign w:val="center"/>
          </w:tcPr>
          <w:p>
            <w:pPr>
              <w:pStyle w:val="16"/>
              <w:bidi w:val="0"/>
            </w:pPr>
            <w:r>
              <w:rPr>
                <w:rFonts w:hint="eastAsia"/>
                <w:lang w:val="en-US" w:eastAsia="zh-CN"/>
              </w:rPr>
              <w:t xml:space="preserve">0.0041 </w:t>
            </w:r>
          </w:p>
        </w:tc>
        <w:tc>
          <w:tcPr>
            <w:tcW w:w="979" w:type="dxa"/>
            <w:shd w:val="clear" w:color="auto" w:fill="auto"/>
            <w:noWrap/>
            <w:vAlign w:val="center"/>
          </w:tcPr>
          <w:p>
            <w:pPr>
              <w:pStyle w:val="16"/>
              <w:bidi w:val="0"/>
            </w:pPr>
            <w:r>
              <w:rPr>
                <w:rFonts w:hint="eastAsia"/>
                <w:lang w:val="en-US" w:eastAsia="zh-CN"/>
              </w:rPr>
              <w:t xml:space="preserve">0.0013 </w:t>
            </w:r>
          </w:p>
        </w:tc>
        <w:tc>
          <w:tcPr>
            <w:tcW w:w="979" w:type="dxa"/>
            <w:shd w:val="clear" w:color="auto" w:fill="auto"/>
            <w:noWrap/>
            <w:vAlign w:val="center"/>
          </w:tcPr>
          <w:p>
            <w:pPr>
              <w:pStyle w:val="16"/>
              <w:bidi w:val="0"/>
            </w:pPr>
            <w:r>
              <w:rPr>
                <w:rFonts w:hint="eastAsia"/>
                <w:lang w:val="en-US" w:eastAsia="zh-CN"/>
              </w:rPr>
              <w:t xml:space="preserve">0.0011 </w:t>
            </w:r>
          </w:p>
        </w:tc>
        <w:tc>
          <w:tcPr>
            <w:tcW w:w="979" w:type="dxa"/>
            <w:shd w:val="clear" w:color="auto" w:fill="auto"/>
            <w:noWrap/>
            <w:vAlign w:val="center"/>
          </w:tcPr>
          <w:p>
            <w:pPr>
              <w:pStyle w:val="16"/>
              <w:bidi w:val="0"/>
            </w:pPr>
            <w:r>
              <w:rPr>
                <w:rFonts w:hint="eastAsia"/>
                <w:lang w:val="en-US" w:eastAsia="zh-CN"/>
              </w:rPr>
              <w:t xml:space="preserve">0.0009 </w:t>
            </w:r>
          </w:p>
        </w:tc>
        <w:tc>
          <w:tcPr>
            <w:tcW w:w="979" w:type="dxa"/>
            <w:shd w:val="clear" w:color="auto" w:fill="auto"/>
            <w:noWrap/>
            <w:vAlign w:val="center"/>
          </w:tcPr>
          <w:p>
            <w:pPr>
              <w:pStyle w:val="16"/>
              <w:bidi w:val="0"/>
            </w:pPr>
            <w:r>
              <w:rPr>
                <w:rFonts w:hint="eastAsia"/>
                <w:lang w:val="en-US" w:eastAsia="zh-CN"/>
              </w:rPr>
              <w:t xml:space="preserve">0.0008 </w:t>
            </w:r>
          </w:p>
        </w:tc>
        <w:tc>
          <w:tcPr>
            <w:tcW w:w="875" w:type="dxa"/>
            <w:shd w:val="clear" w:color="auto" w:fill="auto"/>
            <w:noWrap/>
            <w:vAlign w:val="center"/>
          </w:tcPr>
          <w:p>
            <w:pPr>
              <w:pStyle w:val="16"/>
              <w:bidi w:val="0"/>
            </w:pPr>
            <w:r>
              <w:rPr>
                <w:rFonts w:hint="eastAsia"/>
                <w:lang w:val="en-US" w:eastAsia="zh-CN"/>
              </w:rPr>
              <w:t xml:space="preserve">0.0008 </w:t>
            </w:r>
          </w:p>
        </w:tc>
        <w:tc>
          <w:tcPr>
            <w:tcW w:w="892" w:type="dxa"/>
            <w:shd w:val="clear" w:color="auto" w:fill="auto"/>
            <w:noWrap/>
            <w:vAlign w:val="center"/>
          </w:tcPr>
          <w:p>
            <w:pPr>
              <w:pStyle w:val="16"/>
              <w:bidi w:val="0"/>
            </w:pPr>
            <w:r>
              <w:rPr>
                <w:rFonts w:hint="eastAsia"/>
                <w:lang w:val="en-US" w:eastAsia="zh-CN"/>
              </w:rPr>
              <w:t xml:space="preserve">0.0007 </w:t>
            </w:r>
          </w:p>
        </w:tc>
        <w:tc>
          <w:tcPr>
            <w:tcW w:w="892" w:type="dxa"/>
            <w:shd w:val="clear" w:color="auto" w:fill="auto"/>
            <w:noWrap/>
            <w:vAlign w:val="center"/>
          </w:tcPr>
          <w:p>
            <w:pPr>
              <w:pStyle w:val="16"/>
              <w:bidi w:val="0"/>
            </w:pPr>
            <w:r>
              <w:rPr>
                <w:rFonts w:hint="eastAsia"/>
                <w:lang w:val="en-US" w:eastAsia="zh-CN"/>
              </w:rPr>
              <w:t xml:space="preserve">0.0007 </w:t>
            </w:r>
          </w:p>
        </w:tc>
        <w:tc>
          <w:tcPr>
            <w:tcW w:w="892" w:type="dxa"/>
            <w:shd w:val="clear" w:color="auto" w:fill="auto"/>
            <w:noWrap/>
            <w:vAlign w:val="center"/>
          </w:tcPr>
          <w:p>
            <w:pPr>
              <w:pStyle w:val="16"/>
              <w:bidi w:val="0"/>
            </w:pPr>
            <w:r>
              <w:rPr>
                <w:rFonts w:hint="eastAsia"/>
                <w:lang w:val="en-US" w:eastAsia="zh-CN"/>
              </w:rPr>
              <w:t xml:space="preserve">0.0007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10</w:t>
            </w:r>
          </w:p>
        </w:tc>
        <w:tc>
          <w:tcPr>
            <w:tcW w:w="923"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0.0010 </w:t>
            </w:r>
          </w:p>
        </w:tc>
        <w:tc>
          <w:tcPr>
            <w:tcW w:w="979" w:type="dxa"/>
            <w:shd w:val="clear" w:color="auto" w:fill="auto"/>
            <w:noWrap/>
            <w:vAlign w:val="center"/>
          </w:tcPr>
          <w:p>
            <w:pPr>
              <w:pStyle w:val="16"/>
              <w:bidi w:val="0"/>
            </w:pPr>
            <w:r>
              <w:rPr>
                <w:rFonts w:hint="eastAsia"/>
                <w:lang w:val="en-US" w:eastAsia="zh-CN"/>
              </w:rPr>
              <w:t xml:space="preserve">0.0009 </w:t>
            </w:r>
          </w:p>
        </w:tc>
        <w:tc>
          <w:tcPr>
            <w:tcW w:w="979" w:type="dxa"/>
            <w:shd w:val="clear" w:color="auto" w:fill="auto"/>
            <w:noWrap/>
            <w:vAlign w:val="center"/>
          </w:tcPr>
          <w:p>
            <w:pPr>
              <w:pStyle w:val="16"/>
              <w:bidi w:val="0"/>
            </w:pPr>
            <w:r>
              <w:rPr>
                <w:rFonts w:hint="eastAsia"/>
                <w:lang w:val="en-US" w:eastAsia="zh-CN"/>
              </w:rPr>
              <w:t xml:space="preserve">0.0008 </w:t>
            </w:r>
          </w:p>
        </w:tc>
        <w:tc>
          <w:tcPr>
            <w:tcW w:w="979" w:type="dxa"/>
            <w:shd w:val="clear" w:color="auto" w:fill="auto"/>
            <w:noWrap/>
            <w:vAlign w:val="center"/>
          </w:tcPr>
          <w:p>
            <w:pPr>
              <w:pStyle w:val="16"/>
              <w:bidi w:val="0"/>
            </w:pPr>
            <w:r>
              <w:rPr>
                <w:rFonts w:hint="eastAsia"/>
                <w:lang w:val="en-US" w:eastAsia="zh-CN"/>
              </w:rPr>
              <w:t xml:space="preserve">0.0008 </w:t>
            </w:r>
          </w:p>
        </w:tc>
        <w:tc>
          <w:tcPr>
            <w:tcW w:w="875" w:type="dxa"/>
            <w:shd w:val="clear" w:color="auto" w:fill="auto"/>
            <w:noWrap/>
            <w:vAlign w:val="center"/>
          </w:tcPr>
          <w:p>
            <w:pPr>
              <w:pStyle w:val="16"/>
              <w:bidi w:val="0"/>
            </w:pPr>
            <w:r>
              <w:rPr>
                <w:rFonts w:hint="eastAsia"/>
                <w:lang w:val="en-US" w:eastAsia="zh-CN"/>
              </w:rPr>
              <w:t xml:space="preserve">0.0008 </w:t>
            </w:r>
          </w:p>
        </w:tc>
        <w:tc>
          <w:tcPr>
            <w:tcW w:w="892" w:type="dxa"/>
            <w:shd w:val="clear" w:color="auto" w:fill="auto"/>
            <w:noWrap/>
            <w:vAlign w:val="center"/>
          </w:tcPr>
          <w:p>
            <w:pPr>
              <w:pStyle w:val="16"/>
              <w:bidi w:val="0"/>
            </w:pPr>
            <w:r>
              <w:rPr>
                <w:rFonts w:hint="eastAsia"/>
                <w:lang w:val="en-US" w:eastAsia="zh-CN"/>
              </w:rPr>
              <w:t xml:space="preserve">0.0007 </w:t>
            </w:r>
          </w:p>
        </w:tc>
        <w:tc>
          <w:tcPr>
            <w:tcW w:w="892" w:type="dxa"/>
            <w:shd w:val="clear" w:color="auto" w:fill="auto"/>
            <w:noWrap/>
            <w:vAlign w:val="center"/>
          </w:tcPr>
          <w:p>
            <w:pPr>
              <w:pStyle w:val="16"/>
              <w:bidi w:val="0"/>
            </w:pPr>
            <w:r>
              <w:rPr>
                <w:rFonts w:hint="eastAsia"/>
                <w:lang w:val="en-US" w:eastAsia="zh-CN"/>
              </w:rPr>
              <w:t xml:space="preserve">0.0007 </w:t>
            </w:r>
          </w:p>
        </w:tc>
        <w:tc>
          <w:tcPr>
            <w:tcW w:w="892" w:type="dxa"/>
            <w:shd w:val="clear" w:color="auto" w:fill="auto"/>
            <w:noWrap/>
            <w:vAlign w:val="center"/>
          </w:tcPr>
          <w:p>
            <w:pPr>
              <w:pStyle w:val="16"/>
              <w:bidi w:val="0"/>
            </w:pPr>
            <w:r>
              <w:rPr>
                <w:rFonts w:hint="eastAsia"/>
                <w:lang w:val="en-US" w:eastAsia="zh-CN"/>
              </w:rPr>
              <w:t xml:space="preserve">0.0007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100</w:t>
            </w:r>
          </w:p>
        </w:tc>
        <w:tc>
          <w:tcPr>
            <w:tcW w:w="923"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875"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200</w:t>
            </w:r>
          </w:p>
        </w:tc>
        <w:tc>
          <w:tcPr>
            <w:tcW w:w="923"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875"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600</w:t>
            </w:r>
          </w:p>
        </w:tc>
        <w:tc>
          <w:tcPr>
            <w:tcW w:w="923"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875"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800</w:t>
            </w:r>
          </w:p>
        </w:tc>
        <w:tc>
          <w:tcPr>
            <w:tcW w:w="923"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875"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1000</w:t>
            </w:r>
          </w:p>
        </w:tc>
        <w:tc>
          <w:tcPr>
            <w:tcW w:w="923"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875"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2000</w:t>
            </w:r>
          </w:p>
        </w:tc>
        <w:tc>
          <w:tcPr>
            <w:tcW w:w="923"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875"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3000</w:t>
            </w:r>
          </w:p>
        </w:tc>
        <w:tc>
          <w:tcPr>
            <w:tcW w:w="923"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875"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4000</w:t>
            </w:r>
          </w:p>
        </w:tc>
        <w:tc>
          <w:tcPr>
            <w:tcW w:w="923"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875"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5000</w:t>
            </w:r>
          </w:p>
        </w:tc>
        <w:tc>
          <w:tcPr>
            <w:tcW w:w="923"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875"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6000</w:t>
            </w:r>
          </w:p>
        </w:tc>
        <w:tc>
          <w:tcPr>
            <w:tcW w:w="923"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875"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8000</w:t>
            </w:r>
          </w:p>
        </w:tc>
        <w:tc>
          <w:tcPr>
            <w:tcW w:w="923"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875"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10000</w:t>
            </w:r>
          </w:p>
        </w:tc>
        <w:tc>
          <w:tcPr>
            <w:tcW w:w="923"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875"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15000</w:t>
            </w:r>
          </w:p>
        </w:tc>
        <w:tc>
          <w:tcPr>
            <w:tcW w:w="923"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875"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20000</w:t>
            </w:r>
          </w:p>
        </w:tc>
        <w:tc>
          <w:tcPr>
            <w:tcW w:w="923"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875"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15000</w:t>
            </w:r>
          </w:p>
        </w:tc>
        <w:tc>
          <w:tcPr>
            <w:tcW w:w="923"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875"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20000</w:t>
            </w:r>
          </w:p>
        </w:tc>
        <w:tc>
          <w:tcPr>
            <w:tcW w:w="923"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979" w:type="dxa"/>
            <w:shd w:val="clear" w:color="auto" w:fill="auto"/>
            <w:noWrap/>
            <w:vAlign w:val="center"/>
          </w:tcPr>
          <w:p>
            <w:pPr>
              <w:pStyle w:val="16"/>
              <w:bidi w:val="0"/>
            </w:pPr>
            <w:r>
              <w:rPr>
                <w:rFonts w:hint="eastAsia"/>
                <w:lang w:val="en-US" w:eastAsia="zh-CN"/>
              </w:rPr>
              <w:t xml:space="preserve">0.0005 </w:t>
            </w:r>
          </w:p>
        </w:tc>
        <w:tc>
          <w:tcPr>
            <w:tcW w:w="875"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c>
          <w:tcPr>
            <w:tcW w:w="892" w:type="dxa"/>
            <w:shd w:val="clear" w:color="auto" w:fill="auto"/>
            <w:noWrap/>
            <w:vAlign w:val="center"/>
          </w:tcPr>
          <w:p>
            <w:pPr>
              <w:pStyle w:val="16"/>
              <w:bidi w:val="0"/>
            </w:pPr>
            <w:r>
              <w:rPr>
                <w:rFonts w:hint="eastAsia"/>
                <w:lang w:val="en-US" w:eastAsia="zh-CN"/>
              </w:rPr>
              <w:t xml:space="preserve">0.0005 </w:t>
            </w:r>
          </w:p>
        </w:tc>
      </w:tr>
    </w:tbl>
    <w:p>
      <w:pPr>
        <w:spacing w:line="240" w:lineRule="auto"/>
        <w:ind w:firstLine="482"/>
        <w:jc w:val="center"/>
        <w:rPr>
          <w:b/>
          <w:bCs/>
          <w:u w:val="none"/>
        </w:rPr>
      </w:pPr>
      <w:r>
        <w:rPr>
          <w:b/>
          <w:bCs/>
          <w:u w:val="none"/>
        </w:rPr>
        <w:t>表</w:t>
      </w:r>
      <w:r>
        <w:rPr>
          <w:rFonts w:hint="eastAsia"/>
          <w:b/>
          <w:bCs/>
          <w:u w:val="none"/>
        </w:rPr>
        <w:t>6.1.4-</w:t>
      </w:r>
      <w:r>
        <w:rPr>
          <w:rFonts w:hint="eastAsia"/>
          <w:b/>
          <w:bCs/>
          <w:u w:val="none"/>
          <w:lang w:val="en-US" w:eastAsia="zh-CN"/>
        </w:rPr>
        <w:t>7</w:t>
      </w:r>
      <w:r>
        <w:rPr>
          <w:b/>
          <w:bCs/>
          <w:u w:val="none"/>
        </w:rPr>
        <w:t>正常排放对枯水期</w:t>
      </w:r>
      <w:r>
        <w:rPr>
          <w:rFonts w:hint="eastAsia"/>
          <w:b/>
          <w:bCs/>
          <w:u w:val="none"/>
        </w:rPr>
        <w:t>资水</w:t>
      </w:r>
      <w:r>
        <w:rPr>
          <w:b/>
          <w:bCs/>
          <w:u w:val="none"/>
        </w:rPr>
        <w:t>评价河段</w:t>
      </w:r>
      <w:r>
        <w:rPr>
          <w:rFonts w:hint="eastAsia"/>
          <w:b/>
          <w:bCs/>
          <w:u w:val="none"/>
        </w:rPr>
        <w:t>铜</w:t>
      </w:r>
      <w:r>
        <w:rPr>
          <w:b/>
          <w:bCs/>
          <w:u w:val="none"/>
        </w:rPr>
        <w:t>浓度预测值</w:t>
      </w:r>
    </w:p>
    <w:tbl>
      <w:tblPr>
        <w:tblStyle w:val="31"/>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053"/>
        <w:gridCol w:w="1011"/>
        <w:gridCol w:w="944"/>
        <w:gridCol w:w="944"/>
        <w:gridCol w:w="944"/>
        <w:gridCol w:w="944"/>
        <w:gridCol w:w="860"/>
        <w:gridCol w:w="860"/>
        <w:gridCol w:w="8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X/Y</w:t>
            </w:r>
          </w:p>
        </w:tc>
        <w:tc>
          <w:tcPr>
            <w:tcW w:w="1053" w:type="dxa"/>
            <w:tcBorders>
              <w:tl2br w:val="nil"/>
              <w:tr2bl w:val="nil"/>
            </w:tcBorders>
            <w:shd w:val="clear" w:color="auto" w:fill="auto"/>
            <w:noWrap/>
            <w:vAlign w:val="center"/>
          </w:tcPr>
          <w:p>
            <w:pPr>
              <w:pStyle w:val="16"/>
              <w:jc w:val="center"/>
              <w:rPr>
                <w:u w:val="none"/>
              </w:rPr>
            </w:pPr>
            <w:r>
              <w:rPr>
                <w:rFonts w:hint="eastAsia"/>
                <w:u w:val="none"/>
              </w:rPr>
              <w:t>1</w:t>
            </w:r>
          </w:p>
        </w:tc>
        <w:tc>
          <w:tcPr>
            <w:tcW w:w="1011" w:type="dxa"/>
            <w:tcBorders>
              <w:tl2br w:val="nil"/>
              <w:tr2bl w:val="nil"/>
            </w:tcBorders>
            <w:shd w:val="clear" w:color="auto" w:fill="auto"/>
            <w:noWrap/>
            <w:vAlign w:val="center"/>
          </w:tcPr>
          <w:p>
            <w:pPr>
              <w:pStyle w:val="16"/>
              <w:jc w:val="center"/>
              <w:rPr>
                <w:u w:val="none"/>
              </w:rPr>
            </w:pPr>
            <w:r>
              <w:rPr>
                <w:rFonts w:hint="eastAsia"/>
                <w:u w:val="none"/>
              </w:rPr>
              <w:t>20</w:t>
            </w:r>
          </w:p>
        </w:tc>
        <w:tc>
          <w:tcPr>
            <w:tcW w:w="944" w:type="dxa"/>
            <w:tcBorders>
              <w:tl2br w:val="nil"/>
              <w:tr2bl w:val="nil"/>
            </w:tcBorders>
            <w:shd w:val="clear" w:color="auto" w:fill="auto"/>
            <w:noWrap/>
            <w:vAlign w:val="center"/>
          </w:tcPr>
          <w:p>
            <w:pPr>
              <w:pStyle w:val="16"/>
              <w:jc w:val="center"/>
              <w:rPr>
                <w:u w:val="none"/>
              </w:rPr>
            </w:pPr>
            <w:r>
              <w:rPr>
                <w:rFonts w:hint="eastAsia"/>
                <w:u w:val="none"/>
              </w:rPr>
              <w:t>50</w:t>
            </w:r>
          </w:p>
        </w:tc>
        <w:tc>
          <w:tcPr>
            <w:tcW w:w="944" w:type="dxa"/>
            <w:tcBorders>
              <w:tl2br w:val="nil"/>
              <w:tr2bl w:val="nil"/>
            </w:tcBorders>
            <w:shd w:val="clear" w:color="auto" w:fill="auto"/>
            <w:noWrap/>
            <w:vAlign w:val="center"/>
          </w:tcPr>
          <w:p>
            <w:pPr>
              <w:pStyle w:val="16"/>
              <w:jc w:val="center"/>
              <w:rPr>
                <w:u w:val="none"/>
              </w:rPr>
            </w:pPr>
            <w:r>
              <w:rPr>
                <w:rFonts w:hint="eastAsia"/>
                <w:u w:val="none"/>
              </w:rPr>
              <w:t>100</w:t>
            </w:r>
          </w:p>
        </w:tc>
        <w:tc>
          <w:tcPr>
            <w:tcW w:w="944" w:type="dxa"/>
            <w:tcBorders>
              <w:tl2br w:val="nil"/>
              <w:tr2bl w:val="nil"/>
            </w:tcBorders>
            <w:shd w:val="clear" w:color="auto" w:fill="auto"/>
            <w:noWrap/>
            <w:vAlign w:val="center"/>
          </w:tcPr>
          <w:p>
            <w:pPr>
              <w:pStyle w:val="16"/>
              <w:jc w:val="center"/>
              <w:rPr>
                <w:u w:val="none"/>
              </w:rPr>
            </w:pPr>
            <w:r>
              <w:rPr>
                <w:rFonts w:hint="eastAsia"/>
                <w:u w:val="none"/>
              </w:rPr>
              <w:t>150</w:t>
            </w:r>
          </w:p>
        </w:tc>
        <w:tc>
          <w:tcPr>
            <w:tcW w:w="944" w:type="dxa"/>
            <w:tcBorders>
              <w:tl2br w:val="nil"/>
              <w:tr2bl w:val="nil"/>
            </w:tcBorders>
            <w:shd w:val="clear" w:color="auto" w:fill="auto"/>
            <w:noWrap/>
            <w:vAlign w:val="center"/>
          </w:tcPr>
          <w:p>
            <w:pPr>
              <w:pStyle w:val="16"/>
              <w:jc w:val="center"/>
              <w:rPr>
                <w:u w:val="none"/>
              </w:rPr>
            </w:pPr>
            <w:r>
              <w:rPr>
                <w:rFonts w:hint="eastAsia"/>
                <w:u w:val="none"/>
              </w:rPr>
              <w:t>200</w:t>
            </w:r>
          </w:p>
        </w:tc>
        <w:tc>
          <w:tcPr>
            <w:tcW w:w="860" w:type="dxa"/>
            <w:tcBorders>
              <w:tl2br w:val="nil"/>
              <w:tr2bl w:val="nil"/>
            </w:tcBorders>
            <w:shd w:val="clear" w:color="auto" w:fill="auto"/>
            <w:noWrap/>
            <w:vAlign w:val="center"/>
          </w:tcPr>
          <w:p>
            <w:pPr>
              <w:pStyle w:val="16"/>
              <w:jc w:val="center"/>
              <w:rPr>
                <w:u w:val="none"/>
              </w:rPr>
            </w:pPr>
            <w:r>
              <w:rPr>
                <w:rFonts w:hint="eastAsia"/>
                <w:u w:val="none"/>
              </w:rPr>
              <w:t>250</w:t>
            </w:r>
          </w:p>
        </w:tc>
        <w:tc>
          <w:tcPr>
            <w:tcW w:w="860" w:type="dxa"/>
            <w:tcBorders>
              <w:tl2br w:val="nil"/>
              <w:tr2bl w:val="nil"/>
            </w:tcBorders>
            <w:shd w:val="clear" w:color="auto" w:fill="auto"/>
            <w:noWrap/>
            <w:vAlign w:val="center"/>
          </w:tcPr>
          <w:p>
            <w:pPr>
              <w:pStyle w:val="16"/>
              <w:jc w:val="center"/>
              <w:rPr>
                <w:u w:val="none"/>
              </w:rPr>
            </w:pPr>
            <w:r>
              <w:rPr>
                <w:rFonts w:hint="eastAsia"/>
                <w:u w:val="none"/>
              </w:rPr>
              <w:t>300</w:t>
            </w:r>
          </w:p>
        </w:tc>
        <w:tc>
          <w:tcPr>
            <w:tcW w:w="862" w:type="dxa"/>
            <w:tcBorders>
              <w:tl2br w:val="nil"/>
              <w:tr2bl w:val="nil"/>
            </w:tcBorders>
            <w:shd w:val="clear" w:color="auto" w:fill="auto"/>
            <w:noWrap/>
            <w:vAlign w:val="center"/>
          </w:tcPr>
          <w:p>
            <w:pPr>
              <w:pStyle w:val="16"/>
              <w:jc w:val="center"/>
              <w:rPr>
                <w:u w:val="none"/>
              </w:rPr>
            </w:pPr>
            <w:r>
              <w:rPr>
                <w:rFonts w:hint="eastAsia"/>
                <w:u w:val="none"/>
              </w:rPr>
              <w:t>311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1</w:t>
            </w:r>
          </w:p>
        </w:tc>
        <w:tc>
          <w:tcPr>
            <w:tcW w:w="1053" w:type="dxa"/>
            <w:tcBorders>
              <w:tl2br w:val="nil"/>
              <w:tr2bl w:val="nil"/>
            </w:tcBorders>
            <w:shd w:val="clear" w:color="auto" w:fill="auto"/>
            <w:noWrap/>
            <w:vAlign w:val="center"/>
          </w:tcPr>
          <w:p>
            <w:pPr>
              <w:pStyle w:val="16"/>
              <w:bidi w:val="0"/>
            </w:pPr>
            <w:r>
              <w:rPr>
                <w:rFonts w:hint="eastAsia"/>
                <w:lang w:val="en-US" w:eastAsia="zh-CN"/>
              </w:rPr>
              <w:t xml:space="preserve">0.0018 </w:t>
            </w:r>
          </w:p>
        </w:tc>
        <w:tc>
          <w:tcPr>
            <w:tcW w:w="1011" w:type="dxa"/>
            <w:tcBorders>
              <w:tl2br w:val="nil"/>
              <w:tr2bl w:val="nil"/>
            </w:tcBorders>
            <w:shd w:val="clear" w:color="auto" w:fill="auto"/>
            <w:noWrap/>
            <w:vAlign w:val="center"/>
          </w:tcPr>
          <w:p>
            <w:pPr>
              <w:pStyle w:val="16"/>
              <w:bidi w:val="0"/>
            </w:pPr>
            <w:r>
              <w:rPr>
                <w:rFonts w:hint="eastAsia"/>
                <w:lang w:val="en-US" w:eastAsia="zh-CN"/>
              </w:rPr>
              <w:t xml:space="preserve">0.0008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0.0008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0.0007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0.0007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0.0007 </w:t>
            </w:r>
          </w:p>
        </w:tc>
        <w:tc>
          <w:tcPr>
            <w:tcW w:w="860" w:type="dxa"/>
            <w:tcBorders>
              <w:tl2br w:val="nil"/>
              <w:tr2bl w:val="nil"/>
            </w:tcBorders>
            <w:shd w:val="clear" w:color="auto" w:fill="auto"/>
            <w:noWrap/>
            <w:vAlign w:val="center"/>
          </w:tcPr>
          <w:p>
            <w:pPr>
              <w:pStyle w:val="16"/>
              <w:bidi w:val="0"/>
            </w:pPr>
            <w:r>
              <w:rPr>
                <w:rFonts w:hint="eastAsia"/>
                <w:lang w:val="en-US" w:eastAsia="zh-CN"/>
              </w:rPr>
              <w:t xml:space="preserve">0.0007 </w:t>
            </w:r>
          </w:p>
        </w:tc>
        <w:tc>
          <w:tcPr>
            <w:tcW w:w="860"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1" w:type="dxa"/>
            <w:tcBorders>
              <w:tl2br w:val="nil"/>
              <w:tr2bl w:val="nil"/>
            </w:tcBorders>
            <w:shd w:val="clear" w:color="auto" w:fill="auto"/>
            <w:noWrap/>
            <w:vAlign w:val="center"/>
          </w:tcPr>
          <w:p>
            <w:pPr>
              <w:pStyle w:val="16"/>
              <w:bidi w:val="0"/>
            </w:pPr>
            <w:r>
              <w:rPr>
                <w:rFonts w:hint="eastAsia"/>
                <w:lang w:val="en-US" w:eastAsia="zh-CN"/>
              </w:rPr>
              <w:t xml:space="preserve">0.0006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10</w:t>
            </w:r>
          </w:p>
        </w:tc>
        <w:tc>
          <w:tcPr>
            <w:tcW w:w="1053"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1011" w:type="dxa"/>
            <w:tcBorders>
              <w:tl2br w:val="nil"/>
              <w:tr2bl w:val="nil"/>
            </w:tcBorders>
            <w:shd w:val="clear" w:color="auto" w:fill="auto"/>
            <w:noWrap/>
            <w:vAlign w:val="center"/>
          </w:tcPr>
          <w:p>
            <w:pPr>
              <w:pStyle w:val="16"/>
              <w:bidi w:val="0"/>
            </w:pPr>
            <w:r>
              <w:rPr>
                <w:rFonts w:hint="eastAsia"/>
                <w:lang w:val="en-US" w:eastAsia="zh-CN"/>
              </w:rPr>
              <w:t xml:space="preserve">0.0007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0.0007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0.0007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0.0007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0.0007 </w:t>
            </w:r>
          </w:p>
        </w:tc>
        <w:tc>
          <w:tcPr>
            <w:tcW w:w="860" w:type="dxa"/>
            <w:tcBorders>
              <w:tl2br w:val="nil"/>
              <w:tr2bl w:val="nil"/>
            </w:tcBorders>
            <w:shd w:val="clear" w:color="auto" w:fill="auto"/>
            <w:noWrap/>
            <w:vAlign w:val="center"/>
          </w:tcPr>
          <w:p>
            <w:pPr>
              <w:pStyle w:val="16"/>
              <w:bidi w:val="0"/>
            </w:pPr>
            <w:r>
              <w:rPr>
                <w:rFonts w:hint="eastAsia"/>
                <w:lang w:val="en-US" w:eastAsia="zh-CN"/>
              </w:rPr>
              <w:t xml:space="preserve">0.0007 </w:t>
            </w:r>
          </w:p>
        </w:tc>
        <w:tc>
          <w:tcPr>
            <w:tcW w:w="860"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1" w:type="dxa"/>
            <w:tcBorders>
              <w:tl2br w:val="nil"/>
              <w:tr2bl w:val="nil"/>
            </w:tcBorders>
            <w:shd w:val="clear" w:color="auto" w:fill="auto"/>
            <w:noWrap/>
            <w:vAlign w:val="center"/>
          </w:tcPr>
          <w:p>
            <w:pPr>
              <w:pStyle w:val="16"/>
              <w:bidi w:val="0"/>
            </w:pPr>
            <w:r>
              <w:rPr>
                <w:rFonts w:hint="eastAsia"/>
                <w:lang w:val="en-US" w:eastAsia="zh-CN"/>
              </w:rPr>
              <w:t xml:space="preserve">0.0006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100</w:t>
            </w:r>
          </w:p>
        </w:tc>
        <w:tc>
          <w:tcPr>
            <w:tcW w:w="1053"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1011"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0"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0"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1" w:type="dxa"/>
            <w:tcBorders>
              <w:tl2br w:val="nil"/>
              <w:tr2bl w:val="nil"/>
            </w:tcBorders>
            <w:shd w:val="clear" w:color="auto" w:fill="auto"/>
            <w:noWrap/>
            <w:vAlign w:val="center"/>
          </w:tcPr>
          <w:p>
            <w:pPr>
              <w:pStyle w:val="16"/>
              <w:bidi w:val="0"/>
            </w:pPr>
            <w:r>
              <w:rPr>
                <w:rFonts w:hint="eastAsia"/>
                <w:lang w:val="en-US" w:eastAsia="zh-CN"/>
              </w:rPr>
              <w:t xml:space="preserve">0.0006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200</w:t>
            </w:r>
          </w:p>
        </w:tc>
        <w:tc>
          <w:tcPr>
            <w:tcW w:w="1053"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1011"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0"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0"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1" w:type="dxa"/>
            <w:tcBorders>
              <w:tl2br w:val="nil"/>
              <w:tr2bl w:val="nil"/>
            </w:tcBorders>
            <w:shd w:val="clear" w:color="auto" w:fill="auto"/>
            <w:noWrap/>
            <w:vAlign w:val="center"/>
          </w:tcPr>
          <w:p>
            <w:pPr>
              <w:pStyle w:val="16"/>
              <w:bidi w:val="0"/>
            </w:pPr>
            <w:r>
              <w:rPr>
                <w:rFonts w:hint="eastAsia"/>
                <w:lang w:val="en-US" w:eastAsia="zh-CN"/>
              </w:rPr>
              <w:t xml:space="preserve">0.0006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600</w:t>
            </w:r>
          </w:p>
        </w:tc>
        <w:tc>
          <w:tcPr>
            <w:tcW w:w="1053"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1011"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0"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0"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1" w:type="dxa"/>
            <w:tcBorders>
              <w:tl2br w:val="nil"/>
              <w:tr2bl w:val="nil"/>
            </w:tcBorders>
            <w:shd w:val="clear" w:color="auto" w:fill="auto"/>
            <w:noWrap/>
            <w:vAlign w:val="center"/>
          </w:tcPr>
          <w:p>
            <w:pPr>
              <w:pStyle w:val="16"/>
              <w:bidi w:val="0"/>
            </w:pPr>
            <w:r>
              <w:rPr>
                <w:rFonts w:hint="eastAsia"/>
                <w:lang w:val="en-US" w:eastAsia="zh-CN"/>
              </w:rPr>
              <w:t xml:space="preserve">0.0006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800</w:t>
            </w:r>
          </w:p>
        </w:tc>
        <w:tc>
          <w:tcPr>
            <w:tcW w:w="1053"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1011"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0"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0"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1" w:type="dxa"/>
            <w:tcBorders>
              <w:tl2br w:val="nil"/>
              <w:tr2bl w:val="nil"/>
            </w:tcBorders>
            <w:shd w:val="clear" w:color="auto" w:fill="auto"/>
            <w:noWrap/>
            <w:vAlign w:val="center"/>
          </w:tcPr>
          <w:p>
            <w:pPr>
              <w:pStyle w:val="16"/>
              <w:bidi w:val="0"/>
            </w:pPr>
            <w:r>
              <w:rPr>
                <w:rFonts w:hint="eastAsia"/>
                <w:lang w:val="en-US" w:eastAsia="zh-CN"/>
              </w:rPr>
              <w:t xml:space="preserve">0.0006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1000</w:t>
            </w:r>
          </w:p>
        </w:tc>
        <w:tc>
          <w:tcPr>
            <w:tcW w:w="1053"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1011"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0"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0"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1" w:type="dxa"/>
            <w:tcBorders>
              <w:tl2br w:val="nil"/>
              <w:tr2bl w:val="nil"/>
            </w:tcBorders>
            <w:shd w:val="clear" w:color="auto" w:fill="auto"/>
            <w:noWrap/>
            <w:vAlign w:val="center"/>
          </w:tcPr>
          <w:p>
            <w:pPr>
              <w:pStyle w:val="16"/>
              <w:bidi w:val="0"/>
            </w:pPr>
            <w:r>
              <w:rPr>
                <w:rFonts w:hint="eastAsia"/>
                <w:lang w:val="en-US" w:eastAsia="zh-CN"/>
              </w:rPr>
              <w:t xml:space="preserve">0.0006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2000</w:t>
            </w:r>
          </w:p>
        </w:tc>
        <w:tc>
          <w:tcPr>
            <w:tcW w:w="1053"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1011"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0"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0"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1" w:type="dxa"/>
            <w:tcBorders>
              <w:tl2br w:val="nil"/>
              <w:tr2bl w:val="nil"/>
            </w:tcBorders>
            <w:shd w:val="clear" w:color="auto" w:fill="auto"/>
            <w:noWrap/>
            <w:vAlign w:val="center"/>
          </w:tcPr>
          <w:p>
            <w:pPr>
              <w:pStyle w:val="16"/>
              <w:bidi w:val="0"/>
            </w:pPr>
            <w:r>
              <w:rPr>
                <w:rFonts w:hint="eastAsia"/>
                <w:lang w:val="en-US" w:eastAsia="zh-CN"/>
              </w:rPr>
              <w:t xml:space="preserve">0.0006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3000</w:t>
            </w:r>
          </w:p>
        </w:tc>
        <w:tc>
          <w:tcPr>
            <w:tcW w:w="1053"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1011"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0"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0"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1" w:type="dxa"/>
            <w:tcBorders>
              <w:tl2br w:val="nil"/>
              <w:tr2bl w:val="nil"/>
            </w:tcBorders>
            <w:shd w:val="clear" w:color="auto" w:fill="auto"/>
            <w:noWrap/>
            <w:vAlign w:val="center"/>
          </w:tcPr>
          <w:p>
            <w:pPr>
              <w:pStyle w:val="16"/>
              <w:bidi w:val="0"/>
            </w:pPr>
            <w:r>
              <w:rPr>
                <w:rFonts w:hint="eastAsia"/>
                <w:lang w:val="en-US" w:eastAsia="zh-CN"/>
              </w:rPr>
              <w:t xml:space="preserve">0.0006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4000</w:t>
            </w:r>
          </w:p>
        </w:tc>
        <w:tc>
          <w:tcPr>
            <w:tcW w:w="1053"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1011"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0"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0"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1" w:type="dxa"/>
            <w:tcBorders>
              <w:tl2br w:val="nil"/>
              <w:tr2bl w:val="nil"/>
            </w:tcBorders>
            <w:shd w:val="clear" w:color="auto" w:fill="auto"/>
            <w:noWrap/>
            <w:vAlign w:val="center"/>
          </w:tcPr>
          <w:p>
            <w:pPr>
              <w:pStyle w:val="16"/>
              <w:bidi w:val="0"/>
            </w:pPr>
            <w:r>
              <w:rPr>
                <w:rFonts w:hint="eastAsia"/>
                <w:lang w:val="en-US" w:eastAsia="zh-CN"/>
              </w:rPr>
              <w:t xml:space="preserve">0.0006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5000</w:t>
            </w:r>
          </w:p>
        </w:tc>
        <w:tc>
          <w:tcPr>
            <w:tcW w:w="1053"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1011"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0"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0"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1" w:type="dxa"/>
            <w:tcBorders>
              <w:tl2br w:val="nil"/>
              <w:tr2bl w:val="nil"/>
            </w:tcBorders>
            <w:shd w:val="clear" w:color="auto" w:fill="auto"/>
            <w:noWrap/>
            <w:vAlign w:val="center"/>
          </w:tcPr>
          <w:p>
            <w:pPr>
              <w:pStyle w:val="16"/>
              <w:bidi w:val="0"/>
            </w:pPr>
            <w:r>
              <w:rPr>
                <w:rFonts w:hint="eastAsia"/>
                <w:lang w:val="en-US" w:eastAsia="zh-CN"/>
              </w:rPr>
              <w:t xml:space="preserve">0.0006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6000</w:t>
            </w:r>
          </w:p>
        </w:tc>
        <w:tc>
          <w:tcPr>
            <w:tcW w:w="1053"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1011"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0"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0"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1" w:type="dxa"/>
            <w:tcBorders>
              <w:tl2br w:val="nil"/>
              <w:tr2bl w:val="nil"/>
            </w:tcBorders>
            <w:shd w:val="clear" w:color="auto" w:fill="auto"/>
            <w:noWrap/>
            <w:vAlign w:val="center"/>
          </w:tcPr>
          <w:p>
            <w:pPr>
              <w:pStyle w:val="16"/>
              <w:bidi w:val="0"/>
            </w:pPr>
            <w:r>
              <w:rPr>
                <w:rFonts w:hint="eastAsia"/>
                <w:lang w:val="en-US" w:eastAsia="zh-CN"/>
              </w:rPr>
              <w:t xml:space="preserve">0.0006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8000</w:t>
            </w:r>
          </w:p>
        </w:tc>
        <w:tc>
          <w:tcPr>
            <w:tcW w:w="1053"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1011"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0"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0"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1" w:type="dxa"/>
            <w:tcBorders>
              <w:tl2br w:val="nil"/>
              <w:tr2bl w:val="nil"/>
            </w:tcBorders>
            <w:shd w:val="clear" w:color="auto" w:fill="auto"/>
            <w:noWrap/>
            <w:vAlign w:val="center"/>
          </w:tcPr>
          <w:p>
            <w:pPr>
              <w:pStyle w:val="16"/>
              <w:bidi w:val="0"/>
            </w:pPr>
            <w:r>
              <w:rPr>
                <w:rFonts w:hint="eastAsia"/>
                <w:lang w:val="en-US" w:eastAsia="zh-CN"/>
              </w:rPr>
              <w:t xml:space="preserve">0.0006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10000</w:t>
            </w:r>
          </w:p>
        </w:tc>
        <w:tc>
          <w:tcPr>
            <w:tcW w:w="1053"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1011"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0"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0"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1" w:type="dxa"/>
            <w:tcBorders>
              <w:tl2br w:val="nil"/>
              <w:tr2bl w:val="nil"/>
            </w:tcBorders>
            <w:shd w:val="clear" w:color="auto" w:fill="auto"/>
            <w:noWrap/>
            <w:vAlign w:val="center"/>
          </w:tcPr>
          <w:p>
            <w:pPr>
              <w:pStyle w:val="16"/>
              <w:bidi w:val="0"/>
            </w:pPr>
            <w:r>
              <w:rPr>
                <w:rFonts w:hint="eastAsia"/>
                <w:lang w:val="en-US" w:eastAsia="zh-CN"/>
              </w:rPr>
              <w:t xml:space="preserve">0.0006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15000</w:t>
            </w:r>
          </w:p>
        </w:tc>
        <w:tc>
          <w:tcPr>
            <w:tcW w:w="1053"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1011"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0"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0"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1" w:type="dxa"/>
            <w:tcBorders>
              <w:tl2br w:val="nil"/>
              <w:tr2bl w:val="nil"/>
            </w:tcBorders>
            <w:shd w:val="clear" w:color="auto" w:fill="auto"/>
            <w:noWrap/>
            <w:vAlign w:val="center"/>
          </w:tcPr>
          <w:p>
            <w:pPr>
              <w:pStyle w:val="16"/>
              <w:bidi w:val="0"/>
            </w:pPr>
            <w:r>
              <w:rPr>
                <w:rFonts w:hint="eastAsia"/>
                <w:lang w:val="en-US" w:eastAsia="zh-CN"/>
              </w:rPr>
              <w:t xml:space="preserve">0.0006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20000</w:t>
            </w:r>
          </w:p>
        </w:tc>
        <w:tc>
          <w:tcPr>
            <w:tcW w:w="1053"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1011"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944"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0"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0" w:type="dxa"/>
            <w:tcBorders>
              <w:tl2br w:val="nil"/>
              <w:tr2bl w:val="nil"/>
            </w:tcBorders>
            <w:shd w:val="clear" w:color="auto" w:fill="auto"/>
            <w:noWrap/>
            <w:vAlign w:val="center"/>
          </w:tcPr>
          <w:p>
            <w:pPr>
              <w:pStyle w:val="16"/>
              <w:bidi w:val="0"/>
            </w:pPr>
            <w:r>
              <w:rPr>
                <w:rFonts w:hint="eastAsia"/>
                <w:lang w:val="en-US" w:eastAsia="zh-CN"/>
              </w:rPr>
              <w:t xml:space="preserve">0.0006 </w:t>
            </w:r>
          </w:p>
        </w:tc>
        <w:tc>
          <w:tcPr>
            <w:tcW w:w="861" w:type="dxa"/>
            <w:tcBorders>
              <w:tl2br w:val="nil"/>
              <w:tr2bl w:val="nil"/>
            </w:tcBorders>
            <w:shd w:val="clear" w:color="auto" w:fill="auto"/>
            <w:noWrap/>
            <w:vAlign w:val="center"/>
          </w:tcPr>
          <w:p>
            <w:pPr>
              <w:pStyle w:val="16"/>
              <w:bidi w:val="0"/>
            </w:pPr>
            <w:r>
              <w:rPr>
                <w:rFonts w:hint="eastAsia"/>
                <w:lang w:val="en-US" w:eastAsia="zh-CN"/>
              </w:rPr>
              <w:t xml:space="preserve">0.0006 </w:t>
            </w:r>
          </w:p>
        </w:tc>
      </w:tr>
    </w:tbl>
    <w:p>
      <w:pPr>
        <w:spacing w:line="240" w:lineRule="auto"/>
        <w:ind w:firstLine="0" w:firstLineChars="0"/>
        <w:jc w:val="center"/>
        <w:rPr>
          <w:b/>
          <w:bCs/>
          <w:u w:val="none"/>
        </w:rPr>
      </w:pPr>
      <w:r>
        <w:rPr>
          <w:b/>
          <w:bCs/>
          <w:u w:val="none"/>
        </w:rPr>
        <w:t>表</w:t>
      </w:r>
      <w:r>
        <w:rPr>
          <w:rFonts w:hint="eastAsia"/>
          <w:b/>
          <w:bCs/>
          <w:u w:val="none"/>
        </w:rPr>
        <w:t>6.1.4-</w:t>
      </w:r>
      <w:r>
        <w:rPr>
          <w:rFonts w:hint="eastAsia"/>
          <w:b/>
          <w:bCs/>
          <w:u w:val="none"/>
          <w:lang w:val="en-US" w:eastAsia="zh-CN"/>
        </w:rPr>
        <w:t>8</w:t>
      </w:r>
      <w:r>
        <w:rPr>
          <w:b/>
          <w:bCs/>
          <w:u w:val="none"/>
        </w:rPr>
        <w:t>正常排放对枯水期</w:t>
      </w:r>
      <w:r>
        <w:rPr>
          <w:rFonts w:hint="eastAsia"/>
          <w:b/>
          <w:bCs/>
          <w:u w:val="none"/>
        </w:rPr>
        <w:t>资水</w:t>
      </w:r>
      <w:r>
        <w:rPr>
          <w:b/>
          <w:bCs/>
          <w:u w:val="none"/>
        </w:rPr>
        <w:t>评价河段</w:t>
      </w:r>
      <w:r>
        <w:rPr>
          <w:rFonts w:hint="eastAsia"/>
          <w:b/>
          <w:bCs/>
          <w:u w:val="none"/>
        </w:rPr>
        <w:t>锌</w:t>
      </w:r>
      <w:r>
        <w:rPr>
          <w:b/>
          <w:bCs/>
          <w:u w:val="none"/>
        </w:rPr>
        <w:t>浓度预测值</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922"/>
        <w:gridCol w:w="979"/>
        <w:gridCol w:w="979"/>
        <w:gridCol w:w="979"/>
        <w:gridCol w:w="979"/>
        <w:gridCol w:w="875"/>
        <w:gridCol w:w="892"/>
        <w:gridCol w:w="892"/>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X/Y</w:t>
            </w:r>
          </w:p>
        </w:tc>
        <w:tc>
          <w:tcPr>
            <w:tcW w:w="497" w:type="pct"/>
            <w:shd w:val="clear" w:color="auto" w:fill="auto"/>
            <w:noWrap/>
            <w:vAlign w:val="center"/>
          </w:tcPr>
          <w:p>
            <w:pPr>
              <w:pStyle w:val="16"/>
              <w:jc w:val="center"/>
              <w:rPr>
                <w:u w:val="none"/>
              </w:rPr>
            </w:pPr>
            <w:r>
              <w:rPr>
                <w:rFonts w:hint="eastAsia"/>
                <w:u w:val="none"/>
              </w:rPr>
              <w:t>1</w:t>
            </w:r>
          </w:p>
        </w:tc>
        <w:tc>
          <w:tcPr>
            <w:tcW w:w="527" w:type="pct"/>
            <w:shd w:val="clear" w:color="auto" w:fill="auto"/>
            <w:noWrap/>
            <w:vAlign w:val="center"/>
          </w:tcPr>
          <w:p>
            <w:pPr>
              <w:pStyle w:val="16"/>
              <w:jc w:val="center"/>
              <w:rPr>
                <w:u w:val="none"/>
              </w:rPr>
            </w:pPr>
            <w:r>
              <w:rPr>
                <w:rFonts w:hint="eastAsia"/>
                <w:u w:val="none"/>
              </w:rPr>
              <w:t>20</w:t>
            </w:r>
          </w:p>
        </w:tc>
        <w:tc>
          <w:tcPr>
            <w:tcW w:w="527" w:type="pct"/>
            <w:shd w:val="clear" w:color="auto" w:fill="auto"/>
            <w:noWrap/>
            <w:vAlign w:val="center"/>
          </w:tcPr>
          <w:p>
            <w:pPr>
              <w:pStyle w:val="16"/>
              <w:jc w:val="center"/>
              <w:rPr>
                <w:u w:val="none"/>
              </w:rPr>
            </w:pPr>
            <w:r>
              <w:rPr>
                <w:rFonts w:hint="eastAsia"/>
                <w:u w:val="none"/>
              </w:rPr>
              <w:t>50</w:t>
            </w:r>
          </w:p>
        </w:tc>
        <w:tc>
          <w:tcPr>
            <w:tcW w:w="527" w:type="pct"/>
            <w:shd w:val="clear" w:color="auto" w:fill="auto"/>
            <w:noWrap/>
            <w:vAlign w:val="center"/>
          </w:tcPr>
          <w:p>
            <w:pPr>
              <w:pStyle w:val="16"/>
              <w:jc w:val="center"/>
              <w:rPr>
                <w:u w:val="none"/>
              </w:rPr>
            </w:pPr>
            <w:r>
              <w:rPr>
                <w:rFonts w:hint="eastAsia"/>
                <w:u w:val="none"/>
              </w:rPr>
              <w:t>100</w:t>
            </w:r>
          </w:p>
        </w:tc>
        <w:tc>
          <w:tcPr>
            <w:tcW w:w="527" w:type="pct"/>
            <w:shd w:val="clear" w:color="auto" w:fill="auto"/>
            <w:noWrap/>
            <w:vAlign w:val="center"/>
          </w:tcPr>
          <w:p>
            <w:pPr>
              <w:pStyle w:val="16"/>
              <w:jc w:val="center"/>
              <w:rPr>
                <w:u w:val="none"/>
              </w:rPr>
            </w:pPr>
            <w:r>
              <w:rPr>
                <w:rFonts w:hint="eastAsia"/>
                <w:u w:val="none"/>
              </w:rPr>
              <w:t>150</w:t>
            </w:r>
          </w:p>
        </w:tc>
        <w:tc>
          <w:tcPr>
            <w:tcW w:w="471" w:type="pct"/>
            <w:shd w:val="clear" w:color="auto" w:fill="auto"/>
            <w:noWrap/>
            <w:vAlign w:val="center"/>
          </w:tcPr>
          <w:p>
            <w:pPr>
              <w:pStyle w:val="16"/>
              <w:jc w:val="center"/>
              <w:rPr>
                <w:u w:val="none"/>
              </w:rPr>
            </w:pPr>
            <w:r>
              <w:rPr>
                <w:rFonts w:hint="eastAsia"/>
                <w:u w:val="none"/>
              </w:rPr>
              <w:t>200</w:t>
            </w:r>
          </w:p>
        </w:tc>
        <w:tc>
          <w:tcPr>
            <w:tcW w:w="480" w:type="pct"/>
            <w:shd w:val="clear" w:color="auto" w:fill="auto"/>
            <w:noWrap/>
            <w:vAlign w:val="center"/>
          </w:tcPr>
          <w:p>
            <w:pPr>
              <w:pStyle w:val="16"/>
              <w:jc w:val="center"/>
              <w:rPr>
                <w:u w:val="none"/>
              </w:rPr>
            </w:pPr>
            <w:r>
              <w:rPr>
                <w:rFonts w:hint="eastAsia"/>
                <w:u w:val="none"/>
              </w:rPr>
              <w:t>250</w:t>
            </w:r>
          </w:p>
        </w:tc>
        <w:tc>
          <w:tcPr>
            <w:tcW w:w="480" w:type="pct"/>
            <w:shd w:val="clear" w:color="auto" w:fill="auto"/>
            <w:noWrap/>
            <w:vAlign w:val="center"/>
          </w:tcPr>
          <w:p>
            <w:pPr>
              <w:pStyle w:val="16"/>
              <w:jc w:val="center"/>
              <w:rPr>
                <w:u w:val="none"/>
              </w:rPr>
            </w:pPr>
            <w:r>
              <w:rPr>
                <w:rFonts w:hint="eastAsia"/>
                <w:u w:val="none"/>
              </w:rPr>
              <w:t>300</w:t>
            </w:r>
          </w:p>
        </w:tc>
        <w:tc>
          <w:tcPr>
            <w:tcW w:w="480" w:type="pct"/>
            <w:shd w:val="clear" w:color="auto" w:fill="auto"/>
            <w:noWrap/>
            <w:vAlign w:val="center"/>
          </w:tcPr>
          <w:p>
            <w:pPr>
              <w:pStyle w:val="16"/>
              <w:jc w:val="center"/>
              <w:rPr>
                <w:u w:val="none"/>
              </w:rPr>
            </w:pPr>
            <w:r>
              <w:rPr>
                <w:rFonts w:hint="eastAsia"/>
                <w:u w:val="none"/>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1</w:t>
            </w:r>
          </w:p>
        </w:tc>
        <w:tc>
          <w:tcPr>
            <w:tcW w:w="922" w:type="dxa"/>
            <w:shd w:val="clear" w:color="auto" w:fill="auto"/>
            <w:noWrap/>
            <w:vAlign w:val="center"/>
          </w:tcPr>
          <w:p>
            <w:pPr>
              <w:pStyle w:val="16"/>
              <w:bidi w:val="0"/>
            </w:pPr>
            <w:r>
              <w:rPr>
                <w:rFonts w:hint="eastAsia"/>
                <w:lang w:val="en-US" w:eastAsia="zh-CN"/>
              </w:rPr>
              <w:t xml:space="preserve">0.0066 </w:t>
            </w:r>
          </w:p>
        </w:tc>
        <w:tc>
          <w:tcPr>
            <w:tcW w:w="979" w:type="dxa"/>
            <w:shd w:val="clear" w:color="auto" w:fill="auto"/>
            <w:noWrap/>
            <w:vAlign w:val="center"/>
          </w:tcPr>
          <w:p>
            <w:pPr>
              <w:pStyle w:val="16"/>
              <w:bidi w:val="0"/>
            </w:pPr>
            <w:r>
              <w:rPr>
                <w:rFonts w:hint="eastAsia"/>
                <w:lang w:val="en-US" w:eastAsia="zh-CN"/>
              </w:rPr>
              <w:t xml:space="preserve">0.0029 </w:t>
            </w:r>
          </w:p>
        </w:tc>
        <w:tc>
          <w:tcPr>
            <w:tcW w:w="979" w:type="dxa"/>
            <w:shd w:val="clear" w:color="auto" w:fill="auto"/>
            <w:noWrap/>
            <w:vAlign w:val="center"/>
          </w:tcPr>
          <w:p>
            <w:pPr>
              <w:pStyle w:val="16"/>
              <w:bidi w:val="0"/>
            </w:pPr>
            <w:r>
              <w:rPr>
                <w:rFonts w:hint="eastAsia"/>
                <w:lang w:val="en-US" w:eastAsia="zh-CN"/>
              </w:rPr>
              <w:t xml:space="preserve">0.0026 </w:t>
            </w:r>
          </w:p>
        </w:tc>
        <w:tc>
          <w:tcPr>
            <w:tcW w:w="979" w:type="dxa"/>
            <w:shd w:val="clear" w:color="auto" w:fill="auto"/>
            <w:noWrap/>
            <w:vAlign w:val="center"/>
          </w:tcPr>
          <w:p>
            <w:pPr>
              <w:pStyle w:val="16"/>
              <w:bidi w:val="0"/>
            </w:pPr>
            <w:r>
              <w:rPr>
                <w:rFonts w:hint="eastAsia"/>
                <w:lang w:val="en-US" w:eastAsia="zh-CN"/>
              </w:rPr>
              <w:t xml:space="preserve">0.0023 </w:t>
            </w:r>
          </w:p>
        </w:tc>
        <w:tc>
          <w:tcPr>
            <w:tcW w:w="979" w:type="dxa"/>
            <w:shd w:val="clear" w:color="auto" w:fill="auto"/>
            <w:noWrap/>
            <w:vAlign w:val="center"/>
          </w:tcPr>
          <w:p>
            <w:pPr>
              <w:pStyle w:val="16"/>
              <w:bidi w:val="0"/>
            </w:pPr>
            <w:r>
              <w:rPr>
                <w:rFonts w:hint="eastAsia"/>
                <w:lang w:val="en-US" w:eastAsia="zh-CN"/>
              </w:rPr>
              <w:t xml:space="preserve">0.0022 </w:t>
            </w:r>
          </w:p>
        </w:tc>
        <w:tc>
          <w:tcPr>
            <w:tcW w:w="875" w:type="dxa"/>
            <w:shd w:val="clear" w:color="auto" w:fill="auto"/>
            <w:noWrap/>
            <w:vAlign w:val="center"/>
          </w:tcPr>
          <w:p>
            <w:pPr>
              <w:pStyle w:val="16"/>
              <w:bidi w:val="0"/>
            </w:pPr>
            <w:r>
              <w:rPr>
                <w:rFonts w:hint="eastAsia"/>
                <w:lang w:val="en-US" w:eastAsia="zh-CN"/>
              </w:rPr>
              <w:t xml:space="preserve">0.0022 </w:t>
            </w:r>
          </w:p>
        </w:tc>
        <w:tc>
          <w:tcPr>
            <w:tcW w:w="892" w:type="dxa"/>
            <w:shd w:val="clear" w:color="auto" w:fill="auto"/>
            <w:noWrap/>
            <w:vAlign w:val="center"/>
          </w:tcPr>
          <w:p>
            <w:pPr>
              <w:pStyle w:val="16"/>
              <w:bidi w:val="0"/>
            </w:pPr>
            <w:r>
              <w:rPr>
                <w:rFonts w:hint="eastAsia"/>
                <w:lang w:val="en-US" w:eastAsia="zh-CN"/>
              </w:rPr>
              <w:t xml:space="preserve">0.0021 </w:t>
            </w:r>
          </w:p>
        </w:tc>
        <w:tc>
          <w:tcPr>
            <w:tcW w:w="892" w:type="dxa"/>
            <w:shd w:val="clear" w:color="auto" w:fill="auto"/>
            <w:noWrap/>
            <w:vAlign w:val="center"/>
          </w:tcPr>
          <w:p>
            <w:pPr>
              <w:pStyle w:val="16"/>
              <w:bidi w:val="0"/>
            </w:pPr>
            <w:r>
              <w:rPr>
                <w:rFonts w:hint="eastAsia"/>
                <w:lang w:val="en-US" w:eastAsia="zh-CN"/>
              </w:rPr>
              <w:t xml:space="preserve">0.0021 </w:t>
            </w:r>
          </w:p>
        </w:tc>
        <w:tc>
          <w:tcPr>
            <w:tcW w:w="892" w:type="dxa"/>
            <w:shd w:val="clear" w:color="auto" w:fill="auto"/>
            <w:noWrap/>
            <w:vAlign w:val="center"/>
          </w:tcPr>
          <w:p>
            <w:pPr>
              <w:pStyle w:val="16"/>
              <w:bidi w:val="0"/>
            </w:pPr>
            <w:r>
              <w:rPr>
                <w:rFonts w:hint="eastAsia"/>
                <w:lang w:val="en-US" w:eastAsia="zh-CN"/>
              </w:rPr>
              <w:t xml:space="preserve">0.0021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10</w:t>
            </w:r>
          </w:p>
        </w:tc>
        <w:tc>
          <w:tcPr>
            <w:tcW w:w="922"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0.0024 </w:t>
            </w:r>
          </w:p>
        </w:tc>
        <w:tc>
          <w:tcPr>
            <w:tcW w:w="979" w:type="dxa"/>
            <w:shd w:val="clear" w:color="auto" w:fill="auto"/>
            <w:noWrap/>
            <w:vAlign w:val="center"/>
          </w:tcPr>
          <w:p>
            <w:pPr>
              <w:pStyle w:val="16"/>
              <w:bidi w:val="0"/>
            </w:pPr>
            <w:r>
              <w:rPr>
                <w:rFonts w:hint="eastAsia"/>
                <w:lang w:val="en-US" w:eastAsia="zh-CN"/>
              </w:rPr>
              <w:t xml:space="preserve">0.0024 </w:t>
            </w:r>
          </w:p>
        </w:tc>
        <w:tc>
          <w:tcPr>
            <w:tcW w:w="979" w:type="dxa"/>
            <w:shd w:val="clear" w:color="auto" w:fill="auto"/>
            <w:noWrap/>
            <w:vAlign w:val="center"/>
          </w:tcPr>
          <w:p>
            <w:pPr>
              <w:pStyle w:val="16"/>
              <w:bidi w:val="0"/>
            </w:pPr>
            <w:r>
              <w:rPr>
                <w:rFonts w:hint="eastAsia"/>
                <w:lang w:val="en-US" w:eastAsia="zh-CN"/>
              </w:rPr>
              <w:t xml:space="preserve">0.0023 </w:t>
            </w:r>
          </w:p>
        </w:tc>
        <w:tc>
          <w:tcPr>
            <w:tcW w:w="979" w:type="dxa"/>
            <w:shd w:val="clear" w:color="auto" w:fill="auto"/>
            <w:noWrap/>
            <w:vAlign w:val="center"/>
          </w:tcPr>
          <w:p>
            <w:pPr>
              <w:pStyle w:val="16"/>
              <w:bidi w:val="0"/>
            </w:pPr>
            <w:r>
              <w:rPr>
                <w:rFonts w:hint="eastAsia"/>
                <w:lang w:val="en-US" w:eastAsia="zh-CN"/>
              </w:rPr>
              <w:t xml:space="preserve">0.0022 </w:t>
            </w:r>
          </w:p>
        </w:tc>
        <w:tc>
          <w:tcPr>
            <w:tcW w:w="875" w:type="dxa"/>
            <w:shd w:val="clear" w:color="auto" w:fill="auto"/>
            <w:noWrap/>
            <w:vAlign w:val="center"/>
          </w:tcPr>
          <w:p>
            <w:pPr>
              <w:pStyle w:val="16"/>
              <w:bidi w:val="0"/>
            </w:pPr>
            <w:r>
              <w:rPr>
                <w:rFonts w:hint="eastAsia"/>
                <w:lang w:val="en-US" w:eastAsia="zh-CN"/>
              </w:rPr>
              <w:t xml:space="preserve">0.0022 </w:t>
            </w:r>
          </w:p>
        </w:tc>
        <w:tc>
          <w:tcPr>
            <w:tcW w:w="892" w:type="dxa"/>
            <w:shd w:val="clear" w:color="auto" w:fill="auto"/>
            <w:noWrap/>
            <w:vAlign w:val="center"/>
          </w:tcPr>
          <w:p>
            <w:pPr>
              <w:pStyle w:val="16"/>
              <w:bidi w:val="0"/>
            </w:pPr>
            <w:r>
              <w:rPr>
                <w:rFonts w:hint="eastAsia"/>
                <w:lang w:val="en-US" w:eastAsia="zh-CN"/>
              </w:rPr>
              <w:t xml:space="preserve">0.0021 </w:t>
            </w:r>
          </w:p>
        </w:tc>
        <w:tc>
          <w:tcPr>
            <w:tcW w:w="892" w:type="dxa"/>
            <w:shd w:val="clear" w:color="auto" w:fill="auto"/>
            <w:noWrap/>
            <w:vAlign w:val="center"/>
          </w:tcPr>
          <w:p>
            <w:pPr>
              <w:pStyle w:val="16"/>
              <w:bidi w:val="0"/>
            </w:pPr>
            <w:r>
              <w:rPr>
                <w:rFonts w:hint="eastAsia"/>
                <w:lang w:val="en-US" w:eastAsia="zh-CN"/>
              </w:rPr>
              <w:t xml:space="preserve">0.0021 </w:t>
            </w:r>
          </w:p>
        </w:tc>
        <w:tc>
          <w:tcPr>
            <w:tcW w:w="892" w:type="dxa"/>
            <w:shd w:val="clear" w:color="auto" w:fill="auto"/>
            <w:noWrap/>
            <w:vAlign w:val="center"/>
          </w:tcPr>
          <w:p>
            <w:pPr>
              <w:pStyle w:val="16"/>
              <w:bidi w:val="0"/>
            </w:pPr>
            <w:r>
              <w:rPr>
                <w:rFonts w:hint="eastAsia"/>
                <w:lang w:val="en-US" w:eastAsia="zh-CN"/>
              </w:rPr>
              <w:t xml:space="preserve">0.0021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100</w:t>
            </w:r>
          </w:p>
        </w:tc>
        <w:tc>
          <w:tcPr>
            <w:tcW w:w="922"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875"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200</w:t>
            </w:r>
          </w:p>
        </w:tc>
        <w:tc>
          <w:tcPr>
            <w:tcW w:w="922"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875"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600</w:t>
            </w:r>
          </w:p>
        </w:tc>
        <w:tc>
          <w:tcPr>
            <w:tcW w:w="922"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875"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800</w:t>
            </w:r>
          </w:p>
        </w:tc>
        <w:tc>
          <w:tcPr>
            <w:tcW w:w="922"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875"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1000</w:t>
            </w:r>
          </w:p>
        </w:tc>
        <w:tc>
          <w:tcPr>
            <w:tcW w:w="922"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875"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2000</w:t>
            </w:r>
          </w:p>
        </w:tc>
        <w:tc>
          <w:tcPr>
            <w:tcW w:w="922"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875"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3000</w:t>
            </w:r>
          </w:p>
        </w:tc>
        <w:tc>
          <w:tcPr>
            <w:tcW w:w="922"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875"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4000</w:t>
            </w:r>
          </w:p>
        </w:tc>
        <w:tc>
          <w:tcPr>
            <w:tcW w:w="922"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875"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5000</w:t>
            </w:r>
          </w:p>
        </w:tc>
        <w:tc>
          <w:tcPr>
            <w:tcW w:w="922"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875"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6000</w:t>
            </w:r>
          </w:p>
        </w:tc>
        <w:tc>
          <w:tcPr>
            <w:tcW w:w="922"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875"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8000</w:t>
            </w:r>
          </w:p>
        </w:tc>
        <w:tc>
          <w:tcPr>
            <w:tcW w:w="922"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875"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10000</w:t>
            </w:r>
          </w:p>
        </w:tc>
        <w:tc>
          <w:tcPr>
            <w:tcW w:w="922"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875"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15000</w:t>
            </w:r>
          </w:p>
        </w:tc>
        <w:tc>
          <w:tcPr>
            <w:tcW w:w="922"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875"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20000</w:t>
            </w:r>
          </w:p>
        </w:tc>
        <w:tc>
          <w:tcPr>
            <w:tcW w:w="922"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875"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15000</w:t>
            </w:r>
          </w:p>
        </w:tc>
        <w:tc>
          <w:tcPr>
            <w:tcW w:w="922"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875"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20000</w:t>
            </w:r>
          </w:p>
        </w:tc>
        <w:tc>
          <w:tcPr>
            <w:tcW w:w="922"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979" w:type="dxa"/>
            <w:shd w:val="clear" w:color="auto" w:fill="auto"/>
            <w:noWrap/>
            <w:vAlign w:val="center"/>
          </w:tcPr>
          <w:p>
            <w:pPr>
              <w:pStyle w:val="16"/>
              <w:bidi w:val="0"/>
            </w:pPr>
            <w:r>
              <w:rPr>
                <w:rFonts w:hint="eastAsia"/>
                <w:lang w:val="en-US" w:eastAsia="zh-CN"/>
              </w:rPr>
              <w:t xml:space="preserve">0.0018 </w:t>
            </w:r>
          </w:p>
        </w:tc>
        <w:tc>
          <w:tcPr>
            <w:tcW w:w="875"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c>
          <w:tcPr>
            <w:tcW w:w="892" w:type="dxa"/>
            <w:shd w:val="clear" w:color="auto" w:fill="auto"/>
            <w:noWrap/>
            <w:vAlign w:val="center"/>
          </w:tcPr>
          <w:p>
            <w:pPr>
              <w:pStyle w:val="16"/>
              <w:bidi w:val="0"/>
            </w:pPr>
            <w:r>
              <w:rPr>
                <w:rFonts w:hint="eastAsia"/>
                <w:lang w:val="en-US" w:eastAsia="zh-CN"/>
              </w:rPr>
              <w:t xml:space="preserve">0.0018 </w:t>
            </w:r>
          </w:p>
        </w:tc>
      </w:tr>
    </w:tbl>
    <w:p>
      <w:pPr>
        <w:spacing w:line="240" w:lineRule="auto"/>
        <w:ind w:firstLine="482"/>
        <w:jc w:val="center"/>
        <w:rPr>
          <w:b/>
          <w:bCs/>
          <w:u w:val="none"/>
        </w:rPr>
      </w:pPr>
      <w:r>
        <w:rPr>
          <w:b/>
          <w:bCs/>
          <w:u w:val="none"/>
        </w:rPr>
        <w:t>表</w:t>
      </w:r>
      <w:r>
        <w:rPr>
          <w:rFonts w:hint="eastAsia"/>
          <w:b/>
          <w:bCs/>
          <w:u w:val="none"/>
        </w:rPr>
        <w:t>6.1.4-</w:t>
      </w:r>
      <w:r>
        <w:rPr>
          <w:rFonts w:hint="eastAsia"/>
          <w:b/>
          <w:bCs/>
          <w:u w:val="none"/>
          <w:lang w:val="en-US" w:eastAsia="zh-CN"/>
        </w:rPr>
        <w:t>9</w:t>
      </w:r>
      <w:r>
        <w:rPr>
          <w:rFonts w:hint="eastAsia"/>
          <w:b/>
          <w:bCs/>
          <w:u w:val="none"/>
        </w:rPr>
        <w:t>非</w:t>
      </w:r>
      <w:r>
        <w:rPr>
          <w:b/>
          <w:bCs/>
          <w:u w:val="none"/>
        </w:rPr>
        <w:t>正常排放对枯水期</w:t>
      </w:r>
      <w:r>
        <w:rPr>
          <w:rFonts w:hint="eastAsia"/>
          <w:b/>
          <w:bCs/>
          <w:u w:val="none"/>
        </w:rPr>
        <w:t>资水</w:t>
      </w:r>
      <w:r>
        <w:rPr>
          <w:b/>
          <w:bCs/>
          <w:u w:val="none"/>
        </w:rPr>
        <w:t>评价河段COD浓度预测值</w:t>
      </w:r>
    </w:p>
    <w:tbl>
      <w:tblPr>
        <w:tblStyle w:val="31"/>
        <w:tblW w:w="502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9"/>
        <w:gridCol w:w="849"/>
        <w:gridCol w:w="961"/>
        <w:gridCol w:w="961"/>
        <w:gridCol w:w="961"/>
        <w:gridCol w:w="961"/>
        <w:gridCol w:w="961"/>
        <w:gridCol w:w="961"/>
        <w:gridCol w:w="961"/>
        <w:gridCol w:w="9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799" w:type="dxa"/>
            <w:tcBorders>
              <w:tl2br w:val="nil"/>
              <w:tr2bl w:val="nil"/>
            </w:tcBorders>
            <w:shd w:val="clear" w:color="auto" w:fill="auto"/>
            <w:noWrap/>
            <w:vAlign w:val="center"/>
          </w:tcPr>
          <w:p>
            <w:pPr>
              <w:pStyle w:val="16"/>
              <w:jc w:val="center"/>
              <w:rPr>
                <w:u w:val="none"/>
              </w:rPr>
            </w:pPr>
            <w:r>
              <w:rPr>
                <w:rFonts w:hint="eastAsia"/>
                <w:u w:val="none"/>
              </w:rPr>
              <w:t>X/Y</w:t>
            </w:r>
          </w:p>
        </w:tc>
        <w:tc>
          <w:tcPr>
            <w:tcW w:w="849" w:type="dxa"/>
            <w:tcBorders>
              <w:tl2br w:val="nil"/>
              <w:tr2bl w:val="nil"/>
            </w:tcBorders>
            <w:shd w:val="clear" w:color="auto" w:fill="auto"/>
            <w:noWrap/>
            <w:vAlign w:val="center"/>
          </w:tcPr>
          <w:p>
            <w:pPr>
              <w:pStyle w:val="16"/>
              <w:jc w:val="center"/>
              <w:rPr>
                <w:u w:val="none"/>
              </w:rPr>
            </w:pPr>
            <w:r>
              <w:rPr>
                <w:rFonts w:hint="eastAsia"/>
                <w:u w:val="none"/>
              </w:rPr>
              <w:t>1</w:t>
            </w:r>
          </w:p>
        </w:tc>
        <w:tc>
          <w:tcPr>
            <w:tcW w:w="961" w:type="dxa"/>
            <w:tcBorders>
              <w:tl2br w:val="nil"/>
              <w:tr2bl w:val="nil"/>
            </w:tcBorders>
            <w:shd w:val="clear" w:color="auto" w:fill="auto"/>
            <w:noWrap/>
            <w:vAlign w:val="center"/>
          </w:tcPr>
          <w:p>
            <w:pPr>
              <w:pStyle w:val="16"/>
              <w:jc w:val="center"/>
              <w:rPr>
                <w:u w:val="none"/>
              </w:rPr>
            </w:pPr>
            <w:r>
              <w:rPr>
                <w:rFonts w:hint="eastAsia"/>
                <w:u w:val="none"/>
              </w:rPr>
              <w:t>20</w:t>
            </w:r>
          </w:p>
        </w:tc>
        <w:tc>
          <w:tcPr>
            <w:tcW w:w="961" w:type="dxa"/>
            <w:tcBorders>
              <w:tl2br w:val="nil"/>
              <w:tr2bl w:val="nil"/>
            </w:tcBorders>
            <w:shd w:val="clear" w:color="auto" w:fill="auto"/>
            <w:noWrap/>
            <w:vAlign w:val="center"/>
          </w:tcPr>
          <w:p>
            <w:pPr>
              <w:pStyle w:val="16"/>
              <w:jc w:val="center"/>
              <w:rPr>
                <w:u w:val="none"/>
              </w:rPr>
            </w:pPr>
            <w:r>
              <w:rPr>
                <w:rFonts w:hint="eastAsia"/>
                <w:u w:val="none"/>
              </w:rPr>
              <w:t>50</w:t>
            </w:r>
          </w:p>
        </w:tc>
        <w:tc>
          <w:tcPr>
            <w:tcW w:w="961" w:type="dxa"/>
            <w:tcBorders>
              <w:tl2br w:val="nil"/>
              <w:tr2bl w:val="nil"/>
            </w:tcBorders>
            <w:shd w:val="clear" w:color="auto" w:fill="auto"/>
            <w:noWrap/>
            <w:vAlign w:val="center"/>
          </w:tcPr>
          <w:p>
            <w:pPr>
              <w:pStyle w:val="16"/>
              <w:jc w:val="center"/>
              <w:rPr>
                <w:u w:val="none"/>
              </w:rPr>
            </w:pPr>
            <w:r>
              <w:rPr>
                <w:rFonts w:hint="eastAsia"/>
                <w:u w:val="none"/>
              </w:rPr>
              <w:t>100</w:t>
            </w:r>
          </w:p>
        </w:tc>
        <w:tc>
          <w:tcPr>
            <w:tcW w:w="961" w:type="dxa"/>
            <w:tcBorders>
              <w:tl2br w:val="nil"/>
              <w:tr2bl w:val="nil"/>
            </w:tcBorders>
            <w:shd w:val="clear" w:color="auto" w:fill="auto"/>
            <w:noWrap/>
            <w:vAlign w:val="center"/>
          </w:tcPr>
          <w:p>
            <w:pPr>
              <w:pStyle w:val="16"/>
              <w:jc w:val="center"/>
              <w:rPr>
                <w:u w:val="none"/>
              </w:rPr>
            </w:pPr>
            <w:r>
              <w:rPr>
                <w:rFonts w:hint="eastAsia"/>
                <w:u w:val="none"/>
              </w:rPr>
              <w:t>150</w:t>
            </w:r>
          </w:p>
        </w:tc>
        <w:tc>
          <w:tcPr>
            <w:tcW w:w="961" w:type="dxa"/>
            <w:tcBorders>
              <w:tl2br w:val="nil"/>
              <w:tr2bl w:val="nil"/>
            </w:tcBorders>
            <w:shd w:val="clear" w:color="auto" w:fill="auto"/>
            <w:noWrap/>
            <w:vAlign w:val="center"/>
          </w:tcPr>
          <w:p>
            <w:pPr>
              <w:pStyle w:val="16"/>
              <w:jc w:val="center"/>
              <w:rPr>
                <w:u w:val="none"/>
              </w:rPr>
            </w:pPr>
            <w:r>
              <w:rPr>
                <w:rFonts w:hint="eastAsia"/>
                <w:u w:val="none"/>
              </w:rPr>
              <w:t>200</w:t>
            </w:r>
          </w:p>
        </w:tc>
        <w:tc>
          <w:tcPr>
            <w:tcW w:w="961" w:type="dxa"/>
            <w:tcBorders>
              <w:tl2br w:val="nil"/>
              <w:tr2bl w:val="nil"/>
            </w:tcBorders>
            <w:shd w:val="clear" w:color="auto" w:fill="auto"/>
            <w:noWrap/>
            <w:vAlign w:val="center"/>
          </w:tcPr>
          <w:p>
            <w:pPr>
              <w:pStyle w:val="16"/>
              <w:jc w:val="center"/>
              <w:rPr>
                <w:u w:val="none"/>
              </w:rPr>
            </w:pPr>
            <w:r>
              <w:rPr>
                <w:rFonts w:hint="eastAsia"/>
                <w:u w:val="none"/>
              </w:rPr>
              <w:t>250</w:t>
            </w:r>
          </w:p>
        </w:tc>
        <w:tc>
          <w:tcPr>
            <w:tcW w:w="961" w:type="dxa"/>
            <w:tcBorders>
              <w:tl2br w:val="nil"/>
              <w:tr2bl w:val="nil"/>
            </w:tcBorders>
            <w:shd w:val="clear" w:color="auto" w:fill="auto"/>
            <w:noWrap/>
            <w:vAlign w:val="center"/>
          </w:tcPr>
          <w:p>
            <w:pPr>
              <w:pStyle w:val="16"/>
              <w:jc w:val="center"/>
              <w:rPr>
                <w:u w:val="none"/>
              </w:rPr>
            </w:pPr>
            <w:r>
              <w:rPr>
                <w:rFonts w:hint="eastAsia"/>
                <w:u w:val="none"/>
              </w:rPr>
              <w:t>300</w:t>
            </w:r>
          </w:p>
        </w:tc>
        <w:tc>
          <w:tcPr>
            <w:tcW w:w="963" w:type="dxa"/>
            <w:tcBorders>
              <w:tl2br w:val="nil"/>
              <w:tr2bl w:val="nil"/>
            </w:tcBorders>
            <w:shd w:val="clear" w:color="auto" w:fill="auto"/>
            <w:noWrap/>
            <w:vAlign w:val="center"/>
          </w:tcPr>
          <w:p>
            <w:pPr>
              <w:pStyle w:val="16"/>
              <w:jc w:val="center"/>
              <w:rPr>
                <w:u w:val="none"/>
              </w:rPr>
            </w:pPr>
            <w:r>
              <w:rPr>
                <w:rFonts w:hint="eastAsia"/>
                <w:u w:val="none"/>
              </w:rPr>
              <w:t>311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9" w:type="dxa"/>
            <w:tcBorders>
              <w:tl2br w:val="nil"/>
              <w:tr2bl w:val="nil"/>
            </w:tcBorders>
            <w:shd w:val="clear" w:color="auto" w:fill="auto"/>
            <w:noWrap/>
            <w:vAlign w:val="center"/>
          </w:tcPr>
          <w:p>
            <w:pPr>
              <w:pStyle w:val="16"/>
              <w:jc w:val="center"/>
              <w:rPr>
                <w:u w:val="none"/>
              </w:rPr>
            </w:pPr>
            <w:r>
              <w:rPr>
                <w:rFonts w:hint="eastAsia"/>
                <w:u w:val="none"/>
              </w:rPr>
              <w:t>1</w:t>
            </w:r>
          </w:p>
        </w:tc>
        <w:tc>
          <w:tcPr>
            <w:tcW w:w="849" w:type="dxa"/>
            <w:tcBorders>
              <w:tl2br w:val="nil"/>
              <w:tr2bl w:val="nil"/>
            </w:tcBorders>
            <w:shd w:val="clear" w:color="auto" w:fill="auto"/>
            <w:noWrap/>
            <w:vAlign w:val="center"/>
          </w:tcPr>
          <w:p>
            <w:pPr>
              <w:pStyle w:val="16"/>
              <w:bidi w:val="0"/>
            </w:pPr>
            <w:r>
              <w:rPr>
                <w:rFonts w:hint="eastAsia"/>
                <w:lang w:val="en-US" w:eastAsia="zh-CN"/>
              </w:rPr>
              <w:t xml:space="preserve">12.564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12.359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12.342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12.330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12.324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12.321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12.319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12.317 </w:t>
            </w:r>
          </w:p>
        </w:tc>
        <w:tc>
          <w:tcPr>
            <w:tcW w:w="963" w:type="dxa"/>
            <w:tcBorders>
              <w:tl2br w:val="nil"/>
              <w:tr2bl w:val="nil"/>
            </w:tcBorders>
            <w:shd w:val="clear" w:color="auto" w:fill="auto"/>
            <w:noWrap/>
            <w:vAlign w:val="center"/>
          </w:tcPr>
          <w:p>
            <w:pPr>
              <w:pStyle w:val="16"/>
              <w:bidi w:val="0"/>
            </w:pPr>
            <w:r>
              <w:rPr>
                <w:rFonts w:hint="eastAsia"/>
                <w:lang w:val="en-US" w:eastAsia="zh-CN"/>
              </w:rPr>
              <w:t xml:space="preserve">12.317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9" w:type="dxa"/>
            <w:tcBorders>
              <w:tl2br w:val="nil"/>
              <w:tr2bl w:val="nil"/>
            </w:tcBorders>
            <w:shd w:val="clear" w:color="auto" w:fill="auto"/>
            <w:noWrap/>
            <w:vAlign w:val="center"/>
          </w:tcPr>
          <w:p>
            <w:pPr>
              <w:pStyle w:val="16"/>
              <w:jc w:val="center"/>
              <w:rPr>
                <w:u w:val="none"/>
              </w:rPr>
            </w:pPr>
            <w:r>
              <w:rPr>
                <w:rFonts w:hint="eastAsia"/>
                <w:u w:val="none"/>
              </w:rPr>
              <w:t>10</w:t>
            </w:r>
          </w:p>
        </w:tc>
        <w:tc>
          <w:tcPr>
            <w:tcW w:w="849"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12.336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12.333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12.326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12.322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12.320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12.318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12.317 </w:t>
            </w:r>
          </w:p>
        </w:tc>
        <w:tc>
          <w:tcPr>
            <w:tcW w:w="963" w:type="dxa"/>
            <w:tcBorders>
              <w:tl2br w:val="nil"/>
              <w:tr2bl w:val="nil"/>
            </w:tcBorders>
            <w:shd w:val="clear" w:color="auto" w:fill="auto"/>
            <w:noWrap/>
            <w:vAlign w:val="center"/>
          </w:tcPr>
          <w:p>
            <w:pPr>
              <w:pStyle w:val="16"/>
              <w:bidi w:val="0"/>
            </w:pPr>
            <w:r>
              <w:rPr>
                <w:rFonts w:hint="eastAsia"/>
                <w:lang w:val="en-US" w:eastAsia="zh-CN"/>
              </w:rPr>
              <w:t xml:space="preserve">12.316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9" w:type="dxa"/>
            <w:tcBorders>
              <w:tl2br w:val="nil"/>
              <w:tr2bl w:val="nil"/>
            </w:tcBorders>
            <w:shd w:val="clear" w:color="auto" w:fill="auto"/>
            <w:noWrap/>
            <w:vAlign w:val="center"/>
          </w:tcPr>
          <w:p>
            <w:pPr>
              <w:pStyle w:val="16"/>
              <w:jc w:val="center"/>
              <w:rPr>
                <w:u w:val="none"/>
              </w:rPr>
            </w:pPr>
            <w:r>
              <w:rPr>
                <w:rFonts w:hint="eastAsia"/>
                <w:u w:val="none"/>
              </w:rPr>
              <w:t>100</w:t>
            </w:r>
          </w:p>
        </w:tc>
        <w:tc>
          <w:tcPr>
            <w:tcW w:w="849"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3" w:type="dxa"/>
            <w:tcBorders>
              <w:tl2br w:val="nil"/>
              <w:tr2bl w:val="nil"/>
            </w:tcBorders>
            <w:shd w:val="clear" w:color="auto" w:fill="auto"/>
            <w:noWrap/>
            <w:vAlign w:val="center"/>
          </w:tcPr>
          <w:p>
            <w:pPr>
              <w:pStyle w:val="16"/>
              <w:bidi w:val="0"/>
            </w:pPr>
            <w:r>
              <w:rPr>
                <w:rFonts w:hint="eastAsia"/>
                <w:lang w:val="en-US" w:eastAsia="zh-CN"/>
              </w:rPr>
              <w:t xml:space="preserve">12.300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9" w:type="dxa"/>
            <w:tcBorders>
              <w:tl2br w:val="nil"/>
              <w:tr2bl w:val="nil"/>
            </w:tcBorders>
            <w:shd w:val="clear" w:color="auto" w:fill="auto"/>
            <w:noWrap/>
            <w:vAlign w:val="center"/>
          </w:tcPr>
          <w:p>
            <w:pPr>
              <w:pStyle w:val="16"/>
              <w:jc w:val="center"/>
              <w:rPr>
                <w:u w:val="none"/>
              </w:rPr>
            </w:pPr>
            <w:r>
              <w:rPr>
                <w:rFonts w:hint="eastAsia"/>
                <w:u w:val="none"/>
              </w:rPr>
              <w:t>200</w:t>
            </w:r>
          </w:p>
        </w:tc>
        <w:tc>
          <w:tcPr>
            <w:tcW w:w="849"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3" w:type="dxa"/>
            <w:tcBorders>
              <w:tl2br w:val="nil"/>
              <w:tr2bl w:val="nil"/>
            </w:tcBorders>
            <w:shd w:val="clear" w:color="auto" w:fill="auto"/>
            <w:noWrap/>
            <w:vAlign w:val="center"/>
          </w:tcPr>
          <w:p>
            <w:pPr>
              <w:pStyle w:val="16"/>
              <w:bidi w:val="0"/>
            </w:pPr>
            <w:r>
              <w:rPr>
                <w:rFonts w:hint="eastAsia"/>
                <w:lang w:val="en-US" w:eastAsia="zh-CN"/>
              </w:rPr>
              <w:t xml:space="preserve">12.300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9" w:type="dxa"/>
            <w:tcBorders>
              <w:tl2br w:val="nil"/>
              <w:tr2bl w:val="nil"/>
            </w:tcBorders>
            <w:shd w:val="clear" w:color="auto" w:fill="auto"/>
            <w:noWrap/>
            <w:vAlign w:val="center"/>
          </w:tcPr>
          <w:p>
            <w:pPr>
              <w:pStyle w:val="16"/>
              <w:jc w:val="center"/>
              <w:rPr>
                <w:u w:val="none"/>
              </w:rPr>
            </w:pPr>
            <w:r>
              <w:rPr>
                <w:rFonts w:hint="eastAsia"/>
                <w:u w:val="none"/>
              </w:rPr>
              <w:t>600</w:t>
            </w:r>
          </w:p>
        </w:tc>
        <w:tc>
          <w:tcPr>
            <w:tcW w:w="849"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3" w:type="dxa"/>
            <w:tcBorders>
              <w:tl2br w:val="nil"/>
              <w:tr2bl w:val="nil"/>
            </w:tcBorders>
            <w:shd w:val="clear" w:color="auto" w:fill="auto"/>
            <w:noWrap/>
            <w:vAlign w:val="center"/>
          </w:tcPr>
          <w:p>
            <w:pPr>
              <w:pStyle w:val="16"/>
              <w:bidi w:val="0"/>
            </w:pPr>
            <w:r>
              <w:rPr>
                <w:rFonts w:hint="eastAsia"/>
                <w:lang w:val="en-US" w:eastAsia="zh-CN"/>
              </w:rPr>
              <w:t xml:space="preserve">12.300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9" w:type="dxa"/>
            <w:tcBorders>
              <w:tl2br w:val="nil"/>
              <w:tr2bl w:val="nil"/>
            </w:tcBorders>
            <w:shd w:val="clear" w:color="auto" w:fill="auto"/>
            <w:noWrap/>
            <w:vAlign w:val="center"/>
          </w:tcPr>
          <w:p>
            <w:pPr>
              <w:pStyle w:val="16"/>
              <w:jc w:val="center"/>
              <w:rPr>
                <w:u w:val="none"/>
              </w:rPr>
            </w:pPr>
            <w:r>
              <w:rPr>
                <w:rFonts w:hint="eastAsia"/>
                <w:u w:val="none"/>
              </w:rPr>
              <w:t>800</w:t>
            </w:r>
          </w:p>
        </w:tc>
        <w:tc>
          <w:tcPr>
            <w:tcW w:w="849"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3" w:type="dxa"/>
            <w:tcBorders>
              <w:tl2br w:val="nil"/>
              <w:tr2bl w:val="nil"/>
            </w:tcBorders>
            <w:shd w:val="clear" w:color="auto" w:fill="auto"/>
            <w:noWrap/>
            <w:vAlign w:val="center"/>
          </w:tcPr>
          <w:p>
            <w:pPr>
              <w:pStyle w:val="16"/>
              <w:bidi w:val="0"/>
            </w:pPr>
            <w:r>
              <w:rPr>
                <w:rFonts w:hint="eastAsia"/>
                <w:lang w:val="en-US" w:eastAsia="zh-CN"/>
              </w:rPr>
              <w:t xml:space="preserve">12.300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9" w:type="dxa"/>
            <w:tcBorders>
              <w:tl2br w:val="nil"/>
              <w:tr2bl w:val="nil"/>
            </w:tcBorders>
            <w:shd w:val="clear" w:color="auto" w:fill="auto"/>
            <w:noWrap/>
            <w:vAlign w:val="center"/>
          </w:tcPr>
          <w:p>
            <w:pPr>
              <w:pStyle w:val="16"/>
              <w:jc w:val="center"/>
              <w:rPr>
                <w:u w:val="none"/>
              </w:rPr>
            </w:pPr>
            <w:r>
              <w:rPr>
                <w:rFonts w:hint="eastAsia"/>
                <w:u w:val="none"/>
              </w:rPr>
              <w:t>1000</w:t>
            </w:r>
          </w:p>
        </w:tc>
        <w:tc>
          <w:tcPr>
            <w:tcW w:w="849"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3" w:type="dxa"/>
            <w:tcBorders>
              <w:tl2br w:val="nil"/>
              <w:tr2bl w:val="nil"/>
            </w:tcBorders>
            <w:shd w:val="clear" w:color="auto" w:fill="auto"/>
            <w:noWrap/>
            <w:vAlign w:val="center"/>
          </w:tcPr>
          <w:p>
            <w:pPr>
              <w:pStyle w:val="16"/>
              <w:bidi w:val="0"/>
            </w:pPr>
            <w:r>
              <w:rPr>
                <w:rFonts w:hint="eastAsia"/>
                <w:lang w:val="en-US" w:eastAsia="zh-CN"/>
              </w:rPr>
              <w:t xml:space="preserve">12.300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9" w:type="dxa"/>
            <w:tcBorders>
              <w:tl2br w:val="nil"/>
              <w:tr2bl w:val="nil"/>
            </w:tcBorders>
            <w:shd w:val="clear" w:color="auto" w:fill="auto"/>
            <w:noWrap/>
            <w:vAlign w:val="center"/>
          </w:tcPr>
          <w:p>
            <w:pPr>
              <w:pStyle w:val="16"/>
              <w:jc w:val="center"/>
              <w:rPr>
                <w:u w:val="none"/>
              </w:rPr>
            </w:pPr>
            <w:r>
              <w:rPr>
                <w:rFonts w:hint="eastAsia"/>
                <w:u w:val="none"/>
              </w:rPr>
              <w:t>2000</w:t>
            </w:r>
          </w:p>
        </w:tc>
        <w:tc>
          <w:tcPr>
            <w:tcW w:w="849"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3" w:type="dxa"/>
            <w:tcBorders>
              <w:tl2br w:val="nil"/>
              <w:tr2bl w:val="nil"/>
            </w:tcBorders>
            <w:shd w:val="clear" w:color="auto" w:fill="auto"/>
            <w:noWrap/>
            <w:vAlign w:val="center"/>
          </w:tcPr>
          <w:p>
            <w:pPr>
              <w:pStyle w:val="16"/>
              <w:bidi w:val="0"/>
            </w:pPr>
            <w:r>
              <w:rPr>
                <w:rFonts w:hint="eastAsia"/>
                <w:lang w:val="en-US" w:eastAsia="zh-CN"/>
              </w:rPr>
              <w:t xml:space="preserve">12.300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9" w:type="dxa"/>
            <w:tcBorders>
              <w:tl2br w:val="nil"/>
              <w:tr2bl w:val="nil"/>
            </w:tcBorders>
            <w:shd w:val="clear" w:color="auto" w:fill="auto"/>
            <w:noWrap/>
            <w:vAlign w:val="center"/>
          </w:tcPr>
          <w:p>
            <w:pPr>
              <w:pStyle w:val="16"/>
              <w:jc w:val="center"/>
              <w:rPr>
                <w:u w:val="none"/>
              </w:rPr>
            </w:pPr>
            <w:r>
              <w:rPr>
                <w:rFonts w:hint="eastAsia"/>
                <w:u w:val="none"/>
              </w:rPr>
              <w:t>3000</w:t>
            </w:r>
          </w:p>
        </w:tc>
        <w:tc>
          <w:tcPr>
            <w:tcW w:w="849"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3" w:type="dxa"/>
            <w:tcBorders>
              <w:tl2br w:val="nil"/>
              <w:tr2bl w:val="nil"/>
            </w:tcBorders>
            <w:shd w:val="clear" w:color="auto" w:fill="auto"/>
            <w:noWrap/>
            <w:vAlign w:val="center"/>
          </w:tcPr>
          <w:p>
            <w:pPr>
              <w:pStyle w:val="16"/>
              <w:bidi w:val="0"/>
            </w:pPr>
            <w:r>
              <w:rPr>
                <w:rFonts w:hint="eastAsia"/>
                <w:lang w:val="en-US" w:eastAsia="zh-CN"/>
              </w:rPr>
              <w:t xml:space="preserve">12.300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9" w:type="dxa"/>
            <w:tcBorders>
              <w:tl2br w:val="nil"/>
              <w:tr2bl w:val="nil"/>
            </w:tcBorders>
            <w:shd w:val="clear" w:color="auto" w:fill="auto"/>
            <w:noWrap/>
            <w:vAlign w:val="center"/>
          </w:tcPr>
          <w:p>
            <w:pPr>
              <w:pStyle w:val="16"/>
              <w:jc w:val="center"/>
              <w:rPr>
                <w:u w:val="none"/>
              </w:rPr>
            </w:pPr>
            <w:r>
              <w:rPr>
                <w:rFonts w:hint="eastAsia"/>
                <w:u w:val="none"/>
              </w:rPr>
              <w:t>4000</w:t>
            </w:r>
          </w:p>
        </w:tc>
        <w:tc>
          <w:tcPr>
            <w:tcW w:w="849"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3" w:type="dxa"/>
            <w:tcBorders>
              <w:tl2br w:val="nil"/>
              <w:tr2bl w:val="nil"/>
            </w:tcBorders>
            <w:shd w:val="clear" w:color="auto" w:fill="auto"/>
            <w:noWrap/>
            <w:vAlign w:val="center"/>
          </w:tcPr>
          <w:p>
            <w:pPr>
              <w:pStyle w:val="16"/>
              <w:bidi w:val="0"/>
            </w:pPr>
            <w:r>
              <w:rPr>
                <w:rFonts w:hint="eastAsia"/>
                <w:lang w:val="en-US" w:eastAsia="zh-CN"/>
              </w:rPr>
              <w:t xml:space="preserve">12.300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9" w:type="dxa"/>
            <w:tcBorders>
              <w:tl2br w:val="nil"/>
              <w:tr2bl w:val="nil"/>
            </w:tcBorders>
            <w:shd w:val="clear" w:color="auto" w:fill="auto"/>
            <w:noWrap/>
            <w:vAlign w:val="center"/>
          </w:tcPr>
          <w:p>
            <w:pPr>
              <w:pStyle w:val="16"/>
              <w:jc w:val="center"/>
              <w:rPr>
                <w:u w:val="none"/>
              </w:rPr>
            </w:pPr>
            <w:r>
              <w:rPr>
                <w:rFonts w:hint="eastAsia"/>
                <w:u w:val="none"/>
              </w:rPr>
              <w:t>5000</w:t>
            </w:r>
          </w:p>
        </w:tc>
        <w:tc>
          <w:tcPr>
            <w:tcW w:w="849"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3" w:type="dxa"/>
            <w:tcBorders>
              <w:tl2br w:val="nil"/>
              <w:tr2bl w:val="nil"/>
            </w:tcBorders>
            <w:shd w:val="clear" w:color="auto" w:fill="auto"/>
            <w:noWrap/>
            <w:vAlign w:val="center"/>
          </w:tcPr>
          <w:p>
            <w:pPr>
              <w:pStyle w:val="16"/>
              <w:bidi w:val="0"/>
            </w:pPr>
            <w:r>
              <w:rPr>
                <w:rFonts w:hint="eastAsia"/>
                <w:lang w:val="en-US" w:eastAsia="zh-CN"/>
              </w:rPr>
              <w:t xml:space="preserve">12.300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9" w:type="dxa"/>
            <w:tcBorders>
              <w:tl2br w:val="nil"/>
              <w:tr2bl w:val="nil"/>
            </w:tcBorders>
            <w:shd w:val="clear" w:color="auto" w:fill="auto"/>
            <w:noWrap/>
            <w:vAlign w:val="center"/>
          </w:tcPr>
          <w:p>
            <w:pPr>
              <w:pStyle w:val="16"/>
              <w:jc w:val="center"/>
              <w:rPr>
                <w:u w:val="none"/>
              </w:rPr>
            </w:pPr>
            <w:r>
              <w:rPr>
                <w:rFonts w:hint="eastAsia"/>
                <w:u w:val="none"/>
              </w:rPr>
              <w:t>6000</w:t>
            </w:r>
          </w:p>
        </w:tc>
        <w:tc>
          <w:tcPr>
            <w:tcW w:w="849"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3" w:type="dxa"/>
            <w:tcBorders>
              <w:tl2br w:val="nil"/>
              <w:tr2bl w:val="nil"/>
            </w:tcBorders>
            <w:shd w:val="clear" w:color="auto" w:fill="auto"/>
            <w:noWrap/>
            <w:vAlign w:val="center"/>
          </w:tcPr>
          <w:p>
            <w:pPr>
              <w:pStyle w:val="16"/>
              <w:bidi w:val="0"/>
            </w:pPr>
            <w:r>
              <w:rPr>
                <w:rFonts w:hint="eastAsia"/>
                <w:lang w:val="en-US" w:eastAsia="zh-CN"/>
              </w:rPr>
              <w:t xml:space="preserve">12.300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9" w:type="dxa"/>
            <w:tcBorders>
              <w:tl2br w:val="nil"/>
              <w:tr2bl w:val="nil"/>
            </w:tcBorders>
            <w:shd w:val="clear" w:color="auto" w:fill="auto"/>
            <w:noWrap/>
            <w:vAlign w:val="center"/>
          </w:tcPr>
          <w:p>
            <w:pPr>
              <w:pStyle w:val="16"/>
              <w:jc w:val="center"/>
              <w:rPr>
                <w:u w:val="none"/>
              </w:rPr>
            </w:pPr>
            <w:r>
              <w:rPr>
                <w:rFonts w:hint="eastAsia"/>
                <w:u w:val="none"/>
              </w:rPr>
              <w:t>8000</w:t>
            </w:r>
          </w:p>
        </w:tc>
        <w:tc>
          <w:tcPr>
            <w:tcW w:w="849"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3" w:type="dxa"/>
            <w:tcBorders>
              <w:tl2br w:val="nil"/>
              <w:tr2bl w:val="nil"/>
            </w:tcBorders>
            <w:shd w:val="clear" w:color="auto" w:fill="auto"/>
            <w:noWrap/>
            <w:vAlign w:val="center"/>
          </w:tcPr>
          <w:p>
            <w:pPr>
              <w:pStyle w:val="16"/>
              <w:bidi w:val="0"/>
            </w:pPr>
            <w:r>
              <w:rPr>
                <w:rFonts w:hint="eastAsia"/>
                <w:lang w:val="en-US" w:eastAsia="zh-CN"/>
              </w:rPr>
              <w:t xml:space="preserve">12.300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9" w:type="dxa"/>
            <w:tcBorders>
              <w:tl2br w:val="nil"/>
              <w:tr2bl w:val="nil"/>
            </w:tcBorders>
            <w:shd w:val="clear" w:color="auto" w:fill="auto"/>
            <w:noWrap/>
            <w:vAlign w:val="center"/>
          </w:tcPr>
          <w:p>
            <w:pPr>
              <w:pStyle w:val="16"/>
              <w:jc w:val="center"/>
              <w:rPr>
                <w:u w:val="none"/>
              </w:rPr>
            </w:pPr>
            <w:r>
              <w:rPr>
                <w:rFonts w:hint="eastAsia"/>
                <w:u w:val="none"/>
              </w:rPr>
              <w:t>10000</w:t>
            </w:r>
          </w:p>
        </w:tc>
        <w:tc>
          <w:tcPr>
            <w:tcW w:w="849"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3" w:type="dxa"/>
            <w:tcBorders>
              <w:tl2br w:val="nil"/>
              <w:tr2bl w:val="nil"/>
            </w:tcBorders>
            <w:shd w:val="clear" w:color="auto" w:fill="auto"/>
            <w:noWrap/>
            <w:vAlign w:val="center"/>
          </w:tcPr>
          <w:p>
            <w:pPr>
              <w:pStyle w:val="16"/>
              <w:bidi w:val="0"/>
            </w:pPr>
            <w:r>
              <w:rPr>
                <w:rFonts w:hint="eastAsia"/>
                <w:lang w:val="en-US" w:eastAsia="zh-CN"/>
              </w:rPr>
              <w:t xml:space="preserve">12.300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9" w:type="dxa"/>
            <w:tcBorders>
              <w:tl2br w:val="nil"/>
              <w:tr2bl w:val="nil"/>
            </w:tcBorders>
            <w:shd w:val="clear" w:color="auto" w:fill="auto"/>
            <w:noWrap/>
            <w:vAlign w:val="center"/>
          </w:tcPr>
          <w:p>
            <w:pPr>
              <w:pStyle w:val="16"/>
              <w:jc w:val="center"/>
              <w:rPr>
                <w:u w:val="none"/>
              </w:rPr>
            </w:pPr>
            <w:r>
              <w:rPr>
                <w:rFonts w:hint="eastAsia"/>
                <w:u w:val="none"/>
              </w:rPr>
              <w:t>15000</w:t>
            </w:r>
          </w:p>
        </w:tc>
        <w:tc>
          <w:tcPr>
            <w:tcW w:w="849"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3" w:type="dxa"/>
            <w:tcBorders>
              <w:tl2br w:val="nil"/>
              <w:tr2bl w:val="nil"/>
            </w:tcBorders>
            <w:shd w:val="clear" w:color="auto" w:fill="auto"/>
            <w:noWrap/>
            <w:vAlign w:val="center"/>
          </w:tcPr>
          <w:p>
            <w:pPr>
              <w:pStyle w:val="16"/>
              <w:bidi w:val="0"/>
            </w:pPr>
            <w:r>
              <w:rPr>
                <w:rFonts w:hint="eastAsia"/>
                <w:lang w:val="en-US" w:eastAsia="zh-CN"/>
              </w:rPr>
              <w:t xml:space="preserve">12.300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9" w:type="dxa"/>
            <w:tcBorders>
              <w:tl2br w:val="nil"/>
              <w:tr2bl w:val="nil"/>
            </w:tcBorders>
            <w:shd w:val="clear" w:color="auto" w:fill="auto"/>
            <w:noWrap/>
            <w:vAlign w:val="center"/>
          </w:tcPr>
          <w:p>
            <w:pPr>
              <w:pStyle w:val="16"/>
              <w:jc w:val="center"/>
              <w:rPr>
                <w:u w:val="none"/>
              </w:rPr>
            </w:pPr>
            <w:r>
              <w:rPr>
                <w:rFonts w:hint="eastAsia"/>
                <w:u w:val="none"/>
              </w:rPr>
              <w:t>20000</w:t>
            </w:r>
          </w:p>
        </w:tc>
        <w:tc>
          <w:tcPr>
            <w:tcW w:w="849"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1" w:type="dxa"/>
            <w:tcBorders>
              <w:tl2br w:val="nil"/>
              <w:tr2bl w:val="nil"/>
            </w:tcBorders>
            <w:shd w:val="clear" w:color="auto" w:fill="auto"/>
            <w:noWrap/>
            <w:vAlign w:val="center"/>
          </w:tcPr>
          <w:p>
            <w:pPr>
              <w:pStyle w:val="16"/>
              <w:bidi w:val="0"/>
            </w:pPr>
            <w:r>
              <w:rPr>
                <w:rFonts w:hint="eastAsia"/>
                <w:lang w:val="en-US" w:eastAsia="zh-CN"/>
              </w:rPr>
              <w:t xml:space="preserve">12.300 </w:t>
            </w:r>
          </w:p>
        </w:tc>
        <w:tc>
          <w:tcPr>
            <w:tcW w:w="963" w:type="dxa"/>
            <w:tcBorders>
              <w:tl2br w:val="nil"/>
              <w:tr2bl w:val="nil"/>
            </w:tcBorders>
            <w:shd w:val="clear" w:color="auto" w:fill="auto"/>
            <w:noWrap/>
            <w:vAlign w:val="center"/>
          </w:tcPr>
          <w:p>
            <w:pPr>
              <w:pStyle w:val="16"/>
              <w:bidi w:val="0"/>
            </w:pPr>
            <w:r>
              <w:rPr>
                <w:rFonts w:hint="eastAsia"/>
                <w:lang w:val="en-US" w:eastAsia="zh-CN"/>
              </w:rPr>
              <w:t xml:space="preserve">12.300 </w:t>
            </w:r>
          </w:p>
        </w:tc>
      </w:tr>
    </w:tbl>
    <w:p>
      <w:pPr>
        <w:spacing w:line="240" w:lineRule="auto"/>
        <w:ind w:firstLine="482"/>
        <w:jc w:val="center"/>
        <w:rPr>
          <w:b/>
          <w:bCs/>
          <w:u w:val="none"/>
        </w:rPr>
      </w:pPr>
      <w:r>
        <w:rPr>
          <w:b/>
          <w:bCs/>
          <w:u w:val="none"/>
        </w:rPr>
        <w:t>表</w:t>
      </w:r>
      <w:r>
        <w:rPr>
          <w:rFonts w:hint="eastAsia"/>
          <w:b/>
          <w:bCs/>
          <w:u w:val="none"/>
        </w:rPr>
        <w:t>6.1.4-1</w:t>
      </w:r>
      <w:r>
        <w:rPr>
          <w:rFonts w:hint="eastAsia"/>
          <w:b/>
          <w:bCs/>
          <w:u w:val="none"/>
          <w:lang w:val="en-US" w:eastAsia="zh-CN"/>
        </w:rPr>
        <w:t>0</w:t>
      </w:r>
      <w:r>
        <w:rPr>
          <w:rFonts w:hint="eastAsia"/>
          <w:b/>
          <w:bCs/>
          <w:u w:val="none"/>
        </w:rPr>
        <w:t>非</w:t>
      </w:r>
      <w:r>
        <w:rPr>
          <w:b/>
          <w:bCs/>
          <w:u w:val="none"/>
        </w:rPr>
        <w:t>正常排放对枯水期</w:t>
      </w:r>
      <w:r>
        <w:rPr>
          <w:rFonts w:hint="eastAsia"/>
          <w:b/>
          <w:bCs/>
          <w:u w:val="none"/>
        </w:rPr>
        <w:t>资水</w:t>
      </w:r>
      <w:r>
        <w:rPr>
          <w:b/>
          <w:bCs/>
          <w:u w:val="none"/>
        </w:rPr>
        <w:t>评价河段</w:t>
      </w:r>
      <w:r>
        <w:rPr>
          <w:rFonts w:hint="eastAsia"/>
          <w:b/>
          <w:bCs/>
          <w:u w:val="none"/>
        </w:rPr>
        <w:t>砷</w:t>
      </w:r>
      <w:r>
        <w:rPr>
          <w:b/>
          <w:bCs/>
          <w:u w:val="none"/>
        </w:rPr>
        <w:t>浓度预测值</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
        <w:gridCol w:w="923"/>
        <w:gridCol w:w="979"/>
        <w:gridCol w:w="979"/>
        <w:gridCol w:w="979"/>
        <w:gridCol w:w="979"/>
        <w:gridCol w:w="875"/>
        <w:gridCol w:w="892"/>
        <w:gridCol w:w="892"/>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X/Y</w:t>
            </w:r>
          </w:p>
        </w:tc>
        <w:tc>
          <w:tcPr>
            <w:tcW w:w="923" w:type="dxa"/>
            <w:shd w:val="clear" w:color="auto" w:fill="auto"/>
            <w:noWrap/>
            <w:vAlign w:val="center"/>
          </w:tcPr>
          <w:p>
            <w:pPr>
              <w:pStyle w:val="16"/>
              <w:jc w:val="center"/>
              <w:rPr>
                <w:u w:val="none"/>
              </w:rPr>
            </w:pPr>
            <w:r>
              <w:rPr>
                <w:rFonts w:hint="eastAsia"/>
                <w:u w:val="none"/>
              </w:rPr>
              <w:t>1</w:t>
            </w:r>
          </w:p>
        </w:tc>
        <w:tc>
          <w:tcPr>
            <w:tcW w:w="979" w:type="dxa"/>
            <w:shd w:val="clear" w:color="auto" w:fill="auto"/>
            <w:noWrap/>
            <w:vAlign w:val="center"/>
          </w:tcPr>
          <w:p>
            <w:pPr>
              <w:pStyle w:val="16"/>
              <w:jc w:val="center"/>
              <w:rPr>
                <w:u w:val="none"/>
              </w:rPr>
            </w:pPr>
            <w:r>
              <w:rPr>
                <w:rFonts w:hint="eastAsia"/>
                <w:u w:val="none"/>
              </w:rPr>
              <w:t>20</w:t>
            </w:r>
          </w:p>
        </w:tc>
        <w:tc>
          <w:tcPr>
            <w:tcW w:w="979" w:type="dxa"/>
            <w:shd w:val="clear" w:color="auto" w:fill="auto"/>
            <w:noWrap/>
            <w:vAlign w:val="center"/>
          </w:tcPr>
          <w:p>
            <w:pPr>
              <w:pStyle w:val="16"/>
              <w:jc w:val="center"/>
              <w:rPr>
                <w:u w:val="none"/>
              </w:rPr>
            </w:pPr>
            <w:r>
              <w:rPr>
                <w:rFonts w:hint="eastAsia"/>
                <w:u w:val="none"/>
              </w:rPr>
              <w:t>50</w:t>
            </w:r>
          </w:p>
        </w:tc>
        <w:tc>
          <w:tcPr>
            <w:tcW w:w="979" w:type="dxa"/>
            <w:shd w:val="clear" w:color="auto" w:fill="auto"/>
            <w:noWrap/>
            <w:vAlign w:val="center"/>
          </w:tcPr>
          <w:p>
            <w:pPr>
              <w:pStyle w:val="16"/>
              <w:jc w:val="center"/>
              <w:rPr>
                <w:u w:val="none"/>
              </w:rPr>
            </w:pPr>
            <w:r>
              <w:rPr>
                <w:rFonts w:hint="eastAsia"/>
                <w:u w:val="none"/>
              </w:rPr>
              <w:t>100</w:t>
            </w:r>
          </w:p>
        </w:tc>
        <w:tc>
          <w:tcPr>
            <w:tcW w:w="979" w:type="dxa"/>
            <w:shd w:val="clear" w:color="auto" w:fill="auto"/>
            <w:noWrap/>
            <w:vAlign w:val="center"/>
          </w:tcPr>
          <w:p>
            <w:pPr>
              <w:pStyle w:val="16"/>
              <w:jc w:val="center"/>
              <w:rPr>
                <w:u w:val="none"/>
              </w:rPr>
            </w:pPr>
            <w:r>
              <w:rPr>
                <w:rFonts w:hint="eastAsia"/>
                <w:u w:val="none"/>
              </w:rPr>
              <w:t>150</w:t>
            </w:r>
          </w:p>
        </w:tc>
        <w:tc>
          <w:tcPr>
            <w:tcW w:w="875" w:type="dxa"/>
            <w:shd w:val="clear" w:color="auto" w:fill="auto"/>
            <w:noWrap/>
            <w:vAlign w:val="center"/>
          </w:tcPr>
          <w:p>
            <w:pPr>
              <w:pStyle w:val="16"/>
              <w:jc w:val="center"/>
              <w:rPr>
                <w:u w:val="none"/>
              </w:rPr>
            </w:pPr>
            <w:r>
              <w:rPr>
                <w:rFonts w:hint="eastAsia"/>
                <w:u w:val="none"/>
              </w:rPr>
              <w:t>200</w:t>
            </w:r>
          </w:p>
        </w:tc>
        <w:tc>
          <w:tcPr>
            <w:tcW w:w="892" w:type="dxa"/>
            <w:shd w:val="clear" w:color="auto" w:fill="auto"/>
            <w:noWrap/>
            <w:vAlign w:val="center"/>
          </w:tcPr>
          <w:p>
            <w:pPr>
              <w:pStyle w:val="16"/>
              <w:jc w:val="center"/>
              <w:rPr>
                <w:u w:val="none"/>
              </w:rPr>
            </w:pPr>
            <w:r>
              <w:rPr>
                <w:rFonts w:hint="eastAsia"/>
                <w:u w:val="none"/>
              </w:rPr>
              <w:t>250</w:t>
            </w:r>
          </w:p>
        </w:tc>
        <w:tc>
          <w:tcPr>
            <w:tcW w:w="892" w:type="dxa"/>
            <w:shd w:val="clear" w:color="auto" w:fill="auto"/>
            <w:noWrap/>
            <w:vAlign w:val="center"/>
          </w:tcPr>
          <w:p>
            <w:pPr>
              <w:pStyle w:val="16"/>
              <w:jc w:val="center"/>
              <w:rPr>
                <w:u w:val="none"/>
              </w:rPr>
            </w:pPr>
            <w:r>
              <w:rPr>
                <w:rFonts w:hint="eastAsia"/>
                <w:u w:val="none"/>
              </w:rPr>
              <w:t>300</w:t>
            </w:r>
          </w:p>
        </w:tc>
        <w:tc>
          <w:tcPr>
            <w:tcW w:w="892" w:type="dxa"/>
            <w:shd w:val="clear" w:color="auto" w:fill="auto"/>
            <w:noWrap/>
            <w:vAlign w:val="center"/>
          </w:tcPr>
          <w:p>
            <w:pPr>
              <w:pStyle w:val="16"/>
              <w:jc w:val="center"/>
              <w:rPr>
                <w:u w:val="none"/>
              </w:rPr>
            </w:pPr>
            <w:r>
              <w:rPr>
                <w:rFonts w:hint="eastAsia"/>
                <w:u w:val="none"/>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1</w:t>
            </w:r>
          </w:p>
        </w:tc>
        <w:tc>
          <w:tcPr>
            <w:tcW w:w="923" w:type="dxa"/>
            <w:shd w:val="clear" w:color="auto" w:fill="auto"/>
            <w:noWrap/>
            <w:vAlign w:val="center"/>
          </w:tcPr>
          <w:p>
            <w:pPr>
              <w:pStyle w:val="16"/>
              <w:bidi w:val="0"/>
            </w:pPr>
            <w:r>
              <w:rPr>
                <w:rFonts w:hint="eastAsia"/>
                <w:lang w:val="en-US" w:eastAsia="zh-CN"/>
              </w:rPr>
              <w:t xml:space="preserve">0.0078 </w:t>
            </w:r>
          </w:p>
        </w:tc>
        <w:tc>
          <w:tcPr>
            <w:tcW w:w="979" w:type="dxa"/>
            <w:shd w:val="clear" w:color="auto" w:fill="auto"/>
            <w:noWrap/>
            <w:vAlign w:val="center"/>
          </w:tcPr>
          <w:p>
            <w:pPr>
              <w:pStyle w:val="16"/>
              <w:bidi w:val="0"/>
            </w:pPr>
            <w:r>
              <w:rPr>
                <w:rFonts w:hint="eastAsia"/>
                <w:lang w:val="en-US" w:eastAsia="zh-CN"/>
              </w:rPr>
              <w:t xml:space="preserve">0.0053 </w:t>
            </w:r>
          </w:p>
        </w:tc>
        <w:tc>
          <w:tcPr>
            <w:tcW w:w="979" w:type="dxa"/>
            <w:shd w:val="clear" w:color="auto" w:fill="auto"/>
            <w:noWrap/>
            <w:vAlign w:val="center"/>
          </w:tcPr>
          <w:p>
            <w:pPr>
              <w:pStyle w:val="16"/>
              <w:bidi w:val="0"/>
            </w:pPr>
            <w:r>
              <w:rPr>
                <w:rFonts w:hint="eastAsia"/>
                <w:lang w:val="en-US" w:eastAsia="zh-CN"/>
              </w:rPr>
              <w:t xml:space="preserve">0.0051 </w:t>
            </w:r>
          </w:p>
        </w:tc>
        <w:tc>
          <w:tcPr>
            <w:tcW w:w="979" w:type="dxa"/>
            <w:shd w:val="clear" w:color="auto" w:fill="auto"/>
            <w:noWrap/>
            <w:vAlign w:val="center"/>
          </w:tcPr>
          <w:p>
            <w:pPr>
              <w:pStyle w:val="16"/>
              <w:bidi w:val="0"/>
            </w:pPr>
            <w:r>
              <w:rPr>
                <w:rFonts w:hint="eastAsia"/>
                <w:lang w:val="en-US" w:eastAsia="zh-CN"/>
              </w:rPr>
              <w:t xml:space="preserve">0.0050 </w:t>
            </w:r>
          </w:p>
        </w:tc>
        <w:tc>
          <w:tcPr>
            <w:tcW w:w="979" w:type="dxa"/>
            <w:shd w:val="clear" w:color="auto" w:fill="auto"/>
            <w:noWrap/>
            <w:vAlign w:val="center"/>
          </w:tcPr>
          <w:p>
            <w:pPr>
              <w:pStyle w:val="16"/>
              <w:bidi w:val="0"/>
            </w:pPr>
            <w:r>
              <w:rPr>
                <w:rFonts w:hint="eastAsia"/>
                <w:lang w:val="en-US" w:eastAsia="zh-CN"/>
              </w:rPr>
              <w:t xml:space="preserve">0.0049 </w:t>
            </w:r>
          </w:p>
        </w:tc>
        <w:tc>
          <w:tcPr>
            <w:tcW w:w="875" w:type="dxa"/>
            <w:shd w:val="clear" w:color="auto" w:fill="auto"/>
            <w:noWrap/>
            <w:vAlign w:val="center"/>
          </w:tcPr>
          <w:p>
            <w:pPr>
              <w:pStyle w:val="16"/>
              <w:bidi w:val="0"/>
            </w:pPr>
            <w:r>
              <w:rPr>
                <w:rFonts w:hint="eastAsia"/>
                <w:lang w:val="en-US" w:eastAsia="zh-CN"/>
              </w:rPr>
              <w:t xml:space="preserve">0.0049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10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0.0050 </w:t>
            </w:r>
          </w:p>
        </w:tc>
        <w:tc>
          <w:tcPr>
            <w:tcW w:w="979" w:type="dxa"/>
            <w:shd w:val="clear" w:color="auto" w:fill="auto"/>
            <w:noWrap/>
            <w:vAlign w:val="center"/>
          </w:tcPr>
          <w:p>
            <w:pPr>
              <w:pStyle w:val="16"/>
              <w:bidi w:val="0"/>
            </w:pPr>
            <w:r>
              <w:rPr>
                <w:rFonts w:hint="eastAsia"/>
                <w:lang w:val="en-US" w:eastAsia="zh-CN"/>
              </w:rPr>
              <w:t xml:space="preserve">0.0050 </w:t>
            </w:r>
          </w:p>
        </w:tc>
        <w:tc>
          <w:tcPr>
            <w:tcW w:w="979" w:type="dxa"/>
            <w:shd w:val="clear" w:color="auto" w:fill="auto"/>
            <w:noWrap/>
            <w:vAlign w:val="center"/>
          </w:tcPr>
          <w:p>
            <w:pPr>
              <w:pStyle w:val="16"/>
              <w:bidi w:val="0"/>
            </w:pPr>
            <w:r>
              <w:rPr>
                <w:rFonts w:hint="eastAsia"/>
                <w:lang w:val="en-US" w:eastAsia="zh-CN"/>
              </w:rPr>
              <w:t xml:space="preserve">0.0049 </w:t>
            </w:r>
          </w:p>
        </w:tc>
        <w:tc>
          <w:tcPr>
            <w:tcW w:w="979" w:type="dxa"/>
            <w:shd w:val="clear" w:color="auto" w:fill="auto"/>
            <w:noWrap/>
            <w:vAlign w:val="center"/>
          </w:tcPr>
          <w:p>
            <w:pPr>
              <w:pStyle w:val="16"/>
              <w:bidi w:val="0"/>
            </w:pPr>
            <w:r>
              <w:rPr>
                <w:rFonts w:hint="eastAsia"/>
                <w:lang w:val="en-US" w:eastAsia="zh-CN"/>
              </w:rPr>
              <w:t xml:space="preserve">0.0049 </w:t>
            </w:r>
          </w:p>
        </w:tc>
        <w:tc>
          <w:tcPr>
            <w:tcW w:w="875"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c>
          <w:tcPr>
            <w:tcW w:w="892" w:type="dxa"/>
            <w:shd w:val="clear" w:color="auto" w:fill="auto"/>
            <w:noWrap/>
            <w:vAlign w:val="center"/>
          </w:tcPr>
          <w:p>
            <w:pPr>
              <w:pStyle w:val="16"/>
              <w:bidi w:val="0"/>
            </w:pPr>
            <w:r>
              <w:rPr>
                <w:rFonts w:hint="eastAsia"/>
                <w:lang w:val="en-US" w:eastAsia="zh-CN"/>
              </w:rPr>
              <w:t xml:space="preserve">0.0048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100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875"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200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875"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600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875"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800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875"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1000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875"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2000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875"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3000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875"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4000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875"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5000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875"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6000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875"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8000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875"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10000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875"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15000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875"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20000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875"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15000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875"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2" w:type="dxa"/>
            <w:shd w:val="clear" w:color="auto" w:fill="auto"/>
            <w:noWrap/>
            <w:vAlign w:val="center"/>
          </w:tcPr>
          <w:p>
            <w:pPr>
              <w:pStyle w:val="16"/>
              <w:jc w:val="center"/>
              <w:rPr>
                <w:u w:val="none"/>
              </w:rPr>
            </w:pPr>
            <w:r>
              <w:rPr>
                <w:rFonts w:hint="eastAsia"/>
                <w:u w:val="none"/>
              </w:rPr>
              <w:t>20000</w:t>
            </w:r>
          </w:p>
        </w:tc>
        <w:tc>
          <w:tcPr>
            <w:tcW w:w="923"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979" w:type="dxa"/>
            <w:shd w:val="clear" w:color="auto" w:fill="auto"/>
            <w:noWrap/>
            <w:vAlign w:val="center"/>
          </w:tcPr>
          <w:p>
            <w:pPr>
              <w:pStyle w:val="16"/>
              <w:bidi w:val="0"/>
            </w:pPr>
            <w:r>
              <w:rPr>
                <w:rFonts w:hint="eastAsia"/>
                <w:lang w:val="en-US" w:eastAsia="zh-CN"/>
              </w:rPr>
              <w:t xml:space="preserve">0.0046 </w:t>
            </w:r>
          </w:p>
        </w:tc>
        <w:tc>
          <w:tcPr>
            <w:tcW w:w="875"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c>
          <w:tcPr>
            <w:tcW w:w="892" w:type="dxa"/>
            <w:shd w:val="clear" w:color="auto" w:fill="auto"/>
            <w:noWrap/>
            <w:vAlign w:val="center"/>
          </w:tcPr>
          <w:p>
            <w:pPr>
              <w:pStyle w:val="16"/>
              <w:bidi w:val="0"/>
            </w:pPr>
            <w:r>
              <w:rPr>
                <w:rFonts w:hint="eastAsia"/>
                <w:lang w:val="en-US" w:eastAsia="zh-CN"/>
              </w:rPr>
              <w:t xml:space="preserve">0.0046 </w:t>
            </w:r>
          </w:p>
        </w:tc>
      </w:tr>
    </w:tbl>
    <w:p>
      <w:pPr>
        <w:spacing w:line="240" w:lineRule="auto"/>
        <w:ind w:firstLine="482"/>
        <w:jc w:val="center"/>
        <w:rPr>
          <w:b/>
          <w:bCs/>
          <w:u w:val="none"/>
        </w:rPr>
      </w:pPr>
      <w:r>
        <w:rPr>
          <w:b/>
          <w:bCs/>
          <w:u w:val="none"/>
        </w:rPr>
        <w:t>表</w:t>
      </w:r>
      <w:r>
        <w:rPr>
          <w:rFonts w:hint="eastAsia"/>
          <w:b/>
          <w:bCs/>
          <w:u w:val="none"/>
        </w:rPr>
        <w:t>6.1.4-1</w:t>
      </w:r>
      <w:r>
        <w:rPr>
          <w:rFonts w:hint="eastAsia"/>
          <w:b/>
          <w:bCs/>
          <w:u w:val="none"/>
          <w:lang w:val="en-US" w:eastAsia="zh-CN"/>
        </w:rPr>
        <w:t>1</w:t>
      </w:r>
      <w:r>
        <w:rPr>
          <w:rFonts w:hint="eastAsia"/>
          <w:b/>
          <w:bCs/>
          <w:u w:val="none"/>
        </w:rPr>
        <w:t>非</w:t>
      </w:r>
      <w:r>
        <w:rPr>
          <w:b/>
          <w:bCs/>
          <w:u w:val="none"/>
        </w:rPr>
        <w:t>正常排放对枯水期</w:t>
      </w:r>
      <w:r>
        <w:rPr>
          <w:rFonts w:hint="eastAsia"/>
          <w:b/>
          <w:bCs/>
          <w:u w:val="none"/>
        </w:rPr>
        <w:t>资水</w:t>
      </w:r>
      <w:r>
        <w:rPr>
          <w:b/>
          <w:bCs/>
          <w:u w:val="none"/>
        </w:rPr>
        <w:t>评价河段</w:t>
      </w:r>
      <w:r>
        <w:rPr>
          <w:rFonts w:hint="eastAsia"/>
          <w:b/>
          <w:bCs/>
          <w:u w:val="none"/>
        </w:rPr>
        <w:t>锑</w:t>
      </w:r>
      <w:r>
        <w:rPr>
          <w:b/>
          <w:bCs/>
          <w:u w:val="none"/>
        </w:rPr>
        <w:t>浓度预测值</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961"/>
        <w:gridCol w:w="961"/>
        <w:gridCol w:w="961"/>
        <w:gridCol w:w="961"/>
        <w:gridCol w:w="961"/>
        <w:gridCol w:w="961"/>
        <w:gridCol w:w="961"/>
        <w:gridCol w:w="961"/>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9" w:type="pct"/>
            <w:shd w:val="clear" w:color="auto" w:fill="auto"/>
            <w:noWrap/>
            <w:vAlign w:val="center"/>
          </w:tcPr>
          <w:p>
            <w:pPr>
              <w:pStyle w:val="16"/>
              <w:jc w:val="center"/>
              <w:rPr>
                <w:u w:val="none"/>
              </w:rPr>
            </w:pPr>
            <w:r>
              <w:rPr>
                <w:rFonts w:hint="eastAsia"/>
                <w:u w:val="none"/>
              </w:rPr>
              <w:t>X/Y</w:t>
            </w:r>
          </w:p>
        </w:tc>
        <w:tc>
          <w:tcPr>
            <w:tcW w:w="517" w:type="pct"/>
            <w:shd w:val="clear" w:color="auto" w:fill="auto"/>
            <w:noWrap/>
            <w:vAlign w:val="center"/>
          </w:tcPr>
          <w:p>
            <w:pPr>
              <w:pStyle w:val="16"/>
              <w:jc w:val="center"/>
              <w:rPr>
                <w:u w:val="none"/>
              </w:rPr>
            </w:pPr>
            <w:r>
              <w:rPr>
                <w:rFonts w:hint="eastAsia"/>
                <w:u w:val="none"/>
              </w:rPr>
              <w:t>1</w:t>
            </w:r>
          </w:p>
        </w:tc>
        <w:tc>
          <w:tcPr>
            <w:tcW w:w="517" w:type="pct"/>
            <w:shd w:val="clear" w:color="auto" w:fill="auto"/>
            <w:noWrap/>
            <w:vAlign w:val="center"/>
          </w:tcPr>
          <w:p>
            <w:pPr>
              <w:pStyle w:val="16"/>
              <w:jc w:val="center"/>
              <w:rPr>
                <w:u w:val="none"/>
              </w:rPr>
            </w:pPr>
            <w:r>
              <w:rPr>
                <w:rFonts w:hint="eastAsia"/>
                <w:u w:val="none"/>
              </w:rPr>
              <w:t>20</w:t>
            </w:r>
          </w:p>
        </w:tc>
        <w:tc>
          <w:tcPr>
            <w:tcW w:w="517" w:type="pct"/>
            <w:shd w:val="clear" w:color="auto" w:fill="auto"/>
            <w:noWrap/>
            <w:vAlign w:val="center"/>
          </w:tcPr>
          <w:p>
            <w:pPr>
              <w:pStyle w:val="16"/>
              <w:jc w:val="center"/>
              <w:rPr>
                <w:u w:val="none"/>
              </w:rPr>
            </w:pPr>
            <w:r>
              <w:rPr>
                <w:rFonts w:hint="eastAsia"/>
                <w:u w:val="none"/>
              </w:rPr>
              <w:t>50</w:t>
            </w:r>
          </w:p>
        </w:tc>
        <w:tc>
          <w:tcPr>
            <w:tcW w:w="517" w:type="pct"/>
            <w:shd w:val="clear" w:color="auto" w:fill="auto"/>
            <w:noWrap/>
            <w:vAlign w:val="center"/>
          </w:tcPr>
          <w:p>
            <w:pPr>
              <w:pStyle w:val="16"/>
              <w:jc w:val="center"/>
              <w:rPr>
                <w:u w:val="none"/>
              </w:rPr>
            </w:pPr>
            <w:r>
              <w:rPr>
                <w:rFonts w:hint="eastAsia"/>
                <w:u w:val="none"/>
              </w:rPr>
              <w:t>100</w:t>
            </w:r>
          </w:p>
        </w:tc>
        <w:tc>
          <w:tcPr>
            <w:tcW w:w="517" w:type="pct"/>
            <w:shd w:val="clear" w:color="auto" w:fill="auto"/>
            <w:noWrap/>
            <w:vAlign w:val="center"/>
          </w:tcPr>
          <w:p>
            <w:pPr>
              <w:pStyle w:val="16"/>
              <w:jc w:val="center"/>
              <w:rPr>
                <w:u w:val="none"/>
              </w:rPr>
            </w:pPr>
            <w:r>
              <w:rPr>
                <w:rFonts w:hint="eastAsia"/>
                <w:u w:val="none"/>
              </w:rPr>
              <w:t>150</w:t>
            </w:r>
          </w:p>
        </w:tc>
        <w:tc>
          <w:tcPr>
            <w:tcW w:w="517" w:type="pct"/>
            <w:shd w:val="clear" w:color="auto" w:fill="auto"/>
            <w:noWrap/>
            <w:vAlign w:val="center"/>
          </w:tcPr>
          <w:p>
            <w:pPr>
              <w:pStyle w:val="16"/>
              <w:jc w:val="center"/>
              <w:rPr>
                <w:u w:val="none"/>
              </w:rPr>
            </w:pPr>
            <w:r>
              <w:rPr>
                <w:rFonts w:hint="eastAsia"/>
                <w:u w:val="none"/>
              </w:rPr>
              <w:t>200</w:t>
            </w:r>
          </w:p>
        </w:tc>
        <w:tc>
          <w:tcPr>
            <w:tcW w:w="517" w:type="pct"/>
            <w:shd w:val="clear" w:color="auto" w:fill="auto"/>
            <w:noWrap/>
            <w:vAlign w:val="center"/>
          </w:tcPr>
          <w:p>
            <w:pPr>
              <w:pStyle w:val="16"/>
              <w:jc w:val="center"/>
              <w:rPr>
                <w:u w:val="none"/>
              </w:rPr>
            </w:pPr>
            <w:r>
              <w:rPr>
                <w:rFonts w:hint="eastAsia"/>
                <w:u w:val="none"/>
              </w:rPr>
              <w:t>250</w:t>
            </w:r>
          </w:p>
        </w:tc>
        <w:tc>
          <w:tcPr>
            <w:tcW w:w="517" w:type="pct"/>
            <w:shd w:val="clear" w:color="auto" w:fill="auto"/>
            <w:noWrap/>
            <w:vAlign w:val="center"/>
          </w:tcPr>
          <w:p>
            <w:pPr>
              <w:pStyle w:val="16"/>
              <w:jc w:val="center"/>
              <w:rPr>
                <w:u w:val="none"/>
              </w:rPr>
            </w:pPr>
            <w:r>
              <w:rPr>
                <w:rFonts w:hint="eastAsia"/>
                <w:u w:val="none"/>
              </w:rPr>
              <w:t>300</w:t>
            </w:r>
          </w:p>
        </w:tc>
        <w:tc>
          <w:tcPr>
            <w:tcW w:w="521" w:type="pct"/>
            <w:shd w:val="clear" w:color="auto" w:fill="auto"/>
            <w:noWrap/>
            <w:vAlign w:val="center"/>
          </w:tcPr>
          <w:p>
            <w:pPr>
              <w:pStyle w:val="16"/>
              <w:jc w:val="center"/>
              <w:rPr>
                <w:u w:val="none"/>
              </w:rPr>
            </w:pPr>
            <w:r>
              <w:rPr>
                <w:rFonts w:hint="eastAsia"/>
                <w:u w:val="none"/>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9" w:type="pct"/>
            <w:shd w:val="clear" w:color="auto" w:fill="auto"/>
            <w:noWrap/>
            <w:vAlign w:val="center"/>
          </w:tcPr>
          <w:p>
            <w:pPr>
              <w:pStyle w:val="16"/>
              <w:jc w:val="center"/>
              <w:rPr>
                <w:u w:val="none"/>
              </w:rPr>
            </w:pPr>
            <w:r>
              <w:rPr>
                <w:rFonts w:hint="eastAsia"/>
                <w:u w:val="none"/>
              </w:rPr>
              <w:t>1</w:t>
            </w:r>
          </w:p>
        </w:tc>
        <w:tc>
          <w:tcPr>
            <w:tcW w:w="517" w:type="pct"/>
            <w:shd w:val="clear" w:color="auto" w:fill="auto"/>
            <w:noWrap/>
            <w:vAlign w:val="center"/>
          </w:tcPr>
          <w:p>
            <w:pPr>
              <w:pStyle w:val="16"/>
              <w:bidi w:val="0"/>
            </w:pPr>
            <w:r>
              <w:rPr>
                <w:rFonts w:hint="eastAsia"/>
                <w:lang w:val="en-US" w:eastAsia="zh-CN"/>
              </w:rPr>
              <w:t xml:space="preserve">0.00494 </w:t>
            </w:r>
          </w:p>
        </w:tc>
        <w:tc>
          <w:tcPr>
            <w:tcW w:w="517" w:type="pct"/>
            <w:shd w:val="clear" w:color="auto" w:fill="auto"/>
            <w:noWrap/>
            <w:vAlign w:val="center"/>
          </w:tcPr>
          <w:p>
            <w:pPr>
              <w:pStyle w:val="16"/>
              <w:bidi w:val="0"/>
            </w:pPr>
            <w:r>
              <w:rPr>
                <w:rFonts w:hint="eastAsia"/>
                <w:lang w:val="en-US" w:eastAsia="zh-CN"/>
              </w:rPr>
              <w:t xml:space="preserve">0.00483 </w:t>
            </w:r>
          </w:p>
        </w:tc>
        <w:tc>
          <w:tcPr>
            <w:tcW w:w="517" w:type="pct"/>
            <w:shd w:val="clear" w:color="auto" w:fill="auto"/>
            <w:noWrap/>
            <w:vAlign w:val="center"/>
          </w:tcPr>
          <w:p>
            <w:pPr>
              <w:pStyle w:val="16"/>
              <w:bidi w:val="0"/>
            </w:pPr>
            <w:r>
              <w:rPr>
                <w:rFonts w:hint="eastAsia"/>
                <w:lang w:val="en-US" w:eastAsia="zh-CN"/>
              </w:rPr>
              <w:t xml:space="preserve">0.00482 </w:t>
            </w:r>
          </w:p>
        </w:tc>
        <w:tc>
          <w:tcPr>
            <w:tcW w:w="517" w:type="pct"/>
            <w:shd w:val="clear" w:color="auto" w:fill="auto"/>
            <w:noWrap/>
            <w:vAlign w:val="center"/>
          </w:tcPr>
          <w:p>
            <w:pPr>
              <w:pStyle w:val="16"/>
              <w:bidi w:val="0"/>
            </w:pPr>
            <w:r>
              <w:rPr>
                <w:rFonts w:hint="eastAsia"/>
                <w:lang w:val="en-US" w:eastAsia="zh-CN"/>
              </w:rPr>
              <w:t xml:space="preserve">0.00482 </w:t>
            </w:r>
          </w:p>
        </w:tc>
        <w:tc>
          <w:tcPr>
            <w:tcW w:w="517" w:type="pct"/>
            <w:shd w:val="clear" w:color="auto" w:fill="auto"/>
            <w:noWrap/>
            <w:vAlign w:val="center"/>
          </w:tcPr>
          <w:p>
            <w:pPr>
              <w:pStyle w:val="16"/>
              <w:bidi w:val="0"/>
            </w:pPr>
            <w:r>
              <w:rPr>
                <w:rFonts w:hint="eastAsia"/>
                <w:lang w:val="en-US" w:eastAsia="zh-CN"/>
              </w:rPr>
              <w:t xml:space="preserve">0.00481 </w:t>
            </w:r>
          </w:p>
        </w:tc>
        <w:tc>
          <w:tcPr>
            <w:tcW w:w="517" w:type="pct"/>
            <w:shd w:val="clear" w:color="auto" w:fill="auto"/>
            <w:noWrap/>
            <w:vAlign w:val="center"/>
          </w:tcPr>
          <w:p>
            <w:pPr>
              <w:pStyle w:val="16"/>
              <w:bidi w:val="0"/>
            </w:pPr>
            <w:r>
              <w:rPr>
                <w:rFonts w:hint="eastAsia"/>
                <w:lang w:val="en-US" w:eastAsia="zh-CN"/>
              </w:rPr>
              <w:t xml:space="preserve">0.00481 </w:t>
            </w:r>
          </w:p>
        </w:tc>
        <w:tc>
          <w:tcPr>
            <w:tcW w:w="517" w:type="pct"/>
            <w:shd w:val="clear" w:color="auto" w:fill="auto"/>
            <w:noWrap/>
            <w:vAlign w:val="center"/>
          </w:tcPr>
          <w:p>
            <w:pPr>
              <w:pStyle w:val="16"/>
              <w:bidi w:val="0"/>
            </w:pPr>
            <w:r>
              <w:rPr>
                <w:rFonts w:hint="eastAsia"/>
                <w:lang w:val="en-US" w:eastAsia="zh-CN"/>
              </w:rPr>
              <w:t xml:space="preserve">0.00481 </w:t>
            </w:r>
          </w:p>
        </w:tc>
        <w:tc>
          <w:tcPr>
            <w:tcW w:w="517" w:type="pct"/>
            <w:shd w:val="clear" w:color="auto" w:fill="auto"/>
            <w:noWrap/>
            <w:vAlign w:val="center"/>
          </w:tcPr>
          <w:p>
            <w:pPr>
              <w:pStyle w:val="16"/>
              <w:bidi w:val="0"/>
            </w:pPr>
            <w:r>
              <w:rPr>
                <w:rFonts w:hint="eastAsia"/>
                <w:lang w:val="en-US" w:eastAsia="zh-CN"/>
              </w:rPr>
              <w:t xml:space="preserve">0.00481 </w:t>
            </w:r>
          </w:p>
        </w:tc>
        <w:tc>
          <w:tcPr>
            <w:tcW w:w="521" w:type="pct"/>
            <w:shd w:val="clear" w:color="auto" w:fill="auto"/>
            <w:noWrap/>
            <w:vAlign w:val="center"/>
          </w:tcPr>
          <w:p>
            <w:pPr>
              <w:pStyle w:val="16"/>
              <w:bidi w:val="0"/>
            </w:pPr>
            <w:r>
              <w:rPr>
                <w:rFonts w:hint="eastAsia"/>
                <w:lang w:val="en-US" w:eastAsia="zh-CN"/>
              </w:rPr>
              <w:t xml:space="preserve">0.00481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9" w:type="pct"/>
            <w:shd w:val="clear" w:color="auto" w:fill="auto"/>
            <w:noWrap/>
            <w:vAlign w:val="center"/>
          </w:tcPr>
          <w:p>
            <w:pPr>
              <w:pStyle w:val="16"/>
              <w:jc w:val="center"/>
              <w:rPr>
                <w:u w:val="none"/>
              </w:rPr>
            </w:pPr>
            <w:r>
              <w:rPr>
                <w:rFonts w:hint="eastAsia"/>
                <w:u w:val="none"/>
              </w:rPr>
              <w:t>10</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0.00482 </w:t>
            </w:r>
          </w:p>
        </w:tc>
        <w:tc>
          <w:tcPr>
            <w:tcW w:w="517" w:type="pct"/>
            <w:shd w:val="clear" w:color="auto" w:fill="auto"/>
            <w:noWrap/>
            <w:vAlign w:val="center"/>
          </w:tcPr>
          <w:p>
            <w:pPr>
              <w:pStyle w:val="16"/>
              <w:bidi w:val="0"/>
            </w:pPr>
            <w:r>
              <w:rPr>
                <w:rFonts w:hint="eastAsia"/>
                <w:lang w:val="en-US" w:eastAsia="zh-CN"/>
              </w:rPr>
              <w:t xml:space="preserve">0.00482 </w:t>
            </w:r>
          </w:p>
        </w:tc>
        <w:tc>
          <w:tcPr>
            <w:tcW w:w="517" w:type="pct"/>
            <w:shd w:val="clear" w:color="auto" w:fill="auto"/>
            <w:noWrap/>
            <w:vAlign w:val="center"/>
          </w:tcPr>
          <w:p>
            <w:pPr>
              <w:pStyle w:val="16"/>
              <w:bidi w:val="0"/>
            </w:pPr>
            <w:r>
              <w:rPr>
                <w:rFonts w:hint="eastAsia"/>
                <w:lang w:val="en-US" w:eastAsia="zh-CN"/>
              </w:rPr>
              <w:t xml:space="preserve">0.00481 </w:t>
            </w:r>
          </w:p>
        </w:tc>
        <w:tc>
          <w:tcPr>
            <w:tcW w:w="517" w:type="pct"/>
            <w:shd w:val="clear" w:color="auto" w:fill="auto"/>
            <w:noWrap/>
            <w:vAlign w:val="center"/>
          </w:tcPr>
          <w:p>
            <w:pPr>
              <w:pStyle w:val="16"/>
              <w:bidi w:val="0"/>
            </w:pPr>
            <w:r>
              <w:rPr>
                <w:rFonts w:hint="eastAsia"/>
                <w:lang w:val="en-US" w:eastAsia="zh-CN"/>
              </w:rPr>
              <w:t xml:space="preserve">0.00481 </w:t>
            </w:r>
          </w:p>
        </w:tc>
        <w:tc>
          <w:tcPr>
            <w:tcW w:w="517" w:type="pct"/>
            <w:shd w:val="clear" w:color="auto" w:fill="auto"/>
            <w:noWrap/>
            <w:vAlign w:val="center"/>
          </w:tcPr>
          <w:p>
            <w:pPr>
              <w:pStyle w:val="16"/>
              <w:bidi w:val="0"/>
            </w:pPr>
            <w:r>
              <w:rPr>
                <w:rFonts w:hint="eastAsia"/>
                <w:lang w:val="en-US" w:eastAsia="zh-CN"/>
              </w:rPr>
              <w:t xml:space="preserve">0.00481 </w:t>
            </w:r>
          </w:p>
        </w:tc>
        <w:tc>
          <w:tcPr>
            <w:tcW w:w="517" w:type="pct"/>
            <w:shd w:val="clear" w:color="auto" w:fill="auto"/>
            <w:noWrap/>
            <w:vAlign w:val="center"/>
          </w:tcPr>
          <w:p>
            <w:pPr>
              <w:pStyle w:val="16"/>
              <w:bidi w:val="0"/>
            </w:pPr>
            <w:r>
              <w:rPr>
                <w:rFonts w:hint="eastAsia"/>
                <w:lang w:val="en-US" w:eastAsia="zh-CN"/>
              </w:rPr>
              <w:t xml:space="preserve">0.00481 </w:t>
            </w:r>
          </w:p>
        </w:tc>
        <w:tc>
          <w:tcPr>
            <w:tcW w:w="517" w:type="pct"/>
            <w:shd w:val="clear" w:color="auto" w:fill="auto"/>
            <w:noWrap/>
            <w:vAlign w:val="center"/>
          </w:tcPr>
          <w:p>
            <w:pPr>
              <w:pStyle w:val="16"/>
              <w:bidi w:val="0"/>
            </w:pPr>
            <w:r>
              <w:rPr>
                <w:rFonts w:hint="eastAsia"/>
                <w:lang w:val="en-US" w:eastAsia="zh-CN"/>
              </w:rPr>
              <w:t xml:space="preserve">0.00481 </w:t>
            </w:r>
          </w:p>
        </w:tc>
        <w:tc>
          <w:tcPr>
            <w:tcW w:w="521" w:type="pct"/>
            <w:shd w:val="clear" w:color="auto" w:fill="auto"/>
            <w:noWrap/>
            <w:vAlign w:val="center"/>
          </w:tcPr>
          <w:p>
            <w:pPr>
              <w:pStyle w:val="16"/>
              <w:bidi w:val="0"/>
            </w:pPr>
            <w:r>
              <w:rPr>
                <w:rFonts w:hint="eastAsia"/>
                <w:lang w:val="en-US" w:eastAsia="zh-CN"/>
              </w:rPr>
              <w:t xml:space="preserve">0.00481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9" w:type="pct"/>
            <w:shd w:val="clear" w:color="auto" w:fill="auto"/>
            <w:noWrap/>
            <w:vAlign w:val="center"/>
          </w:tcPr>
          <w:p>
            <w:pPr>
              <w:pStyle w:val="16"/>
              <w:jc w:val="center"/>
              <w:rPr>
                <w:u w:val="none"/>
              </w:rPr>
            </w:pPr>
            <w:r>
              <w:rPr>
                <w:rFonts w:hint="eastAsia"/>
                <w:u w:val="none"/>
              </w:rPr>
              <w:t>100</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21" w:type="pct"/>
            <w:shd w:val="clear" w:color="auto" w:fill="auto"/>
            <w:noWrap/>
            <w:vAlign w:val="center"/>
          </w:tcPr>
          <w:p>
            <w:pPr>
              <w:pStyle w:val="16"/>
              <w:bidi w:val="0"/>
            </w:pPr>
            <w:r>
              <w:rPr>
                <w:rFonts w:hint="eastAsia"/>
                <w:lang w:val="en-US" w:eastAsia="zh-CN"/>
              </w:rPr>
              <w:t xml:space="preserve">0.00480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9" w:type="pct"/>
            <w:shd w:val="clear" w:color="auto" w:fill="auto"/>
            <w:noWrap/>
            <w:vAlign w:val="center"/>
          </w:tcPr>
          <w:p>
            <w:pPr>
              <w:pStyle w:val="16"/>
              <w:jc w:val="center"/>
              <w:rPr>
                <w:u w:val="none"/>
              </w:rPr>
            </w:pPr>
            <w:r>
              <w:rPr>
                <w:rFonts w:hint="eastAsia"/>
                <w:u w:val="none"/>
              </w:rPr>
              <w:t>200</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21" w:type="pct"/>
            <w:shd w:val="clear" w:color="auto" w:fill="auto"/>
            <w:noWrap/>
            <w:vAlign w:val="center"/>
          </w:tcPr>
          <w:p>
            <w:pPr>
              <w:pStyle w:val="16"/>
              <w:bidi w:val="0"/>
            </w:pPr>
            <w:r>
              <w:rPr>
                <w:rFonts w:hint="eastAsia"/>
                <w:lang w:val="en-US" w:eastAsia="zh-CN"/>
              </w:rPr>
              <w:t xml:space="preserve">0.00480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9" w:type="pct"/>
            <w:shd w:val="clear" w:color="auto" w:fill="auto"/>
            <w:noWrap/>
            <w:vAlign w:val="center"/>
          </w:tcPr>
          <w:p>
            <w:pPr>
              <w:pStyle w:val="16"/>
              <w:jc w:val="center"/>
              <w:rPr>
                <w:u w:val="none"/>
              </w:rPr>
            </w:pPr>
            <w:r>
              <w:rPr>
                <w:rFonts w:hint="eastAsia"/>
                <w:u w:val="none"/>
              </w:rPr>
              <w:t>600</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21" w:type="pct"/>
            <w:shd w:val="clear" w:color="auto" w:fill="auto"/>
            <w:noWrap/>
            <w:vAlign w:val="center"/>
          </w:tcPr>
          <w:p>
            <w:pPr>
              <w:pStyle w:val="16"/>
              <w:bidi w:val="0"/>
            </w:pPr>
            <w:r>
              <w:rPr>
                <w:rFonts w:hint="eastAsia"/>
                <w:lang w:val="en-US" w:eastAsia="zh-CN"/>
              </w:rPr>
              <w:t xml:space="preserve">0.00480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9" w:type="pct"/>
            <w:shd w:val="clear" w:color="auto" w:fill="auto"/>
            <w:noWrap/>
            <w:vAlign w:val="center"/>
          </w:tcPr>
          <w:p>
            <w:pPr>
              <w:pStyle w:val="16"/>
              <w:jc w:val="center"/>
              <w:rPr>
                <w:u w:val="none"/>
              </w:rPr>
            </w:pPr>
            <w:r>
              <w:rPr>
                <w:rFonts w:hint="eastAsia"/>
                <w:u w:val="none"/>
              </w:rPr>
              <w:t>800</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21" w:type="pct"/>
            <w:shd w:val="clear" w:color="auto" w:fill="auto"/>
            <w:noWrap/>
            <w:vAlign w:val="center"/>
          </w:tcPr>
          <w:p>
            <w:pPr>
              <w:pStyle w:val="16"/>
              <w:bidi w:val="0"/>
            </w:pPr>
            <w:r>
              <w:rPr>
                <w:rFonts w:hint="eastAsia"/>
                <w:lang w:val="en-US" w:eastAsia="zh-CN"/>
              </w:rPr>
              <w:t xml:space="preserve">0.00480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9" w:type="pct"/>
            <w:shd w:val="clear" w:color="auto" w:fill="auto"/>
            <w:noWrap/>
            <w:vAlign w:val="center"/>
          </w:tcPr>
          <w:p>
            <w:pPr>
              <w:pStyle w:val="16"/>
              <w:jc w:val="center"/>
              <w:rPr>
                <w:u w:val="none"/>
              </w:rPr>
            </w:pPr>
            <w:r>
              <w:rPr>
                <w:rFonts w:hint="eastAsia"/>
                <w:u w:val="none"/>
              </w:rPr>
              <w:t>1000</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21" w:type="pct"/>
            <w:shd w:val="clear" w:color="auto" w:fill="auto"/>
            <w:noWrap/>
            <w:vAlign w:val="center"/>
          </w:tcPr>
          <w:p>
            <w:pPr>
              <w:pStyle w:val="16"/>
              <w:bidi w:val="0"/>
            </w:pPr>
            <w:r>
              <w:rPr>
                <w:rFonts w:hint="eastAsia"/>
                <w:lang w:val="en-US" w:eastAsia="zh-CN"/>
              </w:rPr>
              <w:t xml:space="preserve">0.00480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9" w:type="pct"/>
            <w:shd w:val="clear" w:color="auto" w:fill="auto"/>
            <w:noWrap/>
            <w:vAlign w:val="center"/>
          </w:tcPr>
          <w:p>
            <w:pPr>
              <w:pStyle w:val="16"/>
              <w:jc w:val="center"/>
              <w:rPr>
                <w:u w:val="none"/>
              </w:rPr>
            </w:pPr>
            <w:r>
              <w:rPr>
                <w:rFonts w:hint="eastAsia"/>
                <w:u w:val="none"/>
              </w:rPr>
              <w:t>2000</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21" w:type="pct"/>
            <w:shd w:val="clear" w:color="auto" w:fill="auto"/>
            <w:noWrap/>
            <w:vAlign w:val="center"/>
          </w:tcPr>
          <w:p>
            <w:pPr>
              <w:pStyle w:val="16"/>
              <w:bidi w:val="0"/>
            </w:pPr>
            <w:r>
              <w:rPr>
                <w:rFonts w:hint="eastAsia"/>
                <w:lang w:val="en-US" w:eastAsia="zh-CN"/>
              </w:rPr>
              <w:t xml:space="preserve">0.00480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9" w:type="pct"/>
            <w:shd w:val="clear" w:color="auto" w:fill="auto"/>
            <w:noWrap/>
            <w:vAlign w:val="center"/>
          </w:tcPr>
          <w:p>
            <w:pPr>
              <w:pStyle w:val="16"/>
              <w:jc w:val="center"/>
              <w:rPr>
                <w:u w:val="none"/>
              </w:rPr>
            </w:pPr>
            <w:r>
              <w:rPr>
                <w:rFonts w:hint="eastAsia"/>
                <w:u w:val="none"/>
              </w:rPr>
              <w:t>3000</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21" w:type="pct"/>
            <w:shd w:val="clear" w:color="auto" w:fill="auto"/>
            <w:noWrap/>
            <w:vAlign w:val="center"/>
          </w:tcPr>
          <w:p>
            <w:pPr>
              <w:pStyle w:val="16"/>
              <w:bidi w:val="0"/>
            </w:pPr>
            <w:r>
              <w:rPr>
                <w:rFonts w:hint="eastAsia"/>
                <w:lang w:val="en-US" w:eastAsia="zh-CN"/>
              </w:rPr>
              <w:t xml:space="preserve">0.00480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9" w:type="pct"/>
            <w:shd w:val="clear" w:color="auto" w:fill="auto"/>
            <w:noWrap/>
            <w:vAlign w:val="center"/>
          </w:tcPr>
          <w:p>
            <w:pPr>
              <w:pStyle w:val="16"/>
              <w:jc w:val="center"/>
              <w:rPr>
                <w:u w:val="none"/>
              </w:rPr>
            </w:pPr>
            <w:r>
              <w:rPr>
                <w:rFonts w:hint="eastAsia"/>
                <w:u w:val="none"/>
              </w:rPr>
              <w:t>4000</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21" w:type="pct"/>
            <w:shd w:val="clear" w:color="auto" w:fill="auto"/>
            <w:noWrap/>
            <w:vAlign w:val="center"/>
          </w:tcPr>
          <w:p>
            <w:pPr>
              <w:pStyle w:val="16"/>
              <w:bidi w:val="0"/>
            </w:pPr>
            <w:r>
              <w:rPr>
                <w:rFonts w:hint="eastAsia"/>
                <w:lang w:val="en-US" w:eastAsia="zh-CN"/>
              </w:rPr>
              <w:t xml:space="preserve">0.00480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9" w:type="pct"/>
            <w:shd w:val="clear" w:color="auto" w:fill="auto"/>
            <w:noWrap/>
            <w:vAlign w:val="center"/>
          </w:tcPr>
          <w:p>
            <w:pPr>
              <w:pStyle w:val="16"/>
              <w:jc w:val="center"/>
              <w:rPr>
                <w:u w:val="none"/>
              </w:rPr>
            </w:pPr>
            <w:r>
              <w:rPr>
                <w:rFonts w:hint="eastAsia"/>
                <w:u w:val="none"/>
              </w:rPr>
              <w:t>5000</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21" w:type="pct"/>
            <w:shd w:val="clear" w:color="auto" w:fill="auto"/>
            <w:noWrap/>
            <w:vAlign w:val="center"/>
          </w:tcPr>
          <w:p>
            <w:pPr>
              <w:pStyle w:val="16"/>
              <w:bidi w:val="0"/>
            </w:pPr>
            <w:r>
              <w:rPr>
                <w:rFonts w:hint="eastAsia"/>
                <w:lang w:val="en-US" w:eastAsia="zh-CN"/>
              </w:rPr>
              <w:t xml:space="preserve">0.00480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9" w:type="pct"/>
            <w:shd w:val="clear" w:color="auto" w:fill="auto"/>
            <w:noWrap/>
            <w:vAlign w:val="center"/>
          </w:tcPr>
          <w:p>
            <w:pPr>
              <w:pStyle w:val="16"/>
              <w:jc w:val="center"/>
              <w:rPr>
                <w:u w:val="none"/>
              </w:rPr>
            </w:pPr>
            <w:r>
              <w:rPr>
                <w:rFonts w:hint="eastAsia"/>
                <w:u w:val="none"/>
              </w:rPr>
              <w:t>6000</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21" w:type="pct"/>
            <w:shd w:val="clear" w:color="auto" w:fill="auto"/>
            <w:noWrap/>
            <w:vAlign w:val="center"/>
          </w:tcPr>
          <w:p>
            <w:pPr>
              <w:pStyle w:val="16"/>
              <w:bidi w:val="0"/>
            </w:pPr>
            <w:r>
              <w:rPr>
                <w:rFonts w:hint="eastAsia"/>
                <w:lang w:val="en-US" w:eastAsia="zh-CN"/>
              </w:rPr>
              <w:t xml:space="preserve">0.00480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9" w:type="pct"/>
            <w:shd w:val="clear" w:color="auto" w:fill="auto"/>
            <w:noWrap/>
            <w:vAlign w:val="center"/>
          </w:tcPr>
          <w:p>
            <w:pPr>
              <w:pStyle w:val="16"/>
              <w:jc w:val="center"/>
              <w:rPr>
                <w:u w:val="none"/>
              </w:rPr>
            </w:pPr>
            <w:r>
              <w:rPr>
                <w:rFonts w:hint="eastAsia"/>
                <w:u w:val="none"/>
              </w:rPr>
              <w:t>8000</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21" w:type="pct"/>
            <w:shd w:val="clear" w:color="auto" w:fill="auto"/>
            <w:noWrap/>
            <w:vAlign w:val="center"/>
          </w:tcPr>
          <w:p>
            <w:pPr>
              <w:pStyle w:val="16"/>
              <w:bidi w:val="0"/>
            </w:pPr>
            <w:r>
              <w:rPr>
                <w:rFonts w:hint="eastAsia"/>
                <w:lang w:val="en-US" w:eastAsia="zh-CN"/>
              </w:rPr>
              <w:t xml:space="preserve">0.00480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9" w:type="pct"/>
            <w:shd w:val="clear" w:color="auto" w:fill="auto"/>
            <w:noWrap/>
            <w:vAlign w:val="center"/>
          </w:tcPr>
          <w:p>
            <w:pPr>
              <w:pStyle w:val="16"/>
              <w:jc w:val="center"/>
              <w:rPr>
                <w:u w:val="none"/>
              </w:rPr>
            </w:pPr>
            <w:r>
              <w:rPr>
                <w:rFonts w:hint="eastAsia"/>
                <w:u w:val="none"/>
              </w:rPr>
              <w:t>10000</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21" w:type="pct"/>
            <w:shd w:val="clear" w:color="auto" w:fill="auto"/>
            <w:noWrap/>
            <w:vAlign w:val="center"/>
          </w:tcPr>
          <w:p>
            <w:pPr>
              <w:pStyle w:val="16"/>
              <w:bidi w:val="0"/>
            </w:pPr>
            <w:r>
              <w:rPr>
                <w:rFonts w:hint="eastAsia"/>
                <w:lang w:val="en-US" w:eastAsia="zh-CN"/>
              </w:rPr>
              <w:t xml:space="preserve">0.00480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9" w:type="pct"/>
            <w:shd w:val="clear" w:color="auto" w:fill="auto"/>
            <w:noWrap/>
            <w:vAlign w:val="center"/>
          </w:tcPr>
          <w:p>
            <w:pPr>
              <w:pStyle w:val="16"/>
              <w:jc w:val="center"/>
              <w:rPr>
                <w:u w:val="none"/>
              </w:rPr>
            </w:pPr>
            <w:r>
              <w:rPr>
                <w:rFonts w:hint="eastAsia"/>
                <w:u w:val="none"/>
              </w:rPr>
              <w:t>15000</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21" w:type="pct"/>
            <w:shd w:val="clear" w:color="auto" w:fill="auto"/>
            <w:noWrap/>
            <w:vAlign w:val="center"/>
          </w:tcPr>
          <w:p>
            <w:pPr>
              <w:pStyle w:val="16"/>
              <w:bidi w:val="0"/>
            </w:pPr>
            <w:r>
              <w:rPr>
                <w:rFonts w:hint="eastAsia"/>
                <w:lang w:val="en-US" w:eastAsia="zh-CN"/>
              </w:rPr>
              <w:t xml:space="preserve">0.00480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9" w:type="pct"/>
            <w:shd w:val="clear" w:color="auto" w:fill="auto"/>
            <w:noWrap/>
            <w:vAlign w:val="center"/>
          </w:tcPr>
          <w:p>
            <w:pPr>
              <w:pStyle w:val="16"/>
              <w:jc w:val="center"/>
              <w:rPr>
                <w:u w:val="none"/>
              </w:rPr>
            </w:pPr>
            <w:r>
              <w:rPr>
                <w:rFonts w:hint="eastAsia"/>
                <w:u w:val="none"/>
              </w:rPr>
              <w:t>20000</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21" w:type="pct"/>
            <w:shd w:val="clear" w:color="auto" w:fill="auto"/>
            <w:noWrap/>
            <w:vAlign w:val="center"/>
          </w:tcPr>
          <w:p>
            <w:pPr>
              <w:pStyle w:val="16"/>
              <w:bidi w:val="0"/>
            </w:pPr>
            <w:r>
              <w:rPr>
                <w:rFonts w:hint="eastAsia"/>
                <w:lang w:val="en-US" w:eastAsia="zh-CN"/>
              </w:rPr>
              <w:t xml:space="preserve">0.00480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9" w:type="pct"/>
            <w:shd w:val="clear" w:color="auto" w:fill="auto"/>
            <w:noWrap/>
            <w:vAlign w:val="center"/>
          </w:tcPr>
          <w:p>
            <w:pPr>
              <w:pStyle w:val="16"/>
              <w:jc w:val="center"/>
              <w:rPr>
                <w:u w:val="none"/>
              </w:rPr>
            </w:pPr>
            <w:r>
              <w:rPr>
                <w:rFonts w:hint="eastAsia"/>
                <w:u w:val="none"/>
              </w:rPr>
              <w:t>15000</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21" w:type="pct"/>
            <w:shd w:val="clear" w:color="auto" w:fill="auto"/>
            <w:noWrap/>
            <w:vAlign w:val="center"/>
          </w:tcPr>
          <w:p>
            <w:pPr>
              <w:pStyle w:val="16"/>
              <w:bidi w:val="0"/>
            </w:pPr>
            <w:r>
              <w:rPr>
                <w:rFonts w:hint="eastAsia"/>
                <w:lang w:val="en-US" w:eastAsia="zh-CN"/>
              </w:rPr>
              <w:t xml:space="preserve">0.00480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9" w:type="pct"/>
            <w:shd w:val="clear" w:color="auto" w:fill="auto"/>
            <w:noWrap/>
            <w:vAlign w:val="center"/>
          </w:tcPr>
          <w:p>
            <w:pPr>
              <w:pStyle w:val="16"/>
              <w:jc w:val="center"/>
              <w:rPr>
                <w:u w:val="none"/>
              </w:rPr>
            </w:pPr>
            <w:r>
              <w:rPr>
                <w:rFonts w:hint="eastAsia"/>
                <w:u w:val="none"/>
              </w:rPr>
              <w:t>20000</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17" w:type="pct"/>
            <w:shd w:val="clear" w:color="auto" w:fill="auto"/>
            <w:noWrap/>
            <w:vAlign w:val="center"/>
          </w:tcPr>
          <w:p>
            <w:pPr>
              <w:pStyle w:val="16"/>
              <w:bidi w:val="0"/>
            </w:pPr>
            <w:r>
              <w:rPr>
                <w:rFonts w:hint="eastAsia"/>
                <w:lang w:val="en-US" w:eastAsia="zh-CN"/>
              </w:rPr>
              <w:t xml:space="preserve">0.00480 </w:t>
            </w:r>
          </w:p>
        </w:tc>
        <w:tc>
          <w:tcPr>
            <w:tcW w:w="521" w:type="pct"/>
            <w:shd w:val="clear" w:color="auto" w:fill="auto"/>
            <w:noWrap/>
            <w:vAlign w:val="center"/>
          </w:tcPr>
          <w:p>
            <w:pPr>
              <w:pStyle w:val="16"/>
              <w:bidi w:val="0"/>
            </w:pPr>
            <w:r>
              <w:rPr>
                <w:rFonts w:hint="eastAsia"/>
                <w:lang w:val="en-US" w:eastAsia="zh-CN"/>
              </w:rPr>
              <w:t xml:space="preserve">0.00480 </w:t>
            </w:r>
          </w:p>
        </w:tc>
      </w:tr>
    </w:tbl>
    <w:p>
      <w:pPr>
        <w:ind w:firstLine="0" w:firstLineChars="0"/>
        <w:jc w:val="center"/>
        <w:rPr>
          <w:u w:val="none"/>
        </w:rPr>
      </w:pPr>
      <w:r>
        <w:rPr>
          <w:b/>
          <w:bCs/>
          <w:u w:val="none"/>
        </w:rPr>
        <w:t>表</w:t>
      </w:r>
      <w:r>
        <w:rPr>
          <w:rFonts w:hint="eastAsia"/>
          <w:b/>
          <w:bCs/>
          <w:u w:val="none"/>
        </w:rPr>
        <w:t>6.1.4-1</w:t>
      </w:r>
      <w:r>
        <w:rPr>
          <w:rFonts w:hint="eastAsia"/>
          <w:b/>
          <w:bCs/>
          <w:u w:val="none"/>
          <w:lang w:val="en-US" w:eastAsia="zh-CN"/>
        </w:rPr>
        <w:t>2</w:t>
      </w:r>
      <w:r>
        <w:rPr>
          <w:rFonts w:hint="eastAsia"/>
          <w:b/>
          <w:bCs/>
          <w:u w:val="none"/>
        </w:rPr>
        <w:t>非</w:t>
      </w:r>
      <w:r>
        <w:rPr>
          <w:b/>
          <w:bCs/>
          <w:u w:val="none"/>
        </w:rPr>
        <w:t>正常排放对枯水期</w:t>
      </w:r>
      <w:r>
        <w:rPr>
          <w:rFonts w:hint="eastAsia"/>
          <w:b/>
          <w:bCs/>
          <w:u w:val="none"/>
        </w:rPr>
        <w:t>资水</w:t>
      </w:r>
      <w:r>
        <w:rPr>
          <w:b/>
          <w:bCs/>
          <w:u w:val="none"/>
        </w:rPr>
        <w:t>评价河段</w:t>
      </w:r>
      <w:r>
        <w:rPr>
          <w:rFonts w:hint="eastAsia"/>
          <w:b/>
          <w:bCs/>
          <w:u w:val="none"/>
        </w:rPr>
        <w:t>铅</w:t>
      </w:r>
      <w:r>
        <w:rPr>
          <w:b/>
          <w:bCs/>
          <w:u w:val="none"/>
        </w:rPr>
        <w:t>浓度预测值</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1067"/>
        <w:gridCol w:w="1067"/>
        <w:gridCol w:w="1067"/>
        <w:gridCol w:w="1067"/>
        <w:gridCol w:w="1067"/>
        <w:gridCol w:w="1067"/>
        <w:gridCol w:w="1067"/>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2" w:type="pct"/>
            <w:shd w:val="clear" w:color="auto" w:fill="auto"/>
            <w:noWrap/>
            <w:vAlign w:val="center"/>
          </w:tcPr>
          <w:p>
            <w:pPr>
              <w:pStyle w:val="16"/>
              <w:bidi w:val="0"/>
            </w:pPr>
            <w:r>
              <w:rPr>
                <w:rFonts w:hint="eastAsia"/>
              </w:rPr>
              <w:t>X/Y</w:t>
            </w:r>
          </w:p>
        </w:tc>
        <w:tc>
          <w:tcPr>
            <w:tcW w:w="574" w:type="pct"/>
            <w:shd w:val="clear" w:color="auto" w:fill="auto"/>
            <w:noWrap/>
            <w:vAlign w:val="center"/>
          </w:tcPr>
          <w:p>
            <w:pPr>
              <w:pStyle w:val="16"/>
              <w:bidi w:val="0"/>
            </w:pPr>
            <w:r>
              <w:rPr>
                <w:rFonts w:hint="eastAsia"/>
              </w:rPr>
              <w:t>1</w:t>
            </w:r>
          </w:p>
        </w:tc>
        <w:tc>
          <w:tcPr>
            <w:tcW w:w="574" w:type="pct"/>
            <w:shd w:val="clear" w:color="auto" w:fill="auto"/>
            <w:noWrap/>
            <w:vAlign w:val="center"/>
          </w:tcPr>
          <w:p>
            <w:pPr>
              <w:pStyle w:val="16"/>
              <w:bidi w:val="0"/>
            </w:pPr>
            <w:r>
              <w:rPr>
                <w:rFonts w:hint="eastAsia"/>
              </w:rPr>
              <w:t>20</w:t>
            </w:r>
          </w:p>
        </w:tc>
        <w:tc>
          <w:tcPr>
            <w:tcW w:w="574" w:type="pct"/>
            <w:shd w:val="clear" w:color="auto" w:fill="auto"/>
            <w:noWrap/>
            <w:vAlign w:val="center"/>
          </w:tcPr>
          <w:p>
            <w:pPr>
              <w:pStyle w:val="16"/>
              <w:bidi w:val="0"/>
            </w:pPr>
            <w:r>
              <w:rPr>
                <w:rFonts w:hint="eastAsia"/>
              </w:rPr>
              <w:t>50</w:t>
            </w:r>
          </w:p>
        </w:tc>
        <w:tc>
          <w:tcPr>
            <w:tcW w:w="574" w:type="pct"/>
            <w:shd w:val="clear" w:color="auto" w:fill="auto"/>
            <w:noWrap/>
            <w:vAlign w:val="center"/>
          </w:tcPr>
          <w:p>
            <w:pPr>
              <w:pStyle w:val="16"/>
              <w:bidi w:val="0"/>
            </w:pPr>
            <w:r>
              <w:rPr>
                <w:rFonts w:hint="eastAsia"/>
              </w:rPr>
              <w:t>100</w:t>
            </w:r>
          </w:p>
        </w:tc>
        <w:tc>
          <w:tcPr>
            <w:tcW w:w="574" w:type="pct"/>
            <w:shd w:val="clear" w:color="auto" w:fill="auto"/>
            <w:noWrap/>
            <w:vAlign w:val="center"/>
          </w:tcPr>
          <w:p>
            <w:pPr>
              <w:pStyle w:val="16"/>
              <w:bidi w:val="0"/>
            </w:pPr>
            <w:r>
              <w:rPr>
                <w:rFonts w:hint="eastAsia"/>
              </w:rPr>
              <w:t>150</w:t>
            </w:r>
          </w:p>
        </w:tc>
        <w:tc>
          <w:tcPr>
            <w:tcW w:w="574" w:type="pct"/>
            <w:shd w:val="clear" w:color="auto" w:fill="auto"/>
            <w:noWrap/>
            <w:vAlign w:val="center"/>
          </w:tcPr>
          <w:p>
            <w:pPr>
              <w:pStyle w:val="16"/>
              <w:bidi w:val="0"/>
            </w:pPr>
            <w:r>
              <w:rPr>
                <w:rFonts w:hint="eastAsia"/>
              </w:rPr>
              <w:t>250</w:t>
            </w:r>
          </w:p>
        </w:tc>
        <w:tc>
          <w:tcPr>
            <w:tcW w:w="574" w:type="pct"/>
            <w:shd w:val="clear" w:color="auto" w:fill="auto"/>
            <w:noWrap/>
            <w:vAlign w:val="center"/>
          </w:tcPr>
          <w:p>
            <w:pPr>
              <w:pStyle w:val="16"/>
              <w:bidi w:val="0"/>
            </w:pPr>
            <w:r>
              <w:rPr>
                <w:rFonts w:hint="eastAsia"/>
              </w:rPr>
              <w:t>300</w:t>
            </w:r>
          </w:p>
        </w:tc>
        <w:tc>
          <w:tcPr>
            <w:tcW w:w="574" w:type="pct"/>
            <w:shd w:val="clear" w:color="auto" w:fill="auto"/>
            <w:noWrap/>
            <w:vAlign w:val="center"/>
          </w:tcPr>
          <w:p>
            <w:pPr>
              <w:pStyle w:val="16"/>
              <w:bidi w:val="0"/>
            </w:pPr>
            <w:r>
              <w:rPr>
                <w:rFonts w:hint="eastAsia"/>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2" w:type="pct"/>
            <w:shd w:val="clear" w:color="auto" w:fill="auto"/>
            <w:noWrap/>
            <w:vAlign w:val="center"/>
          </w:tcPr>
          <w:p>
            <w:pPr>
              <w:pStyle w:val="16"/>
              <w:bidi w:val="0"/>
            </w:pPr>
            <w:r>
              <w:rPr>
                <w:rFonts w:hint="eastAsia"/>
              </w:rPr>
              <w:t>1</w:t>
            </w:r>
          </w:p>
        </w:tc>
        <w:tc>
          <w:tcPr>
            <w:tcW w:w="574" w:type="pct"/>
            <w:shd w:val="clear" w:color="auto" w:fill="auto"/>
            <w:noWrap/>
            <w:vAlign w:val="center"/>
          </w:tcPr>
          <w:p>
            <w:pPr>
              <w:pStyle w:val="16"/>
              <w:bidi w:val="0"/>
            </w:pPr>
            <w:r>
              <w:rPr>
                <w:rFonts w:hint="eastAsia"/>
                <w:lang w:val="en-US" w:eastAsia="zh-CN"/>
              </w:rPr>
              <w:t xml:space="preserve">0.000031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2" w:type="pct"/>
            <w:shd w:val="clear" w:color="auto" w:fill="auto"/>
            <w:noWrap/>
            <w:vAlign w:val="center"/>
          </w:tcPr>
          <w:p>
            <w:pPr>
              <w:pStyle w:val="16"/>
              <w:bidi w:val="0"/>
            </w:pPr>
            <w:r>
              <w:rPr>
                <w:rFonts w:hint="eastAsia"/>
              </w:rPr>
              <w:t>10</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2" w:type="pct"/>
            <w:shd w:val="clear" w:color="auto" w:fill="auto"/>
            <w:noWrap/>
            <w:vAlign w:val="center"/>
          </w:tcPr>
          <w:p>
            <w:pPr>
              <w:pStyle w:val="16"/>
              <w:bidi w:val="0"/>
            </w:pPr>
            <w:r>
              <w:rPr>
                <w:rFonts w:hint="eastAsia"/>
              </w:rPr>
              <w:t>100</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2" w:type="pct"/>
            <w:shd w:val="clear" w:color="auto" w:fill="auto"/>
            <w:noWrap/>
            <w:vAlign w:val="center"/>
          </w:tcPr>
          <w:p>
            <w:pPr>
              <w:pStyle w:val="16"/>
              <w:bidi w:val="0"/>
            </w:pPr>
            <w:r>
              <w:rPr>
                <w:rFonts w:hint="eastAsia"/>
              </w:rPr>
              <w:t>200</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2" w:type="pct"/>
            <w:shd w:val="clear" w:color="auto" w:fill="auto"/>
            <w:noWrap/>
            <w:vAlign w:val="center"/>
          </w:tcPr>
          <w:p>
            <w:pPr>
              <w:pStyle w:val="16"/>
              <w:bidi w:val="0"/>
            </w:pPr>
            <w:r>
              <w:rPr>
                <w:rFonts w:hint="eastAsia"/>
              </w:rPr>
              <w:t>600</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2" w:type="pct"/>
            <w:shd w:val="clear" w:color="auto" w:fill="auto"/>
            <w:noWrap/>
            <w:vAlign w:val="center"/>
          </w:tcPr>
          <w:p>
            <w:pPr>
              <w:pStyle w:val="16"/>
              <w:bidi w:val="0"/>
            </w:pPr>
            <w:r>
              <w:rPr>
                <w:rFonts w:hint="eastAsia"/>
              </w:rPr>
              <w:t>800</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2" w:type="pct"/>
            <w:shd w:val="clear" w:color="auto" w:fill="auto"/>
            <w:noWrap/>
            <w:vAlign w:val="center"/>
          </w:tcPr>
          <w:p>
            <w:pPr>
              <w:pStyle w:val="16"/>
              <w:bidi w:val="0"/>
            </w:pPr>
            <w:r>
              <w:rPr>
                <w:rFonts w:hint="eastAsia"/>
              </w:rPr>
              <w:t>1000</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2" w:type="pct"/>
            <w:shd w:val="clear" w:color="auto" w:fill="auto"/>
            <w:noWrap/>
            <w:vAlign w:val="center"/>
          </w:tcPr>
          <w:p>
            <w:pPr>
              <w:pStyle w:val="16"/>
              <w:bidi w:val="0"/>
            </w:pPr>
            <w:r>
              <w:rPr>
                <w:rFonts w:hint="eastAsia"/>
              </w:rPr>
              <w:t>2000</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2" w:type="pct"/>
            <w:shd w:val="clear" w:color="auto" w:fill="auto"/>
            <w:noWrap/>
            <w:vAlign w:val="center"/>
          </w:tcPr>
          <w:p>
            <w:pPr>
              <w:pStyle w:val="16"/>
              <w:bidi w:val="0"/>
            </w:pPr>
            <w:r>
              <w:rPr>
                <w:rFonts w:hint="eastAsia"/>
              </w:rPr>
              <w:t>3000</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2" w:type="pct"/>
            <w:shd w:val="clear" w:color="auto" w:fill="auto"/>
            <w:noWrap/>
            <w:vAlign w:val="center"/>
          </w:tcPr>
          <w:p>
            <w:pPr>
              <w:pStyle w:val="16"/>
              <w:bidi w:val="0"/>
            </w:pPr>
            <w:r>
              <w:rPr>
                <w:rFonts w:hint="eastAsia"/>
              </w:rPr>
              <w:t>4000</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2" w:type="pct"/>
            <w:shd w:val="clear" w:color="auto" w:fill="auto"/>
            <w:noWrap/>
            <w:vAlign w:val="center"/>
          </w:tcPr>
          <w:p>
            <w:pPr>
              <w:pStyle w:val="16"/>
              <w:bidi w:val="0"/>
            </w:pPr>
            <w:r>
              <w:rPr>
                <w:rFonts w:hint="eastAsia"/>
              </w:rPr>
              <w:t>5000</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2" w:type="pct"/>
            <w:shd w:val="clear" w:color="auto" w:fill="auto"/>
            <w:noWrap/>
            <w:vAlign w:val="center"/>
          </w:tcPr>
          <w:p>
            <w:pPr>
              <w:pStyle w:val="16"/>
              <w:bidi w:val="0"/>
            </w:pPr>
            <w:r>
              <w:rPr>
                <w:rFonts w:hint="eastAsia"/>
              </w:rPr>
              <w:t>6000</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2" w:type="pct"/>
            <w:shd w:val="clear" w:color="auto" w:fill="auto"/>
            <w:noWrap/>
            <w:vAlign w:val="center"/>
          </w:tcPr>
          <w:p>
            <w:pPr>
              <w:pStyle w:val="16"/>
              <w:bidi w:val="0"/>
            </w:pPr>
            <w:r>
              <w:rPr>
                <w:rFonts w:hint="eastAsia"/>
              </w:rPr>
              <w:t>8000</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2" w:type="pct"/>
            <w:shd w:val="clear" w:color="auto" w:fill="auto"/>
            <w:noWrap/>
            <w:vAlign w:val="center"/>
          </w:tcPr>
          <w:p>
            <w:pPr>
              <w:pStyle w:val="16"/>
              <w:bidi w:val="0"/>
            </w:pPr>
            <w:r>
              <w:rPr>
                <w:rFonts w:hint="eastAsia"/>
              </w:rPr>
              <w:t>10000</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2" w:type="pct"/>
            <w:shd w:val="clear" w:color="auto" w:fill="auto"/>
            <w:noWrap/>
            <w:vAlign w:val="center"/>
          </w:tcPr>
          <w:p>
            <w:pPr>
              <w:pStyle w:val="16"/>
              <w:bidi w:val="0"/>
            </w:pPr>
            <w:r>
              <w:rPr>
                <w:rFonts w:hint="eastAsia"/>
              </w:rPr>
              <w:t>15000</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2" w:type="pct"/>
            <w:shd w:val="clear" w:color="auto" w:fill="auto"/>
            <w:noWrap/>
            <w:vAlign w:val="center"/>
          </w:tcPr>
          <w:p>
            <w:pPr>
              <w:pStyle w:val="16"/>
              <w:bidi w:val="0"/>
            </w:pPr>
            <w:r>
              <w:rPr>
                <w:rFonts w:hint="eastAsia"/>
              </w:rPr>
              <w:t>20000</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2" w:type="pct"/>
            <w:shd w:val="clear" w:color="auto" w:fill="auto"/>
            <w:noWrap/>
            <w:vAlign w:val="center"/>
          </w:tcPr>
          <w:p>
            <w:pPr>
              <w:pStyle w:val="16"/>
              <w:bidi w:val="0"/>
            </w:pPr>
            <w:r>
              <w:rPr>
                <w:rFonts w:hint="eastAsia"/>
              </w:rPr>
              <w:t>15000</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2" w:type="pct"/>
            <w:shd w:val="clear" w:color="auto" w:fill="auto"/>
            <w:noWrap/>
            <w:vAlign w:val="center"/>
          </w:tcPr>
          <w:p>
            <w:pPr>
              <w:pStyle w:val="16"/>
              <w:bidi w:val="0"/>
            </w:pPr>
            <w:r>
              <w:rPr>
                <w:rFonts w:hint="eastAsia"/>
              </w:rPr>
              <w:t>20000</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c>
          <w:tcPr>
            <w:tcW w:w="574" w:type="pct"/>
            <w:shd w:val="clear" w:color="auto" w:fill="auto"/>
            <w:noWrap/>
            <w:vAlign w:val="center"/>
          </w:tcPr>
          <w:p>
            <w:pPr>
              <w:pStyle w:val="16"/>
              <w:bidi w:val="0"/>
            </w:pPr>
            <w:r>
              <w:rPr>
                <w:rFonts w:hint="eastAsia"/>
                <w:lang w:val="en-US" w:eastAsia="zh-CN"/>
              </w:rPr>
              <w:t xml:space="preserve">0.000030 </w:t>
            </w:r>
          </w:p>
        </w:tc>
      </w:tr>
    </w:tbl>
    <w:p>
      <w:pPr>
        <w:spacing w:line="240" w:lineRule="auto"/>
        <w:ind w:firstLine="482"/>
        <w:jc w:val="center"/>
        <w:rPr>
          <w:b/>
          <w:bCs/>
          <w:u w:val="none"/>
        </w:rPr>
      </w:pPr>
      <w:r>
        <w:rPr>
          <w:b/>
          <w:bCs/>
          <w:u w:val="none"/>
        </w:rPr>
        <w:t>表</w:t>
      </w:r>
      <w:r>
        <w:rPr>
          <w:rFonts w:hint="eastAsia"/>
          <w:b/>
          <w:bCs/>
          <w:u w:val="none"/>
        </w:rPr>
        <w:t>6.1.4-1</w:t>
      </w:r>
      <w:r>
        <w:rPr>
          <w:rFonts w:hint="eastAsia"/>
          <w:b/>
          <w:bCs/>
          <w:u w:val="none"/>
          <w:lang w:val="en-US" w:eastAsia="zh-CN"/>
        </w:rPr>
        <w:t>3</w:t>
      </w:r>
      <w:r>
        <w:rPr>
          <w:rFonts w:hint="eastAsia"/>
          <w:b/>
          <w:bCs/>
          <w:u w:val="none"/>
        </w:rPr>
        <w:t>非</w:t>
      </w:r>
      <w:r>
        <w:rPr>
          <w:b/>
          <w:bCs/>
          <w:u w:val="none"/>
        </w:rPr>
        <w:t>正常排放对枯水期</w:t>
      </w:r>
      <w:r>
        <w:rPr>
          <w:rFonts w:hint="eastAsia"/>
          <w:b/>
          <w:bCs/>
          <w:u w:val="none"/>
        </w:rPr>
        <w:t>资水</w:t>
      </w:r>
      <w:r>
        <w:rPr>
          <w:b/>
          <w:bCs/>
          <w:u w:val="none"/>
        </w:rPr>
        <w:t>评价河段</w:t>
      </w:r>
      <w:r>
        <w:rPr>
          <w:rFonts w:hint="eastAsia"/>
          <w:b/>
          <w:bCs/>
          <w:u w:val="none"/>
        </w:rPr>
        <w:t>镉</w:t>
      </w:r>
      <w:r>
        <w:rPr>
          <w:b/>
          <w:bCs/>
          <w:u w:val="none"/>
        </w:rPr>
        <w:t>浓度预测值</w:t>
      </w:r>
    </w:p>
    <w:tbl>
      <w:tblPr>
        <w:tblStyle w:val="3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881"/>
        <w:gridCol w:w="935"/>
        <w:gridCol w:w="935"/>
        <w:gridCol w:w="935"/>
        <w:gridCol w:w="936"/>
        <w:gridCol w:w="846"/>
        <w:gridCol w:w="846"/>
        <w:gridCol w:w="846"/>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07" w:type="pct"/>
            <w:shd w:val="clear" w:color="auto" w:fill="auto"/>
            <w:noWrap/>
            <w:vAlign w:val="center"/>
          </w:tcPr>
          <w:p>
            <w:pPr>
              <w:pStyle w:val="16"/>
              <w:jc w:val="center"/>
              <w:rPr>
                <w:u w:val="none"/>
              </w:rPr>
            </w:pPr>
            <w:r>
              <w:rPr>
                <w:rFonts w:hint="eastAsia"/>
                <w:u w:val="none"/>
              </w:rPr>
              <w:t>X/Y</w:t>
            </w:r>
          </w:p>
        </w:tc>
        <w:tc>
          <w:tcPr>
            <w:tcW w:w="483" w:type="pct"/>
            <w:shd w:val="clear" w:color="auto" w:fill="auto"/>
            <w:noWrap/>
            <w:vAlign w:val="center"/>
          </w:tcPr>
          <w:p>
            <w:pPr>
              <w:pStyle w:val="16"/>
              <w:jc w:val="center"/>
              <w:rPr>
                <w:u w:val="none"/>
              </w:rPr>
            </w:pPr>
            <w:r>
              <w:rPr>
                <w:rFonts w:hint="eastAsia"/>
                <w:u w:val="none"/>
              </w:rPr>
              <w:t>1</w:t>
            </w:r>
          </w:p>
        </w:tc>
        <w:tc>
          <w:tcPr>
            <w:tcW w:w="512" w:type="pct"/>
            <w:shd w:val="clear" w:color="auto" w:fill="auto"/>
            <w:noWrap/>
            <w:vAlign w:val="center"/>
          </w:tcPr>
          <w:p>
            <w:pPr>
              <w:pStyle w:val="16"/>
              <w:jc w:val="center"/>
              <w:rPr>
                <w:u w:val="none"/>
              </w:rPr>
            </w:pPr>
            <w:r>
              <w:rPr>
                <w:rFonts w:hint="eastAsia"/>
                <w:u w:val="none"/>
              </w:rPr>
              <w:t>20</w:t>
            </w:r>
          </w:p>
        </w:tc>
        <w:tc>
          <w:tcPr>
            <w:tcW w:w="512" w:type="pct"/>
            <w:shd w:val="clear" w:color="auto" w:fill="auto"/>
            <w:noWrap/>
            <w:vAlign w:val="center"/>
          </w:tcPr>
          <w:p>
            <w:pPr>
              <w:pStyle w:val="16"/>
              <w:jc w:val="center"/>
              <w:rPr>
                <w:u w:val="none"/>
              </w:rPr>
            </w:pPr>
            <w:r>
              <w:rPr>
                <w:rFonts w:hint="eastAsia"/>
                <w:u w:val="none"/>
              </w:rPr>
              <w:t>50</w:t>
            </w:r>
          </w:p>
        </w:tc>
        <w:tc>
          <w:tcPr>
            <w:tcW w:w="512" w:type="pct"/>
            <w:shd w:val="clear" w:color="auto" w:fill="auto"/>
            <w:noWrap/>
            <w:vAlign w:val="center"/>
          </w:tcPr>
          <w:p>
            <w:pPr>
              <w:pStyle w:val="16"/>
              <w:jc w:val="center"/>
              <w:rPr>
                <w:u w:val="none"/>
              </w:rPr>
            </w:pPr>
            <w:r>
              <w:rPr>
                <w:rFonts w:hint="eastAsia"/>
                <w:u w:val="none"/>
              </w:rPr>
              <w:t>100</w:t>
            </w:r>
          </w:p>
        </w:tc>
        <w:tc>
          <w:tcPr>
            <w:tcW w:w="512" w:type="pct"/>
            <w:shd w:val="clear" w:color="auto" w:fill="auto"/>
            <w:noWrap/>
            <w:vAlign w:val="center"/>
          </w:tcPr>
          <w:p>
            <w:pPr>
              <w:pStyle w:val="16"/>
              <w:jc w:val="center"/>
              <w:rPr>
                <w:u w:val="none"/>
              </w:rPr>
            </w:pPr>
            <w:r>
              <w:rPr>
                <w:rFonts w:hint="eastAsia"/>
                <w:u w:val="none"/>
              </w:rPr>
              <w:t>150</w:t>
            </w:r>
          </w:p>
        </w:tc>
        <w:tc>
          <w:tcPr>
            <w:tcW w:w="458" w:type="pct"/>
            <w:shd w:val="clear" w:color="auto" w:fill="auto"/>
            <w:noWrap/>
            <w:vAlign w:val="center"/>
          </w:tcPr>
          <w:p>
            <w:pPr>
              <w:pStyle w:val="16"/>
              <w:jc w:val="center"/>
              <w:rPr>
                <w:u w:val="none"/>
              </w:rPr>
            </w:pPr>
            <w:r>
              <w:rPr>
                <w:rFonts w:hint="eastAsia"/>
                <w:u w:val="none"/>
              </w:rPr>
              <w:t>200</w:t>
            </w:r>
          </w:p>
        </w:tc>
        <w:tc>
          <w:tcPr>
            <w:tcW w:w="466" w:type="pct"/>
            <w:shd w:val="clear" w:color="auto" w:fill="auto"/>
            <w:noWrap/>
            <w:vAlign w:val="center"/>
          </w:tcPr>
          <w:p>
            <w:pPr>
              <w:pStyle w:val="16"/>
              <w:jc w:val="center"/>
              <w:rPr>
                <w:u w:val="none"/>
              </w:rPr>
            </w:pPr>
            <w:r>
              <w:rPr>
                <w:rFonts w:hint="eastAsia"/>
                <w:u w:val="none"/>
              </w:rPr>
              <w:t>250</w:t>
            </w:r>
          </w:p>
        </w:tc>
        <w:tc>
          <w:tcPr>
            <w:tcW w:w="466" w:type="pct"/>
            <w:shd w:val="clear" w:color="auto" w:fill="auto"/>
            <w:noWrap/>
            <w:vAlign w:val="center"/>
          </w:tcPr>
          <w:p>
            <w:pPr>
              <w:pStyle w:val="16"/>
              <w:jc w:val="center"/>
              <w:rPr>
                <w:u w:val="none"/>
              </w:rPr>
            </w:pPr>
            <w:r>
              <w:rPr>
                <w:rFonts w:hint="eastAsia"/>
                <w:u w:val="none"/>
              </w:rPr>
              <w:t>300</w:t>
            </w:r>
          </w:p>
        </w:tc>
        <w:tc>
          <w:tcPr>
            <w:tcW w:w="466" w:type="pct"/>
            <w:shd w:val="clear" w:color="auto" w:fill="auto"/>
            <w:noWrap/>
            <w:vAlign w:val="center"/>
          </w:tcPr>
          <w:p>
            <w:pPr>
              <w:pStyle w:val="16"/>
              <w:jc w:val="center"/>
              <w:rPr>
                <w:u w:val="none"/>
              </w:rPr>
            </w:pPr>
            <w:r>
              <w:rPr>
                <w:rFonts w:hint="eastAsia"/>
                <w:u w:val="none"/>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6" w:type="dxa"/>
            <w:shd w:val="clear" w:color="auto" w:fill="auto"/>
            <w:noWrap/>
            <w:vAlign w:val="center"/>
          </w:tcPr>
          <w:p>
            <w:pPr>
              <w:pStyle w:val="16"/>
              <w:jc w:val="center"/>
              <w:rPr>
                <w:u w:val="none"/>
              </w:rPr>
            </w:pPr>
            <w:r>
              <w:rPr>
                <w:rFonts w:hint="eastAsia"/>
                <w:u w:val="none"/>
              </w:rPr>
              <w:t>1</w:t>
            </w:r>
          </w:p>
        </w:tc>
        <w:tc>
          <w:tcPr>
            <w:tcW w:w="483"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458"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6" w:type="dxa"/>
            <w:shd w:val="clear" w:color="auto" w:fill="auto"/>
            <w:noWrap/>
            <w:vAlign w:val="center"/>
          </w:tcPr>
          <w:p>
            <w:pPr>
              <w:pStyle w:val="16"/>
              <w:jc w:val="center"/>
              <w:rPr>
                <w:u w:val="none"/>
              </w:rPr>
            </w:pPr>
            <w:r>
              <w:rPr>
                <w:rFonts w:hint="eastAsia"/>
                <w:u w:val="none"/>
              </w:rPr>
              <w:t>10</w:t>
            </w:r>
          </w:p>
        </w:tc>
        <w:tc>
          <w:tcPr>
            <w:tcW w:w="483"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458"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6" w:type="dxa"/>
            <w:shd w:val="clear" w:color="auto" w:fill="auto"/>
            <w:noWrap/>
            <w:vAlign w:val="center"/>
          </w:tcPr>
          <w:p>
            <w:pPr>
              <w:pStyle w:val="16"/>
              <w:jc w:val="center"/>
              <w:rPr>
                <w:u w:val="none"/>
              </w:rPr>
            </w:pPr>
            <w:r>
              <w:rPr>
                <w:rFonts w:hint="eastAsia"/>
                <w:u w:val="none"/>
              </w:rPr>
              <w:t>100</w:t>
            </w:r>
          </w:p>
        </w:tc>
        <w:tc>
          <w:tcPr>
            <w:tcW w:w="483"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458"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6" w:type="dxa"/>
            <w:shd w:val="clear" w:color="auto" w:fill="auto"/>
            <w:noWrap/>
            <w:vAlign w:val="center"/>
          </w:tcPr>
          <w:p>
            <w:pPr>
              <w:pStyle w:val="16"/>
              <w:jc w:val="center"/>
              <w:rPr>
                <w:u w:val="none"/>
              </w:rPr>
            </w:pPr>
            <w:r>
              <w:rPr>
                <w:rFonts w:hint="eastAsia"/>
                <w:u w:val="none"/>
              </w:rPr>
              <w:t>200</w:t>
            </w:r>
          </w:p>
        </w:tc>
        <w:tc>
          <w:tcPr>
            <w:tcW w:w="483"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458"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6" w:type="dxa"/>
            <w:shd w:val="clear" w:color="auto" w:fill="auto"/>
            <w:noWrap/>
            <w:vAlign w:val="center"/>
          </w:tcPr>
          <w:p>
            <w:pPr>
              <w:pStyle w:val="16"/>
              <w:jc w:val="center"/>
              <w:rPr>
                <w:u w:val="none"/>
              </w:rPr>
            </w:pPr>
            <w:r>
              <w:rPr>
                <w:rFonts w:hint="eastAsia"/>
                <w:u w:val="none"/>
              </w:rPr>
              <w:t>600</w:t>
            </w:r>
          </w:p>
        </w:tc>
        <w:tc>
          <w:tcPr>
            <w:tcW w:w="483"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458"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6" w:type="dxa"/>
            <w:shd w:val="clear" w:color="auto" w:fill="auto"/>
            <w:noWrap/>
            <w:vAlign w:val="center"/>
          </w:tcPr>
          <w:p>
            <w:pPr>
              <w:pStyle w:val="16"/>
              <w:jc w:val="center"/>
              <w:rPr>
                <w:u w:val="none"/>
              </w:rPr>
            </w:pPr>
            <w:r>
              <w:rPr>
                <w:rFonts w:hint="eastAsia"/>
                <w:u w:val="none"/>
              </w:rPr>
              <w:t>800</w:t>
            </w:r>
          </w:p>
        </w:tc>
        <w:tc>
          <w:tcPr>
            <w:tcW w:w="483"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458"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6" w:type="dxa"/>
            <w:shd w:val="clear" w:color="auto" w:fill="auto"/>
            <w:noWrap/>
            <w:vAlign w:val="center"/>
          </w:tcPr>
          <w:p>
            <w:pPr>
              <w:pStyle w:val="16"/>
              <w:jc w:val="center"/>
              <w:rPr>
                <w:u w:val="none"/>
              </w:rPr>
            </w:pPr>
            <w:r>
              <w:rPr>
                <w:rFonts w:hint="eastAsia"/>
                <w:u w:val="none"/>
              </w:rPr>
              <w:t>1000</w:t>
            </w:r>
          </w:p>
        </w:tc>
        <w:tc>
          <w:tcPr>
            <w:tcW w:w="483"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458"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6" w:type="dxa"/>
            <w:shd w:val="clear" w:color="auto" w:fill="auto"/>
            <w:noWrap/>
            <w:vAlign w:val="center"/>
          </w:tcPr>
          <w:p>
            <w:pPr>
              <w:pStyle w:val="16"/>
              <w:jc w:val="center"/>
              <w:rPr>
                <w:u w:val="none"/>
              </w:rPr>
            </w:pPr>
            <w:r>
              <w:rPr>
                <w:rFonts w:hint="eastAsia"/>
                <w:u w:val="none"/>
              </w:rPr>
              <w:t>2000</w:t>
            </w:r>
          </w:p>
        </w:tc>
        <w:tc>
          <w:tcPr>
            <w:tcW w:w="483"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458"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6" w:type="dxa"/>
            <w:shd w:val="clear" w:color="auto" w:fill="auto"/>
            <w:noWrap/>
            <w:vAlign w:val="center"/>
          </w:tcPr>
          <w:p>
            <w:pPr>
              <w:pStyle w:val="16"/>
              <w:jc w:val="center"/>
              <w:rPr>
                <w:u w:val="none"/>
              </w:rPr>
            </w:pPr>
            <w:r>
              <w:rPr>
                <w:rFonts w:hint="eastAsia"/>
                <w:u w:val="none"/>
              </w:rPr>
              <w:t>3000</w:t>
            </w:r>
          </w:p>
        </w:tc>
        <w:tc>
          <w:tcPr>
            <w:tcW w:w="483"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458"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6" w:type="dxa"/>
            <w:shd w:val="clear" w:color="auto" w:fill="auto"/>
            <w:noWrap/>
            <w:vAlign w:val="center"/>
          </w:tcPr>
          <w:p>
            <w:pPr>
              <w:pStyle w:val="16"/>
              <w:jc w:val="center"/>
              <w:rPr>
                <w:u w:val="none"/>
              </w:rPr>
            </w:pPr>
            <w:r>
              <w:rPr>
                <w:rFonts w:hint="eastAsia"/>
                <w:u w:val="none"/>
              </w:rPr>
              <w:t>4000</w:t>
            </w:r>
          </w:p>
        </w:tc>
        <w:tc>
          <w:tcPr>
            <w:tcW w:w="483"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458"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6" w:type="dxa"/>
            <w:shd w:val="clear" w:color="auto" w:fill="auto"/>
            <w:noWrap/>
            <w:vAlign w:val="center"/>
          </w:tcPr>
          <w:p>
            <w:pPr>
              <w:pStyle w:val="16"/>
              <w:jc w:val="center"/>
              <w:rPr>
                <w:u w:val="none"/>
              </w:rPr>
            </w:pPr>
            <w:r>
              <w:rPr>
                <w:rFonts w:hint="eastAsia"/>
                <w:u w:val="none"/>
              </w:rPr>
              <w:t>5000</w:t>
            </w:r>
          </w:p>
        </w:tc>
        <w:tc>
          <w:tcPr>
            <w:tcW w:w="483"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458"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6" w:type="dxa"/>
            <w:shd w:val="clear" w:color="auto" w:fill="auto"/>
            <w:noWrap/>
            <w:vAlign w:val="center"/>
          </w:tcPr>
          <w:p>
            <w:pPr>
              <w:pStyle w:val="16"/>
              <w:jc w:val="center"/>
              <w:rPr>
                <w:u w:val="none"/>
              </w:rPr>
            </w:pPr>
            <w:r>
              <w:rPr>
                <w:rFonts w:hint="eastAsia"/>
                <w:u w:val="none"/>
              </w:rPr>
              <w:t>6000</w:t>
            </w:r>
          </w:p>
        </w:tc>
        <w:tc>
          <w:tcPr>
            <w:tcW w:w="483"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458"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6" w:type="dxa"/>
            <w:shd w:val="clear" w:color="auto" w:fill="auto"/>
            <w:noWrap/>
            <w:vAlign w:val="center"/>
          </w:tcPr>
          <w:p>
            <w:pPr>
              <w:pStyle w:val="16"/>
              <w:jc w:val="center"/>
              <w:rPr>
                <w:u w:val="none"/>
              </w:rPr>
            </w:pPr>
            <w:r>
              <w:rPr>
                <w:rFonts w:hint="eastAsia"/>
                <w:u w:val="none"/>
              </w:rPr>
              <w:t>8000</w:t>
            </w:r>
          </w:p>
        </w:tc>
        <w:tc>
          <w:tcPr>
            <w:tcW w:w="483"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458"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6" w:type="dxa"/>
            <w:shd w:val="clear" w:color="auto" w:fill="auto"/>
            <w:noWrap/>
            <w:vAlign w:val="center"/>
          </w:tcPr>
          <w:p>
            <w:pPr>
              <w:pStyle w:val="16"/>
              <w:jc w:val="center"/>
              <w:rPr>
                <w:u w:val="none"/>
              </w:rPr>
            </w:pPr>
            <w:r>
              <w:rPr>
                <w:rFonts w:hint="eastAsia"/>
                <w:u w:val="none"/>
              </w:rPr>
              <w:t>10000</w:t>
            </w:r>
          </w:p>
        </w:tc>
        <w:tc>
          <w:tcPr>
            <w:tcW w:w="483"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458"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6" w:type="dxa"/>
            <w:shd w:val="clear" w:color="auto" w:fill="auto"/>
            <w:noWrap/>
            <w:vAlign w:val="center"/>
          </w:tcPr>
          <w:p>
            <w:pPr>
              <w:pStyle w:val="16"/>
              <w:jc w:val="center"/>
              <w:rPr>
                <w:u w:val="none"/>
              </w:rPr>
            </w:pPr>
            <w:r>
              <w:rPr>
                <w:rFonts w:hint="eastAsia"/>
                <w:u w:val="none"/>
              </w:rPr>
              <w:t>15000</w:t>
            </w:r>
          </w:p>
        </w:tc>
        <w:tc>
          <w:tcPr>
            <w:tcW w:w="483"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458"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6" w:type="dxa"/>
            <w:shd w:val="clear" w:color="auto" w:fill="auto"/>
            <w:noWrap/>
            <w:vAlign w:val="center"/>
          </w:tcPr>
          <w:p>
            <w:pPr>
              <w:pStyle w:val="16"/>
              <w:jc w:val="center"/>
              <w:rPr>
                <w:u w:val="none"/>
              </w:rPr>
            </w:pPr>
            <w:r>
              <w:rPr>
                <w:rFonts w:hint="eastAsia"/>
                <w:u w:val="none"/>
              </w:rPr>
              <w:t>20000</w:t>
            </w:r>
          </w:p>
        </w:tc>
        <w:tc>
          <w:tcPr>
            <w:tcW w:w="483"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458"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6" w:type="dxa"/>
            <w:shd w:val="clear" w:color="auto" w:fill="auto"/>
            <w:noWrap/>
            <w:vAlign w:val="center"/>
          </w:tcPr>
          <w:p>
            <w:pPr>
              <w:pStyle w:val="16"/>
              <w:jc w:val="center"/>
              <w:rPr>
                <w:u w:val="none"/>
              </w:rPr>
            </w:pPr>
            <w:r>
              <w:rPr>
                <w:rFonts w:hint="eastAsia"/>
                <w:u w:val="none"/>
              </w:rPr>
              <w:t>15000</w:t>
            </w:r>
          </w:p>
        </w:tc>
        <w:tc>
          <w:tcPr>
            <w:tcW w:w="483"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458"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6" w:type="dxa"/>
            <w:shd w:val="clear" w:color="auto" w:fill="auto"/>
            <w:noWrap/>
            <w:vAlign w:val="center"/>
          </w:tcPr>
          <w:p>
            <w:pPr>
              <w:pStyle w:val="16"/>
              <w:jc w:val="center"/>
              <w:rPr>
                <w:u w:val="none"/>
              </w:rPr>
            </w:pPr>
            <w:r>
              <w:rPr>
                <w:rFonts w:hint="eastAsia"/>
                <w:u w:val="none"/>
              </w:rPr>
              <w:t>20000</w:t>
            </w:r>
          </w:p>
        </w:tc>
        <w:tc>
          <w:tcPr>
            <w:tcW w:w="483"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512" w:type="pct"/>
            <w:shd w:val="clear" w:color="auto" w:fill="auto"/>
            <w:noWrap/>
            <w:vAlign w:val="center"/>
          </w:tcPr>
          <w:p>
            <w:pPr>
              <w:pStyle w:val="16"/>
              <w:jc w:val="center"/>
              <w:rPr>
                <w:u w:val="none"/>
              </w:rPr>
            </w:pPr>
            <w:r>
              <w:rPr>
                <w:rFonts w:hint="eastAsia"/>
                <w:u w:val="none"/>
              </w:rPr>
              <w:t>0.0001</w:t>
            </w:r>
          </w:p>
        </w:tc>
        <w:tc>
          <w:tcPr>
            <w:tcW w:w="458"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c>
          <w:tcPr>
            <w:tcW w:w="466" w:type="pct"/>
            <w:shd w:val="clear" w:color="auto" w:fill="auto"/>
            <w:noWrap/>
            <w:vAlign w:val="center"/>
          </w:tcPr>
          <w:p>
            <w:pPr>
              <w:pStyle w:val="16"/>
              <w:jc w:val="center"/>
              <w:rPr>
                <w:u w:val="none"/>
              </w:rPr>
            </w:pPr>
            <w:r>
              <w:rPr>
                <w:rFonts w:hint="eastAsia"/>
                <w:u w:val="none"/>
              </w:rPr>
              <w:t>0.0001</w:t>
            </w:r>
          </w:p>
        </w:tc>
      </w:tr>
    </w:tbl>
    <w:p>
      <w:pPr>
        <w:spacing w:line="240" w:lineRule="auto"/>
        <w:ind w:firstLine="482"/>
        <w:jc w:val="center"/>
        <w:rPr>
          <w:u w:val="none"/>
        </w:rPr>
      </w:pPr>
      <w:r>
        <w:rPr>
          <w:b/>
          <w:bCs/>
          <w:u w:val="none"/>
        </w:rPr>
        <w:t>表</w:t>
      </w:r>
      <w:r>
        <w:rPr>
          <w:rFonts w:hint="eastAsia"/>
          <w:b/>
          <w:bCs/>
          <w:u w:val="none"/>
        </w:rPr>
        <w:t>6.1.4-1</w:t>
      </w:r>
      <w:r>
        <w:rPr>
          <w:rFonts w:hint="eastAsia"/>
          <w:b/>
          <w:bCs/>
          <w:u w:val="none"/>
          <w:lang w:val="en-US" w:eastAsia="zh-CN"/>
        </w:rPr>
        <w:t>4</w:t>
      </w:r>
      <w:r>
        <w:rPr>
          <w:rFonts w:hint="eastAsia"/>
          <w:b/>
          <w:bCs/>
          <w:u w:val="none"/>
        </w:rPr>
        <w:t>非</w:t>
      </w:r>
      <w:r>
        <w:rPr>
          <w:b/>
          <w:bCs/>
          <w:u w:val="none"/>
        </w:rPr>
        <w:t>正常排放对枯水期</w:t>
      </w:r>
      <w:r>
        <w:rPr>
          <w:rFonts w:hint="eastAsia"/>
          <w:b/>
          <w:bCs/>
          <w:u w:val="none"/>
        </w:rPr>
        <w:t>资水</w:t>
      </w:r>
      <w:r>
        <w:rPr>
          <w:b/>
          <w:bCs/>
          <w:u w:val="none"/>
        </w:rPr>
        <w:t>评价河段</w:t>
      </w:r>
      <w:r>
        <w:rPr>
          <w:rFonts w:hint="eastAsia"/>
          <w:b/>
          <w:bCs/>
          <w:u w:val="none"/>
        </w:rPr>
        <w:t>铬</w:t>
      </w:r>
      <w:r>
        <w:rPr>
          <w:b/>
          <w:bCs/>
          <w:u w:val="none"/>
        </w:rPr>
        <w:t>浓度预测值</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
        <w:gridCol w:w="923"/>
        <w:gridCol w:w="979"/>
        <w:gridCol w:w="979"/>
        <w:gridCol w:w="979"/>
        <w:gridCol w:w="979"/>
        <w:gridCol w:w="875"/>
        <w:gridCol w:w="892"/>
        <w:gridCol w:w="892"/>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X/Y</w:t>
            </w:r>
          </w:p>
        </w:tc>
        <w:tc>
          <w:tcPr>
            <w:tcW w:w="497" w:type="pct"/>
            <w:shd w:val="clear" w:color="auto" w:fill="auto"/>
            <w:noWrap/>
            <w:vAlign w:val="center"/>
          </w:tcPr>
          <w:p>
            <w:pPr>
              <w:pStyle w:val="16"/>
              <w:jc w:val="center"/>
              <w:rPr>
                <w:u w:val="none"/>
              </w:rPr>
            </w:pPr>
            <w:r>
              <w:rPr>
                <w:rFonts w:hint="eastAsia"/>
                <w:u w:val="none"/>
              </w:rPr>
              <w:t>1</w:t>
            </w:r>
          </w:p>
        </w:tc>
        <w:tc>
          <w:tcPr>
            <w:tcW w:w="527" w:type="pct"/>
            <w:shd w:val="clear" w:color="auto" w:fill="auto"/>
            <w:noWrap/>
            <w:vAlign w:val="center"/>
          </w:tcPr>
          <w:p>
            <w:pPr>
              <w:pStyle w:val="16"/>
              <w:jc w:val="center"/>
              <w:rPr>
                <w:u w:val="none"/>
              </w:rPr>
            </w:pPr>
            <w:r>
              <w:rPr>
                <w:rFonts w:hint="eastAsia"/>
                <w:u w:val="none"/>
              </w:rPr>
              <w:t>20</w:t>
            </w:r>
          </w:p>
        </w:tc>
        <w:tc>
          <w:tcPr>
            <w:tcW w:w="527" w:type="pct"/>
            <w:shd w:val="clear" w:color="auto" w:fill="auto"/>
            <w:noWrap/>
            <w:vAlign w:val="center"/>
          </w:tcPr>
          <w:p>
            <w:pPr>
              <w:pStyle w:val="16"/>
              <w:jc w:val="center"/>
              <w:rPr>
                <w:u w:val="none"/>
              </w:rPr>
            </w:pPr>
            <w:r>
              <w:rPr>
                <w:rFonts w:hint="eastAsia"/>
                <w:u w:val="none"/>
              </w:rPr>
              <w:t>50</w:t>
            </w:r>
          </w:p>
        </w:tc>
        <w:tc>
          <w:tcPr>
            <w:tcW w:w="527" w:type="pct"/>
            <w:shd w:val="clear" w:color="auto" w:fill="auto"/>
            <w:noWrap/>
            <w:vAlign w:val="center"/>
          </w:tcPr>
          <w:p>
            <w:pPr>
              <w:pStyle w:val="16"/>
              <w:jc w:val="center"/>
              <w:rPr>
                <w:u w:val="none"/>
              </w:rPr>
            </w:pPr>
            <w:r>
              <w:rPr>
                <w:rFonts w:hint="eastAsia"/>
                <w:u w:val="none"/>
              </w:rPr>
              <w:t>100</w:t>
            </w:r>
          </w:p>
        </w:tc>
        <w:tc>
          <w:tcPr>
            <w:tcW w:w="527" w:type="pct"/>
            <w:shd w:val="clear" w:color="auto" w:fill="auto"/>
            <w:noWrap/>
            <w:vAlign w:val="center"/>
          </w:tcPr>
          <w:p>
            <w:pPr>
              <w:pStyle w:val="16"/>
              <w:jc w:val="center"/>
              <w:rPr>
                <w:u w:val="none"/>
              </w:rPr>
            </w:pPr>
            <w:r>
              <w:rPr>
                <w:rFonts w:hint="eastAsia"/>
                <w:u w:val="none"/>
              </w:rPr>
              <w:t>150</w:t>
            </w:r>
          </w:p>
        </w:tc>
        <w:tc>
          <w:tcPr>
            <w:tcW w:w="471" w:type="pct"/>
            <w:shd w:val="clear" w:color="auto" w:fill="auto"/>
            <w:noWrap/>
            <w:vAlign w:val="center"/>
          </w:tcPr>
          <w:p>
            <w:pPr>
              <w:pStyle w:val="16"/>
              <w:jc w:val="center"/>
              <w:rPr>
                <w:u w:val="none"/>
              </w:rPr>
            </w:pPr>
            <w:r>
              <w:rPr>
                <w:rFonts w:hint="eastAsia"/>
                <w:u w:val="none"/>
              </w:rPr>
              <w:t>200</w:t>
            </w:r>
          </w:p>
        </w:tc>
        <w:tc>
          <w:tcPr>
            <w:tcW w:w="480" w:type="pct"/>
            <w:shd w:val="clear" w:color="auto" w:fill="auto"/>
            <w:noWrap/>
            <w:vAlign w:val="center"/>
          </w:tcPr>
          <w:p>
            <w:pPr>
              <w:pStyle w:val="16"/>
              <w:jc w:val="center"/>
              <w:rPr>
                <w:u w:val="none"/>
              </w:rPr>
            </w:pPr>
            <w:r>
              <w:rPr>
                <w:rFonts w:hint="eastAsia"/>
                <w:u w:val="none"/>
              </w:rPr>
              <w:t>250</w:t>
            </w:r>
          </w:p>
        </w:tc>
        <w:tc>
          <w:tcPr>
            <w:tcW w:w="480" w:type="pct"/>
            <w:shd w:val="clear" w:color="auto" w:fill="auto"/>
            <w:noWrap/>
            <w:vAlign w:val="center"/>
          </w:tcPr>
          <w:p>
            <w:pPr>
              <w:pStyle w:val="16"/>
              <w:jc w:val="center"/>
              <w:rPr>
                <w:u w:val="none"/>
              </w:rPr>
            </w:pPr>
            <w:r>
              <w:rPr>
                <w:rFonts w:hint="eastAsia"/>
                <w:u w:val="none"/>
              </w:rPr>
              <w:t>300</w:t>
            </w:r>
          </w:p>
        </w:tc>
        <w:tc>
          <w:tcPr>
            <w:tcW w:w="480" w:type="pct"/>
            <w:shd w:val="clear" w:color="auto" w:fill="auto"/>
            <w:noWrap/>
            <w:vAlign w:val="center"/>
          </w:tcPr>
          <w:p>
            <w:pPr>
              <w:pStyle w:val="16"/>
              <w:jc w:val="center"/>
              <w:rPr>
                <w:u w:val="none"/>
              </w:rPr>
            </w:pPr>
            <w:r>
              <w:rPr>
                <w:rFonts w:hint="eastAsia"/>
                <w:u w:val="none"/>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1</w:t>
            </w:r>
          </w:p>
        </w:tc>
        <w:tc>
          <w:tcPr>
            <w:tcW w:w="923" w:type="dxa"/>
            <w:shd w:val="clear" w:color="auto" w:fill="auto"/>
            <w:noWrap/>
            <w:vAlign w:val="center"/>
          </w:tcPr>
          <w:p>
            <w:pPr>
              <w:pStyle w:val="16"/>
              <w:bidi w:val="0"/>
              <w:rPr>
                <w:u w:val="none"/>
              </w:rPr>
            </w:pPr>
            <w:r>
              <w:rPr>
                <w:rFonts w:hint="eastAsia"/>
                <w:u w:val="none"/>
                <w:lang w:val="en-US" w:eastAsia="zh-CN"/>
              </w:rPr>
              <w:t xml:space="preserve">0.0011 </w:t>
            </w:r>
          </w:p>
        </w:tc>
        <w:tc>
          <w:tcPr>
            <w:tcW w:w="979" w:type="dxa"/>
            <w:shd w:val="clear" w:color="auto" w:fill="auto"/>
            <w:noWrap/>
            <w:vAlign w:val="center"/>
          </w:tcPr>
          <w:p>
            <w:pPr>
              <w:pStyle w:val="16"/>
              <w:bidi w:val="0"/>
              <w:rPr>
                <w:u w:val="none"/>
              </w:rPr>
            </w:pPr>
            <w:r>
              <w:rPr>
                <w:rFonts w:hint="eastAsia"/>
                <w:u w:val="none"/>
                <w:lang w:val="en-US" w:eastAsia="zh-CN"/>
              </w:rPr>
              <w:t xml:space="preserve">0.0003 </w:t>
            </w:r>
          </w:p>
        </w:tc>
        <w:tc>
          <w:tcPr>
            <w:tcW w:w="979" w:type="dxa"/>
            <w:shd w:val="clear" w:color="auto" w:fill="auto"/>
            <w:noWrap/>
            <w:vAlign w:val="center"/>
          </w:tcPr>
          <w:p>
            <w:pPr>
              <w:pStyle w:val="16"/>
              <w:bidi w:val="0"/>
              <w:rPr>
                <w:u w:val="none"/>
              </w:rPr>
            </w:pPr>
            <w:r>
              <w:rPr>
                <w:rFonts w:hint="eastAsia"/>
                <w:u w:val="none"/>
                <w:lang w:val="en-US" w:eastAsia="zh-CN"/>
              </w:rPr>
              <w:t xml:space="preserve">0.0002 </w:t>
            </w:r>
          </w:p>
        </w:tc>
        <w:tc>
          <w:tcPr>
            <w:tcW w:w="979" w:type="dxa"/>
            <w:shd w:val="clear" w:color="auto" w:fill="auto"/>
            <w:noWrap/>
            <w:vAlign w:val="center"/>
          </w:tcPr>
          <w:p>
            <w:pPr>
              <w:pStyle w:val="16"/>
              <w:bidi w:val="0"/>
              <w:rPr>
                <w:u w:val="none"/>
              </w:rPr>
            </w:pPr>
            <w:r>
              <w:rPr>
                <w:rFonts w:hint="eastAsia"/>
                <w:u w:val="none"/>
                <w:lang w:val="en-US" w:eastAsia="zh-CN"/>
              </w:rPr>
              <w:t xml:space="preserve">0.0002 </w:t>
            </w:r>
          </w:p>
        </w:tc>
        <w:tc>
          <w:tcPr>
            <w:tcW w:w="979" w:type="dxa"/>
            <w:shd w:val="clear" w:color="auto" w:fill="auto"/>
            <w:noWrap/>
            <w:vAlign w:val="center"/>
          </w:tcPr>
          <w:p>
            <w:pPr>
              <w:pStyle w:val="16"/>
              <w:bidi w:val="0"/>
              <w:rPr>
                <w:u w:val="none"/>
              </w:rPr>
            </w:pPr>
            <w:r>
              <w:rPr>
                <w:rFonts w:hint="eastAsia"/>
                <w:u w:val="none"/>
                <w:lang w:val="en-US" w:eastAsia="zh-CN"/>
              </w:rPr>
              <w:t xml:space="preserve">0.0002 </w:t>
            </w:r>
          </w:p>
        </w:tc>
        <w:tc>
          <w:tcPr>
            <w:tcW w:w="875" w:type="dxa"/>
            <w:shd w:val="clear" w:color="auto" w:fill="auto"/>
            <w:noWrap/>
            <w:vAlign w:val="center"/>
          </w:tcPr>
          <w:p>
            <w:pPr>
              <w:pStyle w:val="16"/>
              <w:bidi w:val="0"/>
              <w:rPr>
                <w:u w:val="none"/>
              </w:rPr>
            </w:pPr>
            <w:r>
              <w:rPr>
                <w:rFonts w:hint="eastAsia"/>
                <w:u w:val="none"/>
                <w:lang w:val="en-US" w:eastAsia="zh-CN"/>
              </w:rPr>
              <w:t xml:space="preserve">0.0002 </w:t>
            </w:r>
          </w:p>
        </w:tc>
        <w:tc>
          <w:tcPr>
            <w:tcW w:w="892" w:type="dxa"/>
            <w:shd w:val="clear" w:color="auto" w:fill="auto"/>
            <w:noWrap/>
            <w:vAlign w:val="center"/>
          </w:tcPr>
          <w:p>
            <w:pPr>
              <w:pStyle w:val="16"/>
              <w:bidi w:val="0"/>
              <w:rPr>
                <w:u w:val="none"/>
              </w:rPr>
            </w:pPr>
            <w:r>
              <w:rPr>
                <w:rFonts w:hint="eastAsia"/>
                <w:u w:val="none"/>
                <w:lang w:val="en-US" w:eastAsia="zh-CN"/>
              </w:rPr>
              <w:t xml:space="preserve">0.0002 </w:t>
            </w:r>
          </w:p>
        </w:tc>
        <w:tc>
          <w:tcPr>
            <w:tcW w:w="892" w:type="dxa"/>
            <w:shd w:val="clear" w:color="auto" w:fill="auto"/>
            <w:noWrap/>
            <w:vAlign w:val="center"/>
          </w:tcPr>
          <w:p>
            <w:pPr>
              <w:pStyle w:val="16"/>
              <w:bidi w:val="0"/>
              <w:rPr>
                <w:u w:val="none"/>
              </w:rPr>
            </w:pPr>
            <w:r>
              <w:rPr>
                <w:rFonts w:hint="eastAsia"/>
                <w:u w:val="none"/>
                <w:lang w:val="en-US" w:eastAsia="zh-CN"/>
              </w:rPr>
              <w:t xml:space="preserve">0.0002 </w:t>
            </w:r>
          </w:p>
        </w:tc>
        <w:tc>
          <w:tcPr>
            <w:tcW w:w="892" w:type="dxa"/>
            <w:shd w:val="clear" w:color="auto" w:fill="auto"/>
            <w:noWrap/>
            <w:vAlign w:val="center"/>
          </w:tcPr>
          <w:p>
            <w:pPr>
              <w:pStyle w:val="16"/>
              <w:bidi w:val="0"/>
              <w:rPr>
                <w:u w:val="none"/>
              </w:rPr>
            </w:pPr>
            <w:r>
              <w:rPr>
                <w:rFonts w:hint="eastAsia"/>
                <w:u w:val="none"/>
                <w:lang w:val="en-US" w:eastAsia="zh-CN"/>
              </w:rPr>
              <w:t xml:space="preserve">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10</w:t>
            </w:r>
          </w:p>
        </w:tc>
        <w:tc>
          <w:tcPr>
            <w:tcW w:w="923"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0.0002 </w:t>
            </w:r>
          </w:p>
        </w:tc>
        <w:tc>
          <w:tcPr>
            <w:tcW w:w="979" w:type="dxa"/>
            <w:shd w:val="clear" w:color="auto" w:fill="auto"/>
            <w:noWrap/>
            <w:vAlign w:val="center"/>
          </w:tcPr>
          <w:p>
            <w:pPr>
              <w:pStyle w:val="16"/>
              <w:bidi w:val="0"/>
              <w:rPr>
                <w:u w:val="none"/>
              </w:rPr>
            </w:pPr>
            <w:r>
              <w:rPr>
                <w:rFonts w:hint="eastAsia"/>
                <w:u w:val="none"/>
                <w:lang w:val="en-US" w:eastAsia="zh-CN"/>
              </w:rPr>
              <w:t xml:space="preserve">0.0002 </w:t>
            </w:r>
          </w:p>
        </w:tc>
        <w:tc>
          <w:tcPr>
            <w:tcW w:w="979" w:type="dxa"/>
            <w:shd w:val="clear" w:color="auto" w:fill="auto"/>
            <w:noWrap/>
            <w:vAlign w:val="center"/>
          </w:tcPr>
          <w:p>
            <w:pPr>
              <w:pStyle w:val="16"/>
              <w:bidi w:val="0"/>
              <w:rPr>
                <w:u w:val="none"/>
              </w:rPr>
            </w:pPr>
            <w:r>
              <w:rPr>
                <w:rFonts w:hint="eastAsia"/>
                <w:u w:val="none"/>
                <w:lang w:val="en-US" w:eastAsia="zh-CN"/>
              </w:rPr>
              <w:t xml:space="preserve">0.0002 </w:t>
            </w:r>
          </w:p>
        </w:tc>
        <w:tc>
          <w:tcPr>
            <w:tcW w:w="979" w:type="dxa"/>
            <w:shd w:val="clear" w:color="auto" w:fill="auto"/>
            <w:noWrap/>
            <w:vAlign w:val="center"/>
          </w:tcPr>
          <w:p>
            <w:pPr>
              <w:pStyle w:val="16"/>
              <w:bidi w:val="0"/>
              <w:rPr>
                <w:u w:val="none"/>
              </w:rPr>
            </w:pPr>
            <w:r>
              <w:rPr>
                <w:rFonts w:hint="eastAsia"/>
                <w:u w:val="none"/>
                <w:lang w:val="en-US" w:eastAsia="zh-CN"/>
              </w:rPr>
              <w:t xml:space="preserve">0.0002 </w:t>
            </w:r>
          </w:p>
        </w:tc>
        <w:tc>
          <w:tcPr>
            <w:tcW w:w="875" w:type="dxa"/>
            <w:shd w:val="clear" w:color="auto" w:fill="auto"/>
            <w:noWrap/>
            <w:vAlign w:val="center"/>
          </w:tcPr>
          <w:p>
            <w:pPr>
              <w:pStyle w:val="16"/>
              <w:bidi w:val="0"/>
              <w:rPr>
                <w:u w:val="none"/>
              </w:rPr>
            </w:pPr>
            <w:r>
              <w:rPr>
                <w:rFonts w:hint="eastAsia"/>
                <w:u w:val="none"/>
                <w:lang w:val="en-US" w:eastAsia="zh-CN"/>
              </w:rPr>
              <w:t xml:space="preserve">0.0002 </w:t>
            </w:r>
          </w:p>
        </w:tc>
        <w:tc>
          <w:tcPr>
            <w:tcW w:w="892" w:type="dxa"/>
            <w:shd w:val="clear" w:color="auto" w:fill="auto"/>
            <w:noWrap/>
            <w:vAlign w:val="center"/>
          </w:tcPr>
          <w:p>
            <w:pPr>
              <w:pStyle w:val="16"/>
              <w:bidi w:val="0"/>
              <w:rPr>
                <w:u w:val="none"/>
              </w:rPr>
            </w:pPr>
            <w:r>
              <w:rPr>
                <w:rFonts w:hint="eastAsia"/>
                <w:u w:val="none"/>
                <w:lang w:val="en-US" w:eastAsia="zh-CN"/>
              </w:rPr>
              <w:t xml:space="preserve">0.0002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100</w:t>
            </w:r>
          </w:p>
        </w:tc>
        <w:tc>
          <w:tcPr>
            <w:tcW w:w="923"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875"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200</w:t>
            </w:r>
          </w:p>
        </w:tc>
        <w:tc>
          <w:tcPr>
            <w:tcW w:w="923"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875"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600</w:t>
            </w:r>
          </w:p>
        </w:tc>
        <w:tc>
          <w:tcPr>
            <w:tcW w:w="923"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875"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800</w:t>
            </w:r>
          </w:p>
        </w:tc>
        <w:tc>
          <w:tcPr>
            <w:tcW w:w="923"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875"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1000</w:t>
            </w:r>
          </w:p>
        </w:tc>
        <w:tc>
          <w:tcPr>
            <w:tcW w:w="923"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875"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2000</w:t>
            </w:r>
          </w:p>
        </w:tc>
        <w:tc>
          <w:tcPr>
            <w:tcW w:w="923"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875"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3000</w:t>
            </w:r>
          </w:p>
        </w:tc>
        <w:tc>
          <w:tcPr>
            <w:tcW w:w="923"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875"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4000</w:t>
            </w:r>
          </w:p>
        </w:tc>
        <w:tc>
          <w:tcPr>
            <w:tcW w:w="923"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875"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5000</w:t>
            </w:r>
          </w:p>
        </w:tc>
        <w:tc>
          <w:tcPr>
            <w:tcW w:w="923"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875"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6000</w:t>
            </w:r>
          </w:p>
        </w:tc>
        <w:tc>
          <w:tcPr>
            <w:tcW w:w="923"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875"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8000</w:t>
            </w:r>
          </w:p>
        </w:tc>
        <w:tc>
          <w:tcPr>
            <w:tcW w:w="923"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875"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10000</w:t>
            </w:r>
          </w:p>
        </w:tc>
        <w:tc>
          <w:tcPr>
            <w:tcW w:w="923"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875"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15000</w:t>
            </w:r>
          </w:p>
        </w:tc>
        <w:tc>
          <w:tcPr>
            <w:tcW w:w="923"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875"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20000</w:t>
            </w:r>
          </w:p>
        </w:tc>
        <w:tc>
          <w:tcPr>
            <w:tcW w:w="923"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875"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15000</w:t>
            </w:r>
          </w:p>
        </w:tc>
        <w:tc>
          <w:tcPr>
            <w:tcW w:w="923"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875"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shd w:val="clear" w:color="auto" w:fill="auto"/>
            <w:noWrap/>
            <w:vAlign w:val="center"/>
          </w:tcPr>
          <w:p>
            <w:pPr>
              <w:pStyle w:val="16"/>
              <w:jc w:val="center"/>
              <w:rPr>
                <w:u w:val="none"/>
              </w:rPr>
            </w:pPr>
            <w:r>
              <w:rPr>
                <w:rFonts w:hint="eastAsia"/>
                <w:u w:val="none"/>
              </w:rPr>
              <w:t>20000</w:t>
            </w:r>
          </w:p>
        </w:tc>
        <w:tc>
          <w:tcPr>
            <w:tcW w:w="923"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979" w:type="dxa"/>
            <w:shd w:val="clear" w:color="auto" w:fill="auto"/>
            <w:noWrap/>
            <w:vAlign w:val="center"/>
          </w:tcPr>
          <w:p>
            <w:pPr>
              <w:pStyle w:val="16"/>
              <w:bidi w:val="0"/>
              <w:rPr>
                <w:u w:val="none"/>
              </w:rPr>
            </w:pPr>
            <w:r>
              <w:rPr>
                <w:rFonts w:hint="eastAsia"/>
                <w:u w:val="none"/>
                <w:lang w:val="en-US" w:eastAsia="zh-CN"/>
              </w:rPr>
              <w:t xml:space="preserve">0.0001 </w:t>
            </w:r>
          </w:p>
        </w:tc>
        <w:tc>
          <w:tcPr>
            <w:tcW w:w="875"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c>
          <w:tcPr>
            <w:tcW w:w="892" w:type="dxa"/>
            <w:shd w:val="clear" w:color="auto" w:fill="auto"/>
            <w:noWrap/>
            <w:vAlign w:val="center"/>
          </w:tcPr>
          <w:p>
            <w:pPr>
              <w:pStyle w:val="16"/>
              <w:bidi w:val="0"/>
              <w:rPr>
                <w:u w:val="none"/>
              </w:rPr>
            </w:pPr>
            <w:r>
              <w:rPr>
                <w:rFonts w:hint="eastAsia"/>
                <w:u w:val="none"/>
                <w:lang w:val="en-US" w:eastAsia="zh-CN"/>
              </w:rPr>
              <w:t xml:space="preserve">0.0001 </w:t>
            </w:r>
          </w:p>
        </w:tc>
      </w:tr>
    </w:tbl>
    <w:p>
      <w:pPr>
        <w:spacing w:line="240" w:lineRule="auto"/>
        <w:ind w:firstLine="482"/>
        <w:jc w:val="center"/>
        <w:rPr>
          <w:b/>
          <w:bCs/>
          <w:u w:val="none"/>
        </w:rPr>
      </w:pPr>
      <w:r>
        <w:rPr>
          <w:b/>
          <w:bCs/>
          <w:u w:val="none"/>
        </w:rPr>
        <w:t>表</w:t>
      </w:r>
      <w:r>
        <w:rPr>
          <w:rFonts w:hint="eastAsia"/>
          <w:b/>
          <w:bCs/>
          <w:u w:val="none"/>
        </w:rPr>
        <w:t>6.1.4-1</w:t>
      </w:r>
      <w:r>
        <w:rPr>
          <w:rFonts w:hint="eastAsia"/>
          <w:b/>
          <w:bCs/>
          <w:u w:val="none"/>
          <w:lang w:val="en-US" w:eastAsia="zh-CN"/>
        </w:rPr>
        <w:t>5</w:t>
      </w:r>
      <w:r>
        <w:rPr>
          <w:rFonts w:hint="eastAsia"/>
          <w:b/>
          <w:bCs/>
          <w:u w:val="none"/>
        </w:rPr>
        <w:t>非</w:t>
      </w:r>
      <w:r>
        <w:rPr>
          <w:b/>
          <w:bCs/>
          <w:u w:val="none"/>
        </w:rPr>
        <w:t>正常排放对枯水期</w:t>
      </w:r>
      <w:r>
        <w:rPr>
          <w:rFonts w:hint="eastAsia"/>
          <w:b/>
          <w:bCs/>
          <w:u w:val="none"/>
        </w:rPr>
        <w:t>资水</w:t>
      </w:r>
      <w:r>
        <w:rPr>
          <w:b/>
          <w:bCs/>
          <w:u w:val="none"/>
        </w:rPr>
        <w:t>评价河段</w:t>
      </w:r>
      <w:r>
        <w:rPr>
          <w:rFonts w:hint="eastAsia"/>
          <w:b/>
          <w:bCs/>
          <w:u w:val="none"/>
        </w:rPr>
        <w:t>铜</w:t>
      </w:r>
      <w:r>
        <w:rPr>
          <w:b/>
          <w:bCs/>
          <w:u w:val="none"/>
        </w:rPr>
        <w:t>浓度预测值</w:t>
      </w:r>
    </w:p>
    <w:tbl>
      <w:tblPr>
        <w:tblStyle w:val="31"/>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120"/>
        <w:gridCol w:w="944"/>
        <w:gridCol w:w="944"/>
        <w:gridCol w:w="944"/>
        <w:gridCol w:w="944"/>
        <w:gridCol w:w="944"/>
        <w:gridCol w:w="860"/>
        <w:gridCol w:w="860"/>
        <w:gridCol w:w="8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X/Y</w:t>
            </w:r>
          </w:p>
        </w:tc>
        <w:tc>
          <w:tcPr>
            <w:tcW w:w="1120" w:type="dxa"/>
            <w:tcBorders>
              <w:tl2br w:val="nil"/>
              <w:tr2bl w:val="nil"/>
            </w:tcBorders>
            <w:shd w:val="clear" w:color="auto" w:fill="auto"/>
            <w:noWrap/>
            <w:vAlign w:val="center"/>
          </w:tcPr>
          <w:p>
            <w:pPr>
              <w:pStyle w:val="16"/>
              <w:jc w:val="center"/>
              <w:rPr>
                <w:u w:val="none"/>
              </w:rPr>
            </w:pPr>
            <w:r>
              <w:rPr>
                <w:rFonts w:hint="eastAsia"/>
                <w:u w:val="none"/>
              </w:rPr>
              <w:t>1</w:t>
            </w:r>
          </w:p>
        </w:tc>
        <w:tc>
          <w:tcPr>
            <w:tcW w:w="944" w:type="dxa"/>
            <w:tcBorders>
              <w:tl2br w:val="nil"/>
              <w:tr2bl w:val="nil"/>
            </w:tcBorders>
            <w:shd w:val="clear" w:color="auto" w:fill="auto"/>
            <w:noWrap/>
            <w:vAlign w:val="center"/>
          </w:tcPr>
          <w:p>
            <w:pPr>
              <w:pStyle w:val="16"/>
              <w:jc w:val="center"/>
              <w:rPr>
                <w:u w:val="none"/>
              </w:rPr>
            </w:pPr>
            <w:r>
              <w:rPr>
                <w:rFonts w:hint="eastAsia"/>
                <w:u w:val="none"/>
              </w:rPr>
              <w:t>20</w:t>
            </w:r>
          </w:p>
        </w:tc>
        <w:tc>
          <w:tcPr>
            <w:tcW w:w="944" w:type="dxa"/>
            <w:tcBorders>
              <w:tl2br w:val="nil"/>
              <w:tr2bl w:val="nil"/>
            </w:tcBorders>
            <w:shd w:val="clear" w:color="auto" w:fill="auto"/>
            <w:noWrap/>
            <w:vAlign w:val="center"/>
          </w:tcPr>
          <w:p>
            <w:pPr>
              <w:pStyle w:val="16"/>
              <w:jc w:val="center"/>
              <w:rPr>
                <w:u w:val="none"/>
              </w:rPr>
            </w:pPr>
            <w:r>
              <w:rPr>
                <w:rFonts w:hint="eastAsia"/>
                <w:u w:val="none"/>
              </w:rPr>
              <w:t>50</w:t>
            </w:r>
          </w:p>
        </w:tc>
        <w:tc>
          <w:tcPr>
            <w:tcW w:w="944" w:type="dxa"/>
            <w:tcBorders>
              <w:tl2br w:val="nil"/>
              <w:tr2bl w:val="nil"/>
            </w:tcBorders>
            <w:shd w:val="clear" w:color="auto" w:fill="auto"/>
            <w:noWrap/>
            <w:vAlign w:val="center"/>
          </w:tcPr>
          <w:p>
            <w:pPr>
              <w:pStyle w:val="16"/>
              <w:jc w:val="center"/>
              <w:rPr>
                <w:u w:val="none"/>
              </w:rPr>
            </w:pPr>
            <w:r>
              <w:rPr>
                <w:rFonts w:hint="eastAsia"/>
                <w:u w:val="none"/>
              </w:rPr>
              <w:t>100</w:t>
            </w:r>
          </w:p>
        </w:tc>
        <w:tc>
          <w:tcPr>
            <w:tcW w:w="944" w:type="dxa"/>
            <w:tcBorders>
              <w:tl2br w:val="nil"/>
              <w:tr2bl w:val="nil"/>
            </w:tcBorders>
            <w:shd w:val="clear" w:color="auto" w:fill="auto"/>
            <w:noWrap/>
            <w:vAlign w:val="center"/>
          </w:tcPr>
          <w:p>
            <w:pPr>
              <w:pStyle w:val="16"/>
              <w:jc w:val="center"/>
              <w:rPr>
                <w:u w:val="none"/>
              </w:rPr>
            </w:pPr>
            <w:r>
              <w:rPr>
                <w:rFonts w:hint="eastAsia"/>
                <w:u w:val="none"/>
              </w:rPr>
              <w:t>150</w:t>
            </w:r>
          </w:p>
        </w:tc>
        <w:tc>
          <w:tcPr>
            <w:tcW w:w="944" w:type="dxa"/>
            <w:tcBorders>
              <w:tl2br w:val="nil"/>
              <w:tr2bl w:val="nil"/>
            </w:tcBorders>
            <w:shd w:val="clear" w:color="auto" w:fill="auto"/>
            <w:noWrap/>
            <w:vAlign w:val="center"/>
          </w:tcPr>
          <w:p>
            <w:pPr>
              <w:pStyle w:val="16"/>
              <w:jc w:val="center"/>
              <w:rPr>
                <w:u w:val="none"/>
              </w:rPr>
            </w:pPr>
            <w:r>
              <w:rPr>
                <w:rFonts w:hint="eastAsia"/>
                <w:u w:val="none"/>
              </w:rPr>
              <w:t>200</w:t>
            </w:r>
          </w:p>
        </w:tc>
        <w:tc>
          <w:tcPr>
            <w:tcW w:w="860" w:type="dxa"/>
            <w:tcBorders>
              <w:tl2br w:val="nil"/>
              <w:tr2bl w:val="nil"/>
            </w:tcBorders>
            <w:shd w:val="clear" w:color="auto" w:fill="auto"/>
            <w:noWrap/>
            <w:vAlign w:val="center"/>
          </w:tcPr>
          <w:p>
            <w:pPr>
              <w:pStyle w:val="16"/>
              <w:jc w:val="center"/>
              <w:rPr>
                <w:u w:val="none"/>
              </w:rPr>
            </w:pPr>
            <w:r>
              <w:rPr>
                <w:rFonts w:hint="eastAsia"/>
                <w:u w:val="none"/>
              </w:rPr>
              <w:t>250</w:t>
            </w:r>
          </w:p>
        </w:tc>
        <w:tc>
          <w:tcPr>
            <w:tcW w:w="860" w:type="dxa"/>
            <w:tcBorders>
              <w:tl2br w:val="nil"/>
              <w:tr2bl w:val="nil"/>
            </w:tcBorders>
            <w:shd w:val="clear" w:color="auto" w:fill="auto"/>
            <w:noWrap/>
            <w:vAlign w:val="center"/>
          </w:tcPr>
          <w:p>
            <w:pPr>
              <w:pStyle w:val="16"/>
              <w:jc w:val="center"/>
              <w:rPr>
                <w:u w:val="none"/>
              </w:rPr>
            </w:pPr>
            <w:r>
              <w:rPr>
                <w:rFonts w:hint="eastAsia"/>
                <w:u w:val="none"/>
              </w:rPr>
              <w:t>300</w:t>
            </w:r>
          </w:p>
        </w:tc>
        <w:tc>
          <w:tcPr>
            <w:tcW w:w="862" w:type="dxa"/>
            <w:tcBorders>
              <w:tl2br w:val="nil"/>
              <w:tr2bl w:val="nil"/>
            </w:tcBorders>
            <w:shd w:val="clear" w:color="auto" w:fill="auto"/>
            <w:noWrap/>
            <w:vAlign w:val="center"/>
          </w:tcPr>
          <w:p>
            <w:pPr>
              <w:pStyle w:val="16"/>
              <w:jc w:val="center"/>
              <w:rPr>
                <w:u w:val="none"/>
              </w:rPr>
            </w:pPr>
            <w:r>
              <w:rPr>
                <w:rFonts w:hint="eastAsia"/>
                <w:u w:val="none"/>
              </w:rPr>
              <w:t>311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1</w:t>
            </w:r>
          </w:p>
        </w:tc>
        <w:tc>
          <w:tcPr>
            <w:tcW w:w="112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1"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10</w:t>
            </w:r>
          </w:p>
        </w:tc>
        <w:tc>
          <w:tcPr>
            <w:tcW w:w="112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1"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100</w:t>
            </w:r>
          </w:p>
        </w:tc>
        <w:tc>
          <w:tcPr>
            <w:tcW w:w="112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1"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200</w:t>
            </w:r>
          </w:p>
        </w:tc>
        <w:tc>
          <w:tcPr>
            <w:tcW w:w="112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1"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600</w:t>
            </w:r>
          </w:p>
        </w:tc>
        <w:tc>
          <w:tcPr>
            <w:tcW w:w="112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1"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800</w:t>
            </w:r>
          </w:p>
        </w:tc>
        <w:tc>
          <w:tcPr>
            <w:tcW w:w="112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1"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1000</w:t>
            </w:r>
          </w:p>
        </w:tc>
        <w:tc>
          <w:tcPr>
            <w:tcW w:w="112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1"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2000</w:t>
            </w:r>
          </w:p>
        </w:tc>
        <w:tc>
          <w:tcPr>
            <w:tcW w:w="112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1"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3000</w:t>
            </w:r>
          </w:p>
        </w:tc>
        <w:tc>
          <w:tcPr>
            <w:tcW w:w="112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1"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4000</w:t>
            </w:r>
          </w:p>
        </w:tc>
        <w:tc>
          <w:tcPr>
            <w:tcW w:w="112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1"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5000</w:t>
            </w:r>
          </w:p>
        </w:tc>
        <w:tc>
          <w:tcPr>
            <w:tcW w:w="112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1"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6000</w:t>
            </w:r>
          </w:p>
        </w:tc>
        <w:tc>
          <w:tcPr>
            <w:tcW w:w="112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1"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8000</w:t>
            </w:r>
          </w:p>
        </w:tc>
        <w:tc>
          <w:tcPr>
            <w:tcW w:w="112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1"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10000</w:t>
            </w:r>
          </w:p>
        </w:tc>
        <w:tc>
          <w:tcPr>
            <w:tcW w:w="112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1"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15000</w:t>
            </w:r>
          </w:p>
        </w:tc>
        <w:tc>
          <w:tcPr>
            <w:tcW w:w="112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1"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7" w:type="dxa"/>
            <w:tcBorders>
              <w:tl2br w:val="nil"/>
              <w:tr2bl w:val="nil"/>
            </w:tcBorders>
            <w:shd w:val="clear" w:color="auto" w:fill="auto"/>
            <w:noWrap/>
            <w:vAlign w:val="center"/>
          </w:tcPr>
          <w:p>
            <w:pPr>
              <w:pStyle w:val="16"/>
              <w:jc w:val="center"/>
              <w:rPr>
                <w:u w:val="none"/>
              </w:rPr>
            </w:pPr>
            <w:r>
              <w:rPr>
                <w:rFonts w:hint="eastAsia"/>
                <w:u w:val="none"/>
              </w:rPr>
              <w:t>20000</w:t>
            </w:r>
          </w:p>
        </w:tc>
        <w:tc>
          <w:tcPr>
            <w:tcW w:w="112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944"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0"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c>
          <w:tcPr>
            <w:tcW w:w="861" w:type="dxa"/>
            <w:tcBorders>
              <w:tl2br w:val="nil"/>
              <w:tr2bl w:val="nil"/>
            </w:tcBorders>
            <w:shd w:val="clear" w:color="auto" w:fill="auto"/>
            <w:noWrap/>
            <w:vAlign w:val="center"/>
          </w:tcPr>
          <w:p>
            <w:pPr>
              <w:pStyle w:val="16"/>
              <w:bidi w:val="0"/>
              <w:rPr>
                <w:rFonts w:hint="default" w:ascii="Times New Roman" w:hAnsi="Times New Roman" w:cs="Times New Roman"/>
                <w:u w:val="none"/>
              </w:rPr>
            </w:pPr>
            <w:r>
              <w:rPr>
                <w:rFonts w:hint="default" w:ascii="Times New Roman" w:hAnsi="Times New Roman" w:cs="Times New Roman"/>
                <w:u w:val="none"/>
                <w:lang w:val="en-US" w:eastAsia="zh-CN"/>
              </w:rPr>
              <w:t xml:space="preserve">0.0013 </w:t>
            </w:r>
          </w:p>
        </w:tc>
      </w:tr>
    </w:tbl>
    <w:p>
      <w:pPr>
        <w:spacing w:line="240" w:lineRule="auto"/>
        <w:ind w:firstLine="482"/>
        <w:jc w:val="center"/>
        <w:rPr>
          <w:b/>
          <w:bCs/>
          <w:u w:val="none"/>
        </w:rPr>
      </w:pPr>
      <w:r>
        <w:rPr>
          <w:b/>
          <w:bCs/>
          <w:u w:val="none"/>
        </w:rPr>
        <w:t>表</w:t>
      </w:r>
      <w:r>
        <w:rPr>
          <w:rFonts w:hint="eastAsia"/>
          <w:b/>
          <w:bCs/>
          <w:u w:val="none"/>
        </w:rPr>
        <w:t>6.1.4-1</w:t>
      </w:r>
      <w:r>
        <w:rPr>
          <w:rFonts w:hint="eastAsia"/>
          <w:b/>
          <w:bCs/>
          <w:u w:val="none"/>
          <w:lang w:val="en-US" w:eastAsia="zh-CN"/>
        </w:rPr>
        <w:t>6</w:t>
      </w:r>
      <w:r>
        <w:rPr>
          <w:rFonts w:hint="eastAsia"/>
          <w:b/>
          <w:bCs/>
          <w:u w:val="none"/>
        </w:rPr>
        <w:t>非</w:t>
      </w:r>
      <w:r>
        <w:rPr>
          <w:b/>
          <w:bCs/>
          <w:u w:val="none"/>
        </w:rPr>
        <w:t>正常排放对枯水期</w:t>
      </w:r>
      <w:r>
        <w:rPr>
          <w:rFonts w:hint="eastAsia"/>
          <w:b/>
          <w:bCs/>
          <w:u w:val="none"/>
        </w:rPr>
        <w:t>资水</w:t>
      </w:r>
      <w:r>
        <w:rPr>
          <w:b/>
          <w:bCs/>
          <w:u w:val="none"/>
        </w:rPr>
        <w:t>评价河段</w:t>
      </w:r>
      <w:r>
        <w:rPr>
          <w:rFonts w:hint="eastAsia"/>
          <w:b/>
          <w:bCs/>
          <w:u w:val="none"/>
        </w:rPr>
        <w:t>锌</w:t>
      </w:r>
      <w:r>
        <w:rPr>
          <w:b/>
          <w:bCs/>
          <w:u w:val="none"/>
        </w:rPr>
        <w:t>浓度预测值</w:t>
      </w:r>
    </w:p>
    <w:tbl>
      <w:tblPr>
        <w:tblStyle w:val="3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926"/>
        <w:gridCol w:w="983"/>
        <w:gridCol w:w="983"/>
        <w:gridCol w:w="983"/>
        <w:gridCol w:w="983"/>
        <w:gridCol w:w="846"/>
        <w:gridCol w:w="894"/>
        <w:gridCol w:w="894"/>
        <w:gridCol w:w="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pct"/>
            <w:shd w:val="clear" w:color="auto" w:fill="auto"/>
            <w:noWrap/>
            <w:vAlign w:val="center"/>
          </w:tcPr>
          <w:p>
            <w:pPr>
              <w:pStyle w:val="16"/>
              <w:jc w:val="center"/>
              <w:rPr>
                <w:u w:val="none"/>
              </w:rPr>
            </w:pPr>
            <w:r>
              <w:rPr>
                <w:rFonts w:hint="eastAsia"/>
                <w:u w:val="none"/>
              </w:rPr>
              <w:t>X/Y</w:t>
            </w:r>
          </w:p>
        </w:tc>
        <w:tc>
          <w:tcPr>
            <w:tcW w:w="499" w:type="pct"/>
            <w:shd w:val="clear" w:color="auto" w:fill="auto"/>
            <w:noWrap/>
            <w:vAlign w:val="center"/>
          </w:tcPr>
          <w:p>
            <w:pPr>
              <w:pStyle w:val="16"/>
              <w:jc w:val="center"/>
              <w:rPr>
                <w:u w:val="none"/>
              </w:rPr>
            </w:pPr>
            <w:r>
              <w:rPr>
                <w:rFonts w:hint="eastAsia"/>
                <w:u w:val="none"/>
              </w:rPr>
              <w:t>1</w:t>
            </w:r>
          </w:p>
        </w:tc>
        <w:tc>
          <w:tcPr>
            <w:tcW w:w="529" w:type="pct"/>
            <w:shd w:val="clear" w:color="auto" w:fill="auto"/>
            <w:noWrap/>
            <w:vAlign w:val="center"/>
          </w:tcPr>
          <w:p>
            <w:pPr>
              <w:pStyle w:val="16"/>
              <w:jc w:val="center"/>
              <w:rPr>
                <w:u w:val="none"/>
              </w:rPr>
            </w:pPr>
            <w:r>
              <w:rPr>
                <w:rFonts w:hint="eastAsia"/>
                <w:u w:val="none"/>
              </w:rPr>
              <w:t>20</w:t>
            </w:r>
          </w:p>
        </w:tc>
        <w:tc>
          <w:tcPr>
            <w:tcW w:w="529" w:type="pct"/>
            <w:shd w:val="clear" w:color="auto" w:fill="auto"/>
            <w:noWrap/>
            <w:vAlign w:val="center"/>
          </w:tcPr>
          <w:p>
            <w:pPr>
              <w:pStyle w:val="16"/>
              <w:jc w:val="center"/>
              <w:rPr>
                <w:u w:val="none"/>
              </w:rPr>
            </w:pPr>
            <w:r>
              <w:rPr>
                <w:rFonts w:hint="eastAsia"/>
                <w:u w:val="none"/>
              </w:rPr>
              <w:t>50</w:t>
            </w:r>
          </w:p>
        </w:tc>
        <w:tc>
          <w:tcPr>
            <w:tcW w:w="529" w:type="pct"/>
            <w:shd w:val="clear" w:color="auto" w:fill="auto"/>
            <w:noWrap/>
            <w:vAlign w:val="center"/>
          </w:tcPr>
          <w:p>
            <w:pPr>
              <w:pStyle w:val="16"/>
              <w:jc w:val="center"/>
              <w:rPr>
                <w:u w:val="none"/>
              </w:rPr>
            </w:pPr>
            <w:r>
              <w:rPr>
                <w:rFonts w:hint="eastAsia"/>
                <w:u w:val="none"/>
              </w:rPr>
              <w:t>100</w:t>
            </w:r>
          </w:p>
        </w:tc>
        <w:tc>
          <w:tcPr>
            <w:tcW w:w="529" w:type="pct"/>
            <w:shd w:val="clear" w:color="auto" w:fill="auto"/>
            <w:noWrap/>
            <w:vAlign w:val="center"/>
          </w:tcPr>
          <w:p>
            <w:pPr>
              <w:pStyle w:val="16"/>
              <w:jc w:val="center"/>
              <w:rPr>
                <w:u w:val="none"/>
              </w:rPr>
            </w:pPr>
            <w:r>
              <w:rPr>
                <w:rFonts w:hint="eastAsia"/>
                <w:u w:val="none"/>
              </w:rPr>
              <w:t>150</w:t>
            </w:r>
          </w:p>
        </w:tc>
        <w:tc>
          <w:tcPr>
            <w:tcW w:w="455" w:type="pct"/>
            <w:shd w:val="clear" w:color="auto" w:fill="auto"/>
            <w:noWrap/>
            <w:vAlign w:val="center"/>
          </w:tcPr>
          <w:p>
            <w:pPr>
              <w:pStyle w:val="16"/>
              <w:jc w:val="center"/>
              <w:rPr>
                <w:u w:val="none"/>
              </w:rPr>
            </w:pPr>
            <w:r>
              <w:rPr>
                <w:rFonts w:hint="eastAsia"/>
                <w:u w:val="none"/>
              </w:rPr>
              <w:t>200</w:t>
            </w:r>
          </w:p>
        </w:tc>
        <w:tc>
          <w:tcPr>
            <w:tcW w:w="481" w:type="pct"/>
            <w:shd w:val="clear" w:color="auto" w:fill="auto"/>
            <w:noWrap/>
            <w:vAlign w:val="center"/>
          </w:tcPr>
          <w:p>
            <w:pPr>
              <w:pStyle w:val="16"/>
              <w:jc w:val="center"/>
              <w:rPr>
                <w:u w:val="none"/>
              </w:rPr>
            </w:pPr>
            <w:r>
              <w:rPr>
                <w:rFonts w:hint="eastAsia"/>
                <w:u w:val="none"/>
              </w:rPr>
              <w:t>250</w:t>
            </w:r>
          </w:p>
        </w:tc>
        <w:tc>
          <w:tcPr>
            <w:tcW w:w="481" w:type="pct"/>
            <w:shd w:val="clear" w:color="auto" w:fill="auto"/>
            <w:noWrap/>
            <w:vAlign w:val="center"/>
          </w:tcPr>
          <w:p>
            <w:pPr>
              <w:pStyle w:val="16"/>
              <w:jc w:val="center"/>
              <w:rPr>
                <w:u w:val="none"/>
              </w:rPr>
            </w:pPr>
            <w:r>
              <w:rPr>
                <w:rFonts w:hint="eastAsia"/>
                <w:u w:val="none"/>
              </w:rPr>
              <w:t>300</w:t>
            </w:r>
          </w:p>
        </w:tc>
        <w:tc>
          <w:tcPr>
            <w:tcW w:w="481" w:type="pct"/>
            <w:shd w:val="clear" w:color="auto" w:fill="auto"/>
            <w:noWrap/>
            <w:vAlign w:val="center"/>
          </w:tcPr>
          <w:p>
            <w:pPr>
              <w:pStyle w:val="16"/>
              <w:jc w:val="center"/>
              <w:rPr>
                <w:u w:val="none"/>
              </w:rPr>
            </w:pPr>
            <w:r>
              <w:rPr>
                <w:rFonts w:hint="eastAsia"/>
                <w:u w:val="none"/>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pct"/>
            <w:shd w:val="clear" w:color="auto" w:fill="auto"/>
            <w:noWrap/>
            <w:vAlign w:val="center"/>
          </w:tcPr>
          <w:p>
            <w:pPr>
              <w:pStyle w:val="16"/>
              <w:jc w:val="center"/>
              <w:rPr>
                <w:u w:val="none"/>
              </w:rPr>
            </w:pPr>
            <w:r>
              <w:rPr>
                <w:rFonts w:hint="eastAsia"/>
                <w:u w:val="none"/>
              </w:rPr>
              <w:t>1</w:t>
            </w:r>
          </w:p>
        </w:tc>
        <w:tc>
          <w:tcPr>
            <w:tcW w:w="926" w:type="dxa"/>
            <w:shd w:val="clear" w:color="auto" w:fill="auto"/>
            <w:noWrap/>
            <w:vAlign w:val="center"/>
          </w:tcPr>
          <w:p>
            <w:pPr>
              <w:pStyle w:val="16"/>
              <w:bidi w:val="0"/>
              <w:rPr>
                <w:u w:val="none"/>
              </w:rPr>
            </w:pPr>
            <w:r>
              <w:rPr>
                <w:rFonts w:hint="eastAsia"/>
                <w:u w:val="none"/>
                <w:lang w:val="en-US" w:eastAsia="zh-CN"/>
              </w:rPr>
              <w:t xml:space="preserve">0.0331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846"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pct"/>
            <w:shd w:val="clear" w:color="auto" w:fill="auto"/>
            <w:noWrap/>
            <w:vAlign w:val="center"/>
          </w:tcPr>
          <w:p>
            <w:pPr>
              <w:pStyle w:val="16"/>
              <w:jc w:val="center"/>
              <w:rPr>
                <w:u w:val="none"/>
              </w:rPr>
            </w:pPr>
            <w:r>
              <w:rPr>
                <w:rFonts w:hint="eastAsia"/>
                <w:u w:val="none"/>
              </w:rPr>
              <w:t>10</w:t>
            </w:r>
          </w:p>
        </w:tc>
        <w:tc>
          <w:tcPr>
            <w:tcW w:w="926"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846"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pct"/>
            <w:shd w:val="clear" w:color="auto" w:fill="auto"/>
            <w:noWrap/>
            <w:vAlign w:val="center"/>
          </w:tcPr>
          <w:p>
            <w:pPr>
              <w:pStyle w:val="16"/>
              <w:jc w:val="center"/>
              <w:rPr>
                <w:u w:val="none"/>
              </w:rPr>
            </w:pPr>
            <w:r>
              <w:rPr>
                <w:rFonts w:hint="eastAsia"/>
                <w:u w:val="none"/>
              </w:rPr>
              <w:t>100</w:t>
            </w:r>
          </w:p>
        </w:tc>
        <w:tc>
          <w:tcPr>
            <w:tcW w:w="926"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846"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pct"/>
            <w:shd w:val="clear" w:color="auto" w:fill="auto"/>
            <w:noWrap/>
            <w:vAlign w:val="center"/>
          </w:tcPr>
          <w:p>
            <w:pPr>
              <w:pStyle w:val="16"/>
              <w:jc w:val="center"/>
              <w:rPr>
                <w:u w:val="none"/>
              </w:rPr>
            </w:pPr>
            <w:r>
              <w:rPr>
                <w:rFonts w:hint="eastAsia"/>
                <w:u w:val="none"/>
              </w:rPr>
              <w:t>200</w:t>
            </w:r>
          </w:p>
        </w:tc>
        <w:tc>
          <w:tcPr>
            <w:tcW w:w="926"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846"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pct"/>
            <w:shd w:val="clear" w:color="auto" w:fill="auto"/>
            <w:noWrap/>
            <w:vAlign w:val="center"/>
          </w:tcPr>
          <w:p>
            <w:pPr>
              <w:pStyle w:val="16"/>
              <w:jc w:val="center"/>
              <w:rPr>
                <w:u w:val="none"/>
              </w:rPr>
            </w:pPr>
            <w:r>
              <w:rPr>
                <w:rFonts w:hint="eastAsia"/>
                <w:u w:val="none"/>
              </w:rPr>
              <w:t>600</w:t>
            </w:r>
          </w:p>
        </w:tc>
        <w:tc>
          <w:tcPr>
            <w:tcW w:w="926"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846"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pct"/>
            <w:shd w:val="clear" w:color="auto" w:fill="auto"/>
            <w:noWrap/>
            <w:vAlign w:val="center"/>
          </w:tcPr>
          <w:p>
            <w:pPr>
              <w:pStyle w:val="16"/>
              <w:jc w:val="center"/>
              <w:rPr>
                <w:u w:val="none"/>
              </w:rPr>
            </w:pPr>
            <w:r>
              <w:rPr>
                <w:rFonts w:hint="eastAsia"/>
                <w:u w:val="none"/>
              </w:rPr>
              <w:t>800</w:t>
            </w:r>
          </w:p>
        </w:tc>
        <w:tc>
          <w:tcPr>
            <w:tcW w:w="926"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846"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pct"/>
            <w:shd w:val="clear" w:color="auto" w:fill="auto"/>
            <w:noWrap/>
            <w:vAlign w:val="center"/>
          </w:tcPr>
          <w:p>
            <w:pPr>
              <w:pStyle w:val="16"/>
              <w:jc w:val="center"/>
              <w:rPr>
                <w:u w:val="none"/>
              </w:rPr>
            </w:pPr>
            <w:r>
              <w:rPr>
                <w:rFonts w:hint="eastAsia"/>
                <w:u w:val="none"/>
              </w:rPr>
              <w:t>1000</w:t>
            </w:r>
          </w:p>
        </w:tc>
        <w:tc>
          <w:tcPr>
            <w:tcW w:w="926"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846"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pct"/>
            <w:shd w:val="clear" w:color="auto" w:fill="auto"/>
            <w:noWrap/>
            <w:vAlign w:val="center"/>
          </w:tcPr>
          <w:p>
            <w:pPr>
              <w:pStyle w:val="16"/>
              <w:jc w:val="center"/>
              <w:rPr>
                <w:u w:val="none"/>
              </w:rPr>
            </w:pPr>
            <w:r>
              <w:rPr>
                <w:rFonts w:hint="eastAsia"/>
                <w:u w:val="none"/>
              </w:rPr>
              <w:t>2000</w:t>
            </w:r>
          </w:p>
        </w:tc>
        <w:tc>
          <w:tcPr>
            <w:tcW w:w="926"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846"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pct"/>
            <w:shd w:val="clear" w:color="auto" w:fill="auto"/>
            <w:noWrap/>
            <w:vAlign w:val="center"/>
          </w:tcPr>
          <w:p>
            <w:pPr>
              <w:pStyle w:val="16"/>
              <w:jc w:val="center"/>
              <w:rPr>
                <w:u w:val="none"/>
              </w:rPr>
            </w:pPr>
            <w:r>
              <w:rPr>
                <w:rFonts w:hint="eastAsia"/>
                <w:u w:val="none"/>
              </w:rPr>
              <w:t>3000</w:t>
            </w:r>
          </w:p>
        </w:tc>
        <w:tc>
          <w:tcPr>
            <w:tcW w:w="926"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846"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pct"/>
            <w:shd w:val="clear" w:color="auto" w:fill="auto"/>
            <w:noWrap/>
            <w:vAlign w:val="center"/>
          </w:tcPr>
          <w:p>
            <w:pPr>
              <w:pStyle w:val="16"/>
              <w:jc w:val="center"/>
              <w:rPr>
                <w:u w:val="none"/>
              </w:rPr>
            </w:pPr>
            <w:r>
              <w:rPr>
                <w:rFonts w:hint="eastAsia"/>
                <w:u w:val="none"/>
              </w:rPr>
              <w:t>4000</w:t>
            </w:r>
          </w:p>
        </w:tc>
        <w:tc>
          <w:tcPr>
            <w:tcW w:w="926"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846"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pct"/>
            <w:shd w:val="clear" w:color="auto" w:fill="auto"/>
            <w:noWrap/>
            <w:vAlign w:val="center"/>
          </w:tcPr>
          <w:p>
            <w:pPr>
              <w:pStyle w:val="16"/>
              <w:jc w:val="center"/>
              <w:rPr>
                <w:u w:val="none"/>
              </w:rPr>
            </w:pPr>
            <w:r>
              <w:rPr>
                <w:rFonts w:hint="eastAsia"/>
                <w:u w:val="none"/>
              </w:rPr>
              <w:t>5000</w:t>
            </w:r>
          </w:p>
        </w:tc>
        <w:tc>
          <w:tcPr>
            <w:tcW w:w="926"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846"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pct"/>
            <w:shd w:val="clear" w:color="auto" w:fill="auto"/>
            <w:noWrap/>
            <w:vAlign w:val="center"/>
          </w:tcPr>
          <w:p>
            <w:pPr>
              <w:pStyle w:val="16"/>
              <w:jc w:val="center"/>
              <w:rPr>
                <w:u w:val="none"/>
              </w:rPr>
            </w:pPr>
            <w:r>
              <w:rPr>
                <w:rFonts w:hint="eastAsia"/>
                <w:u w:val="none"/>
              </w:rPr>
              <w:t>6000</w:t>
            </w:r>
          </w:p>
        </w:tc>
        <w:tc>
          <w:tcPr>
            <w:tcW w:w="926"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846"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pct"/>
            <w:shd w:val="clear" w:color="auto" w:fill="auto"/>
            <w:noWrap/>
            <w:vAlign w:val="center"/>
          </w:tcPr>
          <w:p>
            <w:pPr>
              <w:pStyle w:val="16"/>
              <w:jc w:val="center"/>
              <w:rPr>
                <w:u w:val="none"/>
              </w:rPr>
            </w:pPr>
            <w:r>
              <w:rPr>
                <w:rFonts w:hint="eastAsia"/>
                <w:u w:val="none"/>
              </w:rPr>
              <w:t>8000</w:t>
            </w:r>
          </w:p>
        </w:tc>
        <w:tc>
          <w:tcPr>
            <w:tcW w:w="926"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846"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pct"/>
            <w:shd w:val="clear" w:color="auto" w:fill="auto"/>
            <w:noWrap/>
            <w:vAlign w:val="center"/>
          </w:tcPr>
          <w:p>
            <w:pPr>
              <w:pStyle w:val="16"/>
              <w:jc w:val="center"/>
              <w:rPr>
                <w:u w:val="none"/>
              </w:rPr>
            </w:pPr>
            <w:r>
              <w:rPr>
                <w:rFonts w:hint="eastAsia"/>
                <w:u w:val="none"/>
              </w:rPr>
              <w:t>10000</w:t>
            </w:r>
          </w:p>
        </w:tc>
        <w:tc>
          <w:tcPr>
            <w:tcW w:w="926"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846"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pct"/>
            <w:shd w:val="clear" w:color="auto" w:fill="auto"/>
            <w:noWrap/>
            <w:vAlign w:val="center"/>
          </w:tcPr>
          <w:p>
            <w:pPr>
              <w:pStyle w:val="16"/>
              <w:jc w:val="center"/>
              <w:rPr>
                <w:u w:val="none"/>
              </w:rPr>
            </w:pPr>
            <w:r>
              <w:rPr>
                <w:rFonts w:hint="eastAsia"/>
                <w:u w:val="none"/>
              </w:rPr>
              <w:t>15000</w:t>
            </w:r>
          </w:p>
        </w:tc>
        <w:tc>
          <w:tcPr>
            <w:tcW w:w="926"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846"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pct"/>
            <w:shd w:val="clear" w:color="auto" w:fill="auto"/>
            <w:noWrap/>
            <w:vAlign w:val="center"/>
          </w:tcPr>
          <w:p>
            <w:pPr>
              <w:pStyle w:val="16"/>
              <w:jc w:val="center"/>
              <w:rPr>
                <w:u w:val="none"/>
              </w:rPr>
            </w:pPr>
            <w:r>
              <w:rPr>
                <w:rFonts w:hint="eastAsia"/>
                <w:u w:val="none"/>
              </w:rPr>
              <w:t>20000</w:t>
            </w:r>
          </w:p>
        </w:tc>
        <w:tc>
          <w:tcPr>
            <w:tcW w:w="926"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846"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pct"/>
            <w:shd w:val="clear" w:color="auto" w:fill="auto"/>
            <w:noWrap/>
            <w:vAlign w:val="center"/>
          </w:tcPr>
          <w:p>
            <w:pPr>
              <w:pStyle w:val="16"/>
              <w:jc w:val="center"/>
              <w:rPr>
                <w:u w:val="none"/>
              </w:rPr>
            </w:pPr>
            <w:r>
              <w:rPr>
                <w:rFonts w:hint="eastAsia"/>
                <w:u w:val="none"/>
              </w:rPr>
              <w:t>15000</w:t>
            </w:r>
          </w:p>
        </w:tc>
        <w:tc>
          <w:tcPr>
            <w:tcW w:w="926"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846"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pct"/>
            <w:shd w:val="clear" w:color="auto" w:fill="auto"/>
            <w:noWrap/>
            <w:vAlign w:val="center"/>
          </w:tcPr>
          <w:p>
            <w:pPr>
              <w:pStyle w:val="16"/>
              <w:jc w:val="center"/>
              <w:rPr>
                <w:u w:val="none"/>
              </w:rPr>
            </w:pPr>
            <w:r>
              <w:rPr>
                <w:rFonts w:hint="eastAsia"/>
                <w:u w:val="none"/>
              </w:rPr>
              <w:t>20000</w:t>
            </w:r>
          </w:p>
        </w:tc>
        <w:tc>
          <w:tcPr>
            <w:tcW w:w="926"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983" w:type="dxa"/>
            <w:shd w:val="clear" w:color="auto" w:fill="auto"/>
            <w:noWrap/>
            <w:vAlign w:val="center"/>
          </w:tcPr>
          <w:p>
            <w:pPr>
              <w:pStyle w:val="16"/>
              <w:bidi w:val="0"/>
              <w:rPr>
                <w:u w:val="none"/>
              </w:rPr>
            </w:pPr>
            <w:r>
              <w:rPr>
                <w:rFonts w:hint="eastAsia"/>
                <w:u w:val="none"/>
                <w:lang w:val="en-US" w:eastAsia="zh-CN"/>
              </w:rPr>
              <w:t xml:space="preserve">0.0330 </w:t>
            </w:r>
          </w:p>
        </w:tc>
        <w:tc>
          <w:tcPr>
            <w:tcW w:w="846"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0.0330 </w:t>
            </w:r>
          </w:p>
        </w:tc>
        <w:tc>
          <w:tcPr>
            <w:tcW w:w="894" w:type="dxa"/>
            <w:shd w:val="clear" w:color="auto" w:fill="auto"/>
            <w:noWrap/>
            <w:vAlign w:val="center"/>
          </w:tcPr>
          <w:p>
            <w:pPr>
              <w:pStyle w:val="16"/>
              <w:bidi w:val="0"/>
              <w:rPr>
                <w:u w:val="none"/>
              </w:rPr>
            </w:pPr>
            <w:r>
              <w:rPr>
                <w:rFonts w:hint="eastAsia"/>
                <w:u w:val="none"/>
                <w:lang w:val="en-US" w:eastAsia="zh-CN"/>
              </w:rPr>
              <w:t xml:space="preserve">0.033 </w:t>
            </w:r>
          </w:p>
        </w:tc>
      </w:tr>
    </w:tbl>
    <w:p>
      <w:pPr>
        <w:ind w:firstLine="480"/>
        <w:rPr>
          <w:u w:val="none"/>
        </w:rPr>
      </w:pPr>
      <w:r>
        <w:rPr>
          <w:rFonts w:hint="eastAsia"/>
          <w:u w:val="none"/>
        </w:rPr>
        <w:t>由以上预测结果可知，在正常排污工况情况下，枯水期桃江县湘域矿业有限公司首溪金矿排污口下游资水河段COD、</w:t>
      </w:r>
      <w:r>
        <w:rPr>
          <w:rFonts w:hint="eastAsia"/>
          <w:kern w:val="2"/>
          <w:u w:val="none"/>
        </w:rPr>
        <w:t>铜、锌、铅、镉、铬、锑、砷重金属因子</w:t>
      </w:r>
      <w:r>
        <w:rPr>
          <w:rFonts w:hint="eastAsia"/>
          <w:u w:val="none"/>
        </w:rPr>
        <w:t>的浓度预测值</w:t>
      </w:r>
      <w:r>
        <w:rPr>
          <w:rFonts w:hint="eastAsia"/>
          <w:u w:val="none"/>
          <w:lang w:val="en-US" w:eastAsia="zh-CN"/>
        </w:rPr>
        <w:t>在</w:t>
      </w:r>
      <w:r>
        <w:rPr>
          <w:rFonts w:hint="eastAsia"/>
          <w:u w:val="none"/>
        </w:rPr>
        <w:t>排污口局部水域浓度虽</w:t>
      </w:r>
      <w:r>
        <w:rPr>
          <w:rFonts w:hint="eastAsia"/>
          <w:u w:val="none"/>
          <w:lang w:val="en-US" w:eastAsia="zh-CN"/>
        </w:rPr>
        <w:t>略微偏高但经</w:t>
      </w:r>
      <w:r>
        <w:rPr>
          <w:rFonts w:hint="eastAsia"/>
          <w:u w:val="none"/>
        </w:rPr>
        <w:t>均匀混合后浓度能够满足《地表水环境质量标准》（GB3838-2002）Ⅱ类标准限值要求，因此本项目排污对资水的影响较小。</w:t>
      </w:r>
    </w:p>
    <w:p>
      <w:pPr>
        <w:ind w:firstLine="480"/>
        <w:rPr>
          <w:color w:val="000000"/>
          <w:u w:val="none"/>
        </w:rPr>
      </w:pPr>
      <w:r>
        <w:rPr>
          <w:rFonts w:hint="eastAsia"/>
          <w:u w:val="none"/>
        </w:rPr>
        <w:t>在非正常排污工况情况下，枯水期桃江县湘域矿业有限公司首溪金矿排污口下游资水河段COD、</w:t>
      </w:r>
      <w:r>
        <w:rPr>
          <w:rFonts w:hint="eastAsia"/>
          <w:kern w:val="2"/>
          <w:u w:val="none"/>
        </w:rPr>
        <w:t>铜、锌、铅、镉、铬、锑、砷</w:t>
      </w:r>
      <w:r>
        <w:rPr>
          <w:rFonts w:hint="eastAsia"/>
          <w:kern w:val="2"/>
          <w:u w:val="none"/>
          <w:lang w:val="en-US" w:eastAsia="zh-CN"/>
        </w:rPr>
        <w:t>均能</w:t>
      </w:r>
      <w:r>
        <w:rPr>
          <w:rFonts w:hint="eastAsia"/>
          <w:u w:val="none"/>
        </w:rPr>
        <w:t>满足《地表水环境质量标准》（GB3838-2002）Ⅱ类的限值要求。</w:t>
      </w:r>
      <w:r>
        <w:rPr>
          <w:rFonts w:hint="eastAsia"/>
          <w:u w:val="none"/>
          <w:lang w:val="en-US" w:eastAsia="zh-CN"/>
        </w:rPr>
        <w:t>但</w:t>
      </w:r>
      <w:r>
        <w:rPr>
          <w:rFonts w:hint="eastAsia"/>
          <w:u w:val="none"/>
        </w:rPr>
        <w:t>项目外排废水对资水存在影响，建设单位在运营期应持续加强废水处理站的运营管理，杜绝非正常排放。</w:t>
      </w:r>
      <w:r>
        <w:rPr>
          <w:rFonts w:hint="eastAsia"/>
          <w:u w:val="none"/>
          <w:lang w:val="en-US" w:eastAsia="zh-CN"/>
        </w:rPr>
        <w:t>由于</w:t>
      </w:r>
      <w:r>
        <w:rPr>
          <w:rFonts w:hint="eastAsia"/>
          <w:color w:val="000000"/>
          <w:u w:val="none"/>
        </w:rPr>
        <w:t>矿井涌水具有不稳定性，考虑成矿原因及随着开采深度下降，矿井涌水水质可能会出现波动，因此应做好事故应急预案及事故池等防范措施，杜绝废水非正常排放情况的发生。</w:t>
      </w:r>
    </w:p>
    <w:p>
      <w:pPr>
        <w:pStyle w:val="3"/>
        <w:spacing w:line="240" w:lineRule="auto"/>
        <w:rPr>
          <w:sz w:val="30"/>
          <w:szCs w:val="30"/>
          <w:u w:val="none"/>
        </w:rPr>
      </w:pPr>
      <w:bookmarkStart w:id="73" w:name="_Toc10518"/>
      <w:r>
        <w:rPr>
          <w:rFonts w:hint="eastAsia"/>
          <w:sz w:val="30"/>
          <w:szCs w:val="30"/>
          <w:u w:val="none"/>
        </w:rPr>
        <w:t>6</w:t>
      </w:r>
      <w:r>
        <w:rPr>
          <w:sz w:val="30"/>
          <w:szCs w:val="30"/>
          <w:u w:val="none"/>
        </w:rPr>
        <w:t>.</w:t>
      </w:r>
      <w:r>
        <w:rPr>
          <w:rFonts w:hint="eastAsia"/>
          <w:sz w:val="30"/>
          <w:szCs w:val="30"/>
          <w:u w:val="none"/>
        </w:rPr>
        <w:t>2</w:t>
      </w:r>
      <w:r>
        <w:rPr>
          <w:sz w:val="30"/>
          <w:szCs w:val="30"/>
          <w:u w:val="none"/>
        </w:rPr>
        <w:t>对水功能区水质影响分析</w:t>
      </w:r>
      <w:bookmarkEnd w:id="73"/>
    </w:p>
    <w:p>
      <w:pPr>
        <w:ind w:firstLine="480"/>
        <w:rPr>
          <w:u w:val="none"/>
        </w:rPr>
      </w:pPr>
      <w:r>
        <w:rPr>
          <w:rFonts w:hint="eastAsia"/>
          <w:u w:val="none"/>
        </w:rPr>
        <w:t>本项目入河排污口位于资水，所涉及水功能区为保留区，水质目标为Ⅱ类。根据设计要求，项目正常运行情况下将污水处理</w:t>
      </w:r>
      <w:r>
        <w:rPr>
          <w:u w:val="none"/>
        </w:rPr>
        <w:t>锑监测因子</w:t>
      </w:r>
      <w:r>
        <w:rPr>
          <w:rFonts w:hint="eastAsia"/>
          <w:u w:val="none"/>
        </w:rPr>
        <w:t>达到</w:t>
      </w:r>
      <w:r>
        <w:rPr>
          <w:u w:val="none"/>
        </w:rPr>
        <w:t>《锡、锑、汞工业污染物排放标准》(GB30770-2014)中表2新建企业水污染物排放限值，铊监测因子</w:t>
      </w:r>
      <w:r>
        <w:rPr>
          <w:rFonts w:hint="eastAsia"/>
          <w:u w:val="none"/>
        </w:rPr>
        <w:t>达到</w:t>
      </w:r>
      <w:r>
        <w:rPr>
          <w:u w:val="none"/>
        </w:rPr>
        <w:t>《工业废水铊污染物排放标准》(</w:t>
      </w:r>
      <w:r>
        <w:rPr>
          <w:rFonts w:hint="eastAsia"/>
          <w:u w:val="none"/>
        </w:rPr>
        <w:t>DB43/968-2021</w:t>
      </w:r>
      <w:r>
        <w:rPr>
          <w:u w:val="none"/>
        </w:rPr>
        <w:t>)标准要求，</w:t>
      </w:r>
      <w:r>
        <w:rPr>
          <w:rFonts w:hint="eastAsia"/>
          <w:color w:val="000000"/>
          <w:u w:val="none"/>
          <w:lang w:val="en-US" w:eastAsia="zh-CN"/>
        </w:rPr>
        <w:t>砷达到环评</w:t>
      </w:r>
      <w:r>
        <w:rPr>
          <w:rFonts w:hint="eastAsia"/>
          <w:u w:val="none"/>
        </w:rPr>
        <w:t>总量控制指标</w:t>
      </w:r>
      <w:r>
        <w:rPr>
          <w:rFonts w:hint="eastAsia"/>
          <w:u w:val="none"/>
          <w:lang w:val="en-US" w:eastAsia="zh-CN"/>
        </w:rPr>
        <w:t>核算中的0.2</w:t>
      </w:r>
      <w:r>
        <w:t>mg/L</w:t>
      </w:r>
      <w:r>
        <w:rPr>
          <w:rFonts w:hint="eastAsia"/>
          <w:lang w:val="en-US" w:eastAsia="zh-CN"/>
        </w:rPr>
        <w:t>浓度限值要求，</w:t>
      </w:r>
      <w:r>
        <w:rPr>
          <w:u w:val="none"/>
        </w:rPr>
        <w:t>其余各监测因子均符合《污水综合排放标准》(GB8978-1996)表1及表4中一级标准要求</w:t>
      </w:r>
      <w:r>
        <w:rPr>
          <w:rFonts w:hint="eastAsia"/>
          <w:u w:val="none"/>
        </w:rPr>
        <w:t>后由专用排水渠排入资江。</w:t>
      </w:r>
      <w:r>
        <w:rPr>
          <w:rFonts w:hint="eastAsia"/>
          <w:u w:val="none"/>
          <w:lang w:val="en-US" w:eastAsia="zh-CN"/>
        </w:rPr>
        <w:t>外排污染物</w:t>
      </w:r>
      <w:r>
        <w:rPr>
          <w:rFonts w:hint="eastAsia"/>
          <w:u w:val="none"/>
        </w:rPr>
        <w:t>因子对资水水质影响较小</w:t>
      </w:r>
      <w:r>
        <w:rPr>
          <w:u w:val="none"/>
        </w:rPr>
        <w:t>COD</w:t>
      </w:r>
      <w:r>
        <w:rPr>
          <w:rFonts w:hint="eastAsia"/>
          <w:u w:val="none"/>
        </w:rPr>
        <w:t>、砷等因子</w:t>
      </w:r>
      <w:r>
        <w:rPr>
          <w:rFonts w:hint="eastAsia"/>
          <w:u w:val="none"/>
          <w:lang w:val="en-US" w:eastAsia="zh-CN"/>
        </w:rPr>
        <w:t>均匀</w:t>
      </w:r>
      <w:r>
        <w:rPr>
          <w:rFonts w:hint="eastAsia"/>
          <w:u w:val="none"/>
        </w:rPr>
        <w:t>混合后浓度</w:t>
      </w:r>
      <w:r>
        <w:rPr>
          <w:rFonts w:hint="eastAsia"/>
          <w:u w:val="none"/>
          <w:lang w:val="en-US" w:eastAsia="zh-CN"/>
        </w:rPr>
        <w:t>均</w:t>
      </w:r>
      <w:r>
        <w:rPr>
          <w:rFonts w:hint="eastAsia"/>
          <w:u w:val="none"/>
        </w:rPr>
        <w:t>能满足Ⅱ类水质要求。本排污口的设置不改变排污口所处水功能区及下游水的使用功能，也基本不会影响相邻水功能区的使用。</w:t>
      </w:r>
    </w:p>
    <w:p>
      <w:pPr>
        <w:ind w:firstLine="480"/>
        <w:rPr>
          <w:u w:val="none"/>
        </w:rPr>
      </w:pPr>
      <w:r>
        <w:rPr>
          <w:rFonts w:hint="eastAsia"/>
          <w:u w:val="none"/>
        </w:rPr>
        <w:t>本项目在事故排污时，部分因子并不能达标排放，建设单位应采取相应防范措施，禁止事故废水排放的发生。故要求建设单位在运营期加强废水处理站的运营管理，杜绝非正常排放，以免对当地水环境造成污染。</w:t>
      </w:r>
    </w:p>
    <w:p>
      <w:pPr>
        <w:pStyle w:val="3"/>
        <w:spacing w:line="240" w:lineRule="auto"/>
        <w:rPr>
          <w:sz w:val="30"/>
          <w:szCs w:val="30"/>
          <w:u w:val="none"/>
        </w:rPr>
      </w:pPr>
      <w:bookmarkStart w:id="74" w:name="_Toc12838"/>
      <w:bookmarkStart w:id="75" w:name="_Toc31894"/>
      <w:r>
        <w:rPr>
          <w:rFonts w:hint="eastAsia"/>
          <w:sz w:val="30"/>
          <w:szCs w:val="30"/>
          <w:u w:val="none"/>
        </w:rPr>
        <w:t>6.3对水生态的影响分析</w:t>
      </w:r>
      <w:bookmarkEnd w:id="74"/>
    </w:p>
    <w:p>
      <w:pPr>
        <w:ind w:firstLine="480"/>
        <w:rPr>
          <w:u w:val="none"/>
        </w:rPr>
      </w:pPr>
      <w:r>
        <w:rPr>
          <w:rFonts w:hint="eastAsia"/>
          <w:u w:val="none"/>
        </w:rPr>
        <w:t>根据调查，本项目排口位于湖南桃江羞女湖国家湿地公园白竹洲保育区范围内，</w:t>
      </w:r>
      <w:r>
        <w:rPr>
          <w:u w:val="none"/>
        </w:rPr>
        <w:t>从预测结果来看，正常情况下本项目排污对下游水质并没有太大影响，但是废水中污染物对水生生物生长起到一定的抑制作用，二者相互影响的结果使水生生物群落中的耐污性种类的数量逐渐增多；而一些不耐污、清水性的种类减少或逐渐消失，使影响区域的水生生物群落结构由清水性向污水性群落演变，生物的多样性减少，群落趋向不稳定，最终演化结果可能是排污口附近局部水域的富营养化，对下游局部河段生态环境有一定影响。</w:t>
      </w:r>
    </w:p>
    <w:p>
      <w:pPr>
        <w:ind w:firstLine="480"/>
        <w:rPr>
          <w:u w:val="none"/>
        </w:rPr>
      </w:pPr>
      <w:r>
        <w:rPr>
          <w:u w:val="none"/>
        </w:rPr>
        <w:t>（1）对鱼类的影响分析</w:t>
      </w:r>
    </w:p>
    <w:p>
      <w:pPr>
        <w:ind w:firstLine="480"/>
        <w:rPr>
          <w:u w:val="none"/>
        </w:rPr>
      </w:pPr>
      <w:r>
        <w:rPr>
          <w:u w:val="none"/>
        </w:rPr>
        <w:t>本项目正常情况下外排废水水质较简单，出水水质可达到《地表水环境质量标准》（GB38388-2002）中Ⅱ类标准。</w:t>
      </w:r>
    </w:p>
    <w:p>
      <w:pPr>
        <w:ind w:firstLine="480"/>
        <w:rPr>
          <w:u w:val="none"/>
        </w:rPr>
      </w:pPr>
      <w:r>
        <w:rPr>
          <w:u w:val="none"/>
        </w:rPr>
        <w:t>项目主要污染因子为COD</w:t>
      </w:r>
      <w:r>
        <w:rPr>
          <w:rFonts w:hint="eastAsia"/>
          <w:u w:val="none"/>
        </w:rPr>
        <w:t>、砷</w:t>
      </w:r>
      <w:r>
        <w:rPr>
          <w:rFonts w:hint="eastAsia"/>
          <w:u w:val="none"/>
          <w:lang w:eastAsia="zh-CN"/>
        </w:rPr>
        <w:t>、</w:t>
      </w:r>
      <w:r>
        <w:rPr>
          <w:rFonts w:hint="eastAsia"/>
          <w:u w:val="none"/>
        </w:rPr>
        <w:t>铜、锌、锑等</w:t>
      </w:r>
      <w:r>
        <w:rPr>
          <w:u w:val="none"/>
        </w:rPr>
        <w:t>，不涉及有毒有机污染物。正常工况废水经处理后进入</w:t>
      </w:r>
      <w:r>
        <w:rPr>
          <w:rFonts w:hint="eastAsia"/>
          <w:u w:val="none"/>
        </w:rPr>
        <w:t>资水</w:t>
      </w:r>
      <w:r>
        <w:rPr>
          <w:u w:val="none"/>
        </w:rPr>
        <w:t>后，使评价段河水浓度有所增加，但是能够满足河道水质管理目标。因此，在废污水正常排放情况下，工程实施所造成的水质变化幅度是鱼类可以承受的。在非正常排放情况下对河道的污染相对较大，对鱼类会造成一定的影响。</w:t>
      </w:r>
    </w:p>
    <w:p>
      <w:pPr>
        <w:ind w:firstLine="480"/>
        <w:rPr>
          <w:u w:val="none"/>
        </w:rPr>
      </w:pPr>
      <w:r>
        <w:rPr>
          <w:u w:val="none"/>
        </w:rPr>
        <w:t>（2）对其他水生生物的影响分析</w:t>
      </w:r>
    </w:p>
    <w:p>
      <w:pPr>
        <w:ind w:firstLine="480"/>
        <w:rPr>
          <w:u w:val="none"/>
        </w:rPr>
      </w:pPr>
      <w:r>
        <w:rPr>
          <w:u w:val="none"/>
        </w:rPr>
        <w:t>经过论证计算可知，正常排放情况下，直接受纳水体水质类别没有发生显著变化，影响范围非常有限，不会对该河饵料生物群落结构和生物量产生明显影响；在非正常排放情况下，可能会引起浮游植物与浮游动物数量和组成的变化，耐污种数量和种类可能会增加。因此需要建设单位加强风险管控，杜绝废水的事故排放。</w:t>
      </w:r>
    </w:p>
    <w:p>
      <w:pPr>
        <w:ind w:firstLine="480"/>
        <w:rPr>
          <w:u w:val="none"/>
        </w:rPr>
      </w:pPr>
      <w:r>
        <w:rPr>
          <w:u w:val="none"/>
        </w:rPr>
        <w:t>（3）对重要水生态保护目标的影响分析</w:t>
      </w:r>
    </w:p>
    <w:p>
      <w:pPr>
        <w:ind w:firstLine="480"/>
        <w:rPr>
          <w:u w:val="none"/>
        </w:rPr>
      </w:pPr>
      <w:r>
        <w:rPr>
          <w:u w:val="none"/>
        </w:rPr>
        <w:t>经调查，论证范围内</w:t>
      </w:r>
      <w:r>
        <w:rPr>
          <w:rFonts w:hint="eastAsia"/>
          <w:u w:val="none"/>
        </w:rPr>
        <w:t>属于湖南桃江羞女湖国家湿地公园白竹洲保育区范围内，资水</w:t>
      </w:r>
      <w:r>
        <w:rPr>
          <w:u w:val="none"/>
        </w:rPr>
        <w:t>水质</w:t>
      </w:r>
      <w:r>
        <w:rPr>
          <w:rFonts w:hint="eastAsia"/>
          <w:u w:val="none"/>
        </w:rPr>
        <w:t>可达</w:t>
      </w:r>
      <w:r>
        <w:rPr>
          <w:u w:val="none"/>
        </w:rPr>
        <w:t>《地表水环境质量标准》（GB38388-2002）中Ⅱ类标准，水质较好，项目正常排放的污染物进入水体后被迅速稀释至地表水环境质量标准范围内，不会对</w:t>
      </w:r>
      <w:r>
        <w:rPr>
          <w:rFonts w:hint="eastAsia"/>
          <w:u w:val="none"/>
        </w:rPr>
        <w:t>湖南桃江羞女湖国家湿地公园白竹洲保育区造成</w:t>
      </w:r>
      <w:r>
        <w:rPr>
          <w:u w:val="none"/>
        </w:rPr>
        <w:t>影响。</w:t>
      </w:r>
    </w:p>
    <w:p>
      <w:pPr>
        <w:ind w:firstLine="480"/>
        <w:rPr>
          <w:u w:val="none"/>
        </w:rPr>
      </w:pPr>
      <w:r>
        <w:rPr>
          <w:u w:val="none"/>
        </w:rPr>
        <w:t>（4）对邻近水功能区的水生态影响分析</w:t>
      </w:r>
    </w:p>
    <w:p>
      <w:pPr>
        <w:ind w:firstLine="480"/>
        <w:rPr>
          <w:u w:val="none"/>
        </w:rPr>
      </w:pPr>
      <w:r>
        <w:rPr>
          <w:u w:val="none"/>
        </w:rPr>
        <w:t>本项目入河排污口位于</w:t>
      </w:r>
      <w:r>
        <w:rPr>
          <w:rFonts w:hint="eastAsia"/>
          <w:u w:val="none"/>
        </w:rPr>
        <w:t>资水</w:t>
      </w:r>
      <w:r>
        <w:rPr>
          <w:u w:val="none"/>
        </w:rPr>
        <w:t>，水质现状</w:t>
      </w:r>
      <w:r>
        <w:rPr>
          <w:rFonts w:hint="eastAsia"/>
          <w:u w:val="none"/>
        </w:rPr>
        <w:t>可</w:t>
      </w:r>
      <w:r>
        <w:rPr>
          <w:u w:val="none"/>
        </w:rPr>
        <w:t>达</w:t>
      </w:r>
      <w:r>
        <w:rPr>
          <w:rFonts w:hint="eastAsia"/>
          <w:u w:val="none"/>
        </w:rPr>
        <w:t>Ⅱ</w:t>
      </w:r>
      <w:r>
        <w:rPr>
          <w:u w:val="none"/>
        </w:rPr>
        <w:t>类。根据项目入河排污口污染物影响范围和对评价河段水质预测结果分析，项目正常工况下，COD、</w:t>
      </w:r>
      <w:r>
        <w:rPr>
          <w:rFonts w:hint="eastAsia"/>
          <w:u w:val="none"/>
        </w:rPr>
        <w:t>砷</w:t>
      </w:r>
      <w:r>
        <w:rPr>
          <w:rFonts w:hint="eastAsia"/>
          <w:u w:val="none"/>
          <w:lang w:eastAsia="zh-CN"/>
        </w:rPr>
        <w:t>、</w:t>
      </w:r>
      <w:r>
        <w:rPr>
          <w:rFonts w:hint="eastAsia"/>
          <w:u w:val="none"/>
        </w:rPr>
        <w:t>铜、锌、锑</w:t>
      </w:r>
      <w:r>
        <w:rPr>
          <w:rFonts w:hint="eastAsia"/>
          <w:u w:val="none"/>
          <w:lang w:val="en-US" w:eastAsia="zh-CN"/>
        </w:rPr>
        <w:t>等污染物</w:t>
      </w:r>
      <w:r>
        <w:rPr>
          <w:u w:val="none"/>
        </w:rPr>
        <w:t>进入</w:t>
      </w:r>
      <w:r>
        <w:rPr>
          <w:rFonts w:hint="eastAsia"/>
          <w:u w:val="none"/>
        </w:rPr>
        <w:t>资水</w:t>
      </w:r>
      <w:r>
        <w:rPr>
          <w:u w:val="none"/>
        </w:rPr>
        <w:t>后预测浓度均可达到《地表水环境质量标准》（GB3838-2002）Ⅱ类标准，水质影响变化较小，项目入河排口污染物没有改变下游水质类别，对下游水功能区水质基本没有影响，也不会对下游水生生物造成不利影响。</w:t>
      </w:r>
    </w:p>
    <w:p>
      <w:pPr>
        <w:pStyle w:val="3"/>
        <w:spacing w:line="240" w:lineRule="auto"/>
        <w:rPr>
          <w:sz w:val="30"/>
          <w:szCs w:val="30"/>
          <w:u w:val="none"/>
        </w:rPr>
      </w:pPr>
      <w:bookmarkStart w:id="76" w:name="_Toc24895"/>
      <w:r>
        <w:rPr>
          <w:rFonts w:hint="eastAsia"/>
          <w:sz w:val="30"/>
          <w:szCs w:val="30"/>
          <w:u w:val="none"/>
        </w:rPr>
        <w:t>6.4</w:t>
      </w:r>
      <w:r>
        <w:rPr>
          <w:sz w:val="30"/>
          <w:szCs w:val="30"/>
          <w:u w:val="none"/>
        </w:rPr>
        <w:t>对</w:t>
      </w:r>
      <w:r>
        <w:rPr>
          <w:rFonts w:hint="eastAsia"/>
          <w:sz w:val="30"/>
          <w:szCs w:val="30"/>
          <w:u w:val="none"/>
        </w:rPr>
        <w:t>地下水的</w:t>
      </w:r>
      <w:r>
        <w:rPr>
          <w:sz w:val="30"/>
          <w:szCs w:val="30"/>
          <w:u w:val="none"/>
        </w:rPr>
        <w:t>影响分析</w:t>
      </w:r>
      <w:bookmarkEnd w:id="76"/>
    </w:p>
    <w:p>
      <w:pPr>
        <w:ind w:firstLine="480"/>
        <w:rPr>
          <w:u w:val="none"/>
        </w:rPr>
      </w:pPr>
      <w:r>
        <w:rPr>
          <w:u w:val="none"/>
        </w:rPr>
        <w:t>本项目排污口河段不属于饮用水源保护区及其他需要保护的热水、矿泉等区域，排污口附近没有地下水出露点。项目不开采地下水，同时也无注入地下水，不会引起地下水流场或地下水水位变化，因此也不会导致因水位的变化而产生的环境水文地质问题。同时，本项目废水经</w:t>
      </w:r>
      <w:r>
        <w:rPr>
          <w:rFonts w:hint="eastAsia"/>
          <w:u w:val="none"/>
        </w:rPr>
        <w:t>渠</w:t>
      </w:r>
      <w:r>
        <w:rPr>
          <w:u w:val="none"/>
        </w:rPr>
        <w:t>道输送，</w:t>
      </w:r>
      <w:r>
        <w:rPr>
          <w:rFonts w:hint="eastAsia"/>
          <w:u w:val="none"/>
        </w:rPr>
        <w:t>渠</w:t>
      </w:r>
      <w:r>
        <w:rPr>
          <w:u w:val="none"/>
        </w:rPr>
        <w:t>道和处理设施均做好防渗防腐措施，固废按照规范设置临时堆放点，实现无害化处理，因此本项目污染地下水的可能途径较少。项目建设地场地地基采取防渗处理，厂区地面水泥硬化，污水处理设施按要求采取防渗措施，污水</w:t>
      </w:r>
      <w:r>
        <w:rPr>
          <w:rFonts w:hint="eastAsia"/>
          <w:u w:val="none"/>
        </w:rPr>
        <w:t>渠</w:t>
      </w:r>
      <w:r>
        <w:rPr>
          <w:u w:val="none"/>
        </w:rPr>
        <w:t>道按规范施工，防止渗漏，加强日常检查和维护管理，对地下水影响较小。</w:t>
      </w:r>
    </w:p>
    <w:p>
      <w:pPr>
        <w:pStyle w:val="3"/>
        <w:spacing w:line="240" w:lineRule="auto"/>
        <w:rPr>
          <w:sz w:val="30"/>
          <w:szCs w:val="30"/>
          <w:u w:val="none"/>
        </w:rPr>
      </w:pPr>
      <w:bookmarkStart w:id="77" w:name="_Toc23494"/>
      <w:r>
        <w:rPr>
          <w:rFonts w:hint="eastAsia"/>
          <w:sz w:val="30"/>
          <w:szCs w:val="30"/>
          <w:u w:val="none"/>
        </w:rPr>
        <w:t>6.5</w:t>
      </w:r>
      <w:r>
        <w:rPr>
          <w:sz w:val="30"/>
          <w:szCs w:val="30"/>
          <w:u w:val="none"/>
        </w:rPr>
        <w:t>对第三者影响分析</w:t>
      </w:r>
      <w:bookmarkEnd w:id="75"/>
      <w:bookmarkEnd w:id="77"/>
    </w:p>
    <w:p>
      <w:pPr>
        <w:ind w:firstLine="480"/>
        <w:rPr>
          <w:u w:val="none"/>
          <w:lang w:val="zh-CN"/>
        </w:rPr>
      </w:pPr>
      <w:r>
        <w:rPr>
          <w:rFonts w:hint="eastAsia"/>
          <w:u w:val="none"/>
          <w:lang w:val="zh-CN"/>
        </w:rPr>
        <w:t>（</w:t>
      </w:r>
      <w:r>
        <w:rPr>
          <w:rFonts w:hint="eastAsia"/>
          <w:u w:val="none"/>
        </w:rPr>
        <w:t>1</w:t>
      </w:r>
      <w:r>
        <w:rPr>
          <w:rFonts w:hint="eastAsia"/>
          <w:u w:val="none"/>
          <w:lang w:val="zh-CN"/>
        </w:rPr>
        <w:t>）对上下游取水的影响</w:t>
      </w:r>
    </w:p>
    <w:p>
      <w:pPr>
        <w:ind w:firstLine="480"/>
        <w:rPr>
          <w:u w:val="none"/>
        </w:rPr>
      </w:pPr>
      <w:r>
        <w:rPr>
          <w:rFonts w:hint="eastAsia"/>
          <w:u w:val="none"/>
        </w:rPr>
        <w:t>本项目排污口上下游存在农业灌溉取排水情况，有饮用水源取水口</w:t>
      </w:r>
      <w:r>
        <w:rPr>
          <w:u w:val="none"/>
        </w:rPr>
        <w:t>，</w:t>
      </w:r>
      <w:r>
        <w:rPr>
          <w:rFonts w:hint="eastAsia"/>
          <w:u w:val="none"/>
        </w:rPr>
        <w:t>项目污染物的排放不会影响上下游农业灌溉取排水和饮用水源取水</w:t>
      </w:r>
      <w:r>
        <w:rPr>
          <w:u w:val="none"/>
        </w:rPr>
        <w:t>。</w:t>
      </w:r>
      <w:r>
        <w:rPr>
          <w:rFonts w:hint="eastAsia"/>
          <w:u w:val="none"/>
        </w:rPr>
        <w:t>本项目</w:t>
      </w:r>
      <w:r>
        <w:rPr>
          <w:u w:val="none"/>
        </w:rPr>
        <w:t>排污口所处的</w:t>
      </w:r>
      <w:r>
        <w:rPr>
          <w:rFonts w:hint="eastAsia"/>
          <w:u w:val="none"/>
        </w:rPr>
        <w:t>资江</w:t>
      </w:r>
      <w:r>
        <w:rPr>
          <w:u w:val="none"/>
        </w:rPr>
        <w:t>，不会发生倒灌现象，对上游区域基本不会产生明显不利影响。</w:t>
      </w:r>
    </w:p>
    <w:p>
      <w:pPr>
        <w:ind w:firstLine="480"/>
        <w:rPr>
          <w:u w:val="none"/>
        </w:rPr>
      </w:pPr>
      <w:r>
        <w:rPr>
          <w:u w:val="none"/>
        </w:rPr>
        <w:t>根据模型分析，污水在正常排放下经过充分混合后，</w:t>
      </w:r>
      <w:r>
        <w:rPr>
          <w:rFonts w:hint="eastAsia"/>
          <w:u w:val="none"/>
        </w:rPr>
        <w:t>资江水质</w:t>
      </w:r>
      <w:r>
        <w:rPr>
          <w:u w:val="none"/>
        </w:rPr>
        <w:t>可达到《地表水环境质量标准》（GB3838-2002）中</w:t>
      </w:r>
      <w:r>
        <w:rPr>
          <w:rFonts w:hint="eastAsia" w:ascii="宋体" w:hAnsi="宋体" w:cs="宋体"/>
          <w:u w:val="none"/>
        </w:rPr>
        <w:t>Ⅱ</w:t>
      </w:r>
      <w:r>
        <w:rPr>
          <w:u w:val="none"/>
        </w:rPr>
        <w:t>类标准要求，因此排污口污水排放基本不会对下游取水安全造成影响</w:t>
      </w:r>
      <w:r>
        <w:rPr>
          <w:rFonts w:hint="eastAsia"/>
          <w:u w:val="none"/>
        </w:rPr>
        <w:t>，</w:t>
      </w:r>
      <w:r>
        <w:rPr>
          <w:u w:val="none"/>
        </w:rPr>
        <w:t>因此排污口污水排放基本不会</w:t>
      </w:r>
      <w:r>
        <w:rPr>
          <w:rFonts w:hint="eastAsia"/>
          <w:u w:val="none"/>
        </w:rPr>
        <w:t>对资江及排污口</w:t>
      </w:r>
      <w:r>
        <w:rPr>
          <w:u w:val="none"/>
        </w:rPr>
        <w:t>下游取水安全造成影响。</w:t>
      </w:r>
    </w:p>
    <w:p>
      <w:pPr>
        <w:ind w:firstLine="480"/>
        <w:rPr>
          <w:u w:val="none"/>
        </w:rPr>
      </w:pPr>
      <w:r>
        <w:rPr>
          <w:rFonts w:hint="eastAsia"/>
          <w:u w:val="none"/>
          <w:lang w:val="zh-CN"/>
        </w:rPr>
        <w:t>（</w:t>
      </w:r>
      <w:r>
        <w:rPr>
          <w:rFonts w:hint="eastAsia"/>
          <w:u w:val="none"/>
        </w:rPr>
        <w:t>2</w:t>
      </w:r>
      <w:r>
        <w:rPr>
          <w:rFonts w:hint="eastAsia"/>
          <w:u w:val="none"/>
          <w:lang w:val="zh-CN"/>
        </w:rPr>
        <w:t>）对农业灌溉的影响</w:t>
      </w:r>
    </w:p>
    <w:p>
      <w:pPr>
        <w:ind w:firstLine="480"/>
        <w:rPr>
          <w:u w:val="none"/>
        </w:rPr>
      </w:pPr>
      <w:r>
        <w:rPr>
          <w:rFonts w:hint="eastAsia"/>
          <w:u w:val="none"/>
        </w:rPr>
        <w:t>项目所在河段资水目前</w:t>
      </w:r>
      <w:r>
        <w:rPr>
          <w:u w:val="none"/>
        </w:rPr>
        <w:t>主要功能是灌溉，</w:t>
      </w:r>
      <w:r>
        <w:rPr>
          <w:rFonts w:hint="eastAsia"/>
          <w:u w:val="none"/>
        </w:rPr>
        <w:t>水质目标为Ⅱ类。本项目在枯水期在正常排放的废水排入资水均匀混合后浓度可达到《地表水环境质量标准》（GB3838-2002）</w:t>
      </w:r>
      <w:r>
        <w:rPr>
          <w:rFonts w:hint="eastAsia" w:ascii="宋体" w:hAnsi="宋体" w:cs="宋体"/>
          <w:u w:val="none"/>
        </w:rPr>
        <w:t>Ⅱ</w:t>
      </w:r>
      <w:r>
        <w:rPr>
          <w:rFonts w:hint="eastAsia"/>
          <w:u w:val="none"/>
        </w:rPr>
        <w:t>类标准要求。因此本项目排污口后正常排放情况下，能满足农业用水要求，不会对周边农业用水产生不利影响。</w:t>
      </w:r>
    </w:p>
    <w:p>
      <w:pPr>
        <w:ind w:firstLine="480"/>
        <w:rPr>
          <w:u w:val="none"/>
          <w:lang w:val="zh-CN"/>
        </w:rPr>
      </w:pPr>
      <w:r>
        <w:rPr>
          <w:rFonts w:hint="eastAsia"/>
          <w:u w:val="none"/>
          <w:lang w:val="zh-CN"/>
        </w:rPr>
        <w:t>（</w:t>
      </w:r>
      <w:r>
        <w:rPr>
          <w:rFonts w:hint="eastAsia"/>
          <w:u w:val="none"/>
        </w:rPr>
        <w:t>3</w:t>
      </w:r>
      <w:r>
        <w:rPr>
          <w:rFonts w:hint="eastAsia"/>
          <w:u w:val="none"/>
          <w:lang w:val="zh-CN"/>
        </w:rPr>
        <w:t>）对</w:t>
      </w:r>
      <w:r>
        <w:rPr>
          <w:rFonts w:hint="eastAsia"/>
          <w:u w:val="none"/>
        </w:rPr>
        <w:t>湖南桃江羞女湖国家湿地公园</w:t>
      </w:r>
      <w:r>
        <w:rPr>
          <w:rFonts w:hint="eastAsia"/>
          <w:u w:val="none"/>
          <w:lang w:val="zh-CN"/>
        </w:rPr>
        <w:t>的影响</w:t>
      </w:r>
    </w:p>
    <w:p>
      <w:pPr>
        <w:ind w:firstLine="480"/>
        <w:rPr>
          <w:u w:val="none"/>
        </w:rPr>
      </w:pPr>
      <w:r>
        <w:rPr>
          <w:rFonts w:hint="eastAsia"/>
          <w:u w:val="none"/>
        </w:rPr>
        <w:t>本项目位于湖南桃江羞女湖国家湿地公园白竹洲保育区范围内，</w:t>
      </w:r>
      <w:r>
        <w:rPr>
          <w:rFonts w:hint="eastAsia"/>
          <w:u w:val="none"/>
          <w:lang w:val="zh-CN"/>
        </w:rPr>
        <w:t>本项目</w:t>
      </w:r>
      <w:r>
        <w:rPr>
          <w:rFonts w:hint="eastAsia"/>
          <w:u w:val="none"/>
        </w:rPr>
        <w:t>位于</w:t>
      </w:r>
      <w:r>
        <w:rPr>
          <w:rFonts w:hint="eastAsia"/>
          <w:u w:val="none"/>
          <w:lang w:val="zh-CN"/>
        </w:rPr>
        <w:t>生态保护红线</w:t>
      </w:r>
      <w:r>
        <w:rPr>
          <w:rFonts w:hint="eastAsia"/>
          <w:u w:val="none"/>
        </w:rPr>
        <w:t>范围内，但该排污口在湿地公园设立前即已存在。从预测分析结果来看，项目废水排放不会对湖南桃江羞女湖国家湿地公园白竹洲保育区造成明显不利的影响。</w:t>
      </w:r>
    </w:p>
    <w:p>
      <w:pPr>
        <w:ind w:firstLine="480"/>
        <w:rPr>
          <w:u w:val="none"/>
        </w:rPr>
      </w:pPr>
      <w:r>
        <w:rPr>
          <w:rFonts w:hint="eastAsia"/>
          <w:u w:val="none"/>
        </w:rPr>
        <w:t>（4）对河道行洪能力影响分析</w:t>
      </w:r>
    </w:p>
    <w:p>
      <w:pPr>
        <w:ind w:firstLine="480"/>
        <w:rPr>
          <w:u w:val="none"/>
        </w:rPr>
      </w:pPr>
      <w:r>
        <w:rPr>
          <w:rFonts w:hint="eastAsia"/>
          <w:u w:val="none"/>
        </w:rPr>
        <w:t>本项目排污口设置于资水两岸，排污口所处资水宽约311m，资水两岸堤岸稳固，河道顺直、通畅。本项目流量为0.01</w:t>
      </w:r>
      <w:r>
        <w:rPr>
          <w:rFonts w:hint="eastAsia"/>
          <w:u w:val="none"/>
          <w:lang w:val="en-US" w:eastAsia="zh-CN"/>
        </w:rPr>
        <w:t>4</w:t>
      </w:r>
      <w:r>
        <w:rPr>
          <w:rFonts w:hint="eastAsia"/>
          <w:u w:val="none"/>
        </w:rPr>
        <w:t>m</w:t>
      </w:r>
      <w:r>
        <w:rPr>
          <w:rFonts w:hint="eastAsia"/>
          <w:u w:val="none"/>
          <w:vertAlign w:val="superscript"/>
        </w:rPr>
        <w:t>3</w:t>
      </w:r>
      <w:r>
        <w:rPr>
          <w:rFonts w:hint="eastAsia"/>
          <w:u w:val="none"/>
        </w:rPr>
        <w:t>/s，远小于资水枯水期流量，不会对资水堤岸产生冲刷。此外，本项目排污口位于河岸边，采用专用渠道排放，不影响资水正常行洪。因此，排污口设置对资水的影响较小，满足河道管理的要求。</w:t>
      </w:r>
    </w:p>
    <w:p>
      <w:pPr>
        <w:ind w:firstLine="480"/>
        <w:rPr>
          <w:u w:val="none"/>
          <w:lang w:val="zh-CN"/>
        </w:rPr>
      </w:pPr>
      <w:r>
        <w:rPr>
          <w:rFonts w:hint="eastAsia"/>
          <w:u w:val="none"/>
          <w:lang w:val="zh-CN"/>
        </w:rPr>
        <w:t>综上分析，在建设单位对入河污水进行处理，严格控制污水水质达标排放情况下，本项目入河排污口的设置不会对第三者权益方面产生不良影响。</w:t>
      </w:r>
    </w:p>
    <w:p>
      <w:pPr>
        <w:pStyle w:val="3"/>
        <w:spacing w:line="240" w:lineRule="auto"/>
        <w:rPr>
          <w:sz w:val="30"/>
          <w:szCs w:val="30"/>
          <w:u w:val="none"/>
        </w:rPr>
      </w:pPr>
      <w:bookmarkStart w:id="78" w:name="_Toc24255"/>
      <w:bookmarkStart w:id="79" w:name="_Toc24746"/>
      <w:bookmarkStart w:id="80" w:name="_Toc12876"/>
      <w:r>
        <w:rPr>
          <w:rFonts w:hint="eastAsia"/>
          <w:sz w:val="30"/>
          <w:szCs w:val="30"/>
          <w:u w:val="none"/>
        </w:rPr>
        <w:t>6.6</w:t>
      </w:r>
      <w:bookmarkEnd w:id="78"/>
      <w:r>
        <w:rPr>
          <w:rFonts w:hint="eastAsia"/>
          <w:szCs w:val="32"/>
          <w:u w:val="none"/>
        </w:rPr>
        <w:t>风险分析及防治措施</w:t>
      </w:r>
      <w:bookmarkEnd w:id="79"/>
    </w:p>
    <w:p>
      <w:pPr>
        <w:ind w:firstLine="480"/>
        <w:rPr>
          <w:u w:val="none"/>
        </w:rPr>
      </w:pPr>
      <w:bookmarkStart w:id="81" w:name="_Toc19612"/>
      <w:bookmarkStart w:id="82" w:name="_Toc16843"/>
      <w:bookmarkStart w:id="83" w:name="_Toc2636"/>
      <w:bookmarkStart w:id="84" w:name="_Toc11531"/>
      <w:bookmarkStart w:id="85" w:name="_Toc21759"/>
      <w:r>
        <w:rPr>
          <w:rFonts w:hint="eastAsia"/>
          <w:u w:val="none"/>
        </w:rPr>
        <w:t>结合本项目突发环境事件应急预案，本项目发生水环境风险事故的可能环节</w:t>
      </w:r>
    </w:p>
    <w:p>
      <w:pPr>
        <w:ind w:firstLine="480"/>
        <w:rPr>
          <w:u w:val="none"/>
        </w:rPr>
      </w:pPr>
      <w:r>
        <w:rPr>
          <w:rFonts w:hint="eastAsia"/>
          <w:u w:val="none"/>
        </w:rPr>
        <w:t>及由此产生的影响方式如下：</w:t>
      </w:r>
    </w:p>
    <w:p>
      <w:pPr>
        <w:ind w:firstLine="480"/>
        <w:rPr>
          <w:u w:val="none"/>
        </w:rPr>
      </w:pPr>
      <w:r>
        <w:rPr>
          <w:rFonts w:hint="eastAsia"/>
          <w:u w:val="none"/>
        </w:rPr>
        <w:t>（1）污水处理系统失效。</w:t>
      </w:r>
    </w:p>
    <w:p>
      <w:pPr>
        <w:ind w:firstLine="480"/>
        <w:rPr>
          <w:u w:val="none"/>
        </w:rPr>
      </w:pPr>
      <w:r>
        <w:rPr>
          <w:rFonts w:hint="eastAsia"/>
          <w:u w:val="none"/>
        </w:rPr>
        <w:t>（2）突发性外部事故。</w:t>
      </w:r>
    </w:p>
    <w:p>
      <w:pPr>
        <w:ind w:firstLine="480"/>
        <w:rPr>
          <w:u w:val="none"/>
        </w:rPr>
      </w:pPr>
      <w:r>
        <w:rPr>
          <w:rFonts w:hint="eastAsia"/>
          <w:u w:val="none"/>
        </w:rPr>
        <w:t>（3）由于操作不当，出现事故性排放。</w:t>
      </w:r>
    </w:p>
    <w:p>
      <w:pPr>
        <w:ind w:firstLine="480"/>
        <w:rPr>
          <w:u w:val="none"/>
        </w:rPr>
      </w:pPr>
      <w:r>
        <w:rPr>
          <w:rFonts w:hint="eastAsia"/>
          <w:u w:val="none"/>
        </w:rPr>
        <w:t>（4）管网破损、泄漏事故等。</w:t>
      </w:r>
    </w:p>
    <w:p>
      <w:pPr>
        <w:pStyle w:val="4"/>
        <w:rPr>
          <w:u w:val="none"/>
        </w:rPr>
      </w:pPr>
      <w:bookmarkStart w:id="86" w:name="_Toc137057947"/>
      <w:r>
        <w:rPr>
          <w:rFonts w:hint="eastAsia"/>
          <w:u w:val="none"/>
        </w:rPr>
        <w:t>6.6</w:t>
      </w:r>
      <w:r>
        <w:rPr>
          <w:u w:val="none"/>
        </w:rPr>
        <w:t>.1</w:t>
      </w:r>
      <w:r>
        <w:rPr>
          <w:rFonts w:hint="eastAsia"/>
          <w:u w:val="none"/>
        </w:rPr>
        <w:t>废水事故排放影响分析</w:t>
      </w:r>
      <w:bookmarkEnd w:id="86"/>
    </w:p>
    <w:p>
      <w:pPr>
        <w:ind w:firstLine="480"/>
        <w:rPr>
          <w:u w:val="none"/>
        </w:rPr>
      </w:pPr>
      <w:r>
        <w:rPr>
          <w:rFonts w:hint="eastAsia"/>
          <w:u w:val="none"/>
        </w:rPr>
        <w:t>根据前述分析，本项目外排废水主要为生产废水，经污水处理站处理后</w:t>
      </w:r>
      <w:r>
        <w:rPr>
          <w:u w:val="none"/>
        </w:rPr>
        <w:t>达到《污水综合排放标准》一级标准</w:t>
      </w:r>
      <w:r>
        <w:rPr>
          <w:rFonts w:hint="eastAsia"/>
          <w:u w:val="none"/>
        </w:rPr>
        <w:t>后</w:t>
      </w:r>
      <w:r>
        <w:rPr>
          <w:u w:val="none"/>
        </w:rPr>
        <w:t>(其中铊执行《湖南省工业废水铊污染物排放标准》(</w:t>
      </w:r>
      <w:r>
        <w:rPr>
          <w:rFonts w:hint="eastAsia"/>
          <w:u w:val="none"/>
        </w:rPr>
        <w:t>DB43/968-2021</w:t>
      </w:r>
      <w:r>
        <w:rPr>
          <w:u w:val="none"/>
        </w:rPr>
        <w:t>)，锑参考执行《锡、锑、汞工业污染物排放标准》(GB30770-2014)，限值</w:t>
      </w:r>
      <w:r>
        <w:rPr>
          <w:rFonts w:hint="eastAsia"/>
          <w:u w:val="none"/>
        </w:rPr>
        <w:t>要求</w:t>
      </w:r>
      <w:r>
        <w:rPr>
          <w:rFonts w:hint="eastAsia"/>
          <w:u w:val="none"/>
          <w:lang w:eastAsia="zh-CN"/>
        </w:rPr>
        <w:t>，</w:t>
      </w:r>
      <w:r>
        <w:rPr>
          <w:rFonts w:hint="eastAsia"/>
          <w:color w:val="000000"/>
          <w:u w:val="none"/>
          <w:lang w:val="en-US" w:eastAsia="zh-CN"/>
        </w:rPr>
        <w:t>砷以环评</w:t>
      </w:r>
      <w:r>
        <w:rPr>
          <w:rFonts w:hint="eastAsia"/>
          <w:u w:val="none"/>
        </w:rPr>
        <w:t>总量控制指标</w:t>
      </w:r>
      <w:r>
        <w:rPr>
          <w:rFonts w:hint="eastAsia"/>
          <w:u w:val="none"/>
          <w:lang w:val="en-US" w:eastAsia="zh-CN"/>
        </w:rPr>
        <w:t>核算中的0.2</w:t>
      </w:r>
      <w:r>
        <w:t>mg/L</w:t>
      </w:r>
      <w:r>
        <w:rPr>
          <w:rFonts w:hint="eastAsia"/>
          <w:lang w:val="en-US" w:eastAsia="zh-CN"/>
        </w:rPr>
        <w:t>浓度为限值标准</w:t>
      </w:r>
      <w:r>
        <w:rPr>
          <w:rFonts w:hint="eastAsia"/>
          <w:u w:val="none"/>
          <w:lang w:eastAsia="zh-CN"/>
        </w:rPr>
        <w:t>）</w:t>
      </w:r>
      <w:r>
        <w:rPr>
          <w:u w:val="none"/>
        </w:rPr>
        <w:t>，通过</w:t>
      </w:r>
      <w:r>
        <w:rPr>
          <w:rFonts w:hint="eastAsia"/>
          <w:u w:val="none"/>
        </w:rPr>
        <w:t>排水渠排入</w:t>
      </w:r>
      <w:r>
        <w:rPr>
          <w:u w:val="none"/>
        </w:rPr>
        <w:t>资江</w:t>
      </w:r>
      <w:r>
        <w:rPr>
          <w:rFonts w:hint="eastAsia"/>
          <w:u w:val="none"/>
        </w:rPr>
        <w:t>。项目事故排放主要为废水处理设施发生故障。详见“第6.1.4章节”的预测模式预测事故情况下，外排废水对资水的影响，</w:t>
      </w:r>
    </w:p>
    <w:p>
      <w:pPr>
        <w:pStyle w:val="4"/>
        <w:rPr>
          <w:u w:val="none"/>
        </w:rPr>
      </w:pPr>
      <w:bookmarkStart w:id="87" w:name="_Toc137057948"/>
      <w:r>
        <w:rPr>
          <w:rFonts w:hint="eastAsia"/>
          <w:u w:val="none"/>
        </w:rPr>
        <w:t>6.6.2排水管道泄漏事件影响分析</w:t>
      </w:r>
      <w:bookmarkEnd w:id="87"/>
    </w:p>
    <w:p>
      <w:pPr>
        <w:ind w:firstLine="480"/>
        <w:rPr>
          <w:u w:val="none"/>
        </w:rPr>
      </w:pPr>
      <w:r>
        <w:rPr>
          <w:u w:val="none"/>
        </w:rPr>
        <w:t>本</w:t>
      </w:r>
      <w:r>
        <w:rPr>
          <w:rFonts w:hint="eastAsia"/>
          <w:u w:val="none"/>
        </w:rPr>
        <w:t>项目</w:t>
      </w:r>
      <w:r>
        <w:rPr>
          <w:u w:val="none"/>
        </w:rPr>
        <w:t>废水管道可能因工人操作失误、地温冷热变化、人为破坏等原因发生破裂或渗漏风险事件。若排水管道发生破裂或渗漏，尾水进入土壤，渗入地下，会对地下水造成一定的污染</w:t>
      </w:r>
      <w:r>
        <w:rPr>
          <w:rFonts w:hint="eastAsia"/>
          <w:u w:val="none"/>
        </w:rPr>
        <w:t>。</w:t>
      </w:r>
    </w:p>
    <w:p>
      <w:pPr>
        <w:pStyle w:val="4"/>
        <w:rPr>
          <w:u w:val="none"/>
        </w:rPr>
      </w:pPr>
      <w:bookmarkStart w:id="88" w:name="_Toc137057949"/>
      <w:r>
        <w:rPr>
          <w:rFonts w:hint="eastAsia"/>
          <w:u w:val="none"/>
        </w:rPr>
        <w:t>6.6.3其他风险事件分析</w:t>
      </w:r>
      <w:bookmarkEnd w:id="88"/>
    </w:p>
    <w:p>
      <w:pPr>
        <w:ind w:firstLine="480"/>
        <w:rPr>
          <w:u w:val="none"/>
        </w:rPr>
      </w:pPr>
      <w:r>
        <w:rPr>
          <w:rFonts w:hint="eastAsia"/>
          <w:u w:val="none"/>
        </w:rPr>
        <w:t>①</w:t>
      </w:r>
      <w:r>
        <w:rPr>
          <w:u w:val="none"/>
        </w:rPr>
        <w:t>电力及机械故障</w:t>
      </w:r>
    </w:p>
    <w:p>
      <w:pPr>
        <w:ind w:firstLine="480"/>
        <w:rPr>
          <w:u w:val="none"/>
        </w:rPr>
      </w:pPr>
      <w:r>
        <w:rPr>
          <w:u w:val="none"/>
        </w:rPr>
        <w:t>污水处理</w:t>
      </w:r>
      <w:r>
        <w:rPr>
          <w:rFonts w:hint="eastAsia"/>
          <w:u w:val="none"/>
        </w:rPr>
        <w:t>设施</w:t>
      </w:r>
      <w:r>
        <w:rPr>
          <w:u w:val="none"/>
        </w:rPr>
        <w:t>主体建筑建成运行后，一旦出现机械设施或电力故障即会造成污水处理设施不能正常运行，导致污水事故排放，影响纳污水体水质。</w:t>
      </w:r>
    </w:p>
    <w:p>
      <w:pPr>
        <w:ind w:firstLine="480"/>
        <w:rPr>
          <w:u w:val="none"/>
        </w:rPr>
      </w:pPr>
      <w:r>
        <w:rPr>
          <w:rFonts w:hint="eastAsia"/>
          <w:u w:val="none"/>
        </w:rPr>
        <w:t>本项目污水处理设施</w:t>
      </w:r>
      <w:r>
        <w:rPr>
          <w:u w:val="none"/>
        </w:rPr>
        <w:t>采用先进产品，其自控水平很高，因此由于电力、机械故障造成的事故几率很低。</w:t>
      </w:r>
    </w:p>
    <w:p>
      <w:pPr>
        <w:ind w:firstLine="480"/>
        <w:rPr>
          <w:u w:val="none"/>
        </w:rPr>
      </w:pPr>
      <w:r>
        <w:rPr>
          <w:rFonts w:hint="eastAsia"/>
          <w:u w:val="none"/>
        </w:rPr>
        <w:t>②设备</w:t>
      </w:r>
      <w:r>
        <w:rPr>
          <w:u w:val="none"/>
        </w:rPr>
        <w:t>检修</w:t>
      </w:r>
    </w:p>
    <w:p>
      <w:pPr>
        <w:ind w:firstLine="480"/>
        <w:rPr>
          <w:u w:val="none"/>
        </w:rPr>
      </w:pPr>
      <w:r>
        <w:rPr>
          <w:u w:val="none"/>
        </w:rPr>
        <w:t>在维护污水</w:t>
      </w:r>
      <w:r>
        <w:rPr>
          <w:rFonts w:hint="eastAsia"/>
          <w:u w:val="none"/>
        </w:rPr>
        <w:t>处理设施</w:t>
      </w:r>
      <w:r>
        <w:rPr>
          <w:u w:val="none"/>
        </w:rPr>
        <w:t>正常运行过程中产生的维修风险，可能会给维护系统的工作人员带来较大的健康损害。当</w:t>
      </w:r>
      <w:r>
        <w:rPr>
          <w:rFonts w:hint="eastAsia"/>
          <w:u w:val="none"/>
        </w:rPr>
        <w:t>污水处理设施</w:t>
      </w:r>
      <w:r>
        <w:rPr>
          <w:u w:val="none"/>
        </w:rPr>
        <w:t>出现运行异常，必须立即予以排除，此时需操作人员进入井下操作；污水中的各类以气体形式存在的有毒污染物质会产生劳动安全上的危害风险。</w:t>
      </w:r>
    </w:p>
    <w:bookmarkEnd w:id="81"/>
    <w:bookmarkEnd w:id="82"/>
    <w:bookmarkEnd w:id="83"/>
    <w:bookmarkEnd w:id="84"/>
    <w:bookmarkEnd w:id="85"/>
    <w:p>
      <w:pPr>
        <w:pStyle w:val="4"/>
        <w:spacing w:line="240" w:lineRule="auto"/>
        <w:rPr>
          <w:u w:val="none"/>
        </w:rPr>
      </w:pPr>
      <w:r>
        <w:rPr>
          <w:rFonts w:hint="eastAsia"/>
          <w:u w:val="none"/>
        </w:rPr>
        <w:t>6.</w:t>
      </w:r>
      <w:r>
        <w:rPr>
          <w:rFonts w:hint="eastAsia"/>
          <w:u w:val="none"/>
          <w:lang w:val="en-US" w:eastAsia="zh-CN"/>
        </w:rPr>
        <w:t>6.4</w:t>
      </w:r>
      <w:r>
        <w:rPr>
          <w:u w:val="none"/>
        </w:rPr>
        <w:t>风险防范措施</w:t>
      </w:r>
    </w:p>
    <w:p>
      <w:pPr>
        <w:ind w:firstLine="480"/>
        <w:rPr>
          <w:u w:val="none"/>
        </w:rPr>
      </w:pPr>
      <w:r>
        <w:rPr>
          <w:u w:val="none"/>
        </w:rPr>
        <w:t>（1）风险防范工程措施</w:t>
      </w:r>
    </w:p>
    <w:p>
      <w:pPr>
        <w:ind w:firstLine="480"/>
        <w:rPr>
          <w:u w:val="none"/>
        </w:rPr>
      </w:pPr>
      <w:r>
        <w:rPr>
          <w:u w:val="none"/>
        </w:rPr>
        <w:t>废水处理设施的事故主要来源于设计、设备、管理等环节，主要防治措施如下：</w:t>
      </w:r>
    </w:p>
    <w:p>
      <w:pPr>
        <w:ind w:firstLine="480"/>
        <w:rPr>
          <w:u w:val="none"/>
        </w:rPr>
      </w:pPr>
      <w:r>
        <w:rPr>
          <w:u w:val="none"/>
        </w:rPr>
        <w:t>①水泵与废水处理设施设有备用电源，水泵设有备用，机械设备采用性能可靠优质产品；并配备一定的应急物资，如絮凝剂PAC、石灰、过滤净化设施干稻草等。</w:t>
      </w:r>
    </w:p>
    <w:p>
      <w:pPr>
        <w:ind w:firstLine="480"/>
        <w:rPr>
          <w:u w:val="none"/>
        </w:rPr>
      </w:pPr>
      <w:r>
        <w:rPr>
          <w:u w:val="none"/>
        </w:rPr>
        <w:t>②为使在事故状态下废水处理设施能够迅速恢复正常运行，应在主要水工建筑物的容积上留有相应的缓冲能力，并配有相应的设备。</w:t>
      </w:r>
    </w:p>
    <w:p>
      <w:pPr>
        <w:ind w:firstLine="480"/>
        <w:rPr>
          <w:u w:val="none"/>
        </w:rPr>
      </w:pPr>
      <w:r>
        <w:rPr>
          <w:u w:val="none"/>
        </w:rPr>
        <w:t>③选用优质设备，对废水处理排水等各种设备，选择质量优良、事故率低、便于维修的产品。关键设备应一备一用，易损部件要有备用件，在出现事故时能及时更换。</w:t>
      </w:r>
    </w:p>
    <w:p>
      <w:pPr>
        <w:ind w:firstLine="480"/>
        <w:rPr>
          <w:u w:val="none"/>
        </w:rPr>
      </w:pPr>
      <w:r>
        <w:rPr>
          <w:u w:val="none"/>
        </w:rPr>
        <w:t>④加强事故苗头监控，定期巡检、调节、保养、维修。及时发现有可能引起</w:t>
      </w:r>
    </w:p>
    <w:p>
      <w:pPr>
        <w:ind w:firstLine="480"/>
        <w:rPr>
          <w:u w:val="none"/>
        </w:rPr>
      </w:pPr>
      <w:r>
        <w:rPr>
          <w:u w:val="none"/>
        </w:rPr>
        <w:t>事故的异常运行苗头，消除事故隐患。</w:t>
      </w:r>
    </w:p>
    <w:p>
      <w:pPr>
        <w:ind w:firstLine="480"/>
        <w:rPr>
          <w:u w:val="none"/>
        </w:rPr>
      </w:pPr>
      <w:r>
        <w:rPr>
          <w:u w:val="none"/>
        </w:rPr>
        <w:t>⑤建立安全操作规程，在平时严格按规程办事，定期对负责污水处理运营人员的理论知识和操作技能进行培训和检查。建立安全责任制度，在日常的工作管理方面建立一套完整的制度，落实到人、明确职责、定期检查。</w:t>
      </w:r>
    </w:p>
    <w:p>
      <w:pPr>
        <w:ind w:firstLine="480"/>
        <w:rPr>
          <w:u w:val="none"/>
        </w:rPr>
      </w:pPr>
      <w:r>
        <w:rPr>
          <w:u w:val="none"/>
        </w:rPr>
        <w:t>⑥加强运行管理和进出水的监测工作，根据《排污单位自行监测技术指南总则》（HJ819-2017）进行定时检测；未经处理达标的废水严禁外排。</w:t>
      </w:r>
    </w:p>
    <w:p>
      <w:pPr>
        <w:ind w:firstLine="480"/>
        <w:rPr>
          <w:u w:val="none"/>
        </w:rPr>
      </w:pPr>
      <w:r>
        <w:rPr>
          <w:u w:val="none"/>
        </w:rPr>
        <w:t>⑦制定操作性较强的事故应急预案，明确事故发生时的应急、抢险操作制度</w:t>
      </w:r>
      <w:r>
        <w:rPr>
          <w:rFonts w:hint="eastAsia"/>
          <w:u w:val="none"/>
        </w:rPr>
        <w:t>。</w:t>
      </w:r>
      <w:r>
        <w:rPr>
          <w:u w:val="none"/>
        </w:rPr>
        <w:t>落实各项工作人员的责任，做到责任到人，并在平时定期进行预演。</w:t>
      </w:r>
    </w:p>
    <w:p>
      <w:pPr>
        <w:ind w:firstLine="480"/>
        <w:rPr>
          <w:u w:val="none"/>
        </w:rPr>
      </w:pPr>
      <w:r>
        <w:rPr>
          <w:u w:val="none"/>
        </w:rPr>
        <w:t>（2）非正常污水排放工程措施</w:t>
      </w:r>
    </w:p>
    <w:p>
      <w:pPr>
        <w:ind w:firstLine="480"/>
        <w:rPr>
          <w:u w:val="none"/>
        </w:rPr>
      </w:pPr>
      <w:r>
        <w:rPr>
          <w:u w:val="none"/>
        </w:rPr>
        <w:t>1）设计中应充分考虑由于各种因素造成水量不稳状态时的应急措施，以缓解不利状态。</w:t>
      </w:r>
    </w:p>
    <w:p>
      <w:pPr>
        <w:ind w:firstLine="480"/>
        <w:rPr>
          <w:u w:val="none"/>
        </w:rPr>
      </w:pPr>
      <w:r>
        <w:rPr>
          <w:u w:val="none"/>
        </w:rPr>
        <w:t>2）加强供电管理，保证供电设施及线路正常运行。</w:t>
      </w:r>
    </w:p>
    <w:p>
      <w:pPr>
        <w:ind w:firstLine="480"/>
        <w:rPr>
          <w:u w:val="none"/>
        </w:rPr>
      </w:pPr>
      <w:r>
        <w:rPr>
          <w:u w:val="none"/>
        </w:rPr>
        <w:t>3）加强输水管线的巡查，特别是主矿井口的输水管，保障输水管线地基稳定，并定期进行防锈处理；及时发现问题及时解决，不得拖延。</w:t>
      </w:r>
    </w:p>
    <w:p>
      <w:pPr>
        <w:ind w:firstLine="480"/>
        <w:rPr>
          <w:u w:val="none"/>
        </w:rPr>
      </w:pPr>
      <w:r>
        <w:rPr>
          <w:u w:val="none"/>
        </w:rPr>
        <w:t>4）建立废水处理设施运行管理和操作责任制度；搞好员工培训，建立技术考核档案，不合格者不得上岗。</w:t>
      </w:r>
    </w:p>
    <w:p>
      <w:pPr>
        <w:ind w:firstLine="480"/>
        <w:rPr>
          <w:u w:val="none"/>
        </w:rPr>
      </w:pPr>
      <w:r>
        <w:rPr>
          <w:u w:val="none"/>
        </w:rPr>
        <w:t>5）加强设备、设施的维护与管理，关键设备应有备机，保证备用电源供电；一旦发生事故，应采取以下措施：</w:t>
      </w:r>
    </w:p>
    <w:p>
      <w:pPr>
        <w:ind w:firstLine="480"/>
        <w:rPr>
          <w:u w:val="none"/>
        </w:rPr>
      </w:pPr>
      <w:r>
        <w:rPr>
          <w:u w:val="none"/>
        </w:rPr>
        <w:t>①力争保证沉淀池正常运行，使进水中的SS得到一定的削减，若出现SS浓度较高，及时停车修正，或往沉淀池中投加絮凝剂PAC；</w:t>
      </w:r>
    </w:p>
    <w:p>
      <w:pPr>
        <w:ind w:firstLine="480"/>
        <w:rPr>
          <w:u w:val="none"/>
        </w:rPr>
      </w:pPr>
      <w:r>
        <w:rPr>
          <w:u w:val="none"/>
        </w:rPr>
        <w:t>②如一旦出现不可抗拒的外部原因，如突发性自然灾害等情况将导致废水未处理外排时，应要求厂区停工，停止向</w:t>
      </w:r>
      <w:r>
        <w:rPr>
          <w:rFonts w:hint="eastAsia"/>
          <w:u w:val="none"/>
        </w:rPr>
        <w:t>资水</w:t>
      </w:r>
      <w:r>
        <w:rPr>
          <w:u w:val="none"/>
        </w:rPr>
        <w:t>排污，以确保水体功能安全；</w:t>
      </w:r>
    </w:p>
    <w:p>
      <w:pPr>
        <w:ind w:firstLine="480"/>
        <w:rPr>
          <w:u w:val="none"/>
        </w:rPr>
      </w:pPr>
      <w:r>
        <w:rPr>
          <w:u w:val="none"/>
        </w:rPr>
        <w:t>③在事故发生及处理期间，应在排放口附近水域悬挂标志示警，提醒各有关方面采取防范措施。</w:t>
      </w:r>
    </w:p>
    <w:p>
      <w:pPr>
        <w:pStyle w:val="4"/>
        <w:spacing w:line="240" w:lineRule="auto"/>
        <w:rPr>
          <w:u w:val="none"/>
        </w:rPr>
      </w:pPr>
      <w:r>
        <w:rPr>
          <w:rFonts w:hint="eastAsia"/>
          <w:u w:val="none"/>
        </w:rPr>
        <w:t>6.</w:t>
      </w:r>
      <w:r>
        <w:rPr>
          <w:rFonts w:hint="eastAsia"/>
          <w:u w:val="none"/>
          <w:lang w:val="en-US" w:eastAsia="zh-CN"/>
        </w:rPr>
        <w:t>6.5</w:t>
      </w:r>
      <w:r>
        <w:rPr>
          <w:u w:val="none"/>
        </w:rPr>
        <w:t>应急处理措施</w:t>
      </w:r>
    </w:p>
    <w:p>
      <w:pPr>
        <w:ind w:firstLine="480"/>
        <w:rPr>
          <w:u w:val="none"/>
        </w:rPr>
      </w:pPr>
      <w:r>
        <w:rPr>
          <w:u w:val="none"/>
        </w:rPr>
        <w:t>对废水处理设施可能发生的异常情况，积极防范，在突发性污染事故发生后，迅速、高效、有序地开展污染事故的应急处理工作，最大限度的避免和控制污染的扩大；确定潜在的事故、事件或紧急情况，确保经过处理的废水中污染物浓度符合国家对污水排放的有关规定，并能在事故发生后迅速有效控制处理。针对废水处理设施可能发生的设备故障、管网破损、突发性外部事故等造成的水环境风险事故，提出如下应急处理措施：</w:t>
      </w:r>
    </w:p>
    <w:p>
      <w:pPr>
        <w:ind w:firstLine="480"/>
        <w:rPr>
          <w:u w:val="none"/>
        </w:rPr>
      </w:pPr>
      <w:r>
        <w:rPr>
          <w:u w:val="none"/>
        </w:rPr>
        <w:t>（1）进水水质超标</w:t>
      </w:r>
    </w:p>
    <w:p>
      <w:pPr>
        <w:ind w:firstLine="480"/>
        <w:rPr>
          <w:u w:val="none"/>
        </w:rPr>
      </w:pPr>
      <w:r>
        <w:rPr>
          <w:u w:val="none"/>
        </w:rPr>
        <w:t>如果因开采过程中，导致废水处理设备进水水质大幅度、长时间超过设计规定的进水水质，就本工程运行情况来说，一般是非突发或非短时间的。发生进水水质异常时，或与水质监测相差较大时，应及时调整运行工艺，并向</w:t>
      </w:r>
      <w:r>
        <w:rPr>
          <w:rFonts w:hint="eastAsia"/>
          <w:u w:val="none"/>
        </w:rPr>
        <w:t>益阳</w:t>
      </w:r>
      <w:r>
        <w:rPr>
          <w:u w:val="none"/>
        </w:rPr>
        <w:t>市生态环境局</w:t>
      </w:r>
      <w:r>
        <w:rPr>
          <w:rFonts w:hint="eastAsia"/>
          <w:u w:val="none"/>
        </w:rPr>
        <w:t>桃江</w:t>
      </w:r>
      <w:r>
        <w:rPr>
          <w:u w:val="none"/>
        </w:rPr>
        <w:t>分局、</w:t>
      </w:r>
      <w:r>
        <w:rPr>
          <w:rFonts w:hint="eastAsia"/>
          <w:u w:val="none"/>
        </w:rPr>
        <w:t>益阳</w:t>
      </w:r>
      <w:r>
        <w:rPr>
          <w:u w:val="none"/>
        </w:rPr>
        <w:t>市生态环境局和</w:t>
      </w:r>
      <w:r>
        <w:rPr>
          <w:rFonts w:hint="eastAsia"/>
          <w:u w:val="none"/>
        </w:rPr>
        <w:t>益阳</w:t>
      </w:r>
      <w:r>
        <w:rPr>
          <w:u w:val="none"/>
        </w:rPr>
        <w:t>市水务局等相关部门汇报，同时取样备检、拍摄照片或录像保存异常数据，以便后期处理，及时查找原因，分析处理。</w:t>
      </w:r>
    </w:p>
    <w:p>
      <w:pPr>
        <w:ind w:firstLine="480"/>
        <w:rPr>
          <w:u w:val="none"/>
        </w:rPr>
      </w:pPr>
      <w:r>
        <w:rPr>
          <w:u w:val="none"/>
        </w:rPr>
        <w:t>（2）设备运行故障</w:t>
      </w:r>
    </w:p>
    <w:p>
      <w:pPr>
        <w:ind w:firstLine="480"/>
        <w:rPr>
          <w:u w:val="none"/>
        </w:rPr>
      </w:pPr>
      <w:r>
        <w:rPr>
          <w:u w:val="none"/>
        </w:rPr>
        <w:t>若为设备运行故障，机电维修班应迅速组织相关人员进行抢修并填好详细故障记录，对经常重复发生故障的部位，应认真分析，制定完善维修措施，尽量从根本上消除故障发生的原因，易磨损</w:t>
      </w:r>
      <w:r>
        <w:rPr>
          <w:rFonts w:hint="eastAsia"/>
          <w:u w:val="none"/>
          <w:lang w:val="en-US" w:eastAsia="zh-CN"/>
        </w:rPr>
        <w:t>部件</w:t>
      </w:r>
      <w:r>
        <w:rPr>
          <w:u w:val="none"/>
        </w:rPr>
        <w:t>采取预先采购备用仓库存放方式，并由专人维护保管，确保所有备用设备完好，并于应急使用。同时关键设备，需设置备用设备，防止设备故障。</w:t>
      </w:r>
    </w:p>
    <w:p>
      <w:pPr>
        <w:ind w:firstLine="480"/>
        <w:rPr>
          <w:u w:val="none"/>
        </w:rPr>
      </w:pPr>
      <w:r>
        <w:rPr>
          <w:u w:val="none"/>
        </w:rPr>
        <w:t>（3）转输管网、排污管道破损</w:t>
      </w:r>
    </w:p>
    <w:p>
      <w:pPr>
        <w:ind w:firstLine="480"/>
        <w:rPr>
          <w:u w:val="none"/>
        </w:rPr>
      </w:pPr>
      <w:r>
        <w:rPr>
          <w:u w:val="none"/>
        </w:rPr>
        <w:t>一旦发现因管道破损造成的流量损失，应立即关闭污水排水闸阀，切断排污系统电源并查找原因，采取相应补救方案。</w:t>
      </w:r>
    </w:p>
    <w:p>
      <w:pPr>
        <w:ind w:firstLine="480"/>
        <w:rPr>
          <w:u w:val="none"/>
        </w:rPr>
      </w:pPr>
      <w:r>
        <w:rPr>
          <w:u w:val="none"/>
        </w:rPr>
        <w:t>加强废污水输送管的防护工作，严防暴雨季节发生泥石流、滑坡等地质灾害对管线的破坏，避免因废污水泄漏对地表水水质造成污染。成立专业抢修队伍，抢修队伍配备专业的抢修设备和适量的管材；加强抢修训练，当发生抢修作业时，抢修应在5～6个小时内完成。抢修时间安排：为避免对污水收集造成过大的压力，抢修宜安排在停工的时候进行。</w:t>
      </w:r>
    </w:p>
    <w:p>
      <w:pPr>
        <w:ind w:firstLine="480"/>
        <w:rPr>
          <w:u w:val="none"/>
        </w:rPr>
      </w:pPr>
      <w:r>
        <w:rPr>
          <w:u w:val="none"/>
        </w:rPr>
        <w:t>（</w:t>
      </w:r>
      <w:r>
        <w:rPr>
          <w:rFonts w:hint="eastAsia"/>
          <w:u w:val="none"/>
        </w:rPr>
        <w:t>4</w:t>
      </w:r>
      <w:r>
        <w:rPr>
          <w:u w:val="none"/>
        </w:rPr>
        <w:t>）突发自然灾害或人力不可抗拒事件</w:t>
      </w:r>
    </w:p>
    <w:p>
      <w:pPr>
        <w:ind w:firstLine="480"/>
        <w:rPr>
          <w:u w:val="none"/>
        </w:rPr>
      </w:pPr>
      <w:r>
        <w:rPr>
          <w:u w:val="none"/>
        </w:rPr>
        <w:t>在发生此类事件时，厂区负责人应第一时间向上级报告，简要说明</w:t>
      </w:r>
      <w:r>
        <w:rPr>
          <w:rFonts w:hint="eastAsia"/>
          <w:u w:val="none"/>
          <w:lang w:val="en-US" w:eastAsia="zh-CN"/>
        </w:rPr>
        <w:t>事件</w:t>
      </w:r>
      <w:r>
        <w:rPr>
          <w:u w:val="none"/>
        </w:rPr>
        <w:t>发生情况及后果预测，及时采取停电、停水等保护性措施。当事件发生后两小时内厂区总负责人必须直接向当地政府生态环境部门报告情况，请求处理意见。厂区在岗人员要坚守岗位，严密监视事件发展态势，随时保持通讯畅通，必要时听候上级命令实行安全撤离。</w:t>
      </w:r>
    </w:p>
    <w:p>
      <w:pPr>
        <w:pStyle w:val="4"/>
        <w:bidi w:val="0"/>
      </w:pPr>
      <w:r>
        <w:rPr>
          <w:rFonts w:hint="eastAsia"/>
        </w:rPr>
        <w:t>6.</w:t>
      </w:r>
      <w:r>
        <w:rPr>
          <w:rFonts w:hint="eastAsia"/>
          <w:lang w:val="en-US" w:eastAsia="zh-CN"/>
        </w:rPr>
        <w:t>6.6</w:t>
      </w:r>
      <w:r>
        <w:rPr>
          <w:rFonts w:hint="eastAsia"/>
        </w:rPr>
        <w:t>突发环境事件应急预案</w:t>
      </w:r>
    </w:p>
    <w:p>
      <w:pPr>
        <w:ind w:firstLine="480"/>
        <w:rPr>
          <w:u w:val="none"/>
        </w:rPr>
      </w:pPr>
      <w:r>
        <w:rPr>
          <w:rFonts w:hint="eastAsia"/>
          <w:u w:val="none"/>
        </w:rPr>
        <w:t>建设单位应建立风险组织管理体系，编制风险应急预案。风险应急预案强调组织机构的应急能力，重点是组织救援响应协调机构的建立及要求，应急管理、应急救援各级响应程序是否能快速、安全、有效启动，对风险影响的快速、有效控制措施。本工程应根据《突发环境事件应急预案管理暂行办法》（环发﹝</w:t>
      </w:r>
      <w:r>
        <w:rPr>
          <w:u w:val="none"/>
        </w:rPr>
        <w:t>2010</w:t>
      </w:r>
      <w:r>
        <w:rPr>
          <w:rFonts w:hint="eastAsia"/>
          <w:u w:val="none"/>
        </w:rPr>
        <w:t>﹞</w:t>
      </w:r>
      <w:r>
        <w:rPr>
          <w:u w:val="none"/>
        </w:rPr>
        <w:t>13</w:t>
      </w:r>
      <w:r>
        <w:rPr>
          <w:rFonts w:hint="eastAsia"/>
          <w:u w:val="none"/>
        </w:rPr>
        <w:t>号）等要求，规范企业内部的事故应急预案，在试生产或验收前进行不少于一次的应急演练。主要应急预案主要应包括以下方面内容：</w:t>
      </w:r>
    </w:p>
    <w:p>
      <w:pPr>
        <w:ind w:firstLine="480"/>
        <w:rPr>
          <w:u w:val="none"/>
        </w:rPr>
      </w:pPr>
      <w:r>
        <w:rPr>
          <w:rFonts w:hint="eastAsia"/>
          <w:u w:val="none"/>
        </w:rPr>
        <w:t>（1）应急救援及响应组织机构</w:t>
      </w:r>
    </w:p>
    <w:p>
      <w:pPr>
        <w:ind w:firstLine="480"/>
        <w:rPr>
          <w:u w:val="none"/>
        </w:rPr>
      </w:pPr>
      <w:r>
        <w:rPr>
          <w:rFonts w:hint="eastAsia"/>
          <w:u w:val="none"/>
        </w:rPr>
        <w:t>企业成立突发环境事件应急救援指挥部，由湘域矿业有限公司总经理担任总指挥、副总经理担任副总指挥、应急办公室组成应急指挥部；现场指挥部协调通知各救援队伍、周边村民，救援小组下设6个应急专业组。建立各部门之间应急联系工作机制，保证信息畅通，做到信息共享，按各自的职责制定本部门的环境应急预案，并负责管理和实施。当突发环境事件超出企业的控制能力范围时，应及时向外部应急救援机构寻求救援</w:t>
      </w:r>
    </w:p>
    <w:p>
      <w:pPr>
        <w:ind w:firstLine="480"/>
        <w:rPr>
          <w:u w:val="none"/>
        </w:rPr>
      </w:pPr>
      <w:r>
        <w:rPr>
          <w:rFonts w:hint="eastAsia"/>
          <w:u w:val="none"/>
        </w:rPr>
        <w:t>（2）事故现场应急措施</w:t>
      </w:r>
    </w:p>
    <w:p>
      <w:pPr>
        <w:ind w:firstLine="480"/>
        <w:rPr>
          <w:u w:val="none"/>
        </w:rPr>
      </w:pPr>
      <w:r>
        <w:rPr>
          <w:u w:val="none"/>
        </w:rPr>
        <w:t>当公司发生突发环境污染事件时，最早发现者应立即报告接警人，由接警人向应急办公室主任报告，同时接警人应迅速查明事件发生点，调度应当机立断采取措施，最大程度降低事件危害，组织自救；应急办公室主任接到报告后，紧急行动查清事件发生原因，并必通知有关部门，请有关部门协助处理，同时报告总指挥和副总指挥，启动应急救援程序，通知救援队伍迅速赶赴事件现场；监测人员到达现场后</w:t>
      </w:r>
      <w:r>
        <w:rPr>
          <w:rFonts w:hint="eastAsia"/>
          <w:u w:val="none"/>
        </w:rPr>
        <w:t>，</w:t>
      </w:r>
      <w:r>
        <w:rPr>
          <w:u w:val="none"/>
        </w:rPr>
        <w:t>应迅速对事件现场的污染程度进行监测分析，将监测情况报告应急救援指挥部，并对污染情况作出评估；当事件得到控制，应尽快实现生产自救，由应急办公室成员负责写出事件分析报告，上报应急救援指挥部。一旦确认事故发生时，公司内不可控的情况下，总指挥半个小时内向</w:t>
      </w:r>
      <w:r>
        <w:rPr>
          <w:rFonts w:hint="eastAsia"/>
          <w:u w:val="none"/>
        </w:rPr>
        <w:t>道县人民政府</w:t>
      </w:r>
      <w:r>
        <w:rPr>
          <w:u w:val="none"/>
        </w:rPr>
        <w:t>及其相关部门报告（如环保、公安消防、安监、卫生等部门），当事故排放严重时，由应急指挥部报领导小组审批，停止各截污纳管向污水处理设施输送废水</w:t>
      </w:r>
    </w:p>
    <w:p>
      <w:pPr>
        <w:ind w:firstLine="480"/>
        <w:rPr>
          <w:u w:val="none"/>
        </w:rPr>
      </w:pPr>
      <w:r>
        <w:rPr>
          <w:u w:val="none"/>
        </w:rPr>
        <w:t>(3)</w:t>
      </w:r>
      <w:r>
        <w:rPr>
          <w:rFonts w:hint="eastAsia"/>
          <w:u w:val="none"/>
        </w:rPr>
        <w:t>水环境应急监测</w:t>
      </w:r>
    </w:p>
    <w:p>
      <w:pPr>
        <w:ind w:firstLine="480"/>
        <w:rPr>
          <w:u w:val="none"/>
        </w:rPr>
      </w:pPr>
      <w:r>
        <w:rPr>
          <w:rFonts w:hint="eastAsia"/>
          <w:u w:val="none"/>
        </w:rPr>
        <w:t>若发生污水泄漏事故，则应进行地表水水体环境应急监测。当</w:t>
      </w:r>
      <w:r>
        <w:rPr>
          <w:u w:val="none"/>
        </w:rPr>
        <w:t>公司发生突发环境污染事件时，现场应急监测委托有资质的监测机构进行监测，公司应急救援成员配合有资质的监测机构监测人员，迅速了解现场实际情况，确定监测方案（包括监测项目、监测布点、监测频次</w:t>
      </w:r>
      <w:r>
        <w:rPr>
          <w:rFonts w:hint="eastAsia"/>
          <w:u w:val="none"/>
        </w:rPr>
        <w:t>，</w:t>
      </w:r>
      <w:r>
        <w:rPr>
          <w:u w:val="none"/>
        </w:rPr>
        <w:t>尽可能采用便携式仪器对有毒有害气体进行快速现场监测，尽可能快地提供数据，为现场处置提供科学依据。</w:t>
      </w:r>
    </w:p>
    <w:p>
      <w:pPr>
        <w:ind w:firstLine="480"/>
        <w:rPr>
          <w:u w:val="none"/>
        </w:rPr>
      </w:pPr>
      <w:r>
        <w:rPr>
          <w:u w:val="none"/>
        </w:rPr>
        <w:t>监测断面设在污水处理设施排放口及</w:t>
      </w:r>
      <w:r>
        <w:rPr>
          <w:rFonts w:hint="eastAsia"/>
          <w:u w:val="none"/>
        </w:rPr>
        <w:t>下游布点</w:t>
      </w:r>
      <w:r>
        <w:rPr>
          <w:u w:val="none"/>
        </w:rPr>
        <w:t>，同时在</w:t>
      </w:r>
      <w:r>
        <w:rPr>
          <w:rFonts w:hint="eastAsia"/>
          <w:u w:val="none"/>
        </w:rPr>
        <w:t>排污口</w:t>
      </w:r>
      <w:r>
        <w:rPr>
          <w:u w:val="none"/>
        </w:rPr>
        <w:t>上游500m布设对照断面（点），监测项目：pH值、COD、氨氮、</w:t>
      </w:r>
      <w:r>
        <w:rPr>
          <w:rFonts w:hint="eastAsia"/>
          <w:u w:val="none"/>
        </w:rPr>
        <w:t>氟化物、总铅、总砷、总铬、总汞、总铬、六价铬等</w:t>
      </w:r>
      <w:r>
        <w:rPr>
          <w:u w:val="none"/>
        </w:rPr>
        <w:t>。事故排放发生时，每2h采一次样进行监测，事故排放得到控制后，每天采集一次水样进行监测，直至影响水域水环境质量恢复到事故排放前的水平。</w:t>
      </w:r>
    </w:p>
    <w:p>
      <w:pPr>
        <w:pStyle w:val="4"/>
        <w:bidi w:val="0"/>
      </w:pPr>
      <w:bookmarkStart w:id="89" w:name="_Toc137057952"/>
      <w:bookmarkStart w:id="90" w:name="_Toc137058175"/>
      <w:r>
        <w:rPr>
          <w:rFonts w:hint="eastAsia"/>
        </w:rPr>
        <w:t>6.</w:t>
      </w:r>
      <w:r>
        <w:rPr>
          <w:rFonts w:hint="eastAsia"/>
          <w:lang w:val="en-US" w:eastAsia="zh-CN"/>
        </w:rPr>
        <w:t>6.7</w:t>
      </w:r>
      <w:r>
        <w:rPr>
          <w:rFonts w:hint="eastAsia"/>
        </w:rPr>
        <w:t>应急监测</w:t>
      </w:r>
      <w:bookmarkEnd w:id="89"/>
      <w:bookmarkEnd w:id="90"/>
    </w:p>
    <w:p>
      <w:pPr>
        <w:ind w:firstLine="480"/>
        <w:rPr>
          <w:u w:val="none"/>
        </w:rPr>
      </w:pPr>
      <w:r>
        <w:rPr>
          <w:u w:val="none"/>
        </w:rPr>
        <w:t>重大环境危险事故发生、抢险应急的同时，应急监测组负责监测人员对事故现场进行侦察检测，掌握超标污水扩散区域，附近水系分布及流向；对厂区周围地表水进行监测。</w:t>
      </w:r>
    </w:p>
    <w:p>
      <w:pPr>
        <w:ind w:firstLine="480"/>
        <w:rPr>
          <w:u w:val="none"/>
        </w:rPr>
      </w:pPr>
      <w:r>
        <w:rPr>
          <w:u w:val="none"/>
        </w:rPr>
        <w:t>（1）监测因子</w:t>
      </w:r>
    </w:p>
    <w:p>
      <w:pPr>
        <w:ind w:firstLine="480"/>
        <w:rPr>
          <w:u w:val="none"/>
        </w:rPr>
      </w:pPr>
      <w:r>
        <w:rPr>
          <w:u w:val="none"/>
        </w:rPr>
        <w:t>pH值、COD、氨氮、</w:t>
      </w:r>
      <w:r>
        <w:rPr>
          <w:rFonts w:hint="eastAsia"/>
          <w:u w:val="none"/>
        </w:rPr>
        <w:t>氟化物、总铅、总砷、总铬、总汞、总铬、六价铬等</w:t>
      </w:r>
      <w:r>
        <w:rPr>
          <w:u w:val="none"/>
        </w:rPr>
        <w:t>。</w:t>
      </w:r>
    </w:p>
    <w:p>
      <w:pPr>
        <w:ind w:firstLine="480"/>
        <w:rPr>
          <w:u w:val="none"/>
        </w:rPr>
      </w:pPr>
      <w:r>
        <w:rPr>
          <w:u w:val="none"/>
        </w:rPr>
        <w:t>（2）监测方法</w:t>
      </w:r>
    </w:p>
    <w:p>
      <w:pPr>
        <w:ind w:firstLine="480"/>
        <w:rPr>
          <w:u w:val="none"/>
        </w:rPr>
      </w:pPr>
      <w:r>
        <w:rPr>
          <w:u w:val="none"/>
        </w:rPr>
        <w:t>首先应当根据污染源以及污染物的类型，直接测定该污染源或排放口所排污染物在水环境中的浓度。其次由于环境污染事故发生时，污染物的分布不均匀、时空变化大，需要根据事故类型，严重程度和影响范围确定采样点。</w:t>
      </w:r>
    </w:p>
    <w:p>
      <w:pPr>
        <w:ind w:firstLine="480"/>
        <w:rPr>
          <w:u w:val="none"/>
        </w:rPr>
      </w:pPr>
      <w:r>
        <w:rPr>
          <w:rFonts w:hint="eastAsia"/>
          <w:u w:val="none"/>
        </w:rPr>
        <w:t>①</w:t>
      </w:r>
      <w:r>
        <w:rPr>
          <w:u w:val="none"/>
        </w:rPr>
        <w:t>现场监测应当优先使用试纸、便携式仪器等测定。</w:t>
      </w:r>
    </w:p>
    <w:p>
      <w:pPr>
        <w:ind w:firstLine="480"/>
        <w:rPr>
          <w:u w:val="none"/>
        </w:rPr>
      </w:pPr>
      <w:r>
        <w:rPr>
          <w:rFonts w:hint="eastAsia"/>
          <w:u w:val="none"/>
        </w:rPr>
        <w:t>②</w:t>
      </w:r>
      <w:r>
        <w:rPr>
          <w:u w:val="none"/>
        </w:rPr>
        <w:t>对于现场无法进行监测的，应当尽快送至实验室进行分析，应急监测结束后需用精密度、准确度等指标检验其方法的适用性。</w:t>
      </w:r>
    </w:p>
    <w:p>
      <w:pPr>
        <w:ind w:firstLine="480"/>
        <w:rPr>
          <w:u w:val="none"/>
        </w:rPr>
      </w:pPr>
      <w:r>
        <w:rPr>
          <w:rFonts w:hint="eastAsia"/>
          <w:u w:val="none"/>
        </w:rPr>
        <w:t>③</w:t>
      </w:r>
      <w:r>
        <w:rPr>
          <w:u w:val="none"/>
        </w:rPr>
        <w:t>若无环境应急监测能力的，或部分监测指标无能力监测的，可以委托当地具有环境应急监测能力的单位进行，必要时应与县、市环境监测站联系进行监测。</w:t>
      </w:r>
    </w:p>
    <w:p>
      <w:pPr>
        <w:ind w:firstLine="480"/>
        <w:rPr>
          <w:u w:val="none"/>
        </w:rPr>
      </w:pPr>
      <w:r>
        <w:rPr>
          <w:u w:val="none"/>
        </w:rPr>
        <w:t>（3）监测频次</w:t>
      </w:r>
    </w:p>
    <w:p>
      <w:pPr>
        <w:ind w:firstLine="480"/>
        <w:rPr>
          <w:u w:val="none"/>
        </w:rPr>
      </w:pPr>
      <w:r>
        <w:rPr>
          <w:u w:val="none"/>
        </w:rPr>
        <w:t>应急监测的频次根据事故发生的时间而有所变化，根据污染物的状况，在事发初期应当增加频次，不少于2小时采样一次；待摸清污染规律后可适当减少，不少于6小时一次。最近一次应急监测方案中，全部监测点位特征污染物的48h连续监测结果均恢复到本底值或背景点位水平时，则可终止应急监测。</w:t>
      </w:r>
    </w:p>
    <w:p>
      <w:pPr>
        <w:ind w:firstLine="480"/>
        <w:rPr>
          <w:u w:val="none"/>
        </w:rPr>
      </w:pPr>
      <w:r>
        <w:rPr>
          <w:u w:val="none"/>
        </w:rPr>
        <w:t>（</w:t>
      </w:r>
      <w:r>
        <w:rPr>
          <w:rFonts w:hint="eastAsia"/>
          <w:u w:val="none"/>
        </w:rPr>
        <w:t>4</w:t>
      </w:r>
      <w:r>
        <w:rPr>
          <w:u w:val="none"/>
        </w:rPr>
        <w:t>）监测点位</w:t>
      </w:r>
    </w:p>
    <w:p>
      <w:pPr>
        <w:ind w:firstLine="480"/>
        <w:rPr>
          <w:u w:val="none"/>
        </w:rPr>
      </w:pPr>
      <w:r>
        <w:rPr>
          <w:u w:val="none"/>
        </w:rPr>
        <w:t>排污口</w:t>
      </w:r>
      <w:r>
        <w:rPr>
          <w:rFonts w:hint="eastAsia"/>
          <w:u w:val="none"/>
        </w:rPr>
        <w:t>上游、排污口、排污口</w:t>
      </w:r>
      <w:r>
        <w:rPr>
          <w:u w:val="none"/>
        </w:rPr>
        <w:t>下游</w:t>
      </w:r>
      <w:r>
        <w:rPr>
          <w:rFonts w:hint="eastAsia"/>
          <w:u w:val="none"/>
        </w:rPr>
        <w:t>资水</w:t>
      </w:r>
      <w:r>
        <w:rPr>
          <w:u w:val="none"/>
        </w:rPr>
        <w:t>500m、1500</w:t>
      </w:r>
      <w:r>
        <w:rPr>
          <w:rFonts w:hint="eastAsia"/>
          <w:u w:val="none"/>
        </w:rPr>
        <w:t>m</w:t>
      </w:r>
      <w:r>
        <w:rPr>
          <w:u w:val="none"/>
        </w:rPr>
        <w:t>断面。</w:t>
      </w:r>
    </w:p>
    <w:bookmarkEnd w:id="80"/>
    <w:p>
      <w:pPr>
        <w:pStyle w:val="3"/>
        <w:bidi w:val="0"/>
      </w:pPr>
      <w:bookmarkStart w:id="91" w:name="_Toc32023"/>
      <w:bookmarkStart w:id="92" w:name="_Toc14041"/>
      <w:bookmarkStart w:id="93" w:name="_Toc4752"/>
      <w:bookmarkStart w:id="94" w:name="_Toc4292"/>
      <w:bookmarkStart w:id="95" w:name="_Toc21552"/>
      <w:r>
        <w:rPr>
          <w:rFonts w:hint="eastAsia"/>
        </w:rPr>
        <w:t>6</w:t>
      </w:r>
      <w:r>
        <w:t>.</w:t>
      </w:r>
      <w:bookmarkEnd w:id="91"/>
      <w:bookmarkEnd w:id="92"/>
      <w:bookmarkEnd w:id="93"/>
      <w:r>
        <w:rPr>
          <w:rFonts w:hint="eastAsia"/>
          <w:lang w:val="en-US" w:eastAsia="zh-CN"/>
        </w:rPr>
        <w:t>7入河排污口规范化建设及管理要求</w:t>
      </w:r>
      <w:bookmarkEnd w:id="94"/>
    </w:p>
    <w:p>
      <w:pPr>
        <w:bidi w:val="0"/>
        <w:rPr>
          <w:rFonts w:hint="eastAsia"/>
        </w:rPr>
      </w:pPr>
      <w:r>
        <w:rPr>
          <w:rFonts w:hint="eastAsia"/>
          <w:lang w:val="en-US" w:eastAsia="zh-CN"/>
        </w:rPr>
        <w:t>入河排污口规范化建设是一项基础性工作，做好入河排污口规范化建设和管理，可以科学的掌握各类污染源实际排放情况。</w:t>
      </w:r>
    </w:p>
    <w:p>
      <w:pPr>
        <w:bidi w:val="0"/>
        <w:rPr>
          <w:rFonts w:hint="eastAsia"/>
          <w:lang w:val="en-US" w:eastAsia="zh-CN"/>
        </w:rPr>
      </w:pPr>
      <w:r>
        <w:rPr>
          <w:rFonts w:hint="eastAsia"/>
          <w:lang w:val="en-US" w:eastAsia="zh-CN"/>
        </w:rPr>
        <w:t>本节参照《</w:t>
      </w:r>
      <w:r>
        <w:t>入河入海排污口监督管理技术指南 入河排污口规范化建设</w:t>
      </w:r>
      <w:r>
        <w:rPr>
          <w:rFonts w:hint="eastAsia"/>
          <w:lang w:val="en-US" w:eastAsia="zh-CN"/>
        </w:rPr>
        <w:t>》（GB1309-2023）的总体要求和《</w:t>
      </w:r>
      <w:r>
        <w:t>入河排污口监督管理技术指南 规范化建设</w:t>
      </w:r>
      <w:r>
        <w:rPr>
          <w:rFonts w:hint="eastAsia"/>
          <w:lang w:val="en-US" w:eastAsia="zh-CN"/>
        </w:rPr>
        <w:t>》中的建设要求，结合本项目入河排污口实际情况给出规范化建设建议。</w:t>
      </w:r>
    </w:p>
    <w:p>
      <w:pPr>
        <w:keepNext/>
        <w:keepLines/>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outlineLvl w:val="9"/>
        <w:rPr>
          <w:rFonts w:hint="eastAsia" w:cs="Times New Roman"/>
          <w:sz w:val="22"/>
          <w:szCs w:val="22"/>
          <w:lang w:val="en-US" w:eastAsia="zh-CN"/>
        </w:rPr>
      </w:pPr>
      <w:r>
        <w:rPr>
          <w:rFonts w:hint="eastAsia" w:cs="Times New Roman"/>
          <w:b/>
          <w:bCs/>
          <w:sz w:val="22"/>
          <w:szCs w:val="22"/>
          <w:lang w:val="en-US" w:eastAsia="zh-CN"/>
        </w:rPr>
        <w:t>表6.7-1《入河入海排污口监督管理技术指南 入河排污口规范化建设》符合情况及建议</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24"/>
        <w:gridCol w:w="2765"/>
        <w:gridCol w:w="3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pct"/>
            <w:vAlign w:val="center"/>
          </w:tcPr>
          <w:p>
            <w:pPr>
              <w:pStyle w:val="16"/>
              <w:bidi w:val="0"/>
              <w:rPr>
                <w:rFonts w:hint="default"/>
                <w:lang w:val="en-US" w:eastAsia="zh-CN"/>
              </w:rPr>
            </w:pPr>
            <w:r>
              <w:rPr>
                <w:rFonts w:hint="eastAsia"/>
                <w:lang w:val="en-US" w:eastAsia="zh-CN"/>
              </w:rPr>
              <w:t>GB1309-2023总体要求</w:t>
            </w:r>
          </w:p>
        </w:tc>
        <w:tc>
          <w:tcPr>
            <w:tcW w:w="1489" w:type="pct"/>
            <w:vAlign w:val="center"/>
          </w:tcPr>
          <w:p>
            <w:pPr>
              <w:pStyle w:val="16"/>
              <w:bidi w:val="0"/>
              <w:rPr>
                <w:rFonts w:hint="eastAsia"/>
                <w:lang w:val="en-US" w:eastAsia="zh-CN"/>
              </w:rPr>
            </w:pPr>
            <w:r>
              <w:rPr>
                <w:rFonts w:hint="eastAsia"/>
                <w:lang w:val="en-US" w:eastAsia="zh-CN"/>
              </w:rPr>
              <w:t>现状</w:t>
            </w:r>
          </w:p>
        </w:tc>
        <w:tc>
          <w:tcPr>
            <w:tcW w:w="1666" w:type="pct"/>
            <w:vAlign w:val="center"/>
          </w:tcPr>
          <w:p>
            <w:pPr>
              <w:pStyle w:val="16"/>
              <w:bidi w:val="0"/>
              <w:rPr>
                <w:rFonts w:hint="eastAsia"/>
                <w:lang w:val="en-US" w:eastAsia="zh-CN"/>
              </w:rPr>
            </w:pPr>
            <w:r>
              <w:rPr>
                <w:rFonts w:hint="eastAsia"/>
                <w:lang w:val="en-US" w:eastAsia="zh-CN"/>
              </w:rPr>
              <w:t>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pct"/>
            <w:vAlign w:val="center"/>
          </w:tcPr>
          <w:p>
            <w:pPr>
              <w:pStyle w:val="16"/>
              <w:bidi w:val="0"/>
              <w:rPr>
                <w:rFonts w:hint="eastAsia"/>
                <w:lang w:val="en-US" w:eastAsia="zh-CN"/>
              </w:rPr>
            </w:pPr>
            <w:r>
              <w:rPr>
                <w:rFonts w:hint="eastAsia"/>
                <w:lang w:val="en-US" w:eastAsia="zh-CN"/>
              </w:rPr>
              <w:t>1、便于采集样品、计量监控、设施安装及维护、日常现场监督检查、公众参与监督管理。</w:t>
            </w:r>
          </w:p>
        </w:tc>
        <w:tc>
          <w:tcPr>
            <w:tcW w:w="1489" w:type="pct"/>
            <w:vAlign w:val="center"/>
          </w:tcPr>
          <w:p>
            <w:pPr>
              <w:pStyle w:val="16"/>
              <w:bidi w:val="0"/>
              <w:rPr>
                <w:rFonts w:hint="default"/>
                <w:lang w:val="en-US" w:eastAsia="zh-CN"/>
              </w:rPr>
            </w:pPr>
            <w:r>
              <w:rPr>
                <w:rFonts w:hint="eastAsia"/>
                <w:lang w:val="en-US" w:eastAsia="zh-CN"/>
              </w:rPr>
              <w:t>本入河排污口处设施已建设完毕</w:t>
            </w:r>
          </w:p>
        </w:tc>
        <w:tc>
          <w:tcPr>
            <w:tcW w:w="1666" w:type="pct"/>
            <w:vAlign w:val="center"/>
          </w:tcPr>
          <w:p>
            <w:pPr>
              <w:pStyle w:val="16"/>
              <w:bidi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pct"/>
            <w:vAlign w:val="center"/>
          </w:tcPr>
          <w:p>
            <w:pPr>
              <w:pStyle w:val="16"/>
              <w:bidi w:val="0"/>
              <w:rPr>
                <w:rFonts w:hint="default"/>
                <w:lang w:val="en-US" w:eastAsia="zh-CN"/>
              </w:rPr>
            </w:pPr>
            <w:r>
              <w:rPr>
                <w:rFonts w:hint="eastAsia"/>
                <w:lang w:val="en-US" w:eastAsia="zh-CN"/>
              </w:rPr>
              <w:t>2、充分考虑安全生产要求，统筹防洪、供水、堤防安全、航运、渔业生产等方面需要，避免破坏周围环境或造成二次污染。</w:t>
            </w:r>
          </w:p>
        </w:tc>
        <w:tc>
          <w:tcPr>
            <w:tcW w:w="1489" w:type="pct"/>
            <w:vAlign w:val="center"/>
          </w:tcPr>
          <w:p>
            <w:pPr>
              <w:pStyle w:val="16"/>
              <w:bidi w:val="0"/>
              <w:rPr>
                <w:rFonts w:hint="eastAsia"/>
                <w:lang w:val="en-US" w:eastAsia="zh-CN"/>
              </w:rPr>
            </w:pPr>
            <w:r>
              <w:rPr>
                <w:rFonts w:hint="eastAsia"/>
                <w:lang w:val="en-US" w:eastAsia="zh-CN"/>
              </w:rPr>
              <w:t>入河排污口未采取有关环境保护措施，排水冲刷河岸。</w:t>
            </w:r>
          </w:p>
        </w:tc>
        <w:tc>
          <w:tcPr>
            <w:tcW w:w="1666" w:type="pct"/>
            <w:vAlign w:val="center"/>
          </w:tcPr>
          <w:p>
            <w:pPr>
              <w:pStyle w:val="16"/>
              <w:bidi w:val="0"/>
              <w:rPr>
                <w:rFonts w:hint="eastAsia"/>
                <w:lang w:val="en-US" w:eastAsia="zh-CN"/>
              </w:rPr>
            </w:pPr>
            <w:r>
              <w:rPr>
                <w:rFonts w:hint="eastAsia"/>
                <w:lang w:val="en-US" w:eastAsia="zh-CN"/>
              </w:rPr>
              <w:t>建议可以增大出水管道管径，入河排污口降低出水流速，或在入河排污口建设防冲槽或护底等防冲设施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pct"/>
            <w:vAlign w:val="center"/>
          </w:tcPr>
          <w:p>
            <w:pPr>
              <w:pStyle w:val="16"/>
              <w:bidi w:val="0"/>
              <w:rPr>
                <w:rFonts w:hint="default"/>
                <w:lang w:val="en-US" w:eastAsia="zh-CN"/>
              </w:rPr>
            </w:pPr>
            <w:r>
              <w:rPr>
                <w:rFonts w:hint="eastAsia"/>
                <w:lang w:val="en-US" w:eastAsia="zh-CN"/>
              </w:rPr>
              <w:t>3、分类施策，规范建设。各类排污口建立档案；工业排污口、城镇污水处理厂排污口、农业排口以及其他排口中的港口码头排口、大中型灌区排口设置标识牌、监测采样点；采用管道形式排污且检修维护难的排污口，在口门附近设置检查井。</w:t>
            </w:r>
          </w:p>
        </w:tc>
        <w:tc>
          <w:tcPr>
            <w:tcW w:w="1489" w:type="pct"/>
            <w:vAlign w:val="center"/>
          </w:tcPr>
          <w:p>
            <w:pPr>
              <w:pStyle w:val="16"/>
              <w:bidi w:val="0"/>
              <w:rPr>
                <w:rFonts w:hint="eastAsia"/>
                <w:lang w:val="en-US" w:eastAsia="zh-CN"/>
              </w:rPr>
            </w:pPr>
            <w:r>
              <w:rPr>
                <w:rFonts w:hint="eastAsia"/>
                <w:lang w:val="en-US" w:eastAsia="zh-CN"/>
              </w:rPr>
              <w:t>本入河排污口设置了监测点，及相关在线监测设备；本项目入河排污口已设置标识标牌。</w:t>
            </w:r>
          </w:p>
        </w:tc>
        <w:tc>
          <w:tcPr>
            <w:tcW w:w="1666" w:type="pct"/>
            <w:vAlign w:val="center"/>
          </w:tcPr>
          <w:p>
            <w:pPr>
              <w:pStyle w:val="16"/>
              <w:bidi w:val="0"/>
              <w:rPr>
                <w:rFonts w:hint="eastAsia"/>
                <w:lang w:val="en-US" w:eastAsia="zh-CN"/>
              </w:rPr>
            </w:pPr>
            <w:r>
              <w:rPr>
                <w:rFonts w:hint="eastAsia"/>
                <w:lang w:val="en-US" w:eastAsia="zh-CN"/>
              </w:rPr>
              <w:t>/</w:t>
            </w:r>
          </w:p>
        </w:tc>
      </w:tr>
    </w:tbl>
    <w:p>
      <w:pPr>
        <w:keepNext/>
        <w:keepLines/>
        <w:pageBreakBefore w:val="0"/>
        <w:widowControl/>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outlineLvl w:val="9"/>
        <w:rPr>
          <w:rFonts w:hint="eastAsia" w:cs="Times New Roman"/>
          <w:sz w:val="22"/>
          <w:szCs w:val="22"/>
          <w:lang w:val="en-US" w:eastAsia="zh-CN"/>
        </w:rPr>
      </w:pPr>
      <w:r>
        <w:rPr>
          <w:rFonts w:hint="eastAsia" w:cs="Times New Roman"/>
          <w:b/>
          <w:bCs/>
          <w:sz w:val="22"/>
          <w:szCs w:val="22"/>
          <w:lang w:val="en-US" w:eastAsia="zh-CN"/>
        </w:rPr>
        <w:t>表6.7-2《入河排污口监督管理技术指南 规范化建设》总体要求符合情况及建议</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31"/>
        <w:gridCol w:w="2755"/>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pct"/>
            <w:vAlign w:val="center"/>
          </w:tcPr>
          <w:p>
            <w:pPr>
              <w:pStyle w:val="16"/>
              <w:bidi w:val="0"/>
              <w:rPr>
                <w:rFonts w:hint="default"/>
                <w:lang w:val="en-US" w:eastAsia="zh-CN"/>
              </w:rPr>
            </w:pPr>
            <w:r>
              <w:rPr>
                <w:rFonts w:hint="eastAsia"/>
                <w:lang w:val="en-US" w:eastAsia="zh-CN"/>
              </w:rPr>
              <w:t>建设要求</w:t>
            </w:r>
          </w:p>
        </w:tc>
        <w:tc>
          <w:tcPr>
            <w:tcW w:w="1484" w:type="pct"/>
            <w:vAlign w:val="center"/>
          </w:tcPr>
          <w:p>
            <w:pPr>
              <w:pStyle w:val="16"/>
              <w:bidi w:val="0"/>
              <w:rPr>
                <w:rFonts w:hint="eastAsia"/>
                <w:lang w:val="en-US" w:eastAsia="zh-CN"/>
              </w:rPr>
            </w:pPr>
            <w:r>
              <w:rPr>
                <w:rFonts w:hint="eastAsia"/>
                <w:lang w:val="en-US" w:eastAsia="zh-CN"/>
              </w:rPr>
              <w:t>现状</w:t>
            </w:r>
          </w:p>
        </w:tc>
        <w:tc>
          <w:tcPr>
            <w:tcW w:w="1666" w:type="pct"/>
            <w:vAlign w:val="center"/>
          </w:tcPr>
          <w:p>
            <w:pPr>
              <w:pStyle w:val="16"/>
              <w:bidi w:val="0"/>
              <w:rPr>
                <w:rFonts w:hint="eastAsia"/>
                <w:lang w:val="en-US" w:eastAsia="zh-CN"/>
              </w:rPr>
            </w:pPr>
            <w:r>
              <w:rPr>
                <w:rFonts w:hint="eastAsia"/>
                <w:lang w:val="en-US" w:eastAsia="zh-CN"/>
              </w:rPr>
              <w:t>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vAlign w:val="center"/>
          </w:tcPr>
          <w:p>
            <w:pPr>
              <w:pStyle w:val="16"/>
              <w:bidi w:val="0"/>
              <w:rPr>
                <w:rFonts w:hint="eastAsia"/>
                <w:lang w:val="en-US" w:eastAsia="zh-CN"/>
              </w:rPr>
            </w:pPr>
            <w:r>
              <w:rPr>
                <w:rFonts w:hint="eastAsia"/>
                <w:lang w:val="en-US" w:eastAsia="zh-CN"/>
              </w:rPr>
              <w:t>硬件建设内容及要求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pct"/>
            <w:vAlign w:val="center"/>
          </w:tcPr>
          <w:p>
            <w:pPr>
              <w:pStyle w:val="16"/>
              <w:bidi w:val="0"/>
              <w:rPr>
                <w:rFonts w:hint="eastAsia"/>
                <w:lang w:val="en-US" w:eastAsia="zh-CN"/>
              </w:rPr>
            </w:pPr>
            <w:r>
              <w:rPr>
                <w:rFonts w:hint="eastAsia"/>
                <w:lang w:val="en-US" w:eastAsia="zh-CN"/>
              </w:rPr>
              <w:t>a）应遵循便于采集样品、计量监控、设施安装及维护、日常现场监督检查、公众参与监督管理的原则；</w:t>
            </w:r>
          </w:p>
        </w:tc>
        <w:tc>
          <w:tcPr>
            <w:tcW w:w="2755" w:type="dxa"/>
            <w:vAlign w:val="center"/>
          </w:tcPr>
          <w:p>
            <w:pPr>
              <w:pStyle w:val="16"/>
              <w:bidi w:val="0"/>
              <w:ind w:firstLine="0" w:firstLineChars="0"/>
              <w:rPr>
                <w:rFonts w:hint="eastAsia"/>
                <w:color w:val="0000FF"/>
                <w:lang w:val="en-US" w:eastAsia="zh-CN"/>
              </w:rPr>
            </w:pPr>
            <w:r>
              <w:rPr>
                <w:rFonts w:hint="eastAsia"/>
                <w:lang w:val="en-US" w:eastAsia="zh-CN"/>
              </w:rPr>
              <w:t>本入河排污口处设施已建设完毕</w:t>
            </w:r>
          </w:p>
        </w:tc>
        <w:tc>
          <w:tcPr>
            <w:tcW w:w="3096" w:type="dxa"/>
            <w:vAlign w:val="center"/>
          </w:tcPr>
          <w:p>
            <w:pPr>
              <w:pStyle w:val="16"/>
              <w:bidi w:val="0"/>
              <w:ind w:firstLine="0" w:firstLineChars="0"/>
              <w:rPr>
                <w:rFonts w:hint="eastAsia"/>
                <w:color w:val="0000FF"/>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pct"/>
            <w:vAlign w:val="center"/>
          </w:tcPr>
          <w:p>
            <w:pPr>
              <w:pStyle w:val="16"/>
              <w:bidi w:val="0"/>
              <w:rPr>
                <w:rFonts w:hint="default"/>
                <w:lang w:val="en-US" w:eastAsia="zh-CN"/>
              </w:rPr>
            </w:pPr>
            <w:r>
              <w:rPr>
                <w:rFonts w:hint="eastAsia"/>
                <w:lang w:val="en-US" w:eastAsia="zh-CN"/>
              </w:rPr>
              <w:t>b）入河排污口宜设置在设计洪水淹没线之上，不应影响河道、堤防、涵闸等水利设施行洪，不应破坏周围环境或造成二次污染。</w:t>
            </w:r>
          </w:p>
        </w:tc>
        <w:tc>
          <w:tcPr>
            <w:tcW w:w="1484" w:type="pct"/>
            <w:vAlign w:val="center"/>
          </w:tcPr>
          <w:p>
            <w:pPr>
              <w:pStyle w:val="16"/>
              <w:bidi w:val="0"/>
              <w:rPr>
                <w:rFonts w:hint="eastAsia"/>
                <w:lang w:val="en-US" w:eastAsia="zh-CN"/>
              </w:rPr>
            </w:pPr>
            <w:r>
              <w:rPr>
                <w:rFonts w:hint="eastAsia"/>
                <w:lang w:val="en-US" w:eastAsia="zh-CN"/>
              </w:rPr>
              <w:t>本入河排污口设置在洪水淹没线以上。但是入河排污口未采取有关环境保护措施，排水冲刷河岸河岸。</w:t>
            </w:r>
          </w:p>
        </w:tc>
        <w:tc>
          <w:tcPr>
            <w:tcW w:w="1666" w:type="pct"/>
            <w:vAlign w:val="center"/>
          </w:tcPr>
          <w:p>
            <w:pPr>
              <w:pStyle w:val="16"/>
              <w:bidi w:val="0"/>
              <w:rPr>
                <w:rFonts w:hint="eastAsia"/>
                <w:lang w:val="en-US" w:eastAsia="zh-CN"/>
              </w:rPr>
            </w:pPr>
            <w:r>
              <w:rPr>
                <w:rFonts w:hint="eastAsia"/>
                <w:lang w:val="en-US" w:eastAsia="zh-CN"/>
              </w:rPr>
              <w:t>建议可以增大出水管道管径，降低入河排污口出水流速，或在入河排污口建设防冲槽或护底等防冲设施。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pct"/>
            <w:vAlign w:val="center"/>
          </w:tcPr>
          <w:p>
            <w:pPr>
              <w:pStyle w:val="16"/>
              <w:bidi w:val="0"/>
              <w:rPr>
                <w:rFonts w:hint="default"/>
                <w:lang w:val="en-US" w:eastAsia="zh-CN"/>
              </w:rPr>
            </w:pPr>
            <w:r>
              <w:rPr>
                <w:rFonts w:hint="eastAsia"/>
                <w:lang w:val="en-US" w:eastAsia="zh-CN"/>
              </w:rPr>
              <w:t>c）应将监测点设置在厂区（园区）以外，污水入河前，如遇特殊情况需设管道的，应留出观测窗口；</w:t>
            </w:r>
          </w:p>
        </w:tc>
        <w:tc>
          <w:tcPr>
            <w:tcW w:w="1484" w:type="pct"/>
            <w:vAlign w:val="center"/>
          </w:tcPr>
          <w:p>
            <w:pPr>
              <w:pStyle w:val="16"/>
              <w:bidi w:val="0"/>
              <w:rPr>
                <w:rFonts w:hint="eastAsia"/>
                <w:lang w:val="en-US" w:eastAsia="zh-CN"/>
              </w:rPr>
            </w:pPr>
            <w:r>
              <w:rPr>
                <w:rFonts w:hint="eastAsia"/>
                <w:lang w:val="en-US" w:eastAsia="zh-CN"/>
              </w:rPr>
              <w:t>本入河排污口设置了监测采样点</w:t>
            </w:r>
          </w:p>
        </w:tc>
        <w:tc>
          <w:tcPr>
            <w:tcW w:w="1666" w:type="pct"/>
            <w:vAlign w:val="center"/>
          </w:tcPr>
          <w:p>
            <w:pPr>
              <w:pStyle w:val="16"/>
              <w:bidi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pct"/>
            <w:vAlign w:val="center"/>
          </w:tcPr>
          <w:p>
            <w:pPr>
              <w:pStyle w:val="16"/>
              <w:bidi w:val="0"/>
              <w:rPr>
                <w:rFonts w:hint="default"/>
                <w:lang w:val="en-US" w:eastAsia="zh-CN"/>
              </w:rPr>
            </w:pPr>
            <w:r>
              <w:rPr>
                <w:rFonts w:hint="eastAsia"/>
                <w:lang w:val="en-US" w:eastAsia="zh-CN"/>
              </w:rPr>
              <w:t>d）应按要求在入河处或监测点处明显位置设置标识牌，公示入河排污口的基本信息和监督管理单位信息等；</w:t>
            </w:r>
          </w:p>
        </w:tc>
        <w:tc>
          <w:tcPr>
            <w:tcW w:w="1484" w:type="pct"/>
            <w:vAlign w:val="center"/>
          </w:tcPr>
          <w:p>
            <w:pPr>
              <w:pStyle w:val="16"/>
              <w:bidi w:val="0"/>
              <w:rPr>
                <w:rFonts w:hint="eastAsia"/>
                <w:lang w:val="en-US" w:eastAsia="zh-CN"/>
              </w:rPr>
            </w:pPr>
            <w:r>
              <w:rPr>
                <w:rFonts w:hint="eastAsia"/>
                <w:lang w:val="en-US" w:eastAsia="zh-CN"/>
              </w:rPr>
              <w:t>本入河排污口处暂未设置标识标牌。</w:t>
            </w:r>
          </w:p>
        </w:tc>
        <w:tc>
          <w:tcPr>
            <w:tcW w:w="1666" w:type="pct"/>
            <w:vAlign w:val="center"/>
          </w:tcPr>
          <w:p>
            <w:pPr>
              <w:pStyle w:val="16"/>
              <w:bidi w:val="0"/>
              <w:rPr>
                <w:rFonts w:hint="eastAsia"/>
                <w:lang w:val="en-US" w:eastAsia="zh-CN"/>
              </w:rPr>
            </w:pPr>
            <w:r>
              <w:rPr>
                <w:rFonts w:hint="eastAsia"/>
                <w:lang w:val="en-US" w:eastAsia="zh-CN"/>
              </w:rPr>
              <w:t>根据入河口规范化建设要求完善标识标牌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pct"/>
            <w:vAlign w:val="center"/>
          </w:tcPr>
          <w:p>
            <w:pPr>
              <w:pStyle w:val="16"/>
              <w:bidi w:val="0"/>
              <w:rPr>
                <w:rFonts w:hint="default"/>
                <w:lang w:val="en-US" w:eastAsia="zh-CN"/>
              </w:rPr>
            </w:pPr>
            <w:r>
              <w:rPr>
                <w:rFonts w:hint="eastAsia"/>
                <w:lang w:val="en-US" w:eastAsia="zh-CN"/>
              </w:rPr>
              <w:t>e）应按要求在监测点处安装流量计量装置、记录仪及监控装置，并将相关监控信息接入各流域或行政区域入河排污口信息平台；</w:t>
            </w:r>
          </w:p>
        </w:tc>
        <w:tc>
          <w:tcPr>
            <w:tcW w:w="1484" w:type="pct"/>
            <w:vAlign w:val="center"/>
          </w:tcPr>
          <w:p>
            <w:pPr>
              <w:pStyle w:val="16"/>
              <w:bidi w:val="0"/>
              <w:rPr>
                <w:rFonts w:hint="eastAsia"/>
                <w:lang w:val="en-US" w:eastAsia="zh-CN"/>
              </w:rPr>
            </w:pPr>
            <w:r>
              <w:rPr>
                <w:rFonts w:hint="eastAsia"/>
                <w:lang w:val="en-US" w:eastAsia="zh-CN"/>
              </w:rPr>
              <w:t>本入河排污口设置了监测点，且安装了相关在线监测设备</w:t>
            </w:r>
          </w:p>
        </w:tc>
        <w:tc>
          <w:tcPr>
            <w:tcW w:w="1666" w:type="pct"/>
            <w:vAlign w:val="center"/>
          </w:tcPr>
          <w:p>
            <w:pPr>
              <w:pStyle w:val="16"/>
              <w:bidi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pct"/>
            <w:vAlign w:val="center"/>
          </w:tcPr>
          <w:p>
            <w:pPr>
              <w:pStyle w:val="16"/>
              <w:bidi w:val="0"/>
              <w:rPr>
                <w:rFonts w:hint="default"/>
                <w:lang w:val="en-US" w:eastAsia="zh-CN"/>
              </w:rPr>
            </w:pPr>
            <w:r>
              <w:rPr>
                <w:rFonts w:hint="eastAsia"/>
                <w:lang w:val="en-US" w:eastAsia="zh-CN"/>
              </w:rPr>
              <w:t>f）应对监测点、标识牌、计量和监控设备开展日常维护，确保正常运行。</w:t>
            </w:r>
          </w:p>
        </w:tc>
        <w:tc>
          <w:tcPr>
            <w:tcW w:w="1484" w:type="pct"/>
            <w:vAlign w:val="center"/>
          </w:tcPr>
          <w:p>
            <w:pPr>
              <w:pStyle w:val="16"/>
              <w:bidi w:val="0"/>
              <w:rPr>
                <w:rFonts w:hint="default"/>
                <w:lang w:val="en-US" w:eastAsia="zh-CN"/>
              </w:rPr>
            </w:pPr>
            <w:r>
              <w:rPr>
                <w:rFonts w:hint="eastAsia"/>
                <w:lang w:val="en-US" w:eastAsia="zh-CN"/>
              </w:rPr>
              <w:t>入河排污口硬件设施均已建设完成</w:t>
            </w:r>
          </w:p>
        </w:tc>
        <w:tc>
          <w:tcPr>
            <w:tcW w:w="1666" w:type="pct"/>
            <w:vAlign w:val="center"/>
          </w:tcPr>
          <w:p>
            <w:pPr>
              <w:pStyle w:val="16"/>
              <w:bidi w:val="0"/>
              <w:rPr>
                <w:rFonts w:hint="eastAsia"/>
                <w:lang w:val="en-US" w:eastAsia="zh-CN"/>
              </w:rPr>
            </w:pPr>
            <w:r>
              <w:rPr>
                <w:rFonts w:hint="eastAsia"/>
                <w:lang w:val="en-US" w:eastAsia="zh-CN"/>
              </w:rPr>
              <w:t>建设单位应定期维护排污口硬件设施及台账记录，做好日常管理。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5000" w:type="pct"/>
            <w:gridSpan w:val="3"/>
            <w:vAlign w:val="center"/>
          </w:tcPr>
          <w:p>
            <w:pPr>
              <w:pStyle w:val="16"/>
              <w:bidi w:val="0"/>
              <w:rPr>
                <w:rFonts w:hint="eastAsia"/>
                <w:lang w:val="en-US" w:eastAsia="zh-CN"/>
              </w:rPr>
            </w:pPr>
            <w:r>
              <w:rPr>
                <w:rFonts w:hint="eastAsia"/>
                <w:lang w:val="en-US" w:eastAsia="zh-CN"/>
              </w:rPr>
              <w:t>规范化建设原则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pct"/>
            <w:vAlign w:val="center"/>
          </w:tcPr>
          <w:p>
            <w:pPr>
              <w:pStyle w:val="16"/>
              <w:bidi w:val="0"/>
              <w:rPr>
                <w:rFonts w:hint="default"/>
                <w:lang w:val="en-US" w:eastAsia="zh-CN"/>
              </w:rPr>
            </w:pPr>
            <w:r>
              <w:rPr>
                <w:rFonts w:hint="default"/>
                <w:lang w:val="en-US" w:eastAsia="zh-CN"/>
              </w:rPr>
              <w:t>a）原则上，所有入河排污口应建立入河排污口档案，明确唯一的入河排污口名称、编码；</w:t>
            </w:r>
          </w:p>
        </w:tc>
        <w:tc>
          <w:tcPr>
            <w:tcW w:w="1484" w:type="pct"/>
            <w:vAlign w:val="center"/>
          </w:tcPr>
          <w:p>
            <w:pPr>
              <w:pStyle w:val="16"/>
              <w:bidi w:val="0"/>
              <w:rPr>
                <w:rFonts w:hint="eastAsia"/>
                <w:lang w:val="en-US" w:eastAsia="zh-CN"/>
              </w:rPr>
            </w:pPr>
            <w:r>
              <w:rPr>
                <w:rFonts w:hint="eastAsia"/>
                <w:lang w:val="en-US" w:eastAsia="zh-CN"/>
              </w:rPr>
              <w:t>本入河排污口暂未建立档案</w:t>
            </w:r>
          </w:p>
        </w:tc>
        <w:tc>
          <w:tcPr>
            <w:tcW w:w="1666" w:type="pct"/>
            <w:vAlign w:val="center"/>
          </w:tcPr>
          <w:p>
            <w:pPr>
              <w:pStyle w:val="16"/>
              <w:bidi w:val="0"/>
              <w:rPr>
                <w:rFonts w:hint="eastAsia"/>
                <w:lang w:val="en-US" w:eastAsia="zh-CN"/>
              </w:rPr>
            </w:pPr>
            <w:r>
              <w:rPr>
                <w:rFonts w:hint="eastAsia"/>
                <w:lang w:val="en-US" w:eastAsia="zh-CN"/>
              </w:rPr>
              <w:t>依托排污口信息平台开展档案管理，管理排污口排查整治、设置审核、日常监督管理等信息，建立动态管理台账。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1848" w:type="pct"/>
            <w:vAlign w:val="center"/>
          </w:tcPr>
          <w:p>
            <w:pPr>
              <w:pStyle w:val="16"/>
              <w:bidi w:val="0"/>
              <w:rPr>
                <w:rFonts w:hint="default"/>
                <w:lang w:val="en-US" w:eastAsia="zh-CN"/>
              </w:rPr>
            </w:pPr>
            <w:r>
              <w:rPr>
                <w:rFonts w:hint="default"/>
                <w:lang w:val="en-US" w:eastAsia="zh-CN"/>
              </w:rPr>
              <w:t>b）原则上，工业排污口、城镇污水处理厂排污口、农业排口以及其他排口中的港口码头排污口、大中型灌区排口应设置标识牌；</w:t>
            </w:r>
          </w:p>
        </w:tc>
        <w:tc>
          <w:tcPr>
            <w:tcW w:w="2755" w:type="dxa"/>
            <w:vAlign w:val="center"/>
          </w:tcPr>
          <w:p>
            <w:pPr>
              <w:pStyle w:val="16"/>
              <w:bidi w:val="0"/>
              <w:ind w:firstLine="0" w:firstLineChars="0"/>
              <w:rPr>
                <w:rFonts w:hint="eastAsia"/>
                <w:lang w:val="en-US" w:eastAsia="zh-CN"/>
              </w:rPr>
            </w:pPr>
            <w:r>
              <w:rPr>
                <w:rFonts w:hint="eastAsia"/>
                <w:lang w:val="en-US" w:eastAsia="zh-CN"/>
              </w:rPr>
              <w:t>本入河排污口处暂未设置标识标牌。</w:t>
            </w:r>
          </w:p>
        </w:tc>
        <w:tc>
          <w:tcPr>
            <w:tcW w:w="3096" w:type="dxa"/>
            <w:vAlign w:val="center"/>
          </w:tcPr>
          <w:p>
            <w:pPr>
              <w:pStyle w:val="16"/>
              <w:bidi w:val="0"/>
              <w:ind w:firstLine="0" w:firstLineChars="0"/>
              <w:rPr>
                <w:rFonts w:hint="eastAsia"/>
                <w:lang w:val="en-US" w:eastAsia="zh-CN"/>
              </w:rPr>
            </w:pPr>
            <w:r>
              <w:rPr>
                <w:rFonts w:hint="eastAsia"/>
                <w:lang w:val="en-US" w:eastAsia="zh-CN"/>
              </w:rPr>
              <w:t>根据入河口规范化建设要求完善标识标牌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848" w:type="pct"/>
            <w:vAlign w:val="center"/>
          </w:tcPr>
          <w:p>
            <w:pPr>
              <w:pStyle w:val="16"/>
              <w:bidi w:val="0"/>
              <w:rPr>
                <w:rFonts w:hint="default"/>
                <w:lang w:val="en-US" w:eastAsia="zh-CN"/>
              </w:rPr>
            </w:pPr>
            <w:r>
              <w:rPr>
                <w:rFonts w:hint="default"/>
                <w:lang w:val="en-US" w:eastAsia="zh-CN"/>
              </w:rPr>
              <w:t>c）工业排污口、城镇污水处理厂排污口、农业排口应设置监测点；</w:t>
            </w:r>
          </w:p>
        </w:tc>
        <w:tc>
          <w:tcPr>
            <w:tcW w:w="1484" w:type="pct"/>
            <w:vAlign w:val="center"/>
          </w:tcPr>
          <w:p>
            <w:pPr>
              <w:pStyle w:val="16"/>
              <w:bidi w:val="0"/>
              <w:rPr>
                <w:rFonts w:hint="eastAsia"/>
                <w:lang w:val="en-US" w:eastAsia="zh-CN"/>
              </w:rPr>
            </w:pPr>
            <w:r>
              <w:rPr>
                <w:rFonts w:hint="eastAsia"/>
                <w:lang w:val="en-US" w:eastAsia="zh-CN"/>
              </w:rPr>
              <w:t>本入河排污口有设置监测点</w:t>
            </w:r>
          </w:p>
        </w:tc>
        <w:tc>
          <w:tcPr>
            <w:tcW w:w="1666" w:type="pct"/>
            <w:vAlign w:val="center"/>
          </w:tcPr>
          <w:p>
            <w:pPr>
              <w:pStyle w:val="16"/>
              <w:bidi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trPr>
        <w:tc>
          <w:tcPr>
            <w:tcW w:w="1848" w:type="pct"/>
            <w:vAlign w:val="center"/>
          </w:tcPr>
          <w:p>
            <w:pPr>
              <w:pStyle w:val="16"/>
              <w:bidi w:val="0"/>
              <w:rPr>
                <w:rFonts w:hint="default"/>
                <w:lang w:val="en-US" w:eastAsia="zh-CN"/>
              </w:rPr>
            </w:pPr>
            <w:r>
              <w:rPr>
                <w:rFonts w:hint="default"/>
                <w:lang w:val="en-US" w:eastAsia="zh-CN"/>
              </w:rPr>
              <w:t>d）规模以上工业排污口、城镇污水处理厂排污口应设置视频监控系统；</w:t>
            </w:r>
          </w:p>
        </w:tc>
        <w:tc>
          <w:tcPr>
            <w:tcW w:w="1484" w:type="pct"/>
            <w:vAlign w:val="center"/>
          </w:tcPr>
          <w:p>
            <w:pPr>
              <w:pStyle w:val="16"/>
              <w:bidi w:val="0"/>
              <w:rPr>
                <w:rFonts w:hint="eastAsia"/>
                <w:lang w:val="en-US" w:eastAsia="zh-CN"/>
              </w:rPr>
            </w:pPr>
            <w:r>
              <w:rPr>
                <w:rFonts w:hint="eastAsia"/>
                <w:lang w:val="en-US" w:eastAsia="zh-CN"/>
              </w:rPr>
              <w:t>本项目日排放水量为181.2吨，属于日排放水量300吨及以下的工业排污口，本入河排污口可不设置设置视频监控系统</w:t>
            </w:r>
          </w:p>
        </w:tc>
        <w:tc>
          <w:tcPr>
            <w:tcW w:w="1666" w:type="pct"/>
            <w:vAlign w:val="center"/>
          </w:tcPr>
          <w:p>
            <w:pPr>
              <w:pStyle w:val="16"/>
              <w:bidi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trPr>
        <w:tc>
          <w:tcPr>
            <w:tcW w:w="1848" w:type="pct"/>
            <w:vAlign w:val="center"/>
          </w:tcPr>
          <w:p>
            <w:pPr>
              <w:pStyle w:val="16"/>
              <w:bidi w:val="0"/>
              <w:rPr>
                <w:rFonts w:hint="default"/>
                <w:lang w:val="en-US" w:eastAsia="zh-CN"/>
              </w:rPr>
            </w:pPr>
            <w:r>
              <w:rPr>
                <w:rFonts w:hint="default"/>
                <w:lang w:val="en-US" w:eastAsia="zh-CN"/>
              </w:rPr>
              <w:t>e）上述以外的入河排污口，由各级入河排污口管理单位根据其排水状况及对环境的影响等实际情况，决定是否设置标识牌、监测点或视频监控系统</w:t>
            </w:r>
          </w:p>
        </w:tc>
        <w:tc>
          <w:tcPr>
            <w:tcW w:w="1484" w:type="pct"/>
            <w:vAlign w:val="center"/>
          </w:tcPr>
          <w:p>
            <w:pPr>
              <w:pStyle w:val="16"/>
              <w:bidi w:val="0"/>
              <w:rPr>
                <w:rFonts w:hint="eastAsia"/>
                <w:lang w:val="en-US" w:eastAsia="zh-CN"/>
              </w:rPr>
            </w:pPr>
            <w:r>
              <w:rPr>
                <w:rFonts w:hint="eastAsia"/>
                <w:lang w:val="en-US" w:eastAsia="zh-CN"/>
              </w:rPr>
              <w:t>本入河排污口不涉及本条要求提到的内容</w:t>
            </w:r>
          </w:p>
        </w:tc>
        <w:tc>
          <w:tcPr>
            <w:tcW w:w="1666" w:type="pct"/>
            <w:vAlign w:val="center"/>
          </w:tcPr>
          <w:p>
            <w:pPr>
              <w:pStyle w:val="16"/>
              <w:bidi w:val="0"/>
              <w:rPr>
                <w:rFonts w:hint="default"/>
                <w:lang w:val="en-US" w:eastAsia="zh-CN"/>
              </w:rPr>
            </w:pPr>
            <w:r>
              <w:rPr>
                <w:rFonts w:hint="eastAsia"/>
                <w:lang w:val="en-US" w:eastAsia="zh-CN"/>
              </w:rPr>
              <w:t>/</w:t>
            </w:r>
          </w:p>
        </w:tc>
      </w:tr>
    </w:tbl>
    <w:p>
      <w:pPr>
        <w:pStyle w:val="4"/>
        <w:bidi w:val="0"/>
      </w:pPr>
      <w:r>
        <w:rPr>
          <w:rFonts w:hint="eastAsia"/>
        </w:rPr>
        <w:t>6.</w:t>
      </w:r>
      <w:r>
        <w:rPr>
          <w:rFonts w:hint="eastAsia"/>
          <w:lang w:val="en-US" w:eastAsia="zh-CN"/>
        </w:rPr>
        <w:t>7</w:t>
      </w:r>
      <w:r>
        <w:rPr>
          <w:rFonts w:hint="eastAsia"/>
        </w:rPr>
        <w:t>.1</w:t>
      </w:r>
      <w:r>
        <w:rPr>
          <w:rFonts w:hint="eastAsia" w:ascii="Times New Roman" w:eastAsia="宋体"/>
          <w:lang w:val="en-US" w:eastAsia="zh-CN"/>
        </w:rPr>
        <w:t>入河排污口标识设置</w:t>
      </w:r>
    </w:p>
    <w:p>
      <w:pPr>
        <w:bidi w:val="0"/>
        <w:rPr>
          <w:rFonts w:hint="eastAsia"/>
          <w:lang w:val="en-US" w:eastAsia="zh-CN"/>
        </w:rPr>
      </w:pPr>
      <w:r>
        <w:rPr>
          <w:rFonts w:hint="default"/>
          <w:lang w:val="en-US" w:eastAsia="zh-CN"/>
        </w:rPr>
        <w:t>根据《入河排污口管理技术导则》（SL532-2011）要求，入河排污口应设立标志牌。因此，本入河排污口处需增设入河排污口明显标志牌。</w:t>
      </w:r>
      <w:r>
        <w:rPr>
          <w:rFonts w:hint="eastAsia"/>
          <w:lang w:val="en-US" w:eastAsia="zh-CN"/>
        </w:rPr>
        <w:t>入河排污口标识内容如下：</w:t>
      </w:r>
    </w:p>
    <w:p>
      <w:pPr>
        <w:bidi w:val="0"/>
        <w:rPr>
          <w:rFonts w:hint="eastAsia"/>
          <w:lang w:val="en-US" w:eastAsia="zh-CN"/>
        </w:rPr>
      </w:pPr>
      <w:r>
        <w:rPr>
          <w:rFonts w:hint="eastAsia"/>
          <w:lang w:val="en-US" w:eastAsia="zh-CN"/>
        </w:rPr>
        <w:t>1、标志文字分为正反两面，其中正面应包括以下资料信息：</w:t>
      </w:r>
    </w:p>
    <w:p>
      <w:pPr>
        <w:bidi w:val="0"/>
        <w:rPr>
          <w:rFonts w:hint="eastAsia"/>
          <w:lang w:val="en-US" w:eastAsia="zh-CN"/>
        </w:rPr>
      </w:pPr>
      <w:r>
        <w:rPr>
          <w:rFonts w:hint="eastAsia"/>
          <w:lang w:val="en-US" w:eastAsia="zh-CN"/>
        </w:rPr>
        <w:t>（1）入河排污口名称：</w:t>
      </w:r>
      <w:r>
        <w:rPr>
          <w:u w:val="none"/>
        </w:rPr>
        <w:t>桃江县湘域矿业有限公司首溪金矿</w:t>
      </w:r>
      <w:r>
        <w:rPr>
          <w:rFonts w:hint="eastAsia"/>
          <w:u w:val="none"/>
        </w:rPr>
        <w:t>入河排污口</w:t>
      </w:r>
      <w:r>
        <w:rPr>
          <w:rFonts w:hint="eastAsia"/>
          <w:lang w:val="en-US" w:eastAsia="zh-CN"/>
        </w:rPr>
        <w:t>；</w:t>
      </w:r>
    </w:p>
    <w:p>
      <w:pPr>
        <w:bidi w:val="0"/>
        <w:rPr>
          <w:rFonts w:hint="eastAsia"/>
          <w:lang w:val="en-US" w:eastAsia="zh-CN"/>
        </w:rPr>
      </w:pPr>
      <w:r>
        <w:rPr>
          <w:rFonts w:hint="eastAsia"/>
          <w:lang w:val="en-US" w:eastAsia="zh-CN"/>
        </w:rPr>
        <w:t>（2）入河排污口编号：按行政主管部门确定的编号建设；</w:t>
      </w:r>
    </w:p>
    <w:p>
      <w:pPr>
        <w:bidi w:val="0"/>
        <w:rPr>
          <w:rFonts w:hint="eastAsia"/>
          <w:lang w:val="en-US" w:eastAsia="zh-CN"/>
        </w:rPr>
      </w:pPr>
      <w:r>
        <w:rPr>
          <w:rFonts w:hint="eastAsia"/>
          <w:lang w:val="en-US" w:eastAsia="zh-CN"/>
        </w:rPr>
        <w:t>（3）入河排污口地理位置及经纬度坐标：</w:t>
      </w:r>
      <w:r>
        <w:rPr>
          <w:u w:val="none"/>
        </w:rPr>
        <w:t>桃江县</w:t>
      </w:r>
      <w:r>
        <w:rPr>
          <w:rFonts w:hint="eastAsia"/>
          <w:u w:val="none"/>
        </w:rPr>
        <w:t>大栗港镇兴坪村</w:t>
      </w:r>
      <w:r>
        <w:rPr>
          <w:rFonts w:hint="eastAsia"/>
          <w:lang w:val="en-US" w:eastAsia="zh-CN"/>
        </w:rPr>
        <w:t>资水右岸（东经</w:t>
      </w:r>
      <w:r>
        <w:rPr>
          <w:u w:val="none"/>
        </w:rPr>
        <w:t>111°48′43.72365″</w:t>
      </w:r>
      <w:r>
        <w:rPr>
          <w:rFonts w:hint="eastAsia"/>
          <w:lang w:val="en-US" w:eastAsia="zh-CN"/>
        </w:rPr>
        <w:t>，北纬</w:t>
      </w:r>
      <w:r>
        <w:rPr>
          <w:u w:val="none"/>
        </w:rPr>
        <w:t>28°30′25.66435″</w:t>
      </w:r>
      <w:r>
        <w:rPr>
          <w:rFonts w:hint="eastAsia"/>
          <w:lang w:val="en-US" w:eastAsia="zh-CN"/>
        </w:rPr>
        <w:t>）；</w:t>
      </w:r>
    </w:p>
    <w:p>
      <w:pPr>
        <w:bidi w:val="0"/>
        <w:rPr>
          <w:rFonts w:hint="eastAsia"/>
          <w:lang w:val="en-US" w:eastAsia="zh-CN"/>
        </w:rPr>
      </w:pPr>
      <w:r>
        <w:rPr>
          <w:rFonts w:hint="eastAsia"/>
          <w:lang w:val="en-US" w:eastAsia="zh-CN"/>
        </w:rPr>
        <w:t>（4）排入的水功能区名称及水质保护目标：资水桃江保留区，水质目标为</w:t>
      </w:r>
      <w:r>
        <w:rPr>
          <w:rFonts w:hint="eastAsia" w:ascii="宋体" w:hAnsi="宋体" w:eastAsia="宋体" w:cs="宋体"/>
          <w:lang w:eastAsia="zh-CN"/>
        </w:rPr>
        <w:t>Ⅱ</w:t>
      </w:r>
      <w:r>
        <w:rPr>
          <w:rFonts w:hint="eastAsia"/>
          <w:lang w:eastAsia="zh-CN"/>
        </w:rPr>
        <w:t>类</w:t>
      </w:r>
      <w:r>
        <w:rPr>
          <w:rFonts w:hint="eastAsia"/>
          <w:lang w:val="en-US" w:eastAsia="zh-CN"/>
        </w:rPr>
        <w:t>；</w:t>
      </w:r>
    </w:p>
    <w:p>
      <w:pPr>
        <w:bidi w:val="0"/>
        <w:rPr>
          <w:rFonts w:hint="eastAsia"/>
          <w:lang w:val="en-US" w:eastAsia="zh-CN"/>
        </w:rPr>
      </w:pPr>
      <w:r>
        <w:rPr>
          <w:rFonts w:hint="eastAsia"/>
          <w:lang w:val="en-US" w:eastAsia="zh-CN"/>
        </w:rPr>
        <w:t>（5）入河排污口主要污染物浓度：CODcr：100mg/L、砷0.2mg/L。</w:t>
      </w:r>
    </w:p>
    <w:p>
      <w:pPr>
        <w:bidi w:val="0"/>
        <w:rPr>
          <w:rFonts w:hint="eastAsia"/>
          <w:lang w:val="en-US" w:eastAsia="zh-CN"/>
        </w:rPr>
      </w:pPr>
      <w:r>
        <w:rPr>
          <w:rFonts w:hint="eastAsia"/>
          <w:lang w:val="en-US" w:eastAsia="zh-CN"/>
        </w:rPr>
        <w:t>（6）入河排污口设置申请单位：</w:t>
      </w:r>
      <w:r>
        <w:rPr>
          <w:u w:val="none"/>
        </w:rPr>
        <w:t>桃江县湘域矿业有限公司</w:t>
      </w:r>
      <w:r>
        <w:rPr>
          <w:rFonts w:hint="eastAsia"/>
          <w:lang w:val="en-US" w:eastAsia="zh-CN"/>
        </w:rPr>
        <w:t>；</w:t>
      </w:r>
    </w:p>
    <w:p>
      <w:pPr>
        <w:bidi w:val="0"/>
        <w:rPr>
          <w:rFonts w:hint="eastAsia"/>
          <w:lang w:val="en-US" w:eastAsia="zh-CN"/>
        </w:rPr>
      </w:pPr>
      <w:r>
        <w:rPr>
          <w:rFonts w:hint="eastAsia"/>
          <w:lang w:val="en-US" w:eastAsia="zh-CN"/>
        </w:rPr>
        <w:t>（7）入河排污口设置审批单位：益阳市生态环境局。</w:t>
      </w:r>
    </w:p>
    <w:p>
      <w:pPr>
        <w:bidi w:val="0"/>
        <w:rPr>
          <w:rFonts w:hint="eastAsia"/>
          <w:lang w:val="en-US" w:eastAsia="zh-CN"/>
        </w:rPr>
      </w:pPr>
      <w:r>
        <w:rPr>
          <w:rFonts w:hint="eastAsia"/>
          <w:lang w:val="en-US" w:eastAsia="zh-CN"/>
        </w:rPr>
        <w:t>2、标志可以正反两面印制相同的文字及内容，也可在标志反面选择印制如下内容：</w:t>
      </w:r>
    </w:p>
    <w:p>
      <w:pPr>
        <w:bidi w:val="0"/>
        <w:rPr>
          <w:rFonts w:hint="eastAsia"/>
          <w:lang w:val="en-US" w:eastAsia="zh-CN"/>
        </w:rPr>
      </w:pPr>
      <w:r>
        <w:rPr>
          <w:rFonts w:hint="eastAsia"/>
          <w:lang w:val="en-US" w:eastAsia="zh-CN"/>
        </w:rPr>
        <w:t>（1）《水法》等法律法规中有关入河排污口管理的条文节选；</w:t>
      </w:r>
    </w:p>
    <w:p>
      <w:pPr>
        <w:bidi w:val="0"/>
        <w:rPr>
          <w:rFonts w:hint="eastAsia"/>
          <w:lang w:val="en-US" w:eastAsia="zh-CN"/>
        </w:rPr>
      </w:pPr>
      <w:r>
        <w:rPr>
          <w:rFonts w:hint="eastAsia"/>
          <w:lang w:val="en-US" w:eastAsia="zh-CN"/>
        </w:rPr>
        <w:t>（2）有关水资源保护工作的宣传口号。</w:t>
      </w:r>
    </w:p>
    <w:p>
      <w:pPr>
        <w:bidi w:val="0"/>
        <w:rPr>
          <w:rFonts w:hint="eastAsia"/>
          <w:lang w:val="en-US" w:eastAsia="zh-CN"/>
        </w:rPr>
      </w:pPr>
      <w:r>
        <w:rPr>
          <w:rFonts w:hint="eastAsia"/>
          <w:lang w:val="en-US" w:eastAsia="zh-CN"/>
        </w:rPr>
        <w:t>3、标志设计样式要美观大方，文字的字体、设计样式应保持统一。</w:t>
      </w:r>
    </w:p>
    <w:p>
      <w:pPr>
        <w:pStyle w:val="4"/>
        <w:bidi w:val="0"/>
        <w:rPr>
          <w:rFonts w:hint="eastAsia"/>
          <w:lang w:val="en-US" w:eastAsia="zh-CN"/>
        </w:rPr>
      </w:pPr>
      <w:r>
        <w:rPr>
          <w:rFonts w:hint="eastAsia"/>
          <w:lang w:val="en-US" w:eastAsia="zh-CN"/>
        </w:rPr>
        <w:t>6.7.2入河排污口监测</w:t>
      </w:r>
    </w:p>
    <w:p>
      <w:pPr>
        <w:bidi w:val="0"/>
        <w:rPr>
          <w:rFonts w:hint="eastAsia"/>
          <w:lang w:val="en-US" w:eastAsia="zh-CN"/>
        </w:rPr>
      </w:pPr>
      <w:r>
        <w:rPr>
          <w:rFonts w:hint="eastAsia"/>
          <w:lang w:val="en-US" w:eastAsia="zh-CN"/>
        </w:rPr>
        <w:t>入河排污口管理单位可根据工作需要对入河排污口进行监测，监测主要分为人工监测和自动监测，入河排污总量以及入河污染总量按日计算。</w:t>
      </w:r>
    </w:p>
    <w:p>
      <w:pPr>
        <w:bidi w:val="0"/>
        <w:rPr>
          <w:rFonts w:hint="default"/>
          <w:b/>
          <w:bCs/>
          <w:lang w:val="en-US" w:eastAsia="zh-CN"/>
        </w:rPr>
      </w:pPr>
      <w:r>
        <w:rPr>
          <w:rFonts w:hint="eastAsia"/>
          <w:b/>
          <w:bCs/>
          <w:lang w:val="en-US" w:eastAsia="zh-CN"/>
        </w:rPr>
        <w:t>1、人工监测要求</w:t>
      </w:r>
    </w:p>
    <w:p>
      <w:pPr>
        <w:bidi w:val="0"/>
        <w:rPr>
          <w:rFonts w:hint="default"/>
          <w:lang w:val="en-US" w:eastAsia="zh-CN"/>
        </w:rPr>
      </w:pPr>
      <w:r>
        <w:rPr>
          <w:rFonts w:hint="eastAsia"/>
          <w:lang w:eastAsia="zh-CN"/>
        </w:rPr>
        <w:t>（</w:t>
      </w:r>
      <w:r>
        <w:rPr>
          <w:rFonts w:hint="eastAsia"/>
          <w:lang w:val="en-US" w:eastAsia="zh-CN"/>
        </w:rPr>
        <w:t>1</w:t>
      </w:r>
      <w:r>
        <w:rPr>
          <w:rFonts w:hint="eastAsia"/>
          <w:lang w:eastAsia="zh-CN"/>
        </w:rPr>
        <w:t>）</w:t>
      </w:r>
      <w:r>
        <w:rPr>
          <w:rFonts w:hint="default"/>
          <w:lang w:val="en-US" w:eastAsia="zh-CN"/>
        </w:rPr>
        <w:t>入河排污口人工监测应符合下列基本要求：</w:t>
      </w:r>
    </w:p>
    <w:p>
      <w:pPr>
        <w:bidi w:val="0"/>
        <w:rPr>
          <w:rFonts w:hint="default"/>
          <w:lang w:val="en-US" w:eastAsia="zh-CN"/>
        </w:rPr>
      </w:pPr>
      <w:r>
        <w:t>①</w:t>
      </w:r>
      <w:r>
        <w:rPr>
          <w:rFonts w:hint="default"/>
          <w:lang w:val="en-US" w:eastAsia="zh-CN"/>
        </w:rPr>
        <w:t>应对入河排污口废污水排放量和主要污染物的排放浓度实施同步监测；</w:t>
      </w:r>
    </w:p>
    <w:p>
      <w:pPr>
        <w:bidi w:val="0"/>
        <w:rPr>
          <w:rFonts w:hint="default"/>
          <w:lang w:val="en-US" w:eastAsia="zh-CN"/>
        </w:rPr>
      </w:pPr>
      <w:r>
        <w:rPr>
          <w:rFonts w:hint="default"/>
          <w:lang w:val="en-US" w:eastAsia="zh-CN"/>
        </w:rPr>
        <w:t>②在入河排污口进行样品测量、采样及运输时，应采取有效防护措施，防止有毒有害物质、放射性物质和热污染危及人身安全。</w:t>
      </w:r>
    </w:p>
    <w:p>
      <w:pPr>
        <w:bidi w:val="0"/>
        <w:rPr>
          <w:rFonts w:hint="default"/>
          <w:lang w:val="en-US" w:eastAsia="zh-CN"/>
        </w:rPr>
      </w:pPr>
      <w:r>
        <w:rPr>
          <w:rFonts w:hint="eastAsia"/>
          <w:lang w:val="en-US" w:eastAsia="zh-CN"/>
        </w:rPr>
        <w:t>（2）</w:t>
      </w:r>
      <w:r>
        <w:rPr>
          <w:rFonts w:hint="default"/>
          <w:lang w:val="en-US" w:eastAsia="zh-CN"/>
        </w:rPr>
        <w:t>监测项目与采样方法应符合下列要求：</w:t>
      </w:r>
    </w:p>
    <w:p>
      <w:pPr>
        <w:bidi w:val="0"/>
        <w:rPr>
          <w:rFonts w:hint="default"/>
          <w:lang w:val="en-US" w:eastAsia="zh-CN"/>
        </w:rPr>
      </w:pPr>
      <w:r>
        <w:t>①</w:t>
      </w:r>
      <w:r>
        <w:rPr>
          <w:rFonts w:hint="default"/>
          <w:lang w:val="en-US" w:eastAsia="zh-CN"/>
        </w:rPr>
        <w:t>常规监测项目为流量、水温、pH值、化学需氧量、五日生化需氧量、氨氮、总磷、总氮</w:t>
      </w:r>
      <w:r>
        <w:rPr>
          <w:rFonts w:hint="eastAsia"/>
          <w:lang w:val="en-US" w:eastAsia="zh-CN"/>
        </w:rPr>
        <w:t>和挥发酚</w:t>
      </w:r>
      <w:r>
        <w:rPr>
          <w:rFonts w:hint="default"/>
          <w:lang w:val="en-US" w:eastAsia="zh-CN"/>
        </w:rPr>
        <w:t>共</w:t>
      </w:r>
      <w:r>
        <w:rPr>
          <w:rFonts w:hint="eastAsia"/>
          <w:lang w:val="en-US" w:eastAsia="zh-CN"/>
        </w:rPr>
        <w:t>9</w:t>
      </w:r>
      <w:r>
        <w:rPr>
          <w:rFonts w:hint="default"/>
          <w:lang w:val="en-US" w:eastAsia="zh-CN"/>
        </w:rPr>
        <w:t>项</w:t>
      </w:r>
      <w:r>
        <w:rPr>
          <w:rFonts w:hint="eastAsia"/>
          <w:lang w:val="en-US" w:eastAsia="zh-CN"/>
        </w:rPr>
        <w:t>。对于特殊排污单位应根据废污水性质，增加相应的特征污染物监测项目</w:t>
      </w:r>
      <w:r>
        <w:rPr>
          <w:rFonts w:hint="default"/>
          <w:lang w:val="en-US" w:eastAsia="zh-CN"/>
        </w:rPr>
        <w:t>。</w:t>
      </w:r>
    </w:p>
    <w:p>
      <w:pPr>
        <w:bidi w:val="0"/>
        <w:rPr>
          <w:rFonts w:hint="default"/>
          <w:lang w:val="en-US" w:eastAsia="zh-CN"/>
        </w:rPr>
      </w:pPr>
      <w:r>
        <w:rPr>
          <w:rFonts w:hint="default"/>
          <w:lang w:val="en-US" w:eastAsia="zh-CN"/>
        </w:rPr>
        <w:t>②监测方法应按照国家现行的检验、检测方法执行，所采用的分析方法应符合国家和行业有关标准的规定。</w:t>
      </w:r>
    </w:p>
    <w:p>
      <w:pPr>
        <w:bidi w:val="0"/>
        <w:rPr>
          <w:rFonts w:hint="default"/>
          <w:lang w:val="en-US" w:eastAsia="zh-CN"/>
        </w:rPr>
      </w:pPr>
      <w:r>
        <w:rPr>
          <w:rFonts w:hint="eastAsia"/>
          <w:lang w:val="en-US" w:eastAsia="zh-CN"/>
        </w:rPr>
        <w:t>③</w:t>
      </w:r>
      <w:r>
        <w:rPr>
          <w:rFonts w:hint="default"/>
          <w:lang w:val="en-US" w:eastAsia="zh-CN"/>
        </w:rPr>
        <w:t>监测点位为</w:t>
      </w:r>
      <w:r>
        <w:rPr>
          <w:rFonts w:hint="eastAsia"/>
          <w:lang w:val="en-US" w:eastAsia="zh-CN"/>
        </w:rPr>
        <w:t>污水处理站</w:t>
      </w:r>
      <w:r>
        <w:rPr>
          <w:rFonts w:hint="default"/>
          <w:lang w:val="en-US" w:eastAsia="zh-CN"/>
        </w:rPr>
        <w:t>出水口。</w:t>
      </w:r>
    </w:p>
    <w:p>
      <w:pPr>
        <w:bidi w:val="0"/>
        <w:rPr>
          <w:rFonts w:hint="default"/>
          <w:b/>
          <w:bCs/>
          <w:lang w:val="en-US" w:eastAsia="zh-CN"/>
        </w:rPr>
      </w:pPr>
      <w:r>
        <w:rPr>
          <w:rFonts w:hint="eastAsia"/>
          <w:b/>
          <w:bCs/>
          <w:lang w:val="en-US" w:eastAsia="zh-CN"/>
        </w:rPr>
        <w:t>2、自动监测要求</w:t>
      </w:r>
    </w:p>
    <w:p>
      <w:pPr>
        <w:bidi w:val="0"/>
        <w:rPr>
          <w:rFonts w:hint="default"/>
          <w:lang w:val="en-US" w:eastAsia="zh-CN"/>
        </w:rPr>
      </w:pPr>
      <w:r>
        <w:rPr>
          <w:rFonts w:hint="eastAsia"/>
          <w:lang w:eastAsia="zh-CN"/>
        </w:rPr>
        <w:t>（</w:t>
      </w:r>
      <w:r>
        <w:rPr>
          <w:rFonts w:hint="eastAsia"/>
          <w:lang w:val="en-US" w:eastAsia="zh-CN"/>
        </w:rPr>
        <w:t>1</w:t>
      </w:r>
      <w:r>
        <w:rPr>
          <w:rFonts w:hint="eastAsia"/>
          <w:lang w:eastAsia="zh-CN"/>
        </w:rPr>
        <w:t>）</w:t>
      </w:r>
      <w:r>
        <w:rPr>
          <w:rFonts w:hint="default"/>
          <w:lang w:val="en-US" w:eastAsia="zh-CN"/>
        </w:rPr>
        <w:t>入河排污口自动监测设置应符合下列基本要求：</w:t>
      </w:r>
    </w:p>
    <w:p>
      <w:pPr>
        <w:bidi w:val="0"/>
        <w:rPr>
          <w:rFonts w:hint="default"/>
          <w:lang w:val="en-US" w:eastAsia="zh-CN"/>
        </w:rPr>
      </w:pPr>
      <w:r>
        <w:t>①</w:t>
      </w:r>
      <w:r>
        <w:rPr>
          <w:rFonts w:hint="default"/>
          <w:lang w:val="en-US" w:eastAsia="zh-CN"/>
        </w:rPr>
        <w:t>对排污量较大的入河排污口以及排入重要水域的水功能区的入河排污口应实施自动监测；</w:t>
      </w:r>
    </w:p>
    <w:p>
      <w:pPr>
        <w:bidi w:val="0"/>
        <w:rPr>
          <w:rFonts w:hint="default"/>
          <w:lang w:val="en-US" w:eastAsia="zh-CN"/>
        </w:rPr>
      </w:pPr>
      <w:r>
        <w:rPr>
          <w:rFonts w:hint="default"/>
          <w:lang w:val="en-US" w:eastAsia="zh-CN"/>
        </w:rPr>
        <w:t>②对入河排污口废污水的排放量和主要污染物质排放浓度应实施自动监测。</w:t>
      </w:r>
    </w:p>
    <w:p>
      <w:pPr>
        <w:bidi w:val="0"/>
        <w:rPr>
          <w:rFonts w:hint="default"/>
          <w:lang w:val="en-US" w:eastAsia="zh-CN"/>
        </w:rPr>
      </w:pPr>
      <w:r>
        <w:rPr>
          <w:rFonts w:hint="eastAsia"/>
          <w:lang w:val="en-US" w:eastAsia="zh-CN"/>
        </w:rPr>
        <w:t>（2）</w:t>
      </w:r>
      <w:r>
        <w:rPr>
          <w:rFonts w:hint="default"/>
          <w:lang w:val="en-US" w:eastAsia="zh-CN"/>
        </w:rPr>
        <w:t>自动监测项目为国家或地方考核项目的，实施水质水量同步自动监测。</w:t>
      </w:r>
    </w:p>
    <w:p>
      <w:pPr>
        <w:bidi w:val="0"/>
        <w:rPr>
          <w:rFonts w:hint="default"/>
          <w:lang w:val="en-US" w:eastAsia="zh-CN"/>
        </w:rPr>
      </w:pPr>
      <w:r>
        <w:rPr>
          <w:rFonts w:hint="eastAsia"/>
          <w:lang w:val="en-US" w:eastAsia="zh-CN"/>
        </w:rPr>
        <w:t>（3）</w:t>
      </w:r>
      <w:r>
        <w:rPr>
          <w:rFonts w:hint="default"/>
          <w:lang w:val="en-US" w:eastAsia="zh-CN"/>
        </w:rPr>
        <w:t>污染物总量监测与计算方法应符合下列要求：</w:t>
      </w:r>
    </w:p>
    <w:p>
      <w:pPr>
        <w:bidi w:val="0"/>
        <w:rPr>
          <w:rFonts w:hint="default"/>
          <w:lang w:val="en-US" w:eastAsia="zh-CN"/>
        </w:rPr>
      </w:pPr>
      <w:r>
        <w:t>①</w:t>
      </w:r>
      <w:r>
        <w:rPr>
          <w:rFonts w:hint="default"/>
          <w:lang w:val="en-US" w:eastAsia="zh-CN"/>
        </w:rPr>
        <w:t>对入河排污口流量、污染物浓度与时间排放曲线波动较小的，用瞬时流量、污染物浓度代表日平均流量和污染物平均浓度，计算每日入河排污总量；</w:t>
      </w:r>
    </w:p>
    <w:p>
      <w:pPr>
        <w:bidi w:val="0"/>
        <w:rPr>
          <w:rFonts w:hint="default"/>
          <w:lang w:val="en-US" w:eastAsia="zh-CN"/>
        </w:rPr>
      </w:pPr>
      <w:r>
        <w:rPr>
          <w:rFonts w:hint="default"/>
          <w:lang w:val="en-US" w:eastAsia="zh-CN"/>
        </w:rPr>
        <w:t>②对入河排污口流量、污染物浓度与时间排放曲线虽有明显波动，但其波动有固定的规律的，可用一天中几个等时间的瞬时流量、污染物浓度来计算平均流量和污染物平均浓度，计算每日入河排污总量；</w:t>
      </w:r>
    </w:p>
    <w:p>
      <w:pPr>
        <w:bidi w:val="0"/>
        <w:rPr>
          <w:rFonts w:hint="eastAsia"/>
          <w:lang w:val="en-US" w:eastAsia="zh-CN"/>
        </w:rPr>
      </w:pPr>
      <w:r>
        <w:rPr>
          <w:rFonts w:hint="eastAsia"/>
          <w:lang w:val="en-US" w:eastAsia="zh-CN"/>
        </w:rPr>
        <w:t>③</w:t>
      </w:r>
      <w:r>
        <w:rPr>
          <w:rFonts w:hint="default"/>
          <w:lang w:val="en-US" w:eastAsia="zh-CN"/>
        </w:rPr>
        <w:t>对排污口流量、污染物浓度与时间排放曲线，即有明显波动又无规律可循的，必须连续定流量、污染物浓度，通过加权平均每日入河排污总量</w:t>
      </w:r>
      <w:r>
        <w:rPr>
          <w:rFonts w:hint="eastAsia"/>
          <w:lang w:val="en-US" w:eastAsia="zh-CN"/>
        </w:rPr>
        <w:t>。</w:t>
      </w:r>
    </w:p>
    <w:p>
      <w:pPr>
        <w:bidi w:val="0"/>
        <w:rPr>
          <w:rFonts w:hint="default"/>
          <w:b/>
          <w:bCs/>
          <w:lang w:val="en-US" w:eastAsia="zh-CN"/>
        </w:rPr>
      </w:pPr>
      <w:r>
        <w:rPr>
          <w:rFonts w:hint="eastAsia"/>
          <w:b/>
          <w:bCs/>
          <w:lang w:val="en-US" w:eastAsia="zh-CN"/>
        </w:rPr>
        <w:t>3、本项监测方案</w:t>
      </w:r>
    </w:p>
    <w:p>
      <w:pPr>
        <w:bidi w:val="0"/>
        <w:rPr>
          <w:rFonts w:hint="default"/>
          <w:lang w:val="en-US" w:eastAsia="zh-CN"/>
        </w:rPr>
      </w:pPr>
      <w:r>
        <w:rPr>
          <w:rFonts w:hint="default"/>
          <w:lang w:val="en-US" w:eastAsia="zh-CN"/>
        </w:rPr>
        <w:t>根据上述分析，本项目采用人工监测与自动监测相结合的方式对污水处理厂尾水监测，为行政主管部门管理提供数据。</w:t>
      </w:r>
    </w:p>
    <w:p>
      <w:pPr>
        <w:bidi w:val="0"/>
        <w:rPr>
          <w:rFonts w:hint="default"/>
          <w:lang w:val="en-US" w:eastAsia="zh-CN"/>
        </w:rPr>
      </w:pPr>
      <w:r>
        <w:rPr>
          <w:rFonts w:hint="eastAsia"/>
          <w:lang w:val="en-US" w:eastAsia="zh-CN"/>
        </w:rPr>
        <w:t>（1）人工</w:t>
      </w:r>
      <w:r>
        <w:rPr>
          <w:rFonts w:hint="default"/>
          <w:lang w:val="en-US" w:eastAsia="zh-CN"/>
        </w:rPr>
        <w:t>监测</w:t>
      </w:r>
    </w:p>
    <w:p>
      <w:pPr>
        <w:bidi w:val="0"/>
        <w:rPr>
          <w:rFonts w:hint="default"/>
          <w:lang w:val="en-US" w:eastAsia="zh-CN"/>
        </w:rPr>
      </w:pPr>
      <w:r>
        <w:rPr>
          <w:rFonts w:hint="default"/>
          <w:lang w:val="en-US" w:eastAsia="zh-CN"/>
        </w:rPr>
        <w:t>①监测项目：根据《排污许可证申请与核发技术规范水处理</w:t>
      </w:r>
      <w:r>
        <w:rPr>
          <w:rFonts w:hint="eastAsia"/>
          <w:lang w:val="en-US" w:eastAsia="zh-CN"/>
        </w:rPr>
        <w:t>（试行）</w:t>
      </w:r>
      <w:r>
        <w:rPr>
          <w:rFonts w:hint="default"/>
          <w:lang w:val="en-US" w:eastAsia="zh-CN"/>
        </w:rPr>
        <w:t>》（HJ978-2018）中自行监测要求，常规监测项目为流量、水温、pH值、</w:t>
      </w:r>
      <w:r>
        <w:rPr>
          <w:rFonts w:hint="eastAsia"/>
          <w:lang w:val="en-US" w:eastAsia="zh-CN"/>
        </w:rPr>
        <w:t>悬浮物、</w:t>
      </w:r>
      <w:r>
        <w:rPr>
          <w:rFonts w:hint="default"/>
          <w:lang w:val="en-US" w:eastAsia="zh-CN"/>
        </w:rPr>
        <w:t>化学需氧量、</w:t>
      </w:r>
      <w:r>
        <w:rPr>
          <w:rFonts w:hint="eastAsia"/>
          <w:lang w:val="en-US" w:eastAsia="zh-CN"/>
        </w:rPr>
        <w:t>硫化物、砷、镉、铅、铬、铜、锌</w:t>
      </w:r>
      <w:r>
        <w:rPr>
          <w:rFonts w:hint="default"/>
          <w:lang w:val="en-US" w:eastAsia="zh-CN"/>
        </w:rPr>
        <w:t>。</w:t>
      </w:r>
    </w:p>
    <w:p>
      <w:pPr>
        <w:bidi w:val="0"/>
        <w:rPr>
          <w:rFonts w:hint="default"/>
          <w:lang w:val="en-US" w:eastAsia="zh-CN"/>
        </w:rPr>
      </w:pPr>
      <w:r>
        <w:rPr>
          <w:rFonts w:hint="default"/>
          <w:lang w:val="en-US" w:eastAsia="zh-CN"/>
        </w:rPr>
        <w:t>②监测点位：污水处理</w:t>
      </w:r>
      <w:r>
        <w:rPr>
          <w:rFonts w:hint="eastAsia"/>
          <w:lang w:val="en-US" w:eastAsia="zh-CN"/>
        </w:rPr>
        <w:t>站</w:t>
      </w:r>
      <w:r>
        <w:rPr>
          <w:rFonts w:hint="default"/>
          <w:lang w:val="en-US" w:eastAsia="zh-CN"/>
        </w:rPr>
        <w:t>出水口。</w:t>
      </w:r>
    </w:p>
    <w:p>
      <w:pPr>
        <w:bidi w:val="0"/>
        <w:rPr>
          <w:rFonts w:hint="default"/>
          <w:lang w:val="en-US" w:eastAsia="zh-CN"/>
        </w:rPr>
      </w:pPr>
      <w:r>
        <w:rPr>
          <w:rFonts w:hint="eastAsia"/>
          <w:lang w:val="en-US" w:eastAsia="zh-CN"/>
        </w:rPr>
        <w:t>③</w:t>
      </w:r>
      <w:r>
        <w:rPr>
          <w:rFonts w:hint="default"/>
          <w:lang w:val="en-US" w:eastAsia="zh-CN"/>
        </w:rPr>
        <w:t>监测方法：按照国家现行的检验、检测方法执行，所采用的分析方法应符合国家和行业有关标准的规定。</w:t>
      </w:r>
    </w:p>
    <w:p>
      <w:pPr>
        <w:bidi w:val="0"/>
        <w:rPr>
          <w:rFonts w:hint="default"/>
          <w:lang w:val="en-US" w:eastAsia="zh-CN"/>
        </w:rPr>
      </w:pPr>
      <w:r>
        <w:rPr>
          <w:rFonts w:hint="eastAsia"/>
          <w:lang w:val="en-US" w:eastAsia="zh-CN"/>
        </w:rPr>
        <w:t>（2）</w:t>
      </w:r>
      <w:r>
        <w:rPr>
          <w:rFonts w:hint="default"/>
          <w:lang w:val="en-US" w:eastAsia="zh-CN"/>
        </w:rPr>
        <w:t>在线监测</w:t>
      </w:r>
    </w:p>
    <w:p>
      <w:pPr>
        <w:bidi w:val="0"/>
        <w:rPr>
          <w:rFonts w:hint="default"/>
          <w:lang w:val="en-US" w:eastAsia="zh-CN"/>
        </w:rPr>
      </w:pPr>
      <w:r>
        <w:rPr>
          <w:rFonts w:hint="default"/>
          <w:lang w:val="en-US" w:eastAsia="zh-CN"/>
        </w:rPr>
        <w:t>按照相关要求对污水处理</w:t>
      </w:r>
      <w:r>
        <w:rPr>
          <w:rFonts w:hint="eastAsia"/>
          <w:lang w:val="en-US" w:eastAsia="zh-CN"/>
        </w:rPr>
        <w:t>站</w:t>
      </w:r>
      <w:r>
        <w:rPr>
          <w:rFonts w:hint="default"/>
          <w:lang w:val="en-US" w:eastAsia="zh-CN"/>
        </w:rPr>
        <w:t>配置流量计、COD、</w:t>
      </w:r>
      <w:r>
        <w:rPr>
          <w:rFonts w:hint="eastAsia"/>
          <w:lang w:val="en-US" w:eastAsia="zh-CN"/>
        </w:rPr>
        <w:t>总砷、pH</w:t>
      </w:r>
      <w:r>
        <w:rPr>
          <w:rFonts w:hint="default"/>
          <w:lang w:val="en-US" w:eastAsia="zh-CN"/>
        </w:rPr>
        <w:t>在线监控设备。</w:t>
      </w:r>
    </w:p>
    <w:p>
      <w:pPr>
        <w:pStyle w:val="4"/>
        <w:bidi w:val="0"/>
        <w:rPr>
          <w:rFonts w:hint="default"/>
          <w:lang w:val="en-US" w:eastAsia="zh-CN"/>
        </w:rPr>
      </w:pPr>
      <w:r>
        <w:rPr>
          <w:rFonts w:hint="eastAsia"/>
        </w:rPr>
        <w:t>6.</w:t>
      </w:r>
      <w:r>
        <w:rPr>
          <w:rFonts w:hint="eastAsia"/>
          <w:lang w:val="en-US" w:eastAsia="zh-CN"/>
        </w:rPr>
        <w:t>7</w:t>
      </w:r>
      <w:r>
        <w:rPr>
          <w:rFonts w:hint="eastAsia"/>
        </w:rPr>
        <w:t>.</w:t>
      </w:r>
      <w:r>
        <w:rPr>
          <w:rFonts w:hint="eastAsia"/>
          <w:lang w:val="en-US" w:eastAsia="zh-CN"/>
        </w:rPr>
        <w:t>3</w:t>
      </w:r>
      <w:r>
        <w:rPr>
          <w:rFonts w:hint="default"/>
          <w:lang w:val="en-US" w:eastAsia="zh-CN"/>
        </w:rPr>
        <w:t>日常监管</w:t>
      </w:r>
    </w:p>
    <w:p>
      <w:pPr>
        <w:ind w:firstLine="480"/>
        <w:rPr>
          <w:rFonts w:hint="default"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1、</w:t>
      </w:r>
      <w:r>
        <w:rPr>
          <w:rFonts w:hint="default" w:ascii="Times New Roman" w:hAnsi="Times New Roman" w:eastAsia="宋体" w:cs="Times New Roman"/>
          <w:u w:val="none"/>
          <w:lang w:val="en-US" w:eastAsia="zh-CN"/>
        </w:rPr>
        <w:t>入河排污口管理单位组织对入河排污口开展监督管理后，应填写入河排污口现场检查表，将水质监测结果、排污口损毁情况等现场情形纳入单个入河排污口档案。</w:t>
      </w:r>
    </w:p>
    <w:p>
      <w:pPr>
        <w:ind w:firstLine="480"/>
        <w:rPr>
          <w:rFonts w:hint="default"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2、</w:t>
      </w:r>
      <w:r>
        <w:rPr>
          <w:rFonts w:hint="default" w:ascii="Times New Roman" w:hAnsi="Times New Roman" w:eastAsia="宋体" w:cs="Times New Roman"/>
          <w:u w:val="none"/>
          <w:lang w:val="en-US" w:eastAsia="zh-CN"/>
        </w:rPr>
        <w:t>入河排污口资料档案应根据排查整治后的责任主体清单、确需保留的入河排污口清单动态更新。已注销的入河排污口，应保留其编码，相关档案资料归入历史档案。</w:t>
      </w:r>
    </w:p>
    <w:p>
      <w:pPr>
        <w:ind w:firstLine="480"/>
        <w:rPr>
          <w:rFonts w:hint="default"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3、</w:t>
      </w:r>
      <w:r>
        <w:rPr>
          <w:rFonts w:hint="default" w:ascii="Times New Roman" w:hAnsi="Times New Roman" w:eastAsia="宋体" w:cs="Times New Roman"/>
          <w:u w:val="none"/>
          <w:lang w:val="en-US" w:eastAsia="zh-CN"/>
        </w:rPr>
        <w:t>入河排污口管理单位应定期对入河排污口责任主体台账记录情况进行监督检查，检查台账的记录内容、记录频次、存储及保存方式等是否规范，对存在问题的提出整改意见并督促整改。</w:t>
      </w:r>
    </w:p>
    <w:p>
      <w:pPr>
        <w:pStyle w:val="4"/>
        <w:bidi w:val="0"/>
        <w:rPr>
          <w:rFonts w:hint="eastAsia"/>
          <w:lang w:val="en-US" w:eastAsia="zh-CN"/>
        </w:rPr>
      </w:pPr>
      <w:r>
        <w:rPr>
          <w:rFonts w:hint="eastAsia"/>
          <w:lang w:val="en-US" w:eastAsia="zh-CN"/>
        </w:rPr>
        <w:t>6.7.4入河排污口验收</w:t>
      </w:r>
    </w:p>
    <w:p>
      <w:pPr>
        <w:rPr>
          <w:rFonts w:hint="default" w:eastAsia="宋体"/>
          <w:lang w:val="en-US" w:eastAsia="zh-CN"/>
        </w:rPr>
      </w:pPr>
      <w:r>
        <w:rPr>
          <w:rFonts w:hint="default"/>
          <w:lang w:val="en-US" w:eastAsia="zh-CN"/>
        </w:rPr>
        <w:t>入河排污口设置单位应在</w:t>
      </w:r>
      <w:r>
        <w:rPr>
          <w:rFonts w:hint="eastAsia"/>
          <w:lang w:val="en-US" w:eastAsia="zh-CN"/>
        </w:rPr>
        <w:t>入河排污口设置完成后依据</w:t>
      </w:r>
      <w:r>
        <w:rPr>
          <w:rFonts w:hint="eastAsia"/>
          <w:u w:val="none"/>
        </w:rPr>
        <w:t>入河排污口设置论证报告</w:t>
      </w:r>
      <w:r>
        <w:rPr>
          <w:rFonts w:hint="eastAsia"/>
          <w:u w:val="none"/>
          <w:lang w:val="en-US" w:eastAsia="zh-CN"/>
        </w:rPr>
        <w:t>进行自主验收。</w:t>
      </w:r>
    </w:p>
    <w:p>
      <w:pPr>
        <w:rPr>
          <w:rFonts w:hint="default"/>
          <w:b/>
          <w:bCs/>
          <w:lang w:val="en-US" w:eastAsia="zh-CN"/>
        </w:rPr>
      </w:pPr>
      <w:r>
        <w:rPr>
          <w:rFonts w:hint="eastAsia"/>
          <w:b/>
          <w:bCs/>
          <w:lang w:val="en-US" w:eastAsia="zh-CN"/>
        </w:rPr>
        <w:t>1、入</w:t>
      </w:r>
      <w:r>
        <w:rPr>
          <w:rFonts w:hint="default"/>
          <w:b/>
          <w:bCs/>
          <w:lang w:val="en-US" w:eastAsia="zh-CN"/>
        </w:rPr>
        <w:t>河排污口设置的验收应包括下列内</w:t>
      </w:r>
      <w:r>
        <w:rPr>
          <w:rFonts w:hint="eastAsia"/>
          <w:b/>
          <w:bCs/>
          <w:lang w:val="en-US" w:eastAsia="zh-CN"/>
        </w:rPr>
        <w:t>：</w:t>
      </w:r>
    </w:p>
    <w:p>
      <w:pPr>
        <w:rPr>
          <w:rFonts w:hint="default"/>
          <w:lang w:val="en-US" w:eastAsia="zh-CN"/>
        </w:rPr>
      </w:pPr>
      <w:r>
        <w:rPr>
          <w:rFonts w:hint="eastAsia"/>
          <w:lang w:val="en-US" w:eastAsia="zh-CN"/>
        </w:rPr>
        <w:t>（1）</w:t>
      </w:r>
      <w:r>
        <w:rPr>
          <w:rFonts w:hint="default"/>
          <w:lang w:val="en-US" w:eastAsia="zh-CN"/>
        </w:rPr>
        <w:t>入河排污口设置位置、废污水排放方式和排污口门是否符合入河排污口设置行政许可决定的要求</w:t>
      </w:r>
      <w:r>
        <w:rPr>
          <w:rFonts w:hint="eastAsia"/>
          <w:lang w:val="en-US" w:eastAsia="zh-CN"/>
        </w:rPr>
        <w:t>；</w:t>
      </w:r>
    </w:p>
    <w:p>
      <w:pPr>
        <w:rPr>
          <w:rFonts w:hint="eastAsia"/>
          <w:lang w:val="en-US" w:eastAsia="zh-CN"/>
        </w:rPr>
      </w:pPr>
      <w:r>
        <w:rPr>
          <w:rFonts w:hint="eastAsia"/>
          <w:lang w:val="en-US" w:eastAsia="zh-CN"/>
        </w:rPr>
        <w:t>（2）</w:t>
      </w:r>
      <w:r>
        <w:rPr>
          <w:rFonts w:hint="default"/>
          <w:lang w:val="en-US" w:eastAsia="zh-CN"/>
        </w:rPr>
        <w:t>入河排污口的废污水排放量、主要污染物排放浓度及排放总量是否符合入河排污口设置行政许可决定的要求</w:t>
      </w:r>
      <w:r>
        <w:rPr>
          <w:rFonts w:hint="eastAsia"/>
          <w:lang w:val="en-US" w:eastAsia="zh-CN"/>
        </w:rPr>
        <w:t>；</w:t>
      </w:r>
    </w:p>
    <w:p>
      <w:pPr>
        <w:rPr>
          <w:rFonts w:hint="default"/>
          <w:lang w:val="en-US" w:eastAsia="zh-CN"/>
        </w:rPr>
      </w:pPr>
      <w:r>
        <w:rPr>
          <w:rFonts w:hint="eastAsia"/>
          <w:lang w:val="en-US" w:eastAsia="zh-CN"/>
        </w:rPr>
        <w:t>（3）</w:t>
      </w:r>
      <w:r>
        <w:rPr>
          <w:rFonts w:hint="default"/>
          <w:lang w:val="en-US" w:eastAsia="zh-CN"/>
        </w:rPr>
        <w:t>有削减要求或削减承诺的，有关削减措施或承诺是否落实。</w:t>
      </w:r>
    </w:p>
    <w:p>
      <w:pPr>
        <w:rPr>
          <w:rFonts w:hint="eastAsia"/>
          <w:lang w:val="en-US" w:eastAsia="zh-CN"/>
        </w:rPr>
      </w:pPr>
      <w:r>
        <w:rPr>
          <w:rFonts w:hint="eastAsia"/>
          <w:lang w:val="en-US" w:eastAsia="zh-CN"/>
        </w:rPr>
        <w:t>（4）入</w:t>
      </w:r>
      <w:r>
        <w:rPr>
          <w:rFonts w:hint="default"/>
          <w:lang w:val="en-US" w:eastAsia="zh-CN"/>
        </w:rPr>
        <w:t>河排污口设置行政许可规定的各项水资源保护措施是否落实</w:t>
      </w:r>
      <w:r>
        <w:rPr>
          <w:rFonts w:hint="eastAsia"/>
          <w:lang w:val="en-US" w:eastAsia="zh-CN"/>
        </w:rPr>
        <w:t>；</w:t>
      </w:r>
    </w:p>
    <w:p>
      <w:pPr>
        <w:rPr>
          <w:rFonts w:hint="default"/>
          <w:lang w:val="en-US" w:eastAsia="zh-CN"/>
        </w:rPr>
      </w:pPr>
      <w:r>
        <w:rPr>
          <w:rFonts w:hint="eastAsia"/>
          <w:lang w:val="en-US" w:eastAsia="zh-CN"/>
        </w:rPr>
        <w:t>（5）</w:t>
      </w:r>
      <w:r>
        <w:rPr>
          <w:rFonts w:hint="default"/>
          <w:lang w:val="en-US" w:eastAsia="zh-CN"/>
        </w:rPr>
        <w:t>入河排污口设置决定书要求的入河排污口水质、水量在线监测设施、报送信息方式是否符合有关规定的要求</w:t>
      </w:r>
      <w:r>
        <w:rPr>
          <w:rFonts w:hint="eastAsia"/>
          <w:lang w:val="en-US" w:eastAsia="zh-CN"/>
        </w:rPr>
        <w:t>；</w:t>
      </w:r>
    </w:p>
    <w:p>
      <w:pPr>
        <w:rPr>
          <w:rFonts w:hint="default"/>
          <w:lang w:val="en-US" w:eastAsia="zh-CN"/>
        </w:rPr>
      </w:pPr>
      <w:r>
        <w:rPr>
          <w:rFonts w:hint="eastAsia"/>
          <w:lang w:val="en-US" w:eastAsia="zh-CN"/>
        </w:rPr>
        <w:t>（6）入</w:t>
      </w:r>
      <w:r>
        <w:rPr>
          <w:rFonts w:hint="default"/>
          <w:lang w:val="en-US" w:eastAsia="zh-CN"/>
        </w:rPr>
        <w:t>河排污口设置行政许可决定规定的其他事项是否落实。</w:t>
      </w:r>
    </w:p>
    <w:p>
      <w:pPr>
        <w:bidi w:val="0"/>
        <w:rPr>
          <w:rFonts w:hint="default"/>
          <w:lang w:val="en-US" w:eastAsia="zh-CN"/>
        </w:rPr>
      </w:pPr>
      <w:r>
        <w:rPr>
          <w:rFonts w:hint="default"/>
          <w:lang w:val="en-US" w:eastAsia="zh-CN"/>
        </w:rPr>
        <w:t>未经入河排污口设置验收或验收不合格的，入河排污口不得投入使用。</w:t>
      </w:r>
    </w:p>
    <w:bookmarkEnd w:id="95"/>
    <w:p>
      <w:pPr>
        <w:pStyle w:val="2"/>
        <w:pageBreakBefore/>
        <w:spacing w:before="0" w:after="0" w:line="240" w:lineRule="auto"/>
        <w:ind w:firstLine="0" w:firstLineChars="0"/>
        <w:jc w:val="left"/>
        <w:rPr>
          <w:u w:val="none"/>
        </w:rPr>
      </w:pPr>
      <w:bookmarkStart w:id="96" w:name="_Toc28069"/>
      <w:bookmarkStart w:id="97" w:name="_Toc12185"/>
      <w:r>
        <w:rPr>
          <w:rFonts w:hint="eastAsia"/>
          <w:u w:val="none"/>
        </w:rPr>
        <w:t>7、</w:t>
      </w:r>
      <w:r>
        <w:rPr>
          <w:u w:val="none"/>
        </w:rPr>
        <w:t>论证结论与建议</w:t>
      </w:r>
      <w:bookmarkEnd w:id="96"/>
      <w:bookmarkEnd w:id="97"/>
    </w:p>
    <w:p>
      <w:pPr>
        <w:pStyle w:val="3"/>
        <w:spacing w:line="240" w:lineRule="auto"/>
        <w:rPr>
          <w:sz w:val="30"/>
          <w:szCs w:val="30"/>
          <w:u w:val="none"/>
        </w:rPr>
      </w:pPr>
      <w:bookmarkStart w:id="98" w:name="_Toc17247"/>
      <w:bookmarkStart w:id="99" w:name="_Toc22732"/>
      <w:r>
        <w:rPr>
          <w:rFonts w:hint="eastAsia"/>
          <w:sz w:val="30"/>
          <w:szCs w:val="30"/>
          <w:u w:val="none"/>
        </w:rPr>
        <w:t>7</w:t>
      </w:r>
      <w:r>
        <w:rPr>
          <w:sz w:val="30"/>
          <w:szCs w:val="30"/>
          <w:u w:val="none"/>
        </w:rPr>
        <w:t>.1论证结论</w:t>
      </w:r>
      <w:bookmarkEnd w:id="98"/>
      <w:bookmarkEnd w:id="99"/>
    </w:p>
    <w:p>
      <w:pPr>
        <w:pStyle w:val="4"/>
        <w:spacing w:line="240" w:lineRule="auto"/>
        <w:rPr>
          <w:u w:val="none"/>
        </w:rPr>
      </w:pPr>
      <w:bookmarkStart w:id="100" w:name="_Toc32660"/>
      <w:r>
        <w:rPr>
          <w:rFonts w:hint="eastAsia"/>
          <w:u w:val="none"/>
        </w:rPr>
        <w:t>7.1.1入河排污口</w:t>
      </w:r>
      <w:bookmarkEnd w:id="100"/>
      <w:r>
        <w:rPr>
          <w:rFonts w:hint="eastAsia"/>
          <w:u w:val="none"/>
        </w:rPr>
        <w:t>基本情况</w:t>
      </w:r>
    </w:p>
    <w:p>
      <w:pPr>
        <w:ind w:firstLine="480"/>
        <w:rPr>
          <w:u w:val="none"/>
        </w:rPr>
      </w:pPr>
      <w:r>
        <w:rPr>
          <w:rFonts w:hint="eastAsia"/>
          <w:u w:val="none"/>
        </w:rPr>
        <w:t>项目名称：桃江县湘域矿业有限公司首溪金矿入河排污口设置论证</w:t>
      </w:r>
    </w:p>
    <w:p>
      <w:pPr>
        <w:ind w:firstLine="480"/>
        <w:rPr>
          <w:u w:val="none"/>
        </w:rPr>
      </w:pPr>
      <w:r>
        <w:rPr>
          <w:rFonts w:hint="eastAsia"/>
          <w:u w:val="none"/>
        </w:rPr>
        <w:t>建设单位：桃江县湘域矿业有限公司</w:t>
      </w:r>
    </w:p>
    <w:p>
      <w:pPr>
        <w:ind w:firstLine="480"/>
        <w:rPr>
          <w:u w:val="none"/>
        </w:rPr>
      </w:pPr>
      <w:r>
        <w:rPr>
          <w:rFonts w:hint="eastAsia"/>
          <w:u w:val="none"/>
        </w:rPr>
        <w:t>项目规模：废水处理站排放规模为1200m3/d</w:t>
      </w:r>
    </w:p>
    <w:p>
      <w:pPr>
        <w:ind w:firstLine="480"/>
        <w:rPr>
          <w:u w:val="none"/>
        </w:rPr>
      </w:pPr>
      <w:r>
        <w:rPr>
          <w:rFonts w:hint="eastAsia"/>
          <w:u w:val="none"/>
        </w:rPr>
        <w:t>项目性质：新建（补办）</w:t>
      </w:r>
    </w:p>
    <w:p>
      <w:pPr>
        <w:ind w:firstLine="480"/>
        <w:rPr>
          <w:rFonts w:hint="eastAsia" w:eastAsia="宋体"/>
          <w:u w:val="none"/>
          <w:lang w:eastAsia="zh-CN"/>
        </w:rPr>
      </w:pPr>
      <w:r>
        <w:rPr>
          <w:rFonts w:hint="eastAsia"/>
          <w:u w:val="none"/>
        </w:rPr>
        <w:t>建设地点：</w:t>
      </w:r>
      <w:r>
        <w:rPr>
          <w:rFonts w:hint="eastAsia"/>
          <w:u w:val="none"/>
          <w:lang w:eastAsia="zh-CN"/>
        </w:rPr>
        <w:t>湖南省益阳市桃江县大栗港镇兴坪村</w:t>
      </w:r>
    </w:p>
    <w:p>
      <w:pPr>
        <w:ind w:firstLine="480"/>
        <w:rPr>
          <w:u w:val="none"/>
        </w:rPr>
      </w:pPr>
      <w:r>
        <w:rPr>
          <w:rFonts w:hint="eastAsia"/>
          <w:u w:val="none"/>
        </w:rPr>
        <w:t>排污口地点：资水右岸</w:t>
      </w:r>
      <w:r>
        <w:rPr>
          <w:u w:val="none"/>
        </w:rPr>
        <w:t>，东经111°48′43.72365″，北纬28°30′25.66435″</w:t>
      </w:r>
    </w:p>
    <w:p>
      <w:pPr>
        <w:pStyle w:val="4"/>
        <w:spacing w:line="240" w:lineRule="auto"/>
        <w:rPr>
          <w:u w:val="none"/>
        </w:rPr>
      </w:pPr>
      <w:r>
        <w:rPr>
          <w:rFonts w:hint="eastAsia"/>
          <w:u w:val="none"/>
        </w:rPr>
        <w:t>7.1.2</w:t>
      </w:r>
      <w:r>
        <w:rPr>
          <w:rFonts w:hint="eastAsia"/>
          <w:szCs w:val="28"/>
          <w:u w:val="none"/>
        </w:rPr>
        <w:t>纳污水体基本情况</w:t>
      </w:r>
    </w:p>
    <w:p>
      <w:pPr>
        <w:ind w:firstLine="480"/>
        <w:rPr>
          <w:u w:val="none"/>
        </w:rPr>
      </w:pPr>
      <w:r>
        <w:rPr>
          <w:rFonts w:hint="eastAsia"/>
          <w:u w:val="none"/>
        </w:rPr>
        <w:t>根据《湖南省主要水系地表水环境功能区划》（</w:t>
      </w:r>
      <w:r>
        <w:rPr>
          <w:u w:val="none"/>
        </w:rPr>
        <w:t>DB43/023-2005</w:t>
      </w:r>
      <w:r>
        <w:rPr>
          <w:rFonts w:hint="eastAsia"/>
          <w:u w:val="none"/>
        </w:rPr>
        <w:t>）、《益阳市水功能区划》，排污口所在河段为资水桃江保留区，起于桃江县武潭镇水厂下200m，止于桃江县桃花江镇自来水公司一水厂上2000m，全长70.3km，水质目标为Ⅱ类。</w:t>
      </w:r>
    </w:p>
    <w:p>
      <w:pPr>
        <w:pStyle w:val="4"/>
        <w:spacing w:line="240" w:lineRule="auto"/>
        <w:rPr>
          <w:u w:val="none"/>
        </w:rPr>
      </w:pPr>
      <w:r>
        <w:rPr>
          <w:rFonts w:hint="eastAsia"/>
          <w:u w:val="none"/>
        </w:rPr>
        <w:t>7.1.3</w:t>
      </w:r>
      <w:r>
        <w:rPr>
          <w:rFonts w:hint="eastAsia"/>
          <w:szCs w:val="28"/>
          <w:u w:val="none"/>
        </w:rPr>
        <w:t>废水排放影响</w:t>
      </w:r>
    </w:p>
    <w:p>
      <w:pPr>
        <w:ind w:firstLine="480"/>
        <w:rPr>
          <w:u w:val="none"/>
        </w:rPr>
      </w:pPr>
      <w:r>
        <w:rPr>
          <w:rFonts w:hint="eastAsia"/>
          <w:u w:val="none"/>
        </w:rPr>
        <w:t>本项目处理达标后的尾水排放，在一定范围内对水生生态造成影响，在短距离水体中氮、磷等营养物质增加，加重水体营养化程度，同时浮游藻类增多，影响水体透光度，改变了水生生物的生存条件，对水生生态有一定的影响。尾水污染物质可以在生态系统中发生渗滤、蒸发、凝聚、吸附、解吸、扩散、沉降、放射性蜕变等许多物理过程，伴随着这些物理过程，生态系统的某些因子的物理性质发生改变，从而影响到生态系统的稳定性，导致各种生态效应的发生。</w:t>
      </w:r>
    </w:p>
    <w:p>
      <w:pPr>
        <w:ind w:firstLine="480"/>
        <w:rPr>
          <w:u w:val="none"/>
        </w:rPr>
      </w:pPr>
      <w:r>
        <w:rPr>
          <w:rFonts w:hint="eastAsia"/>
          <w:u w:val="none"/>
        </w:rPr>
        <w:t>本项目位于湖南桃江羞女湖国家湿地公园白竹洲保育区范围内，但该排污口在湿地公园设立前即已存在。从预测分析结果来看，项目废水排放不会对湖南桃江羞女湖国家湿地公园白竹洲保育区造成明显不利的影响。</w:t>
      </w:r>
    </w:p>
    <w:p>
      <w:pPr>
        <w:pStyle w:val="4"/>
        <w:spacing w:line="240" w:lineRule="auto"/>
        <w:rPr>
          <w:u w:val="none"/>
        </w:rPr>
      </w:pPr>
      <w:r>
        <w:rPr>
          <w:rFonts w:hint="eastAsia"/>
          <w:u w:val="none"/>
        </w:rPr>
        <w:t>7.1.4对地下水影响分析</w:t>
      </w:r>
    </w:p>
    <w:p>
      <w:pPr>
        <w:ind w:firstLine="480"/>
        <w:rPr>
          <w:u w:val="none"/>
        </w:rPr>
      </w:pPr>
      <w:r>
        <w:rPr>
          <w:rFonts w:hint="eastAsia"/>
          <w:u w:val="none"/>
        </w:rPr>
        <w:t>本项目不开采地下水，同时也无注入地下水，不会引起地下水流场或地下水水位变化，因此也不会导致因水位的变化而产生的环境水文地质问题。同时，本项目废水经管道输送，管道和处理设施均做好防渗防腐措施，因此本项目污染地下水的可能途径较少。因此，正常工况下本项目建设对地下水水质影响小。</w:t>
      </w:r>
    </w:p>
    <w:p>
      <w:pPr>
        <w:pStyle w:val="4"/>
        <w:bidi w:val="0"/>
      </w:pPr>
      <w:r>
        <w:rPr>
          <w:rFonts w:hint="eastAsia"/>
        </w:rPr>
        <w:t>7.1.5对第三者影响分析</w:t>
      </w:r>
    </w:p>
    <w:p>
      <w:pPr>
        <w:ind w:firstLine="480"/>
        <w:rPr>
          <w:u w:val="none"/>
          <w:lang w:val="zh-CN"/>
        </w:rPr>
      </w:pPr>
      <w:r>
        <w:rPr>
          <w:rFonts w:hint="eastAsia"/>
          <w:u w:val="none"/>
        </w:rPr>
        <w:t>1、</w:t>
      </w:r>
      <w:r>
        <w:rPr>
          <w:rFonts w:hint="eastAsia"/>
          <w:u w:val="none"/>
          <w:lang w:val="zh-CN"/>
        </w:rPr>
        <w:t>对上下游取水的影响</w:t>
      </w:r>
    </w:p>
    <w:p>
      <w:pPr>
        <w:ind w:firstLine="480"/>
        <w:rPr>
          <w:u w:val="none"/>
        </w:rPr>
      </w:pPr>
      <w:r>
        <w:rPr>
          <w:rFonts w:hint="eastAsia"/>
          <w:u w:val="none"/>
        </w:rPr>
        <w:t>本项目排污口上下游存在农业灌溉取排水情况，有饮用水源取水口</w:t>
      </w:r>
      <w:r>
        <w:rPr>
          <w:u w:val="none"/>
        </w:rPr>
        <w:t>，</w:t>
      </w:r>
      <w:r>
        <w:rPr>
          <w:rFonts w:hint="eastAsia"/>
          <w:u w:val="none"/>
        </w:rPr>
        <w:t>项目污染物的排放不会影响上下游农业灌溉取排水和饮用水源取水</w:t>
      </w:r>
      <w:r>
        <w:rPr>
          <w:u w:val="none"/>
        </w:rPr>
        <w:t>。</w:t>
      </w:r>
      <w:r>
        <w:rPr>
          <w:rFonts w:hint="eastAsia"/>
          <w:u w:val="none"/>
        </w:rPr>
        <w:t>本项目</w:t>
      </w:r>
      <w:r>
        <w:rPr>
          <w:u w:val="none"/>
        </w:rPr>
        <w:t>排污口所处的</w:t>
      </w:r>
      <w:r>
        <w:rPr>
          <w:rFonts w:hint="eastAsia"/>
          <w:u w:val="none"/>
        </w:rPr>
        <w:t>资江</w:t>
      </w:r>
      <w:r>
        <w:rPr>
          <w:u w:val="none"/>
        </w:rPr>
        <w:t>，不会发生倒灌现象，对上游区域基本不会产生明显不利影响。</w:t>
      </w:r>
    </w:p>
    <w:p>
      <w:pPr>
        <w:ind w:firstLine="480"/>
        <w:rPr>
          <w:u w:val="none"/>
        </w:rPr>
      </w:pPr>
      <w:r>
        <w:rPr>
          <w:u w:val="none"/>
        </w:rPr>
        <w:t>根据模型分析，污水在正常排放下经过充分混合后，</w:t>
      </w:r>
      <w:r>
        <w:rPr>
          <w:rFonts w:hint="eastAsia"/>
          <w:u w:val="none"/>
        </w:rPr>
        <w:t>资江水质</w:t>
      </w:r>
      <w:r>
        <w:rPr>
          <w:u w:val="none"/>
        </w:rPr>
        <w:t>可达到《地表水环境质量标准》（GB3838-2002）中</w:t>
      </w:r>
      <w:r>
        <w:rPr>
          <w:rFonts w:hint="eastAsia" w:ascii="宋体" w:hAnsi="宋体" w:cs="宋体"/>
          <w:u w:val="none"/>
        </w:rPr>
        <w:t>Ⅱ</w:t>
      </w:r>
      <w:r>
        <w:rPr>
          <w:u w:val="none"/>
        </w:rPr>
        <w:t>类标准要求，因此排污口污水排放基本不会对下游取水安全造成影响。</w:t>
      </w:r>
    </w:p>
    <w:p>
      <w:pPr>
        <w:ind w:firstLine="480"/>
        <w:rPr>
          <w:u w:val="none"/>
        </w:rPr>
      </w:pPr>
      <w:r>
        <w:rPr>
          <w:rFonts w:hint="eastAsia"/>
          <w:u w:val="none"/>
        </w:rPr>
        <w:t>2、</w:t>
      </w:r>
      <w:r>
        <w:rPr>
          <w:rFonts w:hint="eastAsia"/>
          <w:u w:val="none"/>
          <w:lang w:val="zh-CN"/>
        </w:rPr>
        <w:t>对农业灌溉的影响</w:t>
      </w:r>
    </w:p>
    <w:p>
      <w:pPr>
        <w:ind w:firstLine="480"/>
        <w:rPr>
          <w:u w:val="none"/>
        </w:rPr>
      </w:pPr>
      <w:r>
        <w:rPr>
          <w:rFonts w:hint="eastAsia"/>
          <w:u w:val="none"/>
        </w:rPr>
        <w:t>项目所在河段资水目前</w:t>
      </w:r>
      <w:r>
        <w:rPr>
          <w:u w:val="none"/>
        </w:rPr>
        <w:t>主要功能是灌溉，</w:t>
      </w:r>
      <w:r>
        <w:rPr>
          <w:rFonts w:hint="eastAsia"/>
          <w:u w:val="none"/>
        </w:rPr>
        <w:t>水质目标为Ⅱ类。</w:t>
      </w:r>
      <w:r>
        <w:rPr>
          <w:rFonts w:hint="eastAsia"/>
          <w:u w:val="none"/>
          <w:lang w:val="en-US" w:eastAsia="zh-CN"/>
        </w:rPr>
        <w:t>根据预测</w:t>
      </w:r>
      <w:r>
        <w:rPr>
          <w:rFonts w:hint="eastAsia"/>
          <w:u w:val="none"/>
        </w:rPr>
        <w:t>本项目在枯水期在正常排放的废水排入资水均匀混合后浓度可达到《地表水环境质量标准》（GB3838-2002）Ⅱ类标准要求。因此本项目排污口后正常排放情况下，能满足农业用水要求，不会对周边农业用水产生不利影响。</w:t>
      </w:r>
    </w:p>
    <w:p>
      <w:pPr>
        <w:ind w:firstLine="480"/>
        <w:rPr>
          <w:u w:val="none"/>
          <w:lang w:val="zh-CN"/>
        </w:rPr>
      </w:pPr>
      <w:r>
        <w:rPr>
          <w:rFonts w:hint="eastAsia"/>
          <w:u w:val="none"/>
        </w:rPr>
        <w:t>3、</w:t>
      </w:r>
      <w:r>
        <w:rPr>
          <w:rFonts w:hint="eastAsia"/>
          <w:u w:val="none"/>
          <w:lang w:val="zh-CN"/>
        </w:rPr>
        <w:t>对</w:t>
      </w:r>
      <w:r>
        <w:rPr>
          <w:rFonts w:hint="eastAsia"/>
          <w:u w:val="none"/>
        </w:rPr>
        <w:t>湖南桃江羞女湖国家湿地公园</w:t>
      </w:r>
      <w:r>
        <w:rPr>
          <w:rFonts w:hint="eastAsia"/>
          <w:u w:val="none"/>
          <w:lang w:val="zh-CN"/>
        </w:rPr>
        <w:t>的影响</w:t>
      </w:r>
    </w:p>
    <w:p>
      <w:pPr>
        <w:ind w:firstLine="480"/>
        <w:rPr>
          <w:u w:val="none"/>
        </w:rPr>
      </w:pPr>
      <w:r>
        <w:rPr>
          <w:rFonts w:hint="eastAsia"/>
          <w:u w:val="none"/>
        </w:rPr>
        <w:t>本项目位于湖南桃江羞女湖国家湿地公园白竹洲保育区范围内，但该排污口在湿地公园设立前即已存在。从预测分析结果来看，项目废水排放不会对湖南桃江羞女湖国家湿地公园白竹洲保育区造成明显不利的影响。</w:t>
      </w:r>
    </w:p>
    <w:p>
      <w:pPr>
        <w:ind w:firstLine="480"/>
        <w:rPr>
          <w:u w:val="none"/>
        </w:rPr>
      </w:pPr>
      <w:r>
        <w:rPr>
          <w:rFonts w:hint="eastAsia"/>
          <w:u w:val="none"/>
        </w:rPr>
        <w:t>4、对河道行洪能力影响分析</w:t>
      </w:r>
    </w:p>
    <w:p>
      <w:pPr>
        <w:ind w:firstLine="480"/>
        <w:rPr>
          <w:u w:val="none"/>
        </w:rPr>
      </w:pPr>
      <w:r>
        <w:rPr>
          <w:rFonts w:hint="eastAsia"/>
          <w:u w:val="none"/>
        </w:rPr>
        <w:t>本项目排污口设置于资水两岸，排污口所处资水宽约311m，资水两岸堤岸稳固，河道顺直、通畅。本项目流量为0.01</w:t>
      </w:r>
      <w:r>
        <w:rPr>
          <w:rFonts w:hint="eastAsia"/>
          <w:u w:val="none"/>
          <w:lang w:val="en-US" w:eastAsia="zh-CN"/>
        </w:rPr>
        <w:t>4</w:t>
      </w:r>
      <w:r>
        <w:rPr>
          <w:rFonts w:hint="eastAsia"/>
          <w:u w:val="none"/>
        </w:rPr>
        <w:t>m</w:t>
      </w:r>
      <w:r>
        <w:rPr>
          <w:rFonts w:hint="eastAsia"/>
          <w:u w:val="none"/>
          <w:vertAlign w:val="superscript"/>
        </w:rPr>
        <w:t>3</w:t>
      </w:r>
      <w:r>
        <w:rPr>
          <w:rFonts w:hint="eastAsia"/>
          <w:u w:val="none"/>
        </w:rPr>
        <w:t>/s，远小于资水枯水期流量，不会对资水堤岸产生冲刷。此外，本项目排污口位于河岸边，采用专用渠道排放，不影响资水正常行洪。因此，排污口设置对资水的影响较小，满足河道管理的要求。</w:t>
      </w:r>
    </w:p>
    <w:p>
      <w:pPr>
        <w:ind w:firstLine="480"/>
        <w:rPr>
          <w:u w:val="none"/>
        </w:rPr>
      </w:pPr>
      <w:r>
        <w:rPr>
          <w:rFonts w:hint="eastAsia"/>
          <w:u w:val="none"/>
        </w:rPr>
        <w:t>5、相关政策符合性分析</w:t>
      </w:r>
    </w:p>
    <w:p>
      <w:pPr>
        <w:ind w:firstLine="480"/>
        <w:rPr>
          <w:u w:val="none"/>
        </w:rPr>
      </w:pPr>
      <w:r>
        <w:rPr>
          <w:rFonts w:hint="eastAsia"/>
          <w:u w:val="none"/>
        </w:rPr>
        <w:t>根据《湖南省主要地表水系水环境功能区划》（DB43/023-2005），本入河排污口所在的资水河段为资水桃江保留区，主要功能为灌溉，不属于水产种质资源保护区、鱼类“三场”及洄游通道，入河排污口位置不在自然保护区、风景名胜区等环境敏感区；本项目位于湖南桃江羞女湖国家湿地公园保育区范围内，该排污口在湿地公园设立前设立前即已存在。与《水污染防治行动计划》、《入河排污口监督管理办法》（水利部令第47号）及《湖南省入河排污口监督管理办法》（湘政办发〔2018〕44号）等相关政策相符。</w:t>
      </w:r>
    </w:p>
    <w:p>
      <w:pPr>
        <w:spacing w:line="240" w:lineRule="auto"/>
        <w:ind w:firstLine="0" w:firstLineChars="0"/>
        <w:rPr>
          <w:b/>
          <w:sz w:val="28"/>
          <w:u w:val="none"/>
        </w:rPr>
      </w:pPr>
      <w:r>
        <w:rPr>
          <w:rFonts w:hint="eastAsia"/>
          <w:b/>
          <w:sz w:val="28"/>
          <w:u w:val="none"/>
        </w:rPr>
        <w:t>7.1.6入河排污口设置结论</w:t>
      </w:r>
    </w:p>
    <w:p>
      <w:pPr>
        <w:ind w:firstLine="480"/>
        <w:rPr>
          <w:u w:val="none"/>
        </w:rPr>
      </w:pPr>
      <w:r>
        <w:rPr>
          <w:rFonts w:hint="eastAsia"/>
          <w:u w:val="none"/>
        </w:rPr>
        <w:t>综上所述，通过对排污口设置论证分析，本次入河排污口不存在受纳水域环境容量不足的制约；项目排污对生态环境影响较小；对第三者权益影响较小；项目排污对所在区域地下水影响较小。</w:t>
      </w:r>
    </w:p>
    <w:p>
      <w:pPr>
        <w:pStyle w:val="3"/>
        <w:spacing w:line="240" w:lineRule="auto"/>
        <w:rPr>
          <w:sz w:val="30"/>
          <w:szCs w:val="30"/>
          <w:u w:val="none"/>
        </w:rPr>
      </w:pPr>
      <w:bookmarkStart w:id="101" w:name="_Toc11953"/>
      <w:bookmarkStart w:id="102" w:name="_Toc32302"/>
      <w:r>
        <w:rPr>
          <w:rFonts w:hint="eastAsia"/>
          <w:sz w:val="30"/>
          <w:szCs w:val="30"/>
          <w:u w:val="none"/>
        </w:rPr>
        <w:t>7</w:t>
      </w:r>
      <w:r>
        <w:rPr>
          <w:sz w:val="30"/>
          <w:szCs w:val="30"/>
          <w:u w:val="none"/>
        </w:rPr>
        <w:t>.2建议</w:t>
      </w:r>
      <w:bookmarkEnd w:id="101"/>
      <w:bookmarkEnd w:id="102"/>
    </w:p>
    <w:p>
      <w:pPr>
        <w:ind w:firstLine="480"/>
        <w:rPr>
          <w:u w:val="none"/>
        </w:rPr>
      </w:pPr>
      <w:r>
        <w:rPr>
          <w:rFonts w:hint="eastAsia"/>
          <w:u w:val="none"/>
        </w:rPr>
        <w:t>（1）项目建设必须严格执行“三同时”制度，项目运营期应确保达标和限制排污总量排放。</w:t>
      </w:r>
    </w:p>
    <w:p>
      <w:pPr>
        <w:ind w:firstLine="480"/>
        <w:rPr>
          <w:u w:val="none"/>
        </w:rPr>
      </w:pPr>
      <w:r>
        <w:rPr>
          <w:rFonts w:hint="eastAsia"/>
          <w:u w:val="none"/>
        </w:rPr>
        <w:t>（2）按照应急预案，定期检查污水处理站各环节设备的运行情况，及时检修。若发现进水水质异常或污水处理设施发生故障时，应及时采取应急措施，待污水处理站恢复正常运行后再恢复生产，杜绝生活污水的事故性排放。</w:t>
      </w:r>
    </w:p>
    <w:p>
      <w:pPr>
        <w:ind w:firstLine="480"/>
        <w:rPr>
          <w:u w:val="none"/>
        </w:rPr>
      </w:pPr>
      <w:r>
        <w:rPr>
          <w:rFonts w:hint="eastAsia"/>
          <w:u w:val="none"/>
        </w:rPr>
        <w:t>（3）加强入河排污口规范化建设，入河排污口</w:t>
      </w:r>
      <w:r>
        <w:rPr>
          <w:rFonts w:hint="eastAsia"/>
          <w:u w:val="none"/>
          <w:lang w:val="en-US" w:eastAsia="zh-CN"/>
        </w:rPr>
        <w:t>处</w:t>
      </w:r>
      <w:r>
        <w:rPr>
          <w:rFonts w:hint="eastAsia"/>
          <w:u w:val="none"/>
        </w:rPr>
        <w:t>设置应符合国家规定的防洪标准和工程安全标准要求、竖立明显的建筑物</w:t>
      </w:r>
      <w:r>
        <w:rPr>
          <w:rFonts w:hint="eastAsia"/>
          <w:u w:val="none"/>
          <w:lang w:val="en-US" w:eastAsia="zh-CN"/>
        </w:rPr>
        <w:t>标识</w:t>
      </w:r>
      <w:r>
        <w:rPr>
          <w:rFonts w:hint="eastAsia"/>
          <w:u w:val="none"/>
        </w:rPr>
        <w:t>碑、实行排污口的立标管理，标明水污染物限制排放总量及浓度情况、明确责任主体及监督单位等内容，在接入废污水口和排污口处设置监测井或明渠段取样点，便于采样。</w:t>
      </w:r>
    </w:p>
    <w:p>
      <w:pPr>
        <w:ind w:firstLine="480"/>
        <w:rPr>
          <w:u w:val="none"/>
        </w:rPr>
      </w:pPr>
      <w:r>
        <w:rPr>
          <w:rFonts w:hint="eastAsia"/>
          <w:u w:val="none"/>
        </w:rPr>
        <w:t>（4）加强水功能区监督管理，制定排污口监测计划：入河排污口管理单位需制定入河排污口监测计划，定期对入河排污口废污水排放量和主要污染物质的排放浓度实施同步监测；在入河排污口进行样品测量、采样及运输时，应采取有效防护措施，防止有毒有害物质、放射性物质和热污染危及人身安全。</w:t>
      </w:r>
    </w:p>
    <w:p>
      <w:pPr>
        <w:ind w:firstLine="480"/>
        <w:rPr>
          <w:u w:val="none"/>
        </w:rPr>
      </w:pPr>
      <w:r>
        <w:rPr>
          <w:rFonts w:hint="eastAsia"/>
          <w:u w:val="none"/>
        </w:rPr>
        <w:t>（5）定期对排污渠道进行检修和清理，避免污水渗漏和通道堵塞。</w:t>
      </w:r>
    </w:p>
    <w:p>
      <w:pPr>
        <w:ind w:firstLine="480"/>
        <w:rPr>
          <w:u w:val="none"/>
        </w:rPr>
      </w:pPr>
      <w:r>
        <w:rPr>
          <w:rFonts w:hint="eastAsia"/>
          <w:u w:val="none"/>
        </w:rPr>
        <w:t>（6）定期对排污口处河道进行清淤处理，保持排污断面河道通畅，避免污水局部停留时间过长。</w:t>
      </w:r>
    </w:p>
    <w:p>
      <w:pPr>
        <w:pStyle w:val="70"/>
        <w:rPr>
          <w:u w:val="none"/>
        </w:rPr>
      </w:pPr>
    </w:p>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AndChar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0" w:firstLineChars="0"/>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0" w:firstLineChars="0"/>
      <w:rPr>
        <w:sz w:val="21"/>
        <w:szCs w:val="21"/>
      </w:rPr>
    </w:pPr>
    <w:r>
      <w:rPr>
        <w:sz w:val="21"/>
      </w:rP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B9B752"/>
    <w:multiLevelType w:val="singleLevel"/>
    <w:tmpl w:val="D2B9B752"/>
    <w:lvl w:ilvl="0" w:tentative="0">
      <w:start w:val="1"/>
      <w:numFmt w:val="decimal"/>
      <w:suff w:val="nothing"/>
      <w:lvlText w:val="（%1）"/>
      <w:lvlJc w:val="left"/>
    </w:lvl>
  </w:abstractNum>
  <w:abstractNum w:abstractNumId="1">
    <w:nsid w:val="548A7284"/>
    <w:multiLevelType w:val="multilevel"/>
    <w:tmpl w:val="548A7284"/>
    <w:lvl w:ilvl="0" w:tentative="0">
      <w:start w:val="1"/>
      <w:numFmt w:val="decimal"/>
      <w:isLgl/>
      <w:suff w:val="space"/>
      <w:lvlText w:val="第%1章 "/>
      <w:lvlJc w:val="left"/>
      <w:pPr>
        <w:ind w:left="8222" w:firstLine="0"/>
      </w:pPr>
      <w:rPr>
        <w:rFonts w:hint="eastAsia"/>
      </w:rPr>
    </w:lvl>
    <w:lvl w:ilvl="1" w:tentative="0">
      <w:start w:val="1"/>
      <w:numFmt w:val="decimal"/>
      <w:pStyle w:val="104"/>
      <w:isLgl/>
      <w:suff w:val="space"/>
      <w:lvlText w:val="%1.%2 "/>
      <w:lvlJc w:val="left"/>
      <w:pPr>
        <w:ind w:left="0" w:firstLine="0"/>
      </w:pPr>
      <w:rPr>
        <w:rFonts w:hint="eastAsia"/>
      </w:rPr>
    </w:lvl>
    <w:lvl w:ilvl="2" w:tentative="0">
      <w:start w:val="1"/>
      <w:numFmt w:val="decimal"/>
      <w:pStyle w:val="107"/>
      <w:isLgl/>
      <w:suff w:val="space"/>
      <w:lvlText w:val="%1.%2.%3 "/>
      <w:lvlJc w:val="left"/>
      <w:pPr>
        <w:ind w:left="1764" w:firstLine="0"/>
      </w:pPr>
      <w:rPr>
        <w:rFonts w:hint="eastAsia"/>
      </w:rPr>
    </w:lvl>
    <w:lvl w:ilvl="3" w:tentative="0">
      <w:start w:val="1"/>
      <w:numFmt w:val="decimal"/>
      <w:isLgl/>
      <w:suff w:val="space"/>
      <w:lvlText w:val="%1.%2.%3.%4 "/>
      <w:lvlJc w:val="left"/>
      <w:pPr>
        <w:ind w:left="283" w:firstLine="0"/>
      </w:pPr>
      <w:rPr>
        <w:rFonts w:hint="eastAsia"/>
      </w:rPr>
    </w:lvl>
    <w:lvl w:ilvl="4" w:tentative="0">
      <w:start w:val="1"/>
      <w:numFmt w:val="decimal"/>
      <w:lvlRestart w:val="2"/>
      <w:pStyle w:val="106"/>
      <w:isLgl/>
      <w:suff w:val="space"/>
      <w:lvlText w:val="表%1.%2-%5 "/>
      <w:lvlJc w:val="left"/>
      <w:pPr>
        <w:ind w:left="3675" w:firstLine="0"/>
      </w:pPr>
      <w:rPr>
        <w:rFonts w:hint="eastAsia"/>
        <w:color w:val="000000"/>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
    <w:nsid w:val="64304732"/>
    <w:multiLevelType w:val="multilevel"/>
    <w:tmpl w:val="64304732"/>
    <w:lvl w:ilvl="0" w:tentative="0">
      <w:start w:val="1"/>
      <w:numFmt w:val="decimal"/>
      <w:suff w:val="space"/>
      <w:lvlText w:val="%1"/>
      <w:lvlJc w:val="left"/>
      <w:pPr>
        <w:ind w:left="2552" w:firstLine="0"/>
      </w:pPr>
      <w:rPr>
        <w:rFonts w:hint="eastAsia"/>
        <w:sz w:val="32"/>
        <w:szCs w:val="32"/>
      </w:rPr>
    </w:lvl>
    <w:lvl w:ilvl="1" w:tentative="0">
      <w:start w:val="1"/>
      <w:numFmt w:val="decimal"/>
      <w:suff w:val="space"/>
      <w:lvlText w:val="%1.%2"/>
      <w:lvlJc w:val="left"/>
      <w:pPr>
        <w:ind w:left="0" w:firstLine="425"/>
      </w:pPr>
      <w:rPr>
        <w:rFonts w:hint="eastAsia"/>
      </w:rPr>
    </w:lvl>
    <w:lvl w:ilvl="2" w:tentative="0">
      <w:start w:val="1"/>
      <w:numFmt w:val="decimal"/>
      <w:pStyle w:val="108"/>
      <w:suff w:val="space"/>
      <w:lvlText w:val="%1.%2.%3"/>
      <w:lvlJc w:val="left"/>
      <w:pPr>
        <w:ind w:left="0" w:firstLine="851"/>
      </w:pPr>
      <w:rPr>
        <w:rFonts w:hint="eastAsia"/>
      </w:rPr>
    </w:lvl>
    <w:lvl w:ilvl="3" w:tentative="0">
      <w:start w:val="1"/>
      <w:numFmt w:val="decimal"/>
      <w:suff w:val="space"/>
      <w:lvlText w:val="%1.%2.%3.%4"/>
      <w:lvlJc w:val="left"/>
      <w:pPr>
        <w:ind w:left="568" w:firstLine="1276"/>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7BC18636"/>
    <w:multiLevelType w:val="multilevel"/>
    <w:tmpl w:val="7BC18636"/>
    <w:lvl w:ilvl="0" w:tentative="0">
      <w:start w:val="1"/>
      <w:numFmt w:val="chineseCounting"/>
      <w:pStyle w:val="76"/>
      <w:suff w:val="nothing"/>
      <w:lvlText w:val="第%1章 "/>
      <w:lvlJc w:val="left"/>
      <w:pPr>
        <w:ind w:left="425" w:hanging="425"/>
      </w:pPr>
      <w:rPr>
        <w:rFonts w:hint="eastAsia"/>
      </w:rPr>
    </w:lvl>
    <w:lvl w:ilvl="1" w:tentative="0">
      <w:start w:val="1"/>
      <w:numFmt w:val="decimal"/>
      <w:isLgl/>
      <w:lvlText w:val="%1.%2."/>
      <w:lvlJc w:val="left"/>
      <w:pPr>
        <w:ind w:left="567" w:hanging="567"/>
      </w:pPr>
      <w:rPr>
        <w:rFonts w:hint="eastAsia"/>
      </w:rPr>
    </w:lvl>
    <w:lvl w:ilvl="2" w:tentative="0">
      <w:start w:val="1"/>
      <w:numFmt w:val="decimal"/>
      <w:isLgl/>
      <w:lvlText w:val="%1.%2.%3."/>
      <w:lvlJc w:val="left"/>
      <w:pPr>
        <w:ind w:left="709" w:hanging="709"/>
      </w:pPr>
      <w:rPr>
        <w:rFonts w:hint="eastAsia"/>
      </w:rPr>
    </w:lvl>
    <w:lvl w:ilvl="3" w:tentative="0">
      <w:start w:val="1"/>
      <w:numFmt w:val="decimal"/>
      <w:isLgl/>
      <w:lvlText w:val="%1.%2.%3.%4."/>
      <w:lvlJc w:val="left"/>
      <w:pPr>
        <w:ind w:left="850" w:hanging="85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2IzN2IzMzYzMmNiYTMxNzQzZTYyZDljMzRmYmFjYTAifQ=="/>
  </w:docVars>
  <w:rsids>
    <w:rsidRoot w:val="00B87975"/>
    <w:rsid w:val="0000082F"/>
    <w:rsid w:val="00004A55"/>
    <w:rsid w:val="00010DB0"/>
    <w:rsid w:val="000158C3"/>
    <w:rsid w:val="00022DFD"/>
    <w:rsid w:val="0002487C"/>
    <w:rsid w:val="00027D7A"/>
    <w:rsid w:val="00030B7F"/>
    <w:rsid w:val="00043FD4"/>
    <w:rsid w:val="00045C6D"/>
    <w:rsid w:val="00046A17"/>
    <w:rsid w:val="00061530"/>
    <w:rsid w:val="0006174B"/>
    <w:rsid w:val="00062499"/>
    <w:rsid w:val="00065DC7"/>
    <w:rsid w:val="000671E3"/>
    <w:rsid w:val="00071895"/>
    <w:rsid w:val="00080114"/>
    <w:rsid w:val="000937F9"/>
    <w:rsid w:val="000978E2"/>
    <w:rsid w:val="00097955"/>
    <w:rsid w:val="000B1E11"/>
    <w:rsid w:val="000B34E6"/>
    <w:rsid w:val="000B3F6A"/>
    <w:rsid w:val="000C0B70"/>
    <w:rsid w:val="000C483D"/>
    <w:rsid w:val="000C57DB"/>
    <w:rsid w:val="000C709E"/>
    <w:rsid w:val="000D1745"/>
    <w:rsid w:val="000D3F35"/>
    <w:rsid w:val="000D5DA8"/>
    <w:rsid w:val="000D611A"/>
    <w:rsid w:val="000E2BBE"/>
    <w:rsid w:val="000E3C2C"/>
    <w:rsid w:val="000E499C"/>
    <w:rsid w:val="000F6F87"/>
    <w:rsid w:val="000F794B"/>
    <w:rsid w:val="00104235"/>
    <w:rsid w:val="001044BC"/>
    <w:rsid w:val="00113650"/>
    <w:rsid w:val="00116D58"/>
    <w:rsid w:val="001245C4"/>
    <w:rsid w:val="00125C89"/>
    <w:rsid w:val="00127ABA"/>
    <w:rsid w:val="00131851"/>
    <w:rsid w:val="00135B13"/>
    <w:rsid w:val="00135BE9"/>
    <w:rsid w:val="00135FDC"/>
    <w:rsid w:val="0014734C"/>
    <w:rsid w:val="001526C2"/>
    <w:rsid w:val="00153001"/>
    <w:rsid w:val="00153247"/>
    <w:rsid w:val="0016140A"/>
    <w:rsid w:val="001614F3"/>
    <w:rsid w:val="00161EC3"/>
    <w:rsid w:val="00162A62"/>
    <w:rsid w:val="00165B70"/>
    <w:rsid w:val="001679B5"/>
    <w:rsid w:val="00173231"/>
    <w:rsid w:val="0017567E"/>
    <w:rsid w:val="00177516"/>
    <w:rsid w:val="00181C1D"/>
    <w:rsid w:val="001846A7"/>
    <w:rsid w:val="001935AE"/>
    <w:rsid w:val="00193699"/>
    <w:rsid w:val="001976FD"/>
    <w:rsid w:val="001A056F"/>
    <w:rsid w:val="001A0ADF"/>
    <w:rsid w:val="001A1BFE"/>
    <w:rsid w:val="001A25FC"/>
    <w:rsid w:val="001B1E54"/>
    <w:rsid w:val="001B5A70"/>
    <w:rsid w:val="001B7CD9"/>
    <w:rsid w:val="001C0B4F"/>
    <w:rsid w:val="001C2DD5"/>
    <w:rsid w:val="001E0F22"/>
    <w:rsid w:val="001E22D2"/>
    <w:rsid w:val="001E693A"/>
    <w:rsid w:val="001E74A4"/>
    <w:rsid w:val="001F0056"/>
    <w:rsid w:val="001F09A2"/>
    <w:rsid w:val="001F24B9"/>
    <w:rsid w:val="001F4044"/>
    <w:rsid w:val="001F78EF"/>
    <w:rsid w:val="00202650"/>
    <w:rsid w:val="00203105"/>
    <w:rsid w:val="00206F0A"/>
    <w:rsid w:val="00210B60"/>
    <w:rsid w:val="0021142F"/>
    <w:rsid w:val="00214164"/>
    <w:rsid w:val="002150CD"/>
    <w:rsid w:val="0022125E"/>
    <w:rsid w:val="00222308"/>
    <w:rsid w:val="00222699"/>
    <w:rsid w:val="00222A78"/>
    <w:rsid w:val="00232A95"/>
    <w:rsid w:val="00235C13"/>
    <w:rsid w:val="00237A07"/>
    <w:rsid w:val="0024036E"/>
    <w:rsid w:val="002417D0"/>
    <w:rsid w:val="00244AD8"/>
    <w:rsid w:val="0024753D"/>
    <w:rsid w:val="00252619"/>
    <w:rsid w:val="00254B32"/>
    <w:rsid w:val="00263EC3"/>
    <w:rsid w:val="00265FB7"/>
    <w:rsid w:val="002700FF"/>
    <w:rsid w:val="00272528"/>
    <w:rsid w:val="00272EE5"/>
    <w:rsid w:val="0027670B"/>
    <w:rsid w:val="00283D01"/>
    <w:rsid w:val="00283E8B"/>
    <w:rsid w:val="00293279"/>
    <w:rsid w:val="002941FA"/>
    <w:rsid w:val="002A2230"/>
    <w:rsid w:val="002A62D2"/>
    <w:rsid w:val="002B0C37"/>
    <w:rsid w:val="002B2958"/>
    <w:rsid w:val="002C20A3"/>
    <w:rsid w:val="002C44A0"/>
    <w:rsid w:val="002C58AA"/>
    <w:rsid w:val="002C5ACD"/>
    <w:rsid w:val="002C7655"/>
    <w:rsid w:val="002D1EBB"/>
    <w:rsid w:val="002D5017"/>
    <w:rsid w:val="002D5883"/>
    <w:rsid w:val="002D595E"/>
    <w:rsid w:val="00300AB0"/>
    <w:rsid w:val="0030435B"/>
    <w:rsid w:val="00307CBC"/>
    <w:rsid w:val="003116F7"/>
    <w:rsid w:val="003125D5"/>
    <w:rsid w:val="00312CB2"/>
    <w:rsid w:val="00313E7C"/>
    <w:rsid w:val="003166B3"/>
    <w:rsid w:val="00316C69"/>
    <w:rsid w:val="00321802"/>
    <w:rsid w:val="003232BC"/>
    <w:rsid w:val="0033049D"/>
    <w:rsid w:val="0033327B"/>
    <w:rsid w:val="00333704"/>
    <w:rsid w:val="00344CC4"/>
    <w:rsid w:val="00347A4A"/>
    <w:rsid w:val="00351468"/>
    <w:rsid w:val="003534FE"/>
    <w:rsid w:val="00355C5F"/>
    <w:rsid w:val="00355E37"/>
    <w:rsid w:val="00357F34"/>
    <w:rsid w:val="0036444D"/>
    <w:rsid w:val="00365C53"/>
    <w:rsid w:val="0036691C"/>
    <w:rsid w:val="00366A69"/>
    <w:rsid w:val="00367642"/>
    <w:rsid w:val="0037318A"/>
    <w:rsid w:val="0037499D"/>
    <w:rsid w:val="00380BB7"/>
    <w:rsid w:val="003825FD"/>
    <w:rsid w:val="00383AC0"/>
    <w:rsid w:val="0038423D"/>
    <w:rsid w:val="0038613C"/>
    <w:rsid w:val="003915E5"/>
    <w:rsid w:val="0039266B"/>
    <w:rsid w:val="003944D4"/>
    <w:rsid w:val="003A4D83"/>
    <w:rsid w:val="003A594A"/>
    <w:rsid w:val="003A6B26"/>
    <w:rsid w:val="003B0418"/>
    <w:rsid w:val="003B2902"/>
    <w:rsid w:val="003C0E0A"/>
    <w:rsid w:val="003C4DBE"/>
    <w:rsid w:val="003C5AB6"/>
    <w:rsid w:val="003D0AEC"/>
    <w:rsid w:val="003D34E3"/>
    <w:rsid w:val="003D6856"/>
    <w:rsid w:val="003D70BA"/>
    <w:rsid w:val="003F29A5"/>
    <w:rsid w:val="003F4186"/>
    <w:rsid w:val="003F5897"/>
    <w:rsid w:val="003F7465"/>
    <w:rsid w:val="004008B1"/>
    <w:rsid w:val="00402179"/>
    <w:rsid w:val="00402B31"/>
    <w:rsid w:val="0040311A"/>
    <w:rsid w:val="004156E4"/>
    <w:rsid w:val="004176A3"/>
    <w:rsid w:val="00423B39"/>
    <w:rsid w:val="00432626"/>
    <w:rsid w:val="004338D5"/>
    <w:rsid w:val="0043456C"/>
    <w:rsid w:val="00441BAA"/>
    <w:rsid w:val="00444618"/>
    <w:rsid w:val="004461DD"/>
    <w:rsid w:val="00452363"/>
    <w:rsid w:val="00452537"/>
    <w:rsid w:val="00452614"/>
    <w:rsid w:val="00453D70"/>
    <w:rsid w:val="00457BCD"/>
    <w:rsid w:val="004618FA"/>
    <w:rsid w:val="0046193B"/>
    <w:rsid w:val="004727B3"/>
    <w:rsid w:val="00474F5B"/>
    <w:rsid w:val="00485352"/>
    <w:rsid w:val="00490129"/>
    <w:rsid w:val="00492490"/>
    <w:rsid w:val="00494C05"/>
    <w:rsid w:val="004A44E7"/>
    <w:rsid w:val="004B2C1A"/>
    <w:rsid w:val="004B3376"/>
    <w:rsid w:val="004B3567"/>
    <w:rsid w:val="004C0EE6"/>
    <w:rsid w:val="004C3CC3"/>
    <w:rsid w:val="004C54A4"/>
    <w:rsid w:val="004C5FE4"/>
    <w:rsid w:val="004C71C4"/>
    <w:rsid w:val="004D1A32"/>
    <w:rsid w:val="004D222A"/>
    <w:rsid w:val="004D4941"/>
    <w:rsid w:val="004D4DBE"/>
    <w:rsid w:val="004E036C"/>
    <w:rsid w:val="004E74A7"/>
    <w:rsid w:val="004F339E"/>
    <w:rsid w:val="005032BF"/>
    <w:rsid w:val="00510E34"/>
    <w:rsid w:val="005132F6"/>
    <w:rsid w:val="00520509"/>
    <w:rsid w:val="00520FCB"/>
    <w:rsid w:val="00521ADB"/>
    <w:rsid w:val="00521C0D"/>
    <w:rsid w:val="00521C17"/>
    <w:rsid w:val="00522990"/>
    <w:rsid w:val="00533700"/>
    <w:rsid w:val="00535668"/>
    <w:rsid w:val="005403B8"/>
    <w:rsid w:val="00542F85"/>
    <w:rsid w:val="005503DC"/>
    <w:rsid w:val="00551E52"/>
    <w:rsid w:val="00552D20"/>
    <w:rsid w:val="005572EA"/>
    <w:rsid w:val="0056196F"/>
    <w:rsid w:val="00567E2C"/>
    <w:rsid w:val="00567E68"/>
    <w:rsid w:val="005707C6"/>
    <w:rsid w:val="00580465"/>
    <w:rsid w:val="005815BF"/>
    <w:rsid w:val="005837B7"/>
    <w:rsid w:val="00587069"/>
    <w:rsid w:val="00590020"/>
    <w:rsid w:val="0059151E"/>
    <w:rsid w:val="00591D94"/>
    <w:rsid w:val="005971C0"/>
    <w:rsid w:val="00597B27"/>
    <w:rsid w:val="005A00F2"/>
    <w:rsid w:val="005A00F6"/>
    <w:rsid w:val="005A2036"/>
    <w:rsid w:val="005A690D"/>
    <w:rsid w:val="005B21CE"/>
    <w:rsid w:val="005C5DC0"/>
    <w:rsid w:val="005C634B"/>
    <w:rsid w:val="005D044B"/>
    <w:rsid w:val="005D5AF3"/>
    <w:rsid w:val="005D62E1"/>
    <w:rsid w:val="005D7B52"/>
    <w:rsid w:val="005F3085"/>
    <w:rsid w:val="005F4C0C"/>
    <w:rsid w:val="005F67AF"/>
    <w:rsid w:val="006017FC"/>
    <w:rsid w:val="00604831"/>
    <w:rsid w:val="00607C32"/>
    <w:rsid w:val="00610AFD"/>
    <w:rsid w:val="00613BF9"/>
    <w:rsid w:val="00617E3C"/>
    <w:rsid w:val="00622EC1"/>
    <w:rsid w:val="00627B88"/>
    <w:rsid w:val="006331A7"/>
    <w:rsid w:val="00635B6F"/>
    <w:rsid w:val="006379B1"/>
    <w:rsid w:val="006516BB"/>
    <w:rsid w:val="00651DCF"/>
    <w:rsid w:val="00652A0F"/>
    <w:rsid w:val="006568DD"/>
    <w:rsid w:val="006661F6"/>
    <w:rsid w:val="00671208"/>
    <w:rsid w:val="00671CFE"/>
    <w:rsid w:val="00673D59"/>
    <w:rsid w:val="00674503"/>
    <w:rsid w:val="00676332"/>
    <w:rsid w:val="00677AE5"/>
    <w:rsid w:val="0068089E"/>
    <w:rsid w:val="0068422E"/>
    <w:rsid w:val="006909C1"/>
    <w:rsid w:val="0069176E"/>
    <w:rsid w:val="0069693B"/>
    <w:rsid w:val="00697EE4"/>
    <w:rsid w:val="006A333D"/>
    <w:rsid w:val="006A521A"/>
    <w:rsid w:val="006B25EB"/>
    <w:rsid w:val="006B39E7"/>
    <w:rsid w:val="006B6E57"/>
    <w:rsid w:val="006B70DB"/>
    <w:rsid w:val="006B7EA4"/>
    <w:rsid w:val="006C33F7"/>
    <w:rsid w:val="006C5060"/>
    <w:rsid w:val="006C6720"/>
    <w:rsid w:val="006E54EF"/>
    <w:rsid w:val="006E5AFA"/>
    <w:rsid w:val="0071634F"/>
    <w:rsid w:val="007238FC"/>
    <w:rsid w:val="00726A18"/>
    <w:rsid w:val="0072724D"/>
    <w:rsid w:val="00732204"/>
    <w:rsid w:val="00744DBB"/>
    <w:rsid w:val="00754B0E"/>
    <w:rsid w:val="00760483"/>
    <w:rsid w:val="00763C7C"/>
    <w:rsid w:val="007678C7"/>
    <w:rsid w:val="00770A9E"/>
    <w:rsid w:val="00773263"/>
    <w:rsid w:val="00781493"/>
    <w:rsid w:val="00784BB1"/>
    <w:rsid w:val="0078534D"/>
    <w:rsid w:val="00787FC6"/>
    <w:rsid w:val="00790DD0"/>
    <w:rsid w:val="00796D65"/>
    <w:rsid w:val="007A6327"/>
    <w:rsid w:val="007A731B"/>
    <w:rsid w:val="007B508E"/>
    <w:rsid w:val="007D4515"/>
    <w:rsid w:val="007D4D74"/>
    <w:rsid w:val="007D71A5"/>
    <w:rsid w:val="007D796F"/>
    <w:rsid w:val="007E0332"/>
    <w:rsid w:val="007E06AF"/>
    <w:rsid w:val="007E25D2"/>
    <w:rsid w:val="007E2CAC"/>
    <w:rsid w:val="007E4B1C"/>
    <w:rsid w:val="007F1D95"/>
    <w:rsid w:val="00805319"/>
    <w:rsid w:val="00812AEB"/>
    <w:rsid w:val="0081446A"/>
    <w:rsid w:val="0082051F"/>
    <w:rsid w:val="0082795C"/>
    <w:rsid w:val="00827F05"/>
    <w:rsid w:val="00835490"/>
    <w:rsid w:val="0084365A"/>
    <w:rsid w:val="00850B8D"/>
    <w:rsid w:val="00866E58"/>
    <w:rsid w:val="00875474"/>
    <w:rsid w:val="00877164"/>
    <w:rsid w:val="00884826"/>
    <w:rsid w:val="00884FDC"/>
    <w:rsid w:val="00886F4B"/>
    <w:rsid w:val="008912AE"/>
    <w:rsid w:val="00891F34"/>
    <w:rsid w:val="00894242"/>
    <w:rsid w:val="00895034"/>
    <w:rsid w:val="00896C3B"/>
    <w:rsid w:val="008A0DA5"/>
    <w:rsid w:val="008A7016"/>
    <w:rsid w:val="008B3803"/>
    <w:rsid w:val="008C7ACE"/>
    <w:rsid w:val="008C7EA0"/>
    <w:rsid w:val="008D05AE"/>
    <w:rsid w:val="008D0DEA"/>
    <w:rsid w:val="008D5D7A"/>
    <w:rsid w:val="008D6E71"/>
    <w:rsid w:val="008F223A"/>
    <w:rsid w:val="008F29F5"/>
    <w:rsid w:val="008F42D8"/>
    <w:rsid w:val="008F68E3"/>
    <w:rsid w:val="009007D8"/>
    <w:rsid w:val="00900D1C"/>
    <w:rsid w:val="009013C4"/>
    <w:rsid w:val="00901FC7"/>
    <w:rsid w:val="00902876"/>
    <w:rsid w:val="00903FD6"/>
    <w:rsid w:val="009126A1"/>
    <w:rsid w:val="009129DC"/>
    <w:rsid w:val="00912CF8"/>
    <w:rsid w:val="009269C5"/>
    <w:rsid w:val="009315A0"/>
    <w:rsid w:val="009444C8"/>
    <w:rsid w:val="00944F5D"/>
    <w:rsid w:val="00945B58"/>
    <w:rsid w:val="009473AB"/>
    <w:rsid w:val="00947AF9"/>
    <w:rsid w:val="00950735"/>
    <w:rsid w:val="00954DBB"/>
    <w:rsid w:val="0096064B"/>
    <w:rsid w:val="00963A85"/>
    <w:rsid w:val="009660FA"/>
    <w:rsid w:val="00973F25"/>
    <w:rsid w:val="00983370"/>
    <w:rsid w:val="00983F62"/>
    <w:rsid w:val="00985AAE"/>
    <w:rsid w:val="00990991"/>
    <w:rsid w:val="0099270D"/>
    <w:rsid w:val="00995C81"/>
    <w:rsid w:val="00996048"/>
    <w:rsid w:val="009A1EB5"/>
    <w:rsid w:val="009A7824"/>
    <w:rsid w:val="009B2122"/>
    <w:rsid w:val="009B4283"/>
    <w:rsid w:val="009C1524"/>
    <w:rsid w:val="009C7259"/>
    <w:rsid w:val="009D58E7"/>
    <w:rsid w:val="009D669F"/>
    <w:rsid w:val="009E3D1A"/>
    <w:rsid w:val="009F37B5"/>
    <w:rsid w:val="009F3D1E"/>
    <w:rsid w:val="009F511D"/>
    <w:rsid w:val="00A12B3F"/>
    <w:rsid w:val="00A140CD"/>
    <w:rsid w:val="00A1660E"/>
    <w:rsid w:val="00A17D7F"/>
    <w:rsid w:val="00A20D82"/>
    <w:rsid w:val="00A22A16"/>
    <w:rsid w:val="00A235C2"/>
    <w:rsid w:val="00A241D1"/>
    <w:rsid w:val="00A401B1"/>
    <w:rsid w:val="00A47A34"/>
    <w:rsid w:val="00A50114"/>
    <w:rsid w:val="00A55FA3"/>
    <w:rsid w:val="00A63881"/>
    <w:rsid w:val="00A65074"/>
    <w:rsid w:val="00A65181"/>
    <w:rsid w:val="00A6741E"/>
    <w:rsid w:val="00A678F4"/>
    <w:rsid w:val="00A76E21"/>
    <w:rsid w:val="00A86A99"/>
    <w:rsid w:val="00A87D07"/>
    <w:rsid w:val="00A918F5"/>
    <w:rsid w:val="00A95409"/>
    <w:rsid w:val="00A96429"/>
    <w:rsid w:val="00A96D74"/>
    <w:rsid w:val="00AA36E6"/>
    <w:rsid w:val="00AA57AC"/>
    <w:rsid w:val="00AC2824"/>
    <w:rsid w:val="00AC3A38"/>
    <w:rsid w:val="00AC3FDF"/>
    <w:rsid w:val="00AC5F8C"/>
    <w:rsid w:val="00AD04B6"/>
    <w:rsid w:val="00AD09DC"/>
    <w:rsid w:val="00AD0B41"/>
    <w:rsid w:val="00AD5300"/>
    <w:rsid w:val="00AE45B1"/>
    <w:rsid w:val="00AF2EB9"/>
    <w:rsid w:val="00AF6303"/>
    <w:rsid w:val="00B0730C"/>
    <w:rsid w:val="00B07A3D"/>
    <w:rsid w:val="00B10138"/>
    <w:rsid w:val="00B111F7"/>
    <w:rsid w:val="00B118B9"/>
    <w:rsid w:val="00B16FA3"/>
    <w:rsid w:val="00B20589"/>
    <w:rsid w:val="00B2084C"/>
    <w:rsid w:val="00B229DA"/>
    <w:rsid w:val="00B25116"/>
    <w:rsid w:val="00B2527E"/>
    <w:rsid w:val="00B26928"/>
    <w:rsid w:val="00B27564"/>
    <w:rsid w:val="00B331F3"/>
    <w:rsid w:val="00B33CE5"/>
    <w:rsid w:val="00B33D74"/>
    <w:rsid w:val="00B41977"/>
    <w:rsid w:val="00B41E40"/>
    <w:rsid w:val="00B4313F"/>
    <w:rsid w:val="00B466B8"/>
    <w:rsid w:val="00B531D7"/>
    <w:rsid w:val="00B55338"/>
    <w:rsid w:val="00B61333"/>
    <w:rsid w:val="00B66DCC"/>
    <w:rsid w:val="00B67AE8"/>
    <w:rsid w:val="00B71DA5"/>
    <w:rsid w:val="00B747BD"/>
    <w:rsid w:val="00B87975"/>
    <w:rsid w:val="00B910A3"/>
    <w:rsid w:val="00B92DB6"/>
    <w:rsid w:val="00B94C65"/>
    <w:rsid w:val="00B958F5"/>
    <w:rsid w:val="00B97450"/>
    <w:rsid w:val="00BA1CDE"/>
    <w:rsid w:val="00BA37CC"/>
    <w:rsid w:val="00BA7928"/>
    <w:rsid w:val="00BB06BA"/>
    <w:rsid w:val="00BB1407"/>
    <w:rsid w:val="00BB2384"/>
    <w:rsid w:val="00BB43D4"/>
    <w:rsid w:val="00BB7096"/>
    <w:rsid w:val="00BB789A"/>
    <w:rsid w:val="00BC3376"/>
    <w:rsid w:val="00BD1524"/>
    <w:rsid w:val="00BD31B8"/>
    <w:rsid w:val="00BE132B"/>
    <w:rsid w:val="00BE778E"/>
    <w:rsid w:val="00BE7FE0"/>
    <w:rsid w:val="00BF0FB2"/>
    <w:rsid w:val="00BF11E4"/>
    <w:rsid w:val="00C01810"/>
    <w:rsid w:val="00C02E91"/>
    <w:rsid w:val="00C042BB"/>
    <w:rsid w:val="00C04605"/>
    <w:rsid w:val="00C04C5A"/>
    <w:rsid w:val="00C16952"/>
    <w:rsid w:val="00C20693"/>
    <w:rsid w:val="00C21BA1"/>
    <w:rsid w:val="00C2391D"/>
    <w:rsid w:val="00C3247B"/>
    <w:rsid w:val="00C34B22"/>
    <w:rsid w:val="00C43E28"/>
    <w:rsid w:val="00C45973"/>
    <w:rsid w:val="00C45FED"/>
    <w:rsid w:val="00C46330"/>
    <w:rsid w:val="00C4729A"/>
    <w:rsid w:val="00C51407"/>
    <w:rsid w:val="00C54171"/>
    <w:rsid w:val="00C569FB"/>
    <w:rsid w:val="00C612BD"/>
    <w:rsid w:val="00C63569"/>
    <w:rsid w:val="00C63B76"/>
    <w:rsid w:val="00C70E22"/>
    <w:rsid w:val="00C8344E"/>
    <w:rsid w:val="00C83799"/>
    <w:rsid w:val="00C87AEE"/>
    <w:rsid w:val="00C9362B"/>
    <w:rsid w:val="00C95B7F"/>
    <w:rsid w:val="00C96B7F"/>
    <w:rsid w:val="00CA0F75"/>
    <w:rsid w:val="00CA1358"/>
    <w:rsid w:val="00CA1CF6"/>
    <w:rsid w:val="00CA2261"/>
    <w:rsid w:val="00CB12AC"/>
    <w:rsid w:val="00CB4270"/>
    <w:rsid w:val="00CC1961"/>
    <w:rsid w:val="00CC2F4D"/>
    <w:rsid w:val="00CC7862"/>
    <w:rsid w:val="00CD0927"/>
    <w:rsid w:val="00CD21E8"/>
    <w:rsid w:val="00CD6436"/>
    <w:rsid w:val="00CE396B"/>
    <w:rsid w:val="00CE5279"/>
    <w:rsid w:val="00CF0F7E"/>
    <w:rsid w:val="00D01A99"/>
    <w:rsid w:val="00D02EED"/>
    <w:rsid w:val="00D07C37"/>
    <w:rsid w:val="00D07CB2"/>
    <w:rsid w:val="00D107FF"/>
    <w:rsid w:val="00D16508"/>
    <w:rsid w:val="00D2009C"/>
    <w:rsid w:val="00D2058D"/>
    <w:rsid w:val="00D250F6"/>
    <w:rsid w:val="00D30DAA"/>
    <w:rsid w:val="00D358C4"/>
    <w:rsid w:val="00D35FF3"/>
    <w:rsid w:val="00D41C25"/>
    <w:rsid w:val="00D52C04"/>
    <w:rsid w:val="00D54F11"/>
    <w:rsid w:val="00D615A6"/>
    <w:rsid w:val="00D62C04"/>
    <w:rsid w:val="00D70516"/>
    <w:rsid w:val="00D7587E"/>
    <w:rsid w:val="00D765E0"/>
    <w:rsid w:val="00D800E0"/>
    <w:rsid w:val="00D821D7"/>
    <w:rsid w:val="00D83845"/>
    <w:rsid w:val="00D84732"/>
    <w:rsid w:val="00D84841"/>
    <w:rsid w:val="00D90DC0"/>
    <w:rsid w:val="00D933CD"/>
    <w:rsid w:val="00DA21B2"/>
    <w:rsid w:val="00DA49A7"/>
    <w:rsid w:val="00DB0F3C"/>
    <w:rsid w:val="00DB1599"/>
    <w:rsid w:val="00DB1798"/>
    <w:rsid w:val="00DB391C"/>
    <w:rsid w:val="00DB426E"/>
    <w:rsid w:val="00DB43A6"/>
    <w:rsid w:val="00DB7A14"/>
    <w:rsid w:val="00DB7FB9"/>
    <w:rsid w:val="00DC051F"/>
    <w:rsid w:val="00DC0ECB"/>
    <w:rsid w:val="00DD36ED"/>
    <w:rsid w:val="00DE41CC"/>
    <w:rsid w:val="00DE7F85"/>
    <w:rsid w:val="00DF3D91"/>
    <w:rsid w:val="00E00213"/>
    <w:rsid w:val="00E0056E"/>
    <w:rsid w:val="00E04080"/>
    <w:rsid w:val="00E11F8B"/>
    <w:rsid w:val="00E14584"/>
    <w:rsid w:val="00E17EAA"/>
    <w:rsid w:val="00E17FAF"/>
    <w:rsid w:val="00E21408"/>
    <w:rsid w:val="00E35571"/>
    <w:rsid w:val="00E35CE2"/>
    <w:rsid w:val="00E36BA9"/>
    <w:rsid w:val="00E404DA"/>
    <w:rsid w:val="00E430F0"/>
    <w:rsid w:val="00E47C95"/>
    <w:rsid w:val="00E52340"/>
    <w:rsid w:val="00E549A7"/>
    <w:rsid w:val="00E57D85"/>
    <w:rsid w:val="00E676AB"/>
    <w:rsid w:val="00E762CD"/>
    <w:rsid w:val="00E82D26"/>
    <w:rsid w:val="00E84B08"/>
    <w:rsid w:val="00E85E26"/>
    <w:rsid w:val="00E9231A"/>
    <w:rsid w:val="00E94847"/>
    <w:rsid w:val="00EA57B6"/>
    <w:rsid w:val="00EA7832"/>
    <w:rsid w:val="00ED0C9B"/>
    <w:rsid w:val="00ED4177"/>
    <w:rsid w:val="00ED5B9A"/>
    <w:rsid w:val="00EE20D6"/>
    <w:rsid w:val="00EF38CF"/>
    <w:rsid w:val="00F03337"/>
    <w:rsid w:val="00F14788"/>
    <w:rsid w:val="00F158B0"/>
    <w:rsid w:val="00F1735D"/>
    <w:rsid w:val="00F17FE7"/>
    <w:rsid w:val="00F22C05"/>
    <w:rsid w:val="00F26456"/>
    <w:rsid w:val="00F31C22"/>
    <w:rsid w:val="00F37963"/>
    <w:rsid w:val="00F424F9"/>
    <w:rsid w:val="00F446A3"/>
    <w:rsid w:val="00F44B55"/>
    <w:rsid w:val="00F44B67"/>
    <w:rsid w:val="00F46F36"/>
    <w:rsid w:val="00F537DF"/>
    <w:rsid w:val="00F544F4"/>
    <w:rsid w:val="00F55CC0"/>
    <w:rsid w:val="00F56A0B"/>
    <w:rsid w:val="00F60E2A"/>
    <w:rsid w:val="00F636CE"/>
    <w:rsid w:val="00F63B0A"/>
    <w:rsid w:val="00F67C56"/>
    <w:rsid w:val="00F7304E"/>
    <w:rsid w:val="00F74165"/>
    <w:rsid w:val="00F7441D"/>
    <w:rsid w:val="00F82221"/>
    <w:rsid w:val="00F8257D"/>
    <w:rsid w:val="00F841FF"/>
    <w:rsid w:val="00F94EEE"/>
    <w:rsid w:val="00FA092E"/>
    <w:rsid w:val="00FB4B67"/>
    <w:rsid w:val="00FC0C17"/>
    <w:rsid w:val="00FC12F5"/>
    <w:rsid w:val="00FC4B91"/>
    <w:rsid w:val="00FC63D8"/>
    <w:rsid w:val="00FD5DF0"/>
    <w:rsid w:val="00FD624D"/>
    <w:rsid w:val="00FD6990"/>
    <w:rsid w:val="00FD7177"/>
    <w:rsid w:val="00FE165F"/>
    <w:rsid w:val="00FE5BC0"/>
    <w:rsid w:val="00FE6EE8"/>
    <w:rsid w:val="00FF6367"/>
    <w:rsid w:val="00FF76A6"/>
    <w:rsid w:val="01065BD1"/>
    <w:rsid w:val="0149668A"/>
    <w:rsid w:val="015E6237"/>
    <w:rsid w:val="016110B2"/>
    <w:rsid w:val="017A2B5E"/>
    <w:rsid w:val="01CB731F"/>
    <w:rsid w:val="01D66BDF"/>
    <w:rsid w:val="02051AE6"/>
    <w:rsid w:val="021A6C4F"/>
    <w:rsid w:val="02250EFF"/>
    <w:rsid w:val="022D7245"/>
    <w:rsid w:val="023618C3"/>
    <w:rsid w:val="023A5F04"/>
    <w:rsid w:val="02493B6C"/>
    <w:rsid w:val="0268276F"/>
    <w:rsid w:val="02931E22"/>
    <w:rsid w:val="029E2444"/>
    <w:rsid w:val="02A67A28"/>
    <w:rsid w:val="02B52978"/>
    <w:rsid w:val="02C4662B"/>
    <w:rsid w:val="02D634CE"/>
    <w:rsid w:val="03100F7A"/>
    <w:rsid w:val="03162A63"/>
    <w:rsid w:val="03175073"/>
    <w:rsid w:val="031C07A5"/>
    <w:rsid w:val="032048BC"/>
    <w:rsid w:val="03311705"/>
    <w:rsid w:val="0332738A"/>
    <w:rsid w:val="034B0FFA"/>
    <w:rsid w:val="035D6DC5"/>
    <w:rsid w:val="038E26A7"/>
    <w:rsid w:val="03921D2F"/>
    <w:rsid w:val="039368D6"/>
    <w:rsid w:val="03B67E06"/>
    <w:rsid w:val="03EA6727"/>
    <w:rsid w:val="03EF1DB7"/>
    <w:rsid w:val="0412072D"/>
    <w:rsid w:val="041913D5"/>
    <w:rsid w:val="041D42E4"/>
    <w:rsid w:val="0428457E"/>
    <w:rsid w:val="04844854"/>
    <w:rsid w:val="04C0433E"/>
    <w:rsid w:val="04CC45D7"/>
    <w:rsid w:val="04F749ED"/>
    <w:rsid w:val="050240E8"/>
    <w:rsid w:val="0524470D"/>
    <w:rsid w:val="05362844"/>
    <w:rsid w:val="055507EE"/>
    <w:rsid w:val="055727FC"/>
    <w:rsid w:val="05575A71"/>
    <w:rsid w:val="055A1855"/>
    <w:rsid w:val="0566574C"/>
    <w:rsid w:val="057C552B"/>
    <w:rsid w:val="058A057E"/>
    <w:rsid w:val="058B111D"/>
    <w:rsid w:val="05A9795A"/>
    <w:rsid w:val="05B4741B"/>
    <w:rsid w:val="05BC001D"/>
    <w:rsid w:val="05C96F74"/>
    <w:rsid w:val="05E21FDF"/>
    <w:rsid w:val="0616717C"/>
    <w:rsid w:val="06691097"/>
    <w:rsid w:val="066F6FA2"/>
    <w:rsid w:val="06755150"/>
    <w:rsid w:val="067E3CF9"/>
    <w:rsid w:val="06840264"/>
    <w:rsid w:val="068C63E6"/>
    <w:rsid w:val="069227DA"/>
    <w:rsid w:val="06933D53"/>
    <w:rsid w:val="06B33330"/>
    <w:rsid w:val="06C36C5A"/>
    <w:rsid w:val="06C92CC5"/>
    <w:rsid w:val="0709241E"/>
    <w:rsid w:val="070C4371"/>
    <w:rsid w:val="07256B80"/>
    <w:rsid w:val="072D11D3"/>
    <w:rsid w:val="07306446"/>
    <w:rsid w:val="0742420A"/>
    <w:rsid w:val="074F2541"/>
    <w:rsid w:val="0756496D"/>
    <w:rsid w:val="07635F1A"/>
    <w:rsid w:val="07656115"/>
    <w:rsid w:val="076A567E"/>
    <w:rsid w:val="07755D31"/>
    <w:rsid w:val="0782379F"/>
    <w:rsid w:val="07940806"/>
    <w:rsid w:val="07CE2E09"/>
    <w:rsid w:val="07E54264"/>
    <w:rsid w:val="07E8637B"/>
    <w:rsid w:val="07F14ED8"/>
    <w:rsid w:val="07F36615"/>
    <w:rsid w:val="07F71E6A"/>
    <w:rsid w:val="07FD62ED"/>
    <w:rsid w:val="08075794"/>
    <w:rsid w:val="087C3485"/>
    <w:rsid w:val="08805F77"/>
    <w:rsid w:val="088274F0"/>
    <w:rsid w:val="08896F10"/>
    <w:rsid w:val="08977049"/>
    <w:rsid w:val="089D343C"/>
    <w:rsid w:val="08A30046"/>
    <w:rsid w:val="08C920E9"/>
    <w:rsid w:val="08E41D65"/>
    <w:rsid w:val="08EF7874"/>
    <w:rsid w:val="091C77B0"/>
    <w:rsid w:val="094555EB"/>
    <w:rsid w:val="094D4E6D"/>
    <w:rsid w:val="098456E1"/>
    <w:rsid w:val="0988000E"/>
    <w:rsid w:val="09941BAA"/>
    <w:rsid w:val="09970B85"/>
    <w:rsid w:val="099C3D28"/>
    <w:rsid w:val="09A9742D"/>
    <w:rsid w:val="09BB5AC2"/>
    <w:rsid w:val="09D61B19"/>
    <w:rsid w:val="09D771D4"/>
    <w:rsid w:val="09F01935"/>
    <w:rsid w:val="0A0544D0"/>
    <w:rsid w:val="0A115858"/>
    <w:rsid w:val="0A1C52DC"/>
    <w:rsid w:val="0A5D524B"/>
    <w:rsid w:val="0A641FD4"/>
    <w:rsid w:val="0A7559C7"/>
    <w:rsid w:val="0A7F677B"/>
    <w:rsid w:val="0A93239C"/>
    <w:rsid w:val="0AAD02CE"/>
    <w:rsid w:val="0AAE0CA9"/>
    <w:rsid w:val="0AF76584"/>
    <w:rsid w:val="0B09418A"/>
    <w:rsid w:val="0B154424"/>
    <w:rsid w:val="0B236999"/>
    <w:rsid w:val="0B2A4141"/>
    <w:rsid w:val="0B3448FF"/>
    <w:rsid w:val="0B521B41"/>
    <w:rsid w:val="0B5D1B3B"/>
    <w:rsid w:val="0B691F99"/>
    <w:rsid w:val="0B7104A4"/>
    <w:rsid w:val="0B875A11"/>
    <w:rsid w:val="0B91045B"/>
    <w:rsid w:val="0B920E35"/>
    <w:rsid w:val="0BA031E7"/>
    <w:rsid w:val="0BA24760"/>
    <w:rsid w:val="0BA45E9D"/>
    <w:rsid w:val="0BA6067F"/>
    <w:rsid w:val="0BB9501C"/>
    <w:rsid w:val="0BC52A31"/>
    <w:rsid w:val="0BD40DA4"/>
    <w:rsid w:val="0BF056CB"/>
    <w:rsid w:val="0BF51ABF"/>
    <w:rsid w:val="0BF945B1"/>
    <w:rsid w:val="0C095AEA"/>
    <w:rsid w:val="0C1404FD"/>
    <w:rsid w:val="0C1618B2"/>
    <w:rsid w:val="0C366852"/>
    <w:rsid w:val="0C46491A"/>
    <w:rsid w:val="0C4E2B00"/>
    <w:rsid w:val="0C5E65EE"/>
    <w:rsid w:val="0C621C7F"/>
    <w:rsid w:val="0C6C0B64"/>
    <w:rsid w:val="0CAB771F"/>
    <w:rsid w:val="0CB16721"/>
    <w:rsid w:val="0CB4643F"/>
    <w:rsid w:val="0CD404D2"/>
    <w:rsid w:val="0CDD4579"/>
    <w:rsid w:val="0D083DF0"/>
    <w:rsid w:val="0D222E5C"/>
    <w:rsid w:val="0D240717"/>
    <w:rsid w:val="0D283592"/>
    <w:rsid w:val="0D341BB6"/>
    <w:rsid w:val="0D386EBC"/>
    <w:rsid w:val="0D4226DB"/>
    <w:rsid w:val="0D453C97"/>
    <w:rsid w:val="0D6C5EE5"/>
    <w:rsid w:val="0DCB3427"/>
    <w:rsid w:val="0DCF4D92"/>
    <w:rsid w:val="0DDB70DA"/>
    <w:rsid w:val="0DE77F12"/>
    <w:rsid w:val="0DE95727"/>
    <w:rsid w:val="0E030D06"/>
    <w:rsid w:val="0E16227B"/>
    <w:rsid w:val="0E3D01A9"/>
    <w:rsid w:val="0E412690"/>
    <w:rsid w:val="0E4D292A"/>
    <w:rsid w:val="0E5F06F5"/>
    <w:rsid w:val="0E6010CF"/>
    <w:rsid w:val="0E7262FB"/>
    <w:rsid w:val="0E8A7DA7"/>
    <w:rsid w:val="0E936C8D"/>
    <w:rsid w:val="0E94782B"/>
    <w:rsid w:val="0EAE1E76"/>
    <w:rsid w:val="0EBE66C8"/>
    <w:rsid w:val="0EC07A7C"/>
    <w:rsid w:val="0EC532D1"/>
    <w:rsid w:val="0EC63CAC"/>
    <w:rsid w:val="0EC91C61"/>
    <w:rsid w:val="0ED35683"/>
    <w:rsid w:val="0EE428AF"/>
    <w:rsid w:val="0EE63E27"/>
    <w:rsid w:val="0EEB709F"/>
    <w:rsid w:val="0F1B5DB5"/>
    <w:rsid w:val="0F1E5075"/>
    <w:rsid w:val="0F262659"/>
    <w:rsid w:val="0F38025F"/>
    <w:rsid w:val="0F390DFE"/>
    <w:rsid w:val="0F3D38EF"/>
    <w:rsid w:val="0F4729B8"/>
    <w:rsid w:val="0F4D6EB9"/>
    <w:rsid w:val="0F7B0F31"/>
    <w:rsid w:val="0F8A4A20"/>
    <w:rsid w:val="0F8D6973"/>
    <w:rsid w:val="0F8E7511"/>
    <w:rsid w:val="0FB861EA"/>
    <w:rsid w:val="0FC47022"/>
    <w:rsid w:val="0FF07438"/>
    <w:rsid w:val="0FF1335C"/>
    <w:rsid w:val="10067CF4"/>
    <w:rsid w:val="1016361E"/>
    <w:rsid w:val="10244682"/>
    <w:rsid w:val="102E1B18"/>
    <w:rsid w:val="10453735"/>
    <w:rsid w:val="10505FAA"/>
    <w:rsid w:val="10545A22"/>
    <w:rsid w:val="10594E8F"/>
    <w:rsid w:val="10716C77"/>
    <w:rsid w:val="107942A8"/>
    <w:rsid w:val="107B6C68"/>
    <w:rsid w:val="108616C4"/>
    <w:rsid w:val="108A4F13"/>
    <w:rsid w:val="10A04E3C"/>
    <w:rsid w:val="10AD283F"/>
    <w:rsid w:val="10B60D4A"/>
    <w:rsid w:val="10BA4216"/>
    <w:rsid w:val="10BF78A7"/>
    <w:rsid w:val="10F57740"/>
    <w:rsid w:val="1105322F"/>
    <w:rsid w:val="112925B9"/>
    <w:rsid w:val="11292A0B"/>
    <w:rsid w:val="115D4434"/>
    <w:rsid w:val="11650BC8"/>
    <w:rsid w:val="11785740"/>
    <w:rsid w:val="117877E3"/>
    <w:rsid w:val="11790D5B"/>
    <w:rsid w:val="11911FF2"/>
    <w:rsid w:val="119203D5"/>
    <w:rsid w:val="119D2C66"/>
    <w:rsid w:val="11D009E8"/>
    <w:rsid w:val="11E46932"/>
    <w:rsid w:val="120606BD"/>
    <w:rsid w:val="122B3166"/>
    <w:rsid w:val="12341E87"/>
    <w:rsid w:val="12395518"/>
    <w:rsid w:val="124D4697"/>
    <w:rsid w:val="125067AE"/>
    <w:rsid w:val="125E0D24"/>
    <w:rsid w:val="126C2700"/>
    <w:rsid w:val="127736F8"/>
    <w:rsid w:val="127B609A"/>
    <w:rsid w:val="12866483"/>
    <w:rsid w:val="129F0C93"/>
    <w:rsid w:val="12B37438"/>
    <w:rsid w:val="12B97EB6"/>
    <w:rsid w:val="12C32D62"/>
    <w:rsid w:val="12F048B5"/>
    <w:rsid w:val="13075171"/>
    <w:rsid w:val="13096823"/>
    <w:rsid w:val="135F6078"/>
    <w:rsid w:val="136042C4"/>
    <w:rsid w:val="136452FF"/>
    <w:rsid w:val="138844B0"/>
    <w:rsid w:val="13891136"/>
    <w:rsid w:val="13B8757C"/>
    <w:rsid w:val="13D5487D"/>
    <w:rsid w:val="13F976AF"/>
    <w:rsid w:val="1408243B"/>
    <w:rsid w:val="14092FD9"/>
    <w:rsid w:val="141A0205"/>
    <w:rsid w:val="143D1571"/>
    <w:rsid w:val="145533A6"/>
    <w:rsid w:val="14563D81"/>
    <w:rsid w:val="145F20C7"/>
    <w:rsid w:val="14623C94"/>
    <w:rsid w:val="146C3A9E"/>
    <w:rsid w:val="14867011"/>
    <w:rsid w:val="148803C5"/>
    <w:rsid w:val="14B37C3C"/>
    <w:rsid w:val="14C76DBB"/>
    <w:rsid w:val="14D40792"/>
    <w:rsid w:val="15022121"/>
    <w:rsid w:val="150443FD"/>
    <w:rsid w:val="15210B5F"/>
    <w:rsid w:val="152240D5"/>
    <w:rsid w:val="15377A0A"/>
    <w:rsid w:val="153E5B6A"/>
    <w:rsid w:val="15502514"/>
    <w:rsid w:val="155C4C28"/>
    <w:rsid w:val="15652F6D"/>
    <w:rsid w:val="156F73E8"/>
    <w:rsid w:val="157C5623"/>
    <w:rsid w:val="15810270"/>
    <w:rsid w:val="15895A18"/>
    <w:rsid w:val="15AC0FF2"/>
    <w:rsid w:val="15B66808"/>
    <w:rsid w:val="15BD4174"/>
    <w:rsid w:val="15F43E7A"/>
    <w:rsid w:val="16037773"/>
    <w:rsid w:val="163112C6"/>
    <w:rsid w:val="163F0B40"/>
    <w:rsid w:val="16636121"/>
    <w:rsid w:val="166362E5"/>
    <w:rsid w:val="166B4467"/>
    <w:rsid w:val="16953140"/>
    <w:rsid w:val="1698541C"/>
    <w:rsid w:val="16F750AD"/>
    <w:rsid w:val="16FC68BB"/>
    <w:rsid w:val="1723542B"/>
    <w:rsid w:val="172D0D7B"/>
    <w:rsid w:val="172D2B29"/>
    <w:rsid w:val="172E3A9E"/>
    <w:rsid w:val="174762AE"/>
    <w:rsid w:val="174C193E"/>
    <w:rsid w:val="176221FA"/>
    <w:rsid w:val="17A10052"/>
    <w:rsid w:val="17AA57DB"/>
    <w:rsid w:val="17B45A93"/>
    <w:rsid w:val="17B91E87"/>
    <w:rsid w:val="17D023BA"/>
    <w:rsid w:val="17F53E17"/>
    <w:rsid w:val="18144605"/>
    <w:rsid w:val="18227555"/>
    <w:rsid w:val="183766D4"/>
    <w:rsid w:val="183B11C6"/>
    <w:rsid w:val="186049D2"/>
    <w:rsid w:val="18617A61"/>
    <w:rsid w:val="188B5F90"/>
    <w:rsid w:val="18A5104D"/>
    <w:rsid w:val="18A575F7"/>
    <w:rsid w:val="18C56A10"/>
    <w:rsid w:val="18C675AF"/>
    <w:rsid w:val="18CB39A2"/>
    <w:rsid w:val="18D94D16"/>
    <w:rsid w:val="18E9167E"/>
    <w:rsid w:val="193E7F56"/>
    <w:rsid w:val="19445F08"/>
    <w:rsid w:val="196C1720"/>
    <w:rsid w:val="19897784"/>
    <w:rsid w:val="19925906"/>
    <w:rsid w:val="199C51C6"/>
    <w:rsid w:val="199D5D64"/>
    <w:rsid w:val="19A215B9"/>
    <w:rsid w:val="19A21F94"/>
    <w:rsid w:val="19BD66DD"/>
    <w:rsid w:val="19CE23A9"/>
    <w:rsid w:val="1A074196"/>
    <w:rsid w:val="1A760055"/>
    <w:rsid w:val="1A78700C"/>
    <w:rsid w:val="1A9517E0"/>
    <w:rsid w:val="1ABB7D07"/>
    <w:rsid w:val="1AC252C2"/>
    <w:rsid w:val="1ADC0670"/>
    <w:rsid w:val="1AE35187"/>
    <w:rsid w:val="1AEC4CFD"/>
    <w:rsid w:val="1B024A1B"/>
    <w:rsid w:val="1B2D40CD"/>
    <w:rsid w:val="1B334486"/>
    <w:rsid w:val="1B3D7BBC"/>
    <w:rsid w:val="1B560DFA"/>
    <w:rsid w:val="1B7619A8"/>
    <w:rsid w:val="1B7927E1"/>
    <w:rsid w:val="1B8A679C"/>
    <w:rsid w:val="1B9262CF"/>
    <w:rsid w:val="1B926E6E"/>
    <w:rsid w:val="1BD931D0"/>
    <w:rsid w:val="1BEB0238"/>
    <w:rsid w:val="1BF6798D"/>
    <w:rsid w:val="1C031CE4"/>
    <w:rsid w:val="1C2C01A7"/>
    <w:rsid w:val="1C2E1720"/>
    <w:rsid w:val="1C403A6B"/>
    <w:rsid w:val="1C5171A9"/>
    <w:rsid w:val="1C6579AA"/>
    <w:rsid w:val="1C954E9B"/>
    <w:rsid w:val="1CAB5593"/>
    <w:rsid w:val="1CDF3CEF"/>
    <w:rsid w:val="1CE65311"/>
    <w:rsid w:val="1CEF77DE"/>
    <w:rsid w:val="1CF57C45"/>
    <w:rsid w:val="1D120D0E"/>
    <w:rsid w:val="1D33169F"/>
    <w:rsid w:val="1D55453F"/>
    <w:rsid w:val="1D717880"/>
    <w:rsid w:val="1D772D50"/>
    <w:rsid w:val="1D81336E"/>
    <w:rsid w:val="1D8B1ECB"/>
    <w:rsid w:val="1D95178A"/>
    <w:rsid w:val="1DAD32F0"/>
    <w:rsid w:val="1DBC326A"/>
    <w:rsid w:val="1DC31DFB"/>
    <w:rsid w:val="1DC332DD"/>
    <w:rsid w:val="1DF83E91"/>
    <w:rsid w:val="1E2702D2"/>
    <w:rsid w:val="1E2A150E"/>
    <w:rsid w:val="1E2A6014"/>
    <w:rsid w:val="1E4D0963"/>
    <w:rsid w:val="1E4E521C"/>
    <w:rsid w:val="1E827BFE"/>
    <w:rsid w:val="1E97797B"/>
    <w:rsid w:val="1ED76371"/>
    <w:rsid w:val="1EE04770"/>
    <w:rsid w:val="1F08780A"/>
    <w:rsid w:val="1F0D42B6"/>
    <w:rsid w:val="1F257CB7"/>
    <w:rsid w:val="1F2B3D22"/>
    <w:rsid w:val="1F3B0574"/>
    <w:rsid w:val="1F4466F6"/>
    <w:rsid w:val="1F467C6F"/>
    <w:rsid w:val="1F71293E"/>
    <w:rsid w:val="1F7E1A5B"/>
    <w:rsid w:val="1F8844C8"/>
    <w:rsid w:val="1F8C3E0D"/>
    <w:rsid w:val="1F8E554A"/>
    <w:rsid w:val="1FB62CA9"/>
    <w:rsid w:val="1FC1693B"/>
    <w:rsid w:val="1FC67430"/>
    <w:rsid w:val="1FCE3F40"/>
    <w:rsid w:val="20125FC6"/>
    <w:rsid w:val="20286883"/>
    <w:rsid w:val="202F402B"/>
    <w:rsid w:val="20333130"/>
    <w:rsid w:val="20367F10"/>
    <w:rsid w:val="206C6D61"/>
    <w:rsid w:val="209266B5"/>
    <w:rsid w:val="20AF1FB5"/>
    <w:rsid w:val="20B34C6B"/>
    <w:rsid w:val="20C84600"/>
    <w:rsid w:val="20F36959"/>
    <w:rsid w:val="20FD2D5C"/>
    <w:rsid w:val="20FF4E74"/>
    <w:rsid w:val="212159CA"/>
    <w:rsid w:val="21300ADF"/>
    <w:rsid w:val="213B0D78"/>
    <w:rsid w:val="214C5241"/>
    <w:rsid w:val="216C51F8"/>
    <w:rsid w:val="217575A6"/>
    <w:rsid w:val="21D2367C"/>
    <w:rsid w:val="21FE03AF"/>
    <w:rsid w:val="223B5668"/>
    <w:rsid w:val="22404239"/>
    <w:rsid w:val="22434B46"/>
    <w:rsid w:val="22487203"/>
    <w:rsid w:val="225A40A6"/>
    <w:rsid w:val="227D579B"/>
    <w:rsid w:val="227E02FF"/>
    <w:rsid w:val="22970985"/>
    <w:rsid w:val="229D5ADC"/>
    <w:rsid w:val="229E2202"/>
    <w:rsid w:val="22CA6707"/>
    <w:rsid w:val="22E1393F"/>
    <w:rsid w:val="22E52653"/>
    <w:rsid w:val="22F77849"/>
    <w:rsid w:val="22F80FCB"/>
    <w:rsid w:val="2346744C"/>
    <w:rsid w:val="234D2633"/>
    <w:rsid w:val="23682531"/>
    <w:rsid w:val="238241FC"/>
    <w:rsid w:val="23A60388"/>
    <w:rsid w:val="23C640E9"/>
    <w:rsid w:val="23CF684B"/>
    <w:rsid w:val="23D2079E"/>
    <w:rsid w:val="23E15A7C"/>
    <w:rsid w:val="243025D1"/>
    <w:rsid w:val="243E45C7"/>
    <w:rsid w:val="245A6D62"/>
    <w:rsid w:val="245F0100"/>
    <w:rsid w:val="2460183D"/>
    <w:rsid w:val="246D3214"/>
    <w:rsid w:val="2489323B"/>
    <w:rsid w:val="24C9636D"/>
    <w:rsid w:val="24D4382A"/>
    <w:rsid w:val="24E101A2"/>
    <w:rsid w:val="2517003B"/>
    <w:rsid w:val="251E4A80"/>
    <w:rsid w:val="252F1CAC"/>
    <w:rsid w:val="25377290"/>
    <w:rsid w:val="254D7B4C"/>
    <w:rsid w:val="25721C99"/>
    <w:rsid w:val="25791EE2"/>
    <w:rsid w:val="2599737A"/>
    <w:rsid w:val="25B33753"/>
    <w:rsid w:val="2605484F"/>
    <w:rsid w:val="26173D8C"/>
    <w:rsid w:val="26192BF6"/>
    <w:rsid w:val="262C38E5"/>
    <w:rsid w:val="26306161"/>
    <w:rsid w:val="263527CB"/>
    <w:rsid w:val="26405340"/>
    <w:rsid w:val="264779F7"/>
    <w:rsid w:val="26490DAB"/>
    <w:rsid w:val="26625517"/>
    <w:rsid w:val="26955045"/>
    <w:rsid w:val="26B050C5"/>
    <w:rsid w:val="26B2663E"/>
    <w:rsid w:val="26CD23C6"/>
    <w:rsid w:val="26FA353F"/>
    <w:rsid w:val="270216C1"/>
    <w:rsid w:val="27313A2A"/>
    <w:rsid w:val="27324DC7"/>
    <w:rsid w:val="274A6239"/>
    <w:rsid w:val="27565B15"/>
    <w:rsid w:val="27603DB3"/>
    <w:rsid w:val="276274D0"/>
    <w:rsid w:val="27657165"/>
    <w:rsid w:val="276853C8"/>
    <w:rsid w:val="276B63B5"/>
    <w:rsid w:val="27766813"/>
    <w:rsid w:val="277B1EA4"/>
    <w:rsid w:val="27A50B7C"/>
    <w:rsid w:val="27BD29B1"/>
    <w:rsid w:val="27C1524A"/>
    <w:rsid w:val="28014BFC"/>
    <w:rsid w:val="28057A53"/>
    <w:rsid w:val="280A3758"/>
    <w:rsid w:val="282E59EC"/>
    <w:rsid w:val="28395C86"/>
    <w:rsid w:val="286D43E2"/>
    <w:rsid w:val="28746460"/>
    <w:rsid w:val="287A1D2F"/>
    <w:rsid w:val="288275BA"/>
    <w:rsid w:val="28951D06"/>
    <w:rsid w:val="289D72E9"/>
    <w:rsid w:val="28AE6504"/>
    <w:rsid w:val="28B52397"/>
    <w:rsid w:val="28BD75A8"/>
    <w:rsid w:val="28C00982"/>
    <w:rsid w:val="28D61AB0"/>
    <w:rsid w:val="28EE4750"/>
    <w:rsid w:val="291E3C63"/>
    <w:rsid w:val="292860AC"/>
    <w:rsid w:val="29296E0F"/>
    <w:rsid w:val="292D31B6"/>
    <w:rsid w:val="29474CAF"/>
    <w:rsid w:val="2951456F"/>
    <w:rsid w:val="296B791D"/>
    <w:rsid w:val="298957BD"/>
    <w:rsid w:val="298A635B"/>
    <w:rsid w:val="29A30B6B"/>
    <w:rsid w:val="29A47AC3"/>
    <w:rsid w:val="29A92B47"/>
    <w:rsid w:val="29A94BD5"/>
    <w:rsid w:val="29D76728"/>
    <w:rsid w:val="29DB1DB9"/>
    <w:rsid w:val="29E56D51"/>
    <w:rsid w:val="29F95811"/>
    <w:rsid w:val="29FE32E9"/>
    <w:rsid w:val="2A1B05EA"/>
    <w:rsid w:val="2A385C74"/>
    <w:rsid w:val="2A613DAE"/>
    <w:rsid w:val="2A6601A2"/>
    <w:rsid w:val="2AA4561F"/>
    <w:rsid w:val="2AB51AE7"/>
    <w:rsid w:val="2AB614B3"/>
    <w:rsid w:val="2AEC5C2F"/>
    <w:rsid w:val="2AED4651"/>
    <w:rsid w:val="2B002598"/>
    <w:rsid w:val="2B08148B"/>
    <w:rsid w:val="2B193CEA"/>
    <w:rsid w:val="2B7703BB"/>
    <w:rsid w:val="2B924EA7"/>
    <w:rsid w:val="2BAA716C"/>
    <w:rsid w:val="2BB77B14"/>
    <w:rsid w:val="2BE1464B"/>
    <w:rsid w:val="2BEC6A86"/>
    <w:rsid w:val="2C3979F2"/>
    <w:rsid w:val="2C3A0591"/>
    <w:rsid w:val="2C4F7710"/>
    <w:rsid w:val="2C5E2824"/>
    <w:rsid w:val="2C604777"/>
    <w:rsid w:val="2C7217DF"/>
    <w:rsid w:val="2C7F31B6"/>
    <w:rsid w:val="2C87095E"/>
    <w:rsid w:val="2C8D5567"/>
    <w:rsid w:val="2C8D572B"/>
    <w:rsid w:val="2CB63A29"/>
    <w:rsid w:val="2CC34254"/>
    <w:rsid w:val="2CDF1B63"/>
    <w:rsid w:val="2CF950D6"/>
    <w:rsid w:val="2CFD3201"/>
    <w:rsid w:val="2D1A4EC9"/>
    <w:rsid w:val="2D1A508D"/>
    <w:rsid w:val="2D214C54"/>
    <w:rsid w:val="2D65477E"/>
    <w:rsid w:val="2D722BCC"/>
    <w:rsid w:val="2D8C0AA2"/>
    <w:rsid w:val="2D946C24"/>
    <w:rsid w:val="2D9F7247"/>
    <w:rsid w:val="2DBD4F22"/>
    <w:rsid w:val="2E241400"/>
    <w:rsid w:val="2E3D2EAD"/>
    <w:rsid w:val="2E6266B9"/>
    <w:rsid w:val="2E6B483B"/>
    <w:rsid w:val="2E7C2A96"/>
    <w:rsid w:val="2E7D3F3E"/>
    <w:rsid w:val="2E857DAE"/>
    <w:rsid w:val="2E9759B4"/>
    <w:rsid w:val="2EA81CB8"/>
    <w:rsid w:val="2EC81296"/>
    <w:rsid w:val="2ECD54C5"/>
    <w:rsid w:val="2ED962FD"/>
    <w:rsid w:val="2EDA48C8"/>
    <w:rsid w:val="2F045B74"/>
    <w:rsid w:val="2F15392B"/>
    <w:rsid w:val="2F17393F"/>
    <w:rsid w:val="2F1C6FCF"/>
    <w:rsid w:val="2F1D0383"/>
    <w:rsid w:val="2F203F8A"/>
    <w:rsid w:val="2F4F4B8D"/>
    <w:rsid w:val="2F5C2C12"/>
    <w:rsid w:val="2F5E7ADC"/>
    <w:rsid w:val="2F6A4497"/>
    <w:rsid w:val="2F7056E3"/>
    <w:rsid w:val="2F843976"/>
    <w:rsid w:val="2F91569A"/>
    <w:rsid w:val="2FB43990"/>
    <w:rsid w:val="2FB71881"/>
    <w:rsid w:val="2FBA37D4"/>
    <w:rsid w:val="2FD61B58"/>
    <w:rsid w:val="2FED1391"/>
    <w:rsid w:val="30395B5A"/>
    <w:rsid w:val="30406FD1"/>
    <w:rsid w:val="30416F06"/>
    <w:rsid w:val="304946AE"/>
    <w:rsid w:val="30680766"/>
    <w:rsid w:val="307D6D73"/>
    <w:rsid w:val="30804F22"/>
    <w:rsid w:val="30861B2B"/>
    <w:rsid w:val="30954C40"/>
    <w:rsid w:val="30B67293"/>
    <w:rsid w:val="30C044B7"/>
    <w:rsid w:val="30C57D0B"/>
    <w:rsid w:val="30CE6868"/>
    <w:rsid w:val="30DA11D4"/>
    <w:rsid w:val="310B3EA9"/>
    <w:rsid w:val="310E039D"/>
    <w:rsid w:val="31152BCA"/>
    <w:rsid w:val="312D483B"/>
    <w:rsid w:val="312E53DA"/>
    <w:rsid w:val="31562CFE"/>
    <w:rsid w:val="317F0FFC"/>
    <w:rsid w:val="318444C8"/>
    <w:rsid w:val="318B1C70"/>
    <w:rsid w:val="31B048DD"/>
    <w:rsid w:val="31C75B74"/>
    <w:rsid w:val="31CB13C9"/>
    <w:rsid w:val="31D04895"/>
    <w:rsid w:val="31E21AC1"/>
    <w:rsid w:val="320329AC"/>
    <w:rsid w:val="32263B47"/>
    <w:rsid w:val="32274521"/>
    <w:rsid w:val="322B71D7"/>
    <w:rsid w:val="323B04A4"/>
    <w:rsid w:val="325E6E6A"/>
    <w:rsid w:val="3270299B"/>
    <w:rsid w:val="32851B1A"/>
    <w:rsid w:val="3293669B"/>
    <w:rsid w:val="32B11F30"/>
    <w:rsid w:val="32D43E3A"/>
    <w:rsid w:val="32D65578"/>
    <w:rsid w:val="32DA7722"/>
    <w:rsid w:val="32EC5C70"/>
    <w:rsid w:val="32F3657D"/>
    <w:rsid w:val="32F865DD"/>
    <w:rsid w:val="331309CD"/>
    <w:rsid w:val="33160E46"/>
    <w:rsid w:val="3316259B"/>
    <w:rsid w:val="33182487"/>
    <w:rsid w:val="3338549E"/>
    <w:rsid w:val="333B75B5"/>
    <w:rsid w:val="333D6CBC"/>
    <w:rsid w:val="334C59B9"/>
    <w:rsid w:val="335072D3"/>
    <w:rsid w:val="335E6B3B"/>
    <w:rsid w:val="33777898"/>
    <w:rsid w:val="337B6D0E"/>
    <w:rsid w:val="33843679"/>
    <w:rsid w:val="33996E93"/>
    <w:rsid w:val="33AE09DB"/>
    <w:rsid w:val="33DE77D3"/>
    <w:rsid w:val="341E6D68"/>
    <w:rsid w:val="342750AF"/>
    <w:rsid w:val="343F6D1F"/>
    <w:rsid w:val="344076FA"/>
    <w:rsid w:val="345F6138"/>
    <w:rsid w:val="347C2A31"/>
    <w:rsid w:val="34806E53"/>
    <w:rsid w:val="348E1040"/>
    <w:rsid w:val="34A63039"/>
    <w:rsid w:val="34C05684"/>
    <w:rsid w:val="34C16BFD"/>
    <w:rsid w:val="34C72E2C"/>
    <w:rsid w:val="34DD36E9"/>
    <w:rsid w:val="34F36FC1"/>
    <w:rsid w:val="34FE79FB"/>
    <w:rsid w:val="3504770B"/>
    <w:rsid w:val="35092088"/>
    <w:rsid w:val="350C27DE"/>
    <w:rsid w:val="351D7AC2"/>
    <w:rsid w:val="35236CE8"/>
    <w:rsid w:val="35337105"/>
    <w:rsid w:val="35446C9F"/>
    <w:rsid w:val="357207F2"/>
    <w:rsid w:val="35A02AEA"/>
    <w:rsid w:val="35A561EB"/>
    <w:rsid w:val="35C34250"/>
    <w:rsid w:val="35C873E0"/>
    <w:rsid w:val="35CF5088"/>
    <w:rsid w:val="35D51E56"/>
    <w:rsid w:val="35DC779C"/>
    <w:rsid w:val="360762D6"/>
    <w:rsid w:val="361A4A7B"/>
    <w:rsid w:val="363613A2"/>
    <w:rsid w:val="363E7508"/>
    <w:rsid w:val="365B4010"/>
    <w:rsid w:val="367E60DF"/>
    <w:rsid w:val="36895648"/>
    <w:rsid w:val="368B7AB6"/>
    <w:rsid w:val="36A20B88"/>
    <w:rsid w:val="36BE5673"/>
    <w:rsid w:val="370E0C1B"/>
    <w:rsid w:val="37101AAB"/>
    <w:rsid w:val="3716333B"/>
    <w:rsid w:val="373B1322"/>
    <w:rsid w:val="37500665"/>
    <w:rsid w:val="375C12D9"/>
    <w:rsid w:val="37692E75"/>
    <w:rsid w:val="377B7EDC"/>
    <w:rsid w:val="37870D15"/>
    <w:rsid w:val="37907A35"/>
    <w:rsid w:val="37931B4D"/>
    <w:rsid w:val="379775C4"/>
    <w:rsid w:val="37AB3982"/>
    <w:rsid w:val="37B64A4D"/>
    <w:rsid w:val="37BF0C34"/>
    <w:rsid w:val="37CD4314"/>
    <w:rsid w:val="37EA0AA2"/>
    <w:rsid w:val="380253CA"/>
    <w:rsid w:val="38097628"/>
    <w:rsid w:val="38206066"/>
    <w:rsid w:val="384168B8"/>
    <w:rsid w:val="387B47CC"/>
    <w:rsid w:val="38A9631F"/>
    <w:rsid w:val="38D72FC0"/>
    <w:rsid w:val="38D86941"/>
    <w:rsid w:val="38F230B1"/>
    <w:rsid w:val="3922757D"/>
    <w:rsid w:val="392E0314"/>
    <w:rsid w:val="393C288A"/>
    <w:rsid w:val="3942185D"/>
    <w:rsid w:val="39481EB7"/>
    <w:rsid w:val="394F02CB"/>
    <w:rsid w:val="394F0490"/>
    <w:rsid w:val="394F102E"/>
    <w:rsid w:val="39616096"/>
    <w:rsid w:val="398C5748"/>
    <w:rsid w:val="39A80FF5"/>
    <w:rsid w:val="39CE6256"/>
    <w:rsid w:val="39F63BBE"/>
    <w:rsid w:val="3A117AC6"/>
    <w:rsid w:val="3A4129CE"/>
    <w:rsid w:val="3A4E43A5"/>
    <w:rsid w:val="3A562527"/>
    <w:rsid w:val="3A5626EB"/>
    <w:rsid w:val="3A6E3982"/>
    <w:rsid w:val="3A7A6F3C"/>
    <w:rsid w:val="3AB42A96"/>
    <w:rsid w:val="3ACC0BF2"/>
    <w:rsid w:val="3ACC492E"/>
    <w:rsid w:val="3AD038A8"/>
    <w:rsid w:val="3AE214AE"/>
    <w:rsid w:val="3B167A46"/>
    <w:rsid w:val="3B1B329B"/>
    <w:rsid w:val="3B1F5D8D"/>
    <w:rsid w:val="3B555A62"/>
    <w:rsid w:val="3B5F515D"/>
    <w:rsid w:val="3B6F0E10"/>
    <w:rsid w:val="3B702AC2"/>
    <w:rsid w:val="3B710987"/>
    <w:rsid w:val="3B7D31C1"/>
    <w:rsid w:val="3B831CE4"/>
    <w:rsid w:val="3B8F55E0"/>
    <w:rsid w:val="3B9338B9"/>
    <w:rsid w:val="3B94717D"/>
    <w:rsid w:val="3B9C1C00"/>
    <w:rsid w:val="3BB11759"/>
    <w:rsid w:val="3BB75B4D"/>
    <w:rsid w:val="3BC85B12"/>
    <w:rsid w:val="3BE715F3"/>
    <w:rsid w:val="3BFC0772"/>
    <w:rsid w:val="3C032AA7"/>
    <w:rsid w:val="3C0F6B8E"/>
    <w:rsid w:val="3C532136"/>
    <w:rsid w:val="3C577B7C"/>
    <w:rsid w:val="3C75192F"/>
    <w:rsid w:val="3CA215C0"/>
    <w:rsid w:val="3CA760A1"/>
    <w:rsid w:val="3CD823F4"/>
    <w:rsid w:val="3CDA396C"/>
    <w:rsid w:val="3CDB450B"/>
    <w:rsid w:val="3CEE2AEC"/>
    <w:rsid w:val="3CFA3924"/>
    <w:rsid w:val="3CFF77F9"/>
    <w:rsid w:val="3D000214"/>
    <w:rsid w:val="3D0752FB"/>
    <w:rsid w:val="3D0E40A5"/>
    <w:rsid w:val="3D103642"/>
    <w:rsid w:val="3D1837B0"/>
    <w:rsid w:val="3D1C2152"/>
    <w:rsid w:val="3D3037BD"/>
    <w:rsid w:val="3D4E0BD5"/>
    <w:rsid w:val="3D734CA5"/>
    <w:rsid w:val="3D7804FA"/>
    <w:rsid w:val="3D7D39C6"/>
    <w:rsid w:val="3D805ADE"/>
    <w:rsid w:val="3D8D7679"/>
    <w:rsid w:val="3DB01748"/>
    <w:rsid w:val="3DC93F58"/>
    <w:rsid w:val="3DCC7E1D"/>
    <w:rsid w:val="3DD2229E"/>
    <w:rsid w:val="3DF541A9"/>
    <w:rsid w:val="3DF64F0C"/>
    <w:rsid w:val="3E14522E"/>
    <w:rsid w:val="3E52026D"/>
    <w:rsid w:val="3E5401F3"/>
    <w:rsid w:val="3E5636F5"/>
    <w:rsid w:val="3E66679D"/>
    <w:rsid w:val="3E690478"/>
    <w:rsid w:val="3E7A6362"/>
    <w:rsid w:val="3E891477"/>
    <w:rsid w:val="3E8A2E65"/>
    <w:rsid w:val="3EB72B54"/>
    <w:rsid w:val="3EC768F4"/>
    <w:rsid w:val="3ECC46F3"/>
    <w:rsid w:val="3ED40106"/>
    <w:rsid w:val="3ED61844"/>
    <w:rsid w:val="3EED5823"/>
    <w:rsid w:val="3EF40282"/>
    <w:rsid w:val="3EFC5A2A"/>
    <w:rsid w:val="3F151403"/>
    <w:rsid w:val="3F160DD8"/>
    <w:rsid w:val="3F1C5008"/>
    <w:rsid w:val="3F285E40"/>
    <w:rsid w:val="3F316DAB"/>
    <w:rsid w:val="3F3A3A46"/>
    <w:rsid w:val="3F4279B4"/>
    <w:rsid w:val="3F9A222F"/>
    <w:rsid w:val="3F9B1CDB"/>
    <w:rsid w:val="3FA73C06"/>
    <w:rsid w:val="3FAD7FFA"/>
    <w:rsid w:val="3FB34C03"/>
    <w:rsid w:val="3FB97668"/>
    <w:rsid w:val="3FBF5061"/>
    <w:rsid w:val="3FDF5019"/>
    <w:rsid w:val="3FE61DE6"/>
    <w:rsid w:val="3FE71217"/>
    <w:rsid w:val="3FF87828"/>
    <w:rsid w:val="40015B6F"/>
    <w:rsid w:val="40047AC2"/>
    <w:rsid w:val="402043E9"/>
    <w:rsid w:val="402D3DE4"/>
    <w:rsid w:val="4034372C"/>
    <w:rsid w:val="403D18AE"/>
    <w:rsid w:val="403E2E27"/>
    <w:rsid w:val="40644F5E"/>
    <w:rsid w:val="40672A15"/>
    <w:rsid w:val="406B3DDC"/>
    <w:rsid w:val="406D22D9"/>
    <w:rsid w:val="406F68CD"/>
    <w:rsid w:val="407857B3"/>
    <w:rsid w:val="407B2232"/>
    <w:rsid w:val="40870703"/>
    <w:rsid w:val="40952AB4"/>
    <w:rsid w:val="409F4A4C"/>
    <w:rsid w:val="40B173DB"/>
    <w:rsid w:val="40B27F79"/>
    <w:rsid w:val="40BC79FD"/>
    <w:rsid w:val="40E166BF"/>
    <w:rsid w:val="41033B9B"/>
    <w:rsid w:val="4104473A"/>
    <w:rsid w:val="411E7924"/>
    <w:rsid w:val="41336AA3"/>
    <w:rsid w:val="41382B0D"/>
    <w:rsid w:val="41475C22"/>
    <w:rsid w:val="4172565D"/>
    <w:rsid w:val="41807A0E"/>
    <w:rsid w:val="41924A76"/>
    <w:rsid w:val="41925F83"/>
    <w:rsid w:val="419754E8"/>
    <w:rsid w:val="41B132F0"/>
    <w:rsid w:val="41C20357"/>
    <w:rsid w:val="41E16D96"/>
    <w:rsid w:val="421D53C4"/>
    <w:rsid w:val="421F4F76"/>
    <w:rsid w:val="42521F7F"/>
    <w:rsid w:val="42553EE8"/>
    <w:rsid w:val="426E22D8"/>
    <w:rsid w:val="4285798E"/>
    <w:rsid w:val="429A6B0D"/>
    <w:rsid w:val="42A653BA"/>
    <w:rsid w:val="42BD0DA1"/>
    <w:rsid w:val="42C22102"/>
    <w:rsid w:val="42CD0B5F"/>
    <w:rsid w:val="42DA5063"/>
    <w:rsid w:val="43140A2D"/>
    <w:rsid w:val="43320D45"/>
    <w:rsid w:val="436B1094"/>
    <w:rsid w:val="438970F8"/>
    <w:rsid w:val="439172D0"/>
    <w:rsid w:val="439B3F9B"/>
    <w:rsid w:val="439E60B3"/>
    <w:rsid w:val="43DD6E5B"/>
    <w:rsid w:val="43EF1CD5"/>
    <w:rsid w:val="43F047CB"/>
    <w:rsid w:val="43F55C06"/>
    <w:rsid w:val="43F56AA3"/>
    <w:rsid w:val="43FE4C25"/>
    <w:rsid w:val="442B6778"/>
    <w:rsid w:val="44355499"/>
    <w:rsid w:val="44775FA6"/>
    <w:rsid w:val="449649E5"/>
    <w:rsid w:val="449F737F"/>
    <w:rsid w:val="44AF71F4"/>
    <w:rsid w:val="44B1076D"/>
    <w:rsid w:val="44B1130C"/>
    <w:rsid w:val="44CB429C"/>
    <w:rsid w:val="450F5BA1"/>
    <w:rsid w:val="453E0C6D"/>
    <w:rsid w:val="454F3AE7"/>
    <w:rsid w:val="45886F23"/>
    <w:rsid w:val="45982A11"/>
    <w:rsid w:val="459D67BA"/>
    <w:rsid w:val="45C269AF"/>
    <w:rsid w:val="45CD1983"/>
    <w:rsid w:val="45D25D77"/>
    <w:rsid w:val="45DA335A"/>
    <w:rsid w:val="45E74EF6"/>
    <w:rsid w:val="460437F9"/>
    <w:rsid w:val="461C4D8C"/>
    <w:rsid w:val="463B406B"/>
    <w:rsid w:val="46555C55"/>
    <w:rsid w:val="46900FBA"/>
    <w:rsid w:val="46B868DE"/>
    <w:rsid w:val="46C04C25"/>
    <w:rsid w:val="46CB2C70"/>
    <w:rsid w:val="46CB4EBE"/>
    <w:rsid w:val="472D5909"/>
    <w:rsid w:val="474A34DB"/>
    <w:rsid w:val="474F6B7D"/>
    <w:rsid w:val="477626C0"/>
    <w:rsid w:val="477F13E1"/>
    <w:rsid w:val="478E44F5"/>
    <w:rsid w:val="479C6A6B"/>
    <w:rsid w:val="47A120FB"/>
    <w:rsid w:val="47B406DC"/>
    <w:rsid w:val="47C41522"/>
    <w:rsid w:val="47CB0DD4"/>
    <w:rsid w:val="47EE3067"/>
    <w:rsid w:val="47F366F7"/>
    <w:rsid w:val="4809056E"/>
    <w:rsid w:val="480F301E"/>
    <w:rsid w:val="481464EA"/>
    <w:rsid w:val="481E5F6E"/>
    <w:rsid w:val="48231FD9"/>
    <w:rsid w:val="48285669"/>
    <w:rsid w:val="48290393"/>
    <w:rsid w:val="482C0320"/>
    <w:rsid w:val="482D3655"/>
    <w:rsid w:val="48310325"/>
    <w:rsid w:val="48513B2C"/>
    <w:rsid w:val="4859110F"/>
    <w:rsid w:val="485E54BD"/>
    <w:rsid w:val="486E0FF2"/>
    <w:rsid w:val="48B870E3"/>
    <w:rsid w:val="48DC1F15"/>
    <w:rsid w:val="48ED63DD"/>
    <w:rsid w:val="491971CD"/>
    <w:rsid w:val="49214975"/>
    <w:rsid w:val="49214B3A"/>
    <w:rsid w:val="49235EEE"/>
    <w:rsid w:val="493270B3"/>
    <w:rsid w:val="493319DD"/>
    <w:rsid w:val="493769AE"/>
    <w:rsid w:val="494B1D19"/>
    <w:rsid w:val="497F26C3"/>
    <w:rsid w:val="499C6CC0"/>
    <w:rsid w:val="499D1D80"/>
    <w:rsid w:val="49A55F90"/>
    <w:rsid w:val="49B87D1D"/>
    <w:rsid w:val="49C34AA3"/>
    <w:rsid w:val="49C70640"/>
    <w:rsid w:val="49DC5B65"/>
    <w:rsid w:val="4A115AFF"/>
    <w:rsid w:val="4A1B4E39"/>
    <w:rsid w:val="4A275494"/>
    <w:rsid w:val="4A2F399F"/>
    <w:rsid w:val="4A8B785B"/>
    <w:rsid w:val="4A902EEB"/>
    <w:rsid w:val="4A924137"/>
    <w:rsid w:val="4AB55994"/>
    <w:rsid w:val="4AB56533"/>
    <w:rsid w:val="4ABC313C"/>
    <w:rsid w:val="4AC408E4"/>
    <w:rsid w:val="4AD02480"/>
    <w:rsid w:val="4AD90602"/>
    <w:rsid w:val="4AEA64BF"/>
    <w:rsid w:val="4AED05EA"/>
    <w:rsid w:val="4B052E99"/>
    <w:rsid w:val="4B09426C"/>
    <w:rsid w:val="4B1530DD"/>
    <w:rsid w:val="4B165A7F"/>
    <w:rsid w:val="4B20137F"/>
    <w:rsid w:val="4B7C065B"/>
    <w:rsid w:val="4B881494"/>
    <w:rsid w:val="4B9D0613"/>
    <w:rsid w:val="4B9F1B8C"/>
    <w:rsid w:val="4BA45DBB"/>
    <w:rsid w:val="4BB62E22"/>
    <w:rsid w:val="4BBB7051"/>
    <w:rsid w:val="4BD2082B"/>
    <w:rsid w:val="4BF036B0"/>
    <w:rsid w:val="4BF278C5"/>
    <w:rsid w:val="4C0C24E8"/>
    <w:rsid w:val="4C0F4BC6"/>
    <w:rsid w:val="4C5C5158"/>
    <w:rsid w:val="4C5C673F"/>
    <w:rsid w:val="4C6A608C"/>
    <w:rsid w:val="4CBF5C1D"/>
    <w:rsid w:val="4CD56315"/>
    <w:rsid w:val="4CDA1B69"/>
    <w:rsid w:val="4CE36D98"/>
    <w:rsid w:val="4CF65190"/>
    <w:rsid w:val="4D1E3A2B"/>
    <w:rsid w:val="4D482A8D"/>
    <w:rsid w:val="4D4B04BC"/>
    <w:rsid w:val="4D5F7DC7"/>
    <w:rsid w:val="4D660768"/>
    <w:rsid w:val="4D775994"/>
    <w:rsid w:val="4D825836"/>
    <w:rsid w:val="4D9626AB"/>
    <w:rsid w:val="4D9E2555"/>
    <w:rsid w:val="4DB52C4D"/>
    <w:rsid w:val="4DC247E8"/>
    <w:rsid w:val="4DD30CB1"/>
    <w:rsid w:val="4DD423EE"/>
    <w:rsid w:val="4DDA6459"/>
    <w:rsid w:val="4DDE110F"/>
    <w:rsid w:val="4DDF1CAE"/>
    <w:rsid w:val="4DE13C01"/>
    <w:rsid w:val="4DE77E30"/>
    <w:rsid w:val="4DF41807"/>
    <w:rsid w:val="4DF571F5"/>
    <w:rsid w:val="4DFF1AA1"/>
    <w:rsid w:val="4E017D14"/>
    <w:rsid w:val="4E0D2791"/>
    <w:rsid w:val="4E1F107E"/>
    <w:rsid w:val="4E38505A"/>
    <w:rsid w:val="4E44488A"/>
    <w:rsid w:val="4E5054FE"/>
    <w:rsid w:val="4E6D29C4"/>
    <w:rsid w:val="4E6F3F3D"/>
    <w:rsid w:val="4E790B8C"/>
    <w:rsid w:val="4E8430BC"/>
    <w:rsid w:val="4E9361D0"/>
    <w:rsid w:val="4E943B74"/>
    <w:rsid w:val="4E9B06FA"/>
    <w:rsid w:val="4EBD4EA8"/>
    <w:rsid w:val="4ECA741E"/>
    <w:rsid w:val="4ECD1536"/>
    <w:rsid w:val="4F3311DE"/>
    <w:rsid w:val="4F53428E"/>
    <w:rsid w:val="4F55790E"/>
    <w:rsid w:val="4F604F02"/>
    <w:rsid w:val="4F631F01"/>
    <w:rsid w:val="4F693DE7"/>
    <w:rsid w:val="4F7433EE"/>
    <w:rsid w:val="4F744081"/>
    <w:rsid w:val="4F77635D"/>
    <w:rsid w:val="4F7E3941"/>
    <w:rsid w:val="4F8933C5"/>
    <w:rsid w:val="4F996CEF"/>
    <w:rsid w:val="4FA510BF"/>
    <w:rsid w:val="4FA924E6"/>
    <w:rsid w:val="4FAB48F5"/>
    <w:rsid w:val="4FC92959"/>
    <w:rsid w:val="4FD53792"/>
    <w:rsid w:val="4FDD1AD8"/>
    <w:rsid w:val="500B7626"/>
    <w:rsid w:val="503F19FE"/>
    <w:rsid w:val="504D3F74"/>
    <w:rsid w:val="505843D2"/>
    <w:rsid w:val="505857BC"/>
    <w:rsid w:val="50724B2D"/>
    <w:rsid w:val="50747F96"/>
    <w:rsid w:val="508F4A82"/>
    <w:rsid w:val="50972BD8"/>
    <w:rsid w:val="509819E4"/>
    <w:rsid w:val="5099794B"/>
    <w:rsid w:val="50D957A6"/>
    <w:rsid w:val="50DF6DA2"/>
    <w:rsid w:val="50E84A57"/>
    <w:rsid w:val="50EB7D9F"/>
    <w:rsid w:val="50F14B6C"/>
    <w:rsid w:val="50F601FD"/>
    <w:rsid w:val="50F81776"/>
    <w:rsid w:val="50FE4613"/>
    <w:rsid w:val="511E6A63"/>
    <w:rsid w:val="51236E2D"/>
    <w:rsid w:val="514A5D72"/>
    <w:rsid w:val="514F1FA1"/>
    <w:rsid w:val="516E1959"/>
    <w:rsid w:val="518A5142"/>
    <w:rsid w:val="51B33605"/>
    <w:rsid w:val="51C61046"/>
    <w:rsid w:val="51C92E73"/>
    <w:rsid w:val="51D86272"/>
    <w:rsid w:val="51E57C49"/>
    <w:rsid w:val="51FC0D1B"/>
    <w:rsid w:val="522037C5"/>
    <w:rsid w:val="522E5D3A"/>
    <w:rsid w:val="52352B08"/>
    <w:rsid w:val="525C788D"/>
    <w:rsid w:val="526C337C"/>
    <w:rsid w:val="527D03E3"/>
    <w:rsid w:val="52C74BCC"/>
    <w:rsid w:val="52C97A4D"/>
    <w:rsid w:val="52CE2A6A"/>
    <w:rsid w:val="52D9638F"/>
    <w:rsid w:val="52DE6BCC"/>
    <w:rsid w:val="52E42A4A"/>
    <w:rsid w:val="52F822AA"/>
    <w:rsid w:val="53053951"/>
    <w:rsid w:val="53053B16"/>
    <w:rsid w:val="533407C0"/>
    <w:rsid w:val="53570867"/>
    <w:rsid w:val="53663062"/>
    <w:rsid w:val="53734875"/>
    <w:rsid w:val="53852DC9"/>
    <w:rsid w:val="53901D3A"/>
    <w:rsid w:val="539C2B73"/>
    <w:rsid w:val="53B01EB6"/>
    <w:rsid w:val="53B768FB"/>
    <w:rsid w:val="53C40496"/>
    <w:rsid w:val="53C40872"/>
    <w:rsid w:val="53F65A75"/>
    <w:rsid w:val="5407197E"/>
    <w:rsid w:val="5417546D"/>
    <w:rsid w:val="54270F5B"/>
    <w:rsid w:val="542D0CEB"/>
    <w:rsid w:val="543210AB"/>
    <w:rsid w:val="54574A01"/>
    <w:rsid w:val="546E7984"/>
    <w:rsid w:val="54AB273B"/>
    <w:rsid w:val="54AD3AEF"/>
    <w:rsid w:val="54B51E36"/>
    <w:rsid w:val="54BB656B"/>
    <w:rsid w:val="54CD30CC"/>
    <w:rsid w:val="54DD775A"/>
    <w:rsid w:val="54E83610"/>
    <w:rsid w:val="54F268D9"/>
    <w:rsid w:val="54F3688B"/>
    <w:rsid w:val="552000A3"/>
    <w:rsid w:val="553B17BD"/>
    <w:rsid w:val="554538AF"/>
    <w:rsid w:val="554963A1"/>
    <w:rsid w:val="555D5520"/>
    <w:rsid w:val="55620D75"/>
    <w:rsid w:val="55884F5B"/>
    <w:rsid w:val="559353B9"/>
    <w:rsid w:val="55980E85"/>
    <w:rsid w:val="55D134A0"/>
    <w:rsid w:val="55D87FDF"/>
    <w:rsid w:val="55DE27B3"/>
    <w:rsid w:val="55E569BC"/>
    <w:rsid w:val="560E7CB4"/>
    <w:rsid w:val="56150DD6"/>
    <w:rsid w:val="56186810"/>
    <w:rsid w:val="561F12B3"/>
    <w:rsid w:val="56315BBF"/>
    <w:rsid w:val="563B245F"/>
    <w:rsid w:val="563C1642"/>
    <w:rsid w:val="5641016C"/>
    <w:rsid w:val="56552264"/>
    <w:rsid w:val="56777341"/>
    <w:rsid w:val="5683561C"/>
    <w:rsid w:val="56AD44B8"/>
    <w:rsid w:val="56CA57F8"/>
    <w:rsid w:val="56DA600B"/>
    <w:rsid w:val="56ED3A4D"/>
    <w:rsid w:val="57041C31"/>
    <w:rsid w:val="5705003D"/>
    <w:rsid w:val="571A7501"/>
    <w:rsid w:val="57371D02"/>
    <w:rsid w:val="577E46FF"/>
    <w:rsid w:val="57813603"/>
    <w:rsid w:val="57AA647A"/>
    <w:rsid w:val="57B02EBF"/>
    <w:rsid w:val="57B34FD7"/>
    <w:rsid w:val="57CB2345"/>
    <w:rsid w:val="57E62D59"/>
    <w:rsid w:val="57EA73E3"/>
    <w:rsid w:val="57F87BFC"/>
    <w:rsid w:val="57FA1ED8"/>
    <w:rsid w:val="58294405"/>
    <w:rsid w:val="584D4CEE"/>
    <w:rsid w:val="584F0427"/>
    <w:rsid w:val="58650145"/>
    <w:rsid w:val="5867626A"/>
    <w:rsid w:val="587326BB"/>
    <w:rsid w:val="589B7E1A"/>
    <w:rsid w:val="58AC4CBD"/>
    <w:rsid w:val="58B07B38"/>
    <w:rsid w:val="58B4552F"/>
    <w:rsid w:val="58F070CC"/>
    <w:rsid w:val="59024134"/>
    <w:rsid w:val="591B4134"/>
    <w:rsid w:val="59572683"/>
    <w:rsid w:val="59624F33"/>
    <w:rsid w:val="596B3CA2"/>
    <w:rsid w:val="596C21DC"/>
    <w:rsid w:val="597D6869"/>
    <w:rsid w:val="5988716F"/>
    <w:rsid w:val="599C778B"/>
    <w:rsid w:val="59CC0D4E"/>
    <w:rsid w:val="59D03A04"/>
    <w:rsid w:val="59D40577"/>
    <w:rsid w:val="59D80FE8"/>
    <w:rsid w:val="59F91B3E"/>
    <w:rsid w:val="5A020A23"/>
    <w:rsid w:val="5A037476"/>
    <w:rsid w:val="5A0957F1"/>
    <w:rsid w:val="5A28406B"/>
    <w:rsid w:val="5A3057B4"/>
    <w:rsid w:val="5A4620CF"/>
    <w:rsid w:val="5A582FE6"/>
    <w:rsid w:val="5A65572D"/>
    <w:rsid w:val="5A663955"/>
    <w:rsid w:val="5A776550"/>
    <w:rsid w:val="5A8239FB"/>
    <w:rsid w:val="5A8B5893"/>
    <w:rsid w:val="5ABC0510"/>
    <w:rsid w:val="5AEA1AAE"/>
    <w:rsid w:val="5AED4C1B"/>
    <w:rsid w:val="5AF11EDE"/>
    <w:rsid w:val="5AF42587"/>
    <w:rsid w:val="5B116078"/>
    <w:rsid w:val="5B1419A0"/>
    <w:rsid w:val="5B150A54"/>
    <w:rsid w:val="5B162F19"/>
    <w:rsid w:val="5B185030"/>
    <w:rsid w:val="5B20299D"/>
    <w:rsid w:val="5B316B21"/>
    <w:rsid w:val="5B3F1DB5"/>
    <w:rsid w:val="5B7B5D01"/>
    <w:rsid w:val="5BAB4905"/>
    <w:rsid w:val="5BAC159B"/>
    <w:rsid w:val="5BC91DF4"/>
    <w:rsid w:val="5BDD5BE0"/>
    <w:rsid w:val="5BED3C02"/>
    <w:rsid w:val="5BF81B2D"/>
    <w:rsid w:val="5BFF6736"/>
    <w:rsid w:val="5C302BB6"/>
    <w:rsid w:val="5C52446F"/>
    <w:rsid w:val="5C8408F0"/>
    <w:rsid w:val="5C867265"/>
    <w:rsid w:val="5C8C6C36"/>
    <w:rsid w:val="5C901728"/>
    <w:rsid w:val="5C965957"/>
    <w:rsid w:val="5CAE75C8"/>
    <w:rsid w:val="5CB609B8"/>
    <w:rsid w:val="5CCD1186"/>
    <w:rsid w:val="5CF871ED"/>
    <w:rsid w:val="5D060992"/>
    <w:rsid w:val="5D110251"/>
    <w:rsid w:val="5D196598"/>
    <w:rsid w:val="5D25720C"/>
    <w:rsid w:val="5D2B35FF"/>
    <w:rsid w:val="5D2E60F1"/>
    <w:rsid w:val="5D3959B1"/>
    <w:rsid w:val="5D3C0667"/>
    <w:rsid w:val="5D4B33F2"/>
    <w:rsid w:val="5D4E3684"/>
    <w:rsid w:val="5D541739"/>
    <w:rsid w:val="5D603767"/>
    <w:rsid w:val="5D634689"/>
    <w:rsid w:val="5D6D410D"/>
    <w:rsid w:val="5DB60EAB"/>
    <w:rsid w:val="5DBC65F2"/>
    <w:rsid w:val="5DCF7A63"/>
    <w:rsid w:val="5DE548F0"/>
    <w:rsid w:val="5DF22DCB"/>
    <w:rsid w:val="5E032790"/>
    <w:rsid w:val="5E2F2BA5"/>
    <w:rsid w:val="5E4F1FBE"/>
    <w:rsid w:val="5E7136B3"/>
    <w:rsid w:val="5EA607CC"/>
    <w:rsid w:val="5EA731C3"/>
    <w:rsid w:val="5ECC12F8"/>
    <w:rsid w:val="5ED87808"/>
    <w:rsid w:val="5EE72758"/>
    <w:rsid w:val="5EE93E95"/>
    <w:rsid w:val="5EF00A9F"/>
    <w:rsid w:val="5F026E83"/>
    <w:rsid w:val="5F0D5F64"/>
    <w:rsid w:val="5F364262"/>
    <w:rsid w:val="5F520B89"/>
    <w:rsid w:val="5F74227E"/>
    <w:rsid w:val="5F8351CE"/>
    <w:rsid w:val="5F8F293A"/>
    <w:rsid w:val="5FDB59F9"/>
    <w:rsid w:val="5FE01C28"/>
    <w:rsid w:val="5FE35DB1"/>
    <w:rsid w:val="5FED6E39"/>
    <w:rsid w:val="5FEF49B4"/>
    <w:rsid w:val="60152DFB"/>
    <w:rsid w:val="60527979"/>
    <w:rsid w:val="60565AB4"/>
    <w:rsid w:val="6075770C"/>
    <w:rsid w:val="60816DE5"/>
    <w:rsid w:val="608210E3"/>
    <w:rsid w:val="60885312"/>
    <w:rsid w:val="60C6278F"/>
    <w:rsid w:val="60CC2DB8"/>
    <w:rsid w:val="60DD3862"/>
    <w:rsid w:val="60E46869"/>
    <w:rsid w:val="60EC6976"/>
    <w:rsid w:val="612D4951"/>
    <w:rsid w:val="6139771D"/>
    <w:rsid w:val="61450556"/>
    <w:rsid w:val="61475A71"/>
    <w:rsid w:val="614E689C"/>
    <w:rsid w:val="6152223C"/>
    <w:rsid w:val="616363F5"/>
    <w:rsid w:val="616A6446"/>
    <w:rsid w:val="61AB0336"/>
    <w:rsid w:val="61AB7E9F"/>
    <w:rsid w:val="61B56F70"/>
    <w:rsid w:val="61C02E50"/>
    <w:rsid w:val="61F8409E"/>
    <w:rsid w:val="621C5D71"/>
    <w:rsid w:val="621D42E1"/>
    <w:rsid w:val="62326A29"/>
    <w:rsid w:val="62347FA2"/>
    <w:rsid w:val="623F0400"/>
    <w:rsid w:val="624234CA"/>
    <w:rsid w:val="625473BB"/>
    <w:rsid w:val="627806C9"/>
    <w:rsid w:val="628A72A0"/>
    <w:rsid w:val="629A533D"/>
    <w:rsid w:val="62BC4575"/>
    <w:rsid w:val="6305198A"/>
    <w:rsid w:val="63463687"/>
    <w:rsid w:val="634C56B2"/>
    <w:rsid w:val="6350010E"/>
    <w:rsid w:val="636C18B0"/>
    <w:rsid w:val="636F48D9"/>
    <w:rsid w:val="639B242E"/>
    <w:rsid w:val="63AF71C1"/>
    <w:rsid w:val="63B66AE1"/>
    <w:rsid w:val="63C47F7E"/>
    <w:rsid w:val="63D8564E"/>
    <w:rsid w:val="63F068E5"/>
    <w:rsid w:val="63FC05FF"/>
    <w:rsid w:val="6406104A"/>
    <w:rsid w:val="641A615C"/>
    <w:rsid w:val="641C6E32"/>
    <w:rsid w:val="64223903"/>
    <w:rsid w:val="642976D1"/>
    <w:rsid w:val="642D3D62"/>
    <w:rsid w:val="64337696"/>
    <w:rsid w:val="64395C64"/>
    <w:rsid w:val="643C20B5"/>
    <w:rsid w:val="645B552C"/>
    <w:rsid w:val="645D6C69"/>
    <w:rsid w:val="6460191F"/>
    <w:rsid w:val="646E3CD1"/>
    <w:rsid w:val="64763432"/>
    <w:rsid w:val="64957CF3"/>
    <w:rsid w:val="649829A9"/>
    <w:rsid w:val="64A64B94"/>
    <w:rsid w:val="64C9644F"/>
    <w:rsid w:val="64EC051E"/>
    <w:rsid w:val="64EF2635"/>
    <w:rsid w:val="64FC5EE0"/>
    <w:rsid w:val="65051E1B"/>
    <w:rsid w:val="652066B7"/>
    <w:rsid w:val="65313307"/>
    <w:rsid w:val="65377FC5"/>
    <w:rsid w:val="654839FF"/>
    <w:rsid w:val="654943D9"/>
    <w:rsid w:val="65624D19"/>
    <w:rsid w:val="65861A1B"/>
    <w:rsid w:val="658A450D"/>
    <w:rsid w:val="65B41143"/>
    <w:rsid w:val="65C36135"/>
    <w:rsid w:val="65C576AE"/>
    <w:rsid w:val="65DB7F6A"/>
    <w:rsid w:val="65E04199"/>
    <w:rsid w:val="65E16585"/>
    <w:rsid w:val="65ED5196"/>
    <w:rsid w:val="6600130C"/>
    <w:rsid w:val="660D2BB2"/>
    <w:rsid w:val="663526E8"/>
    <w:rsid w:val="66384800"/>
    <w:rsid w:val="663B6ADC"/>
    <w:rsid w:val="665A551B"/>
    <w:rsid w:val="66801FE8"/>
    <w:rsid w:val="66976B88"/>
    <w:rsid w:val="66B452D2"/>
    <w:rsid w:val="66BD5E1B"/>
    <w:rsid w:val="66BF0F11"/>
    <w:rsid w:val="66EA39EF"/>
    <w:rsid w:val="66F35CB5"/>
    <w:rsid w:val="66F422E8"/>
    <w:rsid w:val="66F6096B"/>
    <w:rsid w:val="66F9345B"/>
    <w:rsid w:val="67073DC9"/>
    <w:rsid w:val="67074E34"/>
    <w:rsid w:val="67125292"/>
    <w:rsid w:val="671D552C"/>
    <w:rsid w:val="67377D3B"/>
    <w:rsid w:val="67737E65"/>
    <w:rsid w:val="67787E6E"/>
    <w:rsid w:val="67E5002E"/>
    <w:rsid w:val="67F85C34"/>
    <w:rsid w:val="67F867D3"/>
    <w:rsid w:val="6814255B"/>
    <w:rsid w:val="68303999"/>
    <w:rsid w:val="68443284"/>
    <w:rsid w:val="68456D65"/>
    <w:rsid w:val="684823E6"/>
    <w:rsid w:val="68680C6F"/>
    <w:rsid w:val="68795138"/>
    <w:rsid w:val="68813643"/>
    <w:rsid w:val="688D38DD"/>
    <w:rsid w:val="68A55712"/>
    <w:rsid w:val="68D93E6E"/>
    <w:rsid w:val="68E7605B"/>
    <w:rsid w:val="68F264B9"/>
    <w:rsid w:val="69000A2F"/>
    <w:rsid w:val="690B569D"/>
    <w:rsid w:val="690C103E"/>
    <w:rsid w:val="690F397F"/>
    <w:rsid w:val="691150BC"/>
    <w:rsid w:val="6914700F"/>
    <w:rsid w:val="69502D4F"/>
    <w:rsid w:val="696F232C"/>
    <w:rsid w:val="69863787"/>
    <w:rsid w:val="69A200AE"/>
    <w:rsid w:val="69CC30A8"/>
    <w:rsid w:val="69DE3DEE"/>
    <w:rsid w:val="69F11830"/>
    <w:rsid w:val="69F43B0C"/>
    <w:rsid w:val="69F97B76"/>
    <w:rsid w:val="6A0A4204"/>
    <w:rsid w:val="6A115B27"/>
    <w:rsid w:val="6A1F3D5D"/>
    <w:rsid w:val="6A3F7AC3"/>
    <w:rsid w:val="6A531ADF"/>
    <w:rsid w:val="6A5645D1"/>
    <w:rsid w:val="6A8F61F9"/>
    <w:rsid w:val="6A991F83"/>
    <w:rsid w:val="6A9E130D"/>
    <w:rsid w:val="6AAA2E85"/>
    <w:rsid w:val="6AB63605"/>
    <w:rsid w:val="6AEC1C54"/>
    <w:rsid w:val="6B022971"/>
    <w:rsid w:val="6B360F09"/>
    <w:rsid w:val="6B3C52FC"/>
    <w:rsid w:val="6B3F724F"/>
    <w:rsid w:val="6B5E3627"/>
    <w:rsid w:val="6B817F21"/>
    <w:rsid w:val="6B845CFB"/>
    <w:rsid w:val="6BA35B0F"/>
    <w:rsid w:val="6BA43B56"/>
    <w:rsid w:val="6BA95681"/>
    <w:rsid w:val="6BCF283F"/>
    <w:rsid w:val="6BD12C1C"/>
    <w:rsid w:val="6BD237BA"/>
    <w:rsid w:val="6BDE1CB3"/>
    <w:rsid w:val="6BE1298B"/>
    <w:rsid w:val="6BF17987"/>
    <w:rsid w:val="6BFE3D94"/>
    <w:rsid w:val="6C0D6B20"/>
    <w:rsid w:val="6C31178D"/>
    <w:rsid w:val="6C311952"/>
    <w:rsid w:val="6C41527C"/>
    <w:rsid w:val="6C6C4AF3"/>
    <w:rsid w:val="6CB50B3A"/>
    <w:rsid w:val="6CC03207"/>
    <w:rsid w:val="6CC80B73"/>
    <w:rsid w:val="6CD81D64"/>
    <w:rsid w:val="6CDE580B"/>
    <w:rsid w:val="6CE26D5D"/>
    <w:rsid w:val="6CF30226"/>
    <w:rsid w:val="6CF42841"/>
    <w:rsid w:val="6CF6233D"/>
    <w:rsid w:val="6D07206C"/>
    <w:rsid w:val="6D1624B9"/>
    <w:rsid w:val="6D3F009A"/>
    <w:rsid w:val="6D4653C0"/>
    <w:rsid w:val="6D475D9B"/>
    <w:rsid w:val="6D821E63"/>
    <w:rsid w:val="6D960444"/>
    <w:rsid w:val="6DA07D03"/>
    <w:rsid w:val="6DA560EA"/>
    <w:rsid w:val="6DD02C0B"/>
    <w:rsid w:val="6DFE5138"/>
    <w:rsid w:val="6E39049D"/>
    <w:rsid w:val="6E6D6BF9"/>
    <w:rsid w:val="6E7979BB"/>
    <w:rsid w:val="6ECE3E72"/>
    <w:rsid w:val="6ED85A05"/>
    <w:rsid w:val="6EFB6D71"/>
    <w:rsid w:val="6F1A07E3"/>
    <w:rsid w:val="6F2A1E3D"/>
    <w:rsid w:val="6F2B6AC3"/>
    <w:rsid w:val="6F572C2C"/>
    <w:rsid w:val="6F6E2FF8"/>
    <w:rsid w:val="6F7246F2"/>
    <w:rsid w:val="6F770DD6"/>
    <w:rsid w:val="6F8406EC"/>
    <w:rsid w:val="6F897271"/>
    <w:rsid w:val="6FDB3A32"/>
    <w:rsid w:val="6FEF16BE"/>
    <w:rsid w:val="6FFE37C5"/>
    <w:rsid w:val="700A63A9"/>
    <w:rsid w:val="70206657"/>
    <w:rsid w:val="70497201"/>
    <w:rsid w:val="7084077A"/>
    <w:rsid w:val="70922C0A"/>
    <w:rsid w:val="70C611A2"/>
    <w:rsid w:val="70D31FDB"/>
    <w:rsid w:val="70DC797C"/>
    <w:rsid w:val="71155335"/>
    <w:rsid w:val="71157B90"/>
    <w:rsid w:val="7142463B"/>
    <w:rsid w:val="71435015"/>
    <w:rsid w:val="71502811"/>
    <w:rsid w:val="7163442E"/>
    <w:rsid w:val="716B1D9A"/>
    <w:rsid w:val="717040CC"/>
    <w:rsid w:val="7171573F"/>
    <w:rsid w:val="71724D1D"/>
    <w:rsid w:val="71877B62"/>
    <w:rsid w:val="71887C3A"/>
    <w:rsid w:val="718A7B0D"/>
    <w:rsid w:val="71A55DCD"/>
    <w:rsid w:val="71C971CF"/>
    <w:rsid w:val="71CC1122"/>
    <w:rsid w:val="71E85A49"/>
    <w:rsid w:val="72406FD7"/>
    <w:rsid w:val="7256696C"/>
    <w:rsid w:val="727427CD"/>
    <w:rsid w:val="72755F49"/>
    <w:rsid w:val="727E4290"/>
    <w:rsid w:val="7284105E"/>
    <w:rsid w:val="72D00B7C"/>
    <w:rsid w:val="72EB64E5"/>
    <w:rsid w:val="73057B87"/>
    <w:rsid w:val="73092C77"/>
    <w:rsid w:val="730D5D09"/>
    <w:rsid w:val="73482ECD"/>
    <w:rsid w:val="73595538"/>
    <w:rsid w:val="738218B4"/>
    <w:rsid w:val="7388043F"/>
    <w:rsid w:val="73B1673D"/>
    <w:rsid w:val="73D65A82"/>
    <w:rsid w:val="73F5335D"/>
    <w:rsid w:val="741D60E7"/>
    <w:rsid w:val="74392BD3"/>
    <w:rsid w:val="74620ED1"/>
    <w:rsid w:val="749B2AF9"/>
    <w:rsid w:val="749E34E5"/>
    <w:rsid w:val="74A0634E"/>
    <w:rsid w:val="74CE7B18"/>
    <w:rsid w:val="74D272F1"/>
    <w:rsid w:val="7513273D"/>
    <w:rsid w:val="7516167C"/>
    <w:rsid w:val="752336E6"/>
    <w:rsid w:val="753A74C2"/>
    <w:rsid w:val="7575775E"/>
    <w:rsid w:val="75792D3E"/>
    <w:rsid w:val="75A90F84"/>
    <w:rsid w:val="75B73335"/>
    <w:rsid w:val="75BE0ADD"/>
    <w:rsid w:val="75EE2450"/>
    <w:rsid w:val="75F94007"/>
    <w:rsid w:val="76126817"/>
    <w:rsid w:val="762978E9"/>
    <w:rsid w:val="763F1FF4"/>
    <w:rsid w:val="76525BE7"/>
    <w:rsid w:val="765406AD"/>
    <w:rsid w:val="766962DF"/>
    <w:rsid w:val="767661FC"/>
    <w:rsid w:val="767C48BF"/>
    <w:rsid w:val="76991D85"/>
    <w:rsid w:val="76A742FA"/>
    <w:rsid w:val="76B45A3B"/>
    <w:rsid w:val="76B80988"/>
    <w:rsid w:val="76DF5207"/>
    <w:rsid w:val="76F01A11"/>
    <w:rsid w:val="76F160FC"/>
    <w:rsid w:val="7721621A"/>
    <w:rsid w:val="772616E6"/>
    <w:rsid w:val="77614A4C"/>
    <w:rsid w:val="7767181A"/>
    <w:rsid w:val="7792018B"/>
    <w:rsid w:val="77A03442"/>
    <w:rsid w:val="77B3120C"/>
    <w:rsid w:val="77BC7F2D"/>
    <w:rsid w:val="77D84854"/>
    <w:rsid w:val="77E80343"/>
    <w:rsid w:val="78055809"/>
    <w:rsid w:val="78066688"/>
    <w:rsid w:val="78066D81"/>
    <w:rsid w:val="781B42DD"/>
    <w:rsid w:val="781F6570"/>
    <w:rsid w:val="783833C6"/>
    <w:rsid w:val="783D7431"/>
    <w:rsid w:val="78536F8A"/>
    <w:rsid w:val="78611500"/>
    <w:rsid w:val="78632A79"/>
    <w:rsid w:val="786D673B"/>
    <w:rsid w:val="78714FEE"/>
    <w:rsid w:val="78810ADD"/>
    <w:rsid w:val="7891447C"/>
    <w:rsid w:val="78933027"/>
    <w:rsid w:val="78AB77B5"/>
    <w:rsid w:val="78BB2831"/>
    <w:rsid w:val="78C35776"/>
    <w:rsid w:val="78DB325B"/>
    <w:rsid w:val="78E068EC"/>
    <w:rsid w:val="790A5788"/>
    <w:rsid w:val="790E0D53"/>
    <w:rsid w:val="7918089D"/>
    <w:rsid w:val="79394735"/>
    <w:rsid w:val="793C27A7"/>
    <w:rsid w:val="79406E32"/>
    <w:rsid w:val="79440AEE"/>
    <w:rsid w:val="794A4D1D"/>
    <w:rsid w:val="794B5359"/>
    <w:rsid w:val="79517126"/>
    <w:rsid w:val="79523064"/>
    <w:rsid w:val="79663D82"/>
    <w:rsid w:val="798A40ED"/>
    <w:rsid w:val="798C582B"/>
    <w:rsid w:val="799004E1"/>
    <w:rsid w:val="799325F8"/>
    <w:rsid w:val="79975C89"/>
    <w:rsid w:val="799F326C"/>
    <w:rsid w:val="79A92E6E"/>
    <w:rsid w:val="79D20E2A"/>
    <w:rsid w:val="79D85059"/>
    <w:rsid w:val="79DB7D0F"/>
    <w:rsid w:val="7A117820"/>
    <w:rsid w:val="7A40386B"/>
    <w:rsid w:val="7A550ECC"/>
    <w:rsid w:val="7A8506A9"/>
    <w:rsid w:val="7A854B36"/>
    <w:rsid w:val="7A8A12E6"/>
    <w:rsid w:val="7A8F4231"/>
    <w:rsid w:val="7A975006"/>
    <w:rsid w:val="7AB14D88"/>
    <w:rsid w:val="7ABA3C6D"/>
    <w:rsid w:val="7AC4352C"/>
    <w:rsid w:val="7ACA47EB"/>
    <w:rsid w:val="7AD81B0D"/>
    <w:rsid w:val="7ADF6716"/>
    <w:rsid w:val="7AEC02B2"/>
    <w:rsid w:val="7B2D0220"/>
    <w:rsid w:val="7B3371B0"/>
    <w:rsid w:val="7B5D3CC6"/>
    <w:rsid w:val="7B81367F"/>
    <w:rsid w:val="7B8C61F4"/>
    <w:rsid w:val="7B9B1144"/>
    <w:rsid w:val="7BB1183B"/>
    <w:rsid w:val="7BCC55C4"/>
    <w:rsid w:val="7BDA5FBB"/>
    <w:rsid w:val="7BEC6E73"/>
    <w:rsid w:val="7BF613F6"/>
    <w:rsid w:val="7BF95214"/>
    <w:rsid w:val="7BFA0648"/>
    <w:rsid w:val="7C0C4D1D"/>
    <w:rsid w:val="7C666B16"/>
    <w:rsid w:val="7C821861"/>
    <w:rsid w:val="7C8F4BFB"/>
    <w:rsid w:val="7CC12815"/>
    <w:rsid w:val="7CC50BB2"/>
    <w:rsid w:val="7CEC1490"/>
    <w:rsid w:val="7D0211AE"/>
    <w:rsid w:val="7D231EC9"/>
    <w:rsid w:val="7D273AB1"/>
    <w:rsid w:val="7D463234"/>
    <w:rsid w:val="7D5471E5"/>
    <w:rsid w:val="7D580E3B"/>
    <w:rsid w:val="7D976E56"/>
    <w:rsid w:val="7DAD754E"/>
    <w:rsid w:val="7DB66434"/>
    <w:rsid w:val="7DB72358"/>
    <w:rsid w:val="7DC5051A"/>
    <w:rsid w:val="7DD33735"/>
    <w:rsid w:val="7DDB4DC4"/>
    <w:rsid w:val="7DE04732"/>
    <w:rsid w:val="7DE6133B"/>
    <w:rsid w:val="7DEB49CB"/>
    <w:rsid w:val="7DF759C8"/>
    <w:rsid w:val="7E187245"/>
    <w:rsid w:val="7E197E94"/>
    <w:rsid w:val="7E1F3128"/>
    <w:rsid w:val="7E26070B"/>
    <w:rsid w:val="7E2929E7"/>
    <w:rsid w:val="7E342C81"/>
    <w:rsid w:val="7E343751"/>
    <w:rsid w:val="7E3E1ED9"/>
    <w:rsid w:val="7E4C40DC"/>
    <w:rsid w:val="7E68083E"/>
    <w:rsid w:val="7E762BF0"/>
    <w:rsid w:val="7E8055BB"/>
    <w:rsid w:val="7E845165"/>
    <w:rsid w:val="7E94444F"/>
    <w:rsid w:val="7EA87C1F"/>
    <w:rsid w:val="7EB23FBB"/>
    <w:rsid w:val="7EEF3F71"/>
    <w:rsid w:val="7EEF71C5"/>
    <w:rsid w:val="7EFE7085"/>
    <w:rsid w:val="7F09731F"/>
    <w:rsid w:val="7F0A7EBE"/>
    <w:rsid w:val="7F2B5A22"/>
    <w:rsid w:val="7F2E2B2B"/>
    <w:rsid w:val="7F5A1B02"/>
    <w:rsid w:val="7F5F65D1"/>
    <w:rsid w:val="7F606FAC"/>
    <w:rsid w:val="7F702171"/>
    <w:rsid w:val="7F78058B"/>
    <w:rsid w:val="7F806F63"/>
    <w:rsid w:val="7F832384"/>
    <w:rsid w:val="7F8579C4"/>
    <w:rsid w:val="7FCB7B83"/>
    <w:rsid w:val="7FDD2E1F"/>
    <w:rsid w:val="7FE728A3"/>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iPriority="99"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line="360" w:lineRule="auto"/>
      <w:ind w:firstLine="640" w:firstLineChars="200"/>
    </w:pPr>
    <w:rPr>
      <w:rFonts w:ascii="Times New Roman" w:hAnsi="Times New Roman" w:eastAsia="宋体" w:cs="Times New Roman"/>
      <w:sz w:val="24"/>
      <w:szCs w:val="24"/>
      <w:lang w:val="en-US" w:eastAsia="zh-CN" w:bidi="ar-SA"/>
    </w:rPr>
  </w:style>
  <w:style w:type="paragraph" w:styleId="2">
    <w:name w:val="heading 1"/>
    <w:basedOn w:val="1"/>
    <w:next w:val="1"/>
    <w:link w:val="92"/>
    <w:autoRedefine/>
    <w:qFormat/>
    <w:uiPriority w:val="0"/>
    <w:pPr>
      <w:keepNext/>
      <w:keepLines/>
      <w:spacing w:before="340" w:after="330" w:line="576" w:lineRule="auto"/>
      <w:jc w:val="center"/>
      <w:outlineLvl w:val="0"/>
    </w:pPr>
    <w:rPr>
      <w:b/>
      <w:kern w:val="44"/>
      <w:sz w:val="32"/>
    </w:rPr>
  </w:style>
  <w:style w:type="paragraph" w:styleId="3">
    <w:name w:val="heading 2"/>
    <w:basedOn w:val="1"/>
    <w:next w:val="1"/>
    <w:link w:val="39"/>
    <w:autoRedefine/>
    <w:qFormat/>
    <w:uiPriority w:val="0"/>
    <w:pPr>
      <w:keepNext/>
      <w:keepLines/>
      <w:ind w:firstLine="0" w:firstLineChars="0"/>
      <w:outlineLvl w:val="1"/>
    </w:pPr>
    <w:rPr>
      <w:b/>
      <w:sz w:val="28"/>
    </w:rPr>
  </w:style>
  <w:style w:type="paragraph" w:styleId="4">
    <w:name w:val="heading 3"/>
    <w:basedOn w:val="1"/>
    <w:next w:val="1"/>
    <w:link w:val="38"/>
    <w:autoRedefine/>
    <w:qFormat/>
    <w:uiPriority w:val="0"/>
    <w:pPr>
      <w:keepNext/>
      <w:keepLines/>
      <w:ind w:firstLine="0" w:firstLineChars="0"/>
      <w:outlineLvl w:val="2"/>
    </w:pPr>
    <w:rPr>
      <w:b/>
      <w:sz w:val="28"/>
    </w:rPr>
  </w:style>
  <w:style w:type="paragraph" w:styleId="5">
    <w:name w:val="heading 4"/>
    <w:basedOn w:val="1"/>
    <w:next w:val="1"/>
    <w:link w:val="41"/>
    <w:autoRedefine/>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2"/>
    <w:autoRedefine/>
    <w:qFormat/>
    <w:uiPriority w:val="0"/>
    <w:pPr>
      <w:keepNext/>
      <w:keepLines/>
      <w:widowControl w:val="0"/>
      <w:spacing w:line="240" w:lineRule="auto"/>
      <w:ind w:firstLine="0" w:firstLineChars="0"/>
      <w:jc w:val="center"/>
      <w:outlineLvl w:val="4"/>
    </w:pPr>
    <w:rPr>
      <w:rFonts w:asciiTheme="minorHAnsi" w:hAnsiTheme="minorHAnsi" w:cstheme="minorBidi"/>
      <w:b/>
      <w:bCs/>
      <w:kern w:val="2"/>
      <w:sz w:val="21"/>
      <w:szCs w:val="28"/>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7">
    <w:name w:val="List 3"/>
    <w:basedOn w:val="1"/>
    <w:autoRedefine/>
    <w:qFormat/>
    <w:uiPriority w:val="0"/>
    <w:pPr>
      <w:adjustRightInd w:val="0"/>
      <w:snapToGrid w:val="0"/>
      <w:spacing w:line="240" w:lineRule="auto"/>
      <w:ind w:firstLine="0" w:firstLineChars="0"/>
      <w:jc w:val="center"/>
    </w:pPr>
    <w:rPr>
      <w:szCs w:val="20"/>
      <w:lang w:eastAsia="en-US" w:bidi="en-US"/>
    </w:rPr>
  </w:style>
  <w:style w:type="paragraph" w:styleId="8">
    <w:name w:val="Normal Indent"/>
    <w:basedOn w:val="1"/>
    <w:next w:val="1"/>
    <w:autoRedefine/>
    <w:qFormat/>
    <w:uiPriority w:val="0"/>
    <w:pPr>
      <w:widowControl w:val="0"/>
      <w:spacing w:line="240" w:lineRule="auto"/>
      <w:ind w:firstLine="420" w:firstLineChars="0"/>
      <w:jc w:val="both"/>
    </w:pPr>
    <w:rPr>
      <w:rFonts w:asciiTheme="minorHAnsi" w:hAnsiTheme="minorHAnsi" w:eastAsiaTheme="minorEastAsia" w:cstheme="minorBidi"/>
      <w:kern w:val="2"/>
      <w:sz w:val="21"/>
      <w:szCs w:val="20"/>
    </w:rPr>
  </w:style>
  <w:style w:type="paragraph" w:styleId="9">
    <w:name w:val="caption"/>
    <w:basedOn w:val="1"/>
    <w:next w:val="10"/>
    <w:autoRedefine/>
    <w:qFormat/>
    <w:uiPriority w:val="0"/>
    <w:pPr>
      <w:jc w:val="center"/>
    </w:pPr>
    <w:rPr>
      <w:rFonts w:cs="Arial"/>
      <w:b/>
      <w:sz w:val="21"/>
      <w:szCs w:val="20"/>
    </w:rPr>
  </w:style>
  <w:style w:type="paragraph" w:styleId="10">
    <w:name w:val="Body Text First Indent"/>
    <w:basedOn w:val="11"/>
    <w:link w:val="62"/>
    <w:autoRedefine/>
    <w:qFormat/>
    <w:uiPriority w:val="0"/>
    <w:pPr>
      <w:widowControl/>
      <w:autoSpaceDE/>
      <w:autoSpaceDN/>
      <w:adjustRightInd/>
      <w:spacing w:before="0" w:after="120"/>
      <w:ind w:left="0" w:firstLine="420" w:firstLineChars="100"/>
    </w:pPr>
    <w:rPr>
      <w:rFonts w:ascii="Times New Roman" w:cs="Times New Roman"/>
    </w:rPr>
  </w:style>
  <w:style w:type="paragraph" w:styleId="11">
    <w:name w:val="Body Text"/>
    <w:basedOn w:val="1"/>
    <w:next w:val="12"/>
    <w:link w:val="44"/>
    <w:autoRedefine/>
    <w:qFormat/>
    <w:uiPriority w:val="0"/>
    <w:pPr>
      <w:widowControl w:val="0"/>
      <w:autoSpaceDE w:val="0"/>
      <w:autoSpaceDN w:val="0"/>
      <w:adjustRightInd w:val="0"/>
      <w:spacing w:before="135"/>
      <w:ind w:left="138"/>
    </w:pPr>
    <w:rPr>
      <w:rFonts w:ascii="宋体" w:cs="宋体"/>
    </w:rPr>
  </w:style>
  <w:style w:type="paragraph" w:customStyle="1" w:styleId="12">
    <w:name w:val="xl27"/>
    <w:basedOn w:val="1"/>
    <w:autoRedefine/>
    <w:qFormat/>
    <w:uiPriority w:val="0"/>
    <w:pPr>
      <w:widowControl w:val="0"/>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both"/>
      <w:textAlignment w:val="center"/>
    </w:pPr>
    <w:rPr>
      <w:rFonts w:asciiTheme="minorHAnsi" w:hAnsiTheme="minorHAnsi" w:eastAsiaTheme="minorEastAsia" w:cstheme="minorBidi"/>
      <w:kern w:val="2"/>
      <w:sz w:val="21"/>
    </w:rPr>
  </w:style>
  <w:style w:type="paragraph" w:styleId="13">
    <w:name w:val="annotation text"/>
    <w:basedOn w:val="1"/>
    <w:link w:val="57"/>
    <w:autoRedefine/>
    <w:qFormat/>
    <w:uiPriority w:val="0"/>
    <w:pPr>
      <w:widowControl w:val="0"/>
      <w:spacing w:line="240" w:lineRule="auto"/>
      <w:ind w:firstLine="0" w:firstLineChars="0"/>
    </w:pPr>
    <w:rPr>
      <w:rFonts w:asciiTheme="minorHAnsi" w:hAnsiTheme="minorHAnsi" w:eastAsiaTheme="minorEastAsia" w:cstheme="minorBidi"/>
      <w:kern w:val="2"/>
      <w:sz w:val="21"/>
    </w:rPr>
  </w:style>
  <w:style w:type="paragraph" w:styleId="14">
    <w:name w:val="Body Text Indent"/>
    <w:basedOn w:val="1"/>
    <w:autoRedefine/>
    <w:unhideWhenUsed/>
    <w:qFormat/>
    <w:uiPriority w:val="0"/>
    <w:pPr>
      <w:spacing w:after="120"/>
      <w:ind w:left="420" w:leftChars="200"/>
    </w:pPr>
  </w:style>
  <w:style w:type="paragraph" w:styleId="15">
    <w:name w:val="toc 3"/>
    <w:basedOn w:val="1"/>
    <w:next w:val="1"/>
    <w:autoRedefine/>
    <w:qFormat/>
    <w:uiPriority w:val="39"/>
    <w:pPr>
      <w:widowControl w:val="0"/>
      <w:spacing w:line="240" w:lineRule="auto"/>
      <w:ind w:left="840" w:leftChars="400" w:firstLine="0" w:firstLineChars="0"/>
      <w:jc w:val="both"/>
    </w:pPr>
    <w:rPr>
      <w:rFonts w:asciiTheme="minorHAnsi" w:hAnsiTheme="minorHAnsi" w:eastAsiaTheme="minorEastAsia" w:cstheme="minorBidi"/>
      <w:kern w:val="2"/>
      <w:sz w:val="21"/>
    </w:rPr>
  </w:style>
  <w:style w:type="paragraph" w:styleId="16">
    <w:name w:val="Plain Text"/>
    <w:basedOn w:val="1"/>
    <w:next w:val="1"/>
    <w:link w:val="60"/>
    <w:autoRedefine/>
    <w:qFormat/>
    <w:uiPriority w:val="0"/>
    <w:pPr>
      <w:widowControl w:val="0"/>
      <w:spacing w:line="240" w:lineRule="auto"/>
      <w:ind w:firstLine="0" w:firstLineChars="0"/>
      <w:jc w:val="center"/>
    </w:pPr>
    <w:rPr>
      <w:rFonts w:ascii="宋体" w:hAnsi="宋体" w:eastAsiaTheme="minorEastAsia" w:cstheme="minorBidi"/>
      <w:kern w:val="2"/>
      <w:sz w:val="21"/>
      <w:szCs w:val="20"/>
    </w:rPr>
  </w:style>
  <w:style w:type="paragraph" w:styleId="17">
    <w:name w:val="Body Text Indent 2"/>
    <w:basedOn w:val="1"/>
    <w:autoRedefine/>
    <w:qFormat/>
    <w:uiPriority w:val="0"/>
    <w:pPr>
      <w:ind w:firstLine="420"/>
    </w:pPr>
  </w:style>
  <w:style w:type="paragraph" w:styleId="18">
    <w:name w:val="endnote text"/>
    <w:basedOn w:val="1"/>
    <w:link w:val="64"/>
    <w:autoRedefine/>
    <w:qFormat/>
    <w:uiPriority w:val="0"/>
    <w:pPr>
      <w:widowControl w:val="0"/>
      <w:snapToGrid w:val="0"/>
      <w:spacing w:line="240" w:lineRule="auto"/>
      <w:ind w:firstLine="0" w:firstLineChars="0"/>
    </w:pPr>
    <w:rPr>
      <w:rFonts w:asciiTheme="minorHAnsi" w:hAnsiTheme="minorHAnsi" w:eastAsiaTheme="minorEastAsia" w:cstheme="minorBidi"/>
      <w:kern w:val="2"/>
      <w:sz w:val="21"/>
    </w:rPr>
  </w:style>
  <w:style w:type="paragraph" w:styleId="19">
    <w:name w:val="Balloon Text"/>
    <w:basedOn w:val="1"/>
    <w:link w:val="56"/>
    <w:autoRedefine/>
    <w:qFormat/>
    <w:uiPriority w:val="0"/>
    <w:pPr>
      <w:spacing w:line="240" w:lineRule="auto"/>
    </w:pPr>
    <w:rPr>
      <w:sz w:val="18"/>
      <w:szCs w:val="18"/>
    </w:rPr>
  </w:style>
  <w:style w:type="paragraph" w:styleId="20">
    <w:name w:val="footer"/>
    <w:basedOn w:val="1"/>
    <w:link w:val="89"/>
    <w:autoRedefine/>
    <w:qFormat/>
    <w:uiPriority w:val="99"/>
    <w:pPr>
      <w:tabs>
        <w:tab w:val="center" w:pos="4153"/>
        <w:tab w:val="right" w:pos="8306"/>
      </w:tabs>
      <w:snapToGrid w:val="0"/>
    </w:pPr>
    <w:rPr>
      <w:sz w:val="18"/>
    </w:rPr>
  </w:style>
  <w:style w:type="paragraph" w:styleId="21">
    <w:name w:val="header"/>
    <w:basedOn w:val="1"/>
    <w:link w:val="45"/>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22">
    <w:name w:val="toc 1"/>
    <w:basedOn w:val="1"/>
    <w:next w:val="1"/>
    <w:autoRedefine/>
    <w:qFormat/>
    <w:uiPriority w:val="39"/>
  </w:style>
  <w:style w:type="paragraph" w:styleId="23">
    <w:name w:val="index heading"/>
    <w:basedOn w:val="1"/>
    <w:next w:val="24"/>
    <w:link w:val="43"/>
    <w:autoRedefine/>
    <w:unhideWhenUsed/>
    <w:qFormat/>
    <w:uiPriority w:val="99"/>
    <w:rPr>
      <w:rFonts w:ascii="Arial" w:hAnsi="Arial"/>
      <w:b/>
    </w:rPr>
  </w:style>
  <w:style w:type="paragraph" w:styleId="24">
    <w:name w:val="index 1"/>
    <w:basedOn w:val="1"/>
    <w:next w:val="1"/>
    <w:autoRedefine/>
    <w:qFormat/>
    <w:uiPriority w:val="0"/>
    <w:pPr>
      <w:snapToGrid w:val="0"/>
      <w:jc w:val="center"/>
    </w:pPr>
    <w:rPr>
      <w:szCs w:val="21"/>
    </w:rPr>
  </w:style>
  <w:style w:type="paragraph" w:styleId="25">
    <w:name w:val="List"/>
    <w:basedOn w:val="1"/>
    <w:next w:val="1"/>
    <w:autoRedefine/>
    <w:unhideWhenUsed/>
    <w:qFormat/>
    <w:uiPriority w:val="0"/>
    <w:pPr>
      <w:spacing w:line="240" w:lineRule="atLeast"/>
      <w:ind w:left="680" w:hanging="680" w:hangingChars="200"/>
      <w:jc w:val="center"/>
    </w:pPr>
    <w:rPr>
      <w:rFonts w:ascii="Calibri" w:hAnsi="Calibri"/>
      <w:sz w:val="21"/>
      <w:lang w:eastAsia="en-US" w:bidi="en-US"/>
    </w:rPr>
  </w:style>
  <w:style w:type="paragraph" w:styleId="26">
    <w:name w:val="toc 2"/>
    <w:basedOn w:val="1"/>
    <w:next w:val="1"/>
    <w:autoRedefine/>
    <w:qFormat/>
    <w:uiPriority w:val="39"/>
    <w:pPr>
      <w:ind w:left="420" w:leftChars="200"/>
    </w:pPr>
  </w:style>
  <w:style w:type="paragraph" w:styleId="27">
    <w:name w:val="Normal (Web)"/>
    <w:basedOn w:val="1"/>
    <w:autoRedefine/>
    <w:unhideWhenUsed/>
    <w:qFormat/>
    <w:uiPriority w:val="99"/>
    <w:pPr>
      <w:spacing w:before="100" w:beforeAutospacing="1" w:after="100" w:afterAutospacing="1" w:line="240" w:lineRule="auto"/>
      <w:ind w:firstLine="0" w:firstLineChars="0"/>
    </w:pPr>
    <w:rPr>
      <w:rFonts w:ascii="宋体" w:hAnsi="宋体" w:cs="宋体"/>
    </w:rPr>
  </w:style>
  <w:style w:type="paragraph" w:styleId="28">
    <w:name w:val="Title"/>
    <w:basedOn w:val="1"/>
    <w:next w:val="1"/>
    <w:link w:val="63"/>
    <w:autoRedefine/>
    <w:qFormat/>
    <w:uiPriority w:val="0"/>
    <w:pPr>
      <w:widowControl w:val="0"/>
      <w:spacing w:before="240" w:after="60" w:line="240" w:lineRule="auto"/>
      <w:ind w:firstLine="0" w:firstLineChars="0"/>
      <w:jc w:val="center"/>
      <w:outlineLvl w:val="0"/>
    </w:pPr>
    <w:rPr>
      <w:rFonts w:ascii="Cambria" w:hAnsi="Cambria"/>
      <w:b/>
      <w:bCs/>
      <w:kern w:val="2"/>
      <w:sz w:val="32"/>
      <w:szCs w:val="32"/>
    </w:rPr>
  </w:style>
  <w:style w:type="paragraph" w:styleId="29">
    <w:name w:val="annotation subject"/>
    <w:basedOn w:val="13"/>
    <w:next w:val="13"/>
    <w:link w:val="109"/>
    <w:autoRedefine/>
    <w:qFormat/>
    <w:uiPriority w:val="0"/>
    <w:pPr>
      <w:widowControl/>
      <w:spacing w:line="360" w:lineRule="auto"/>
      <w:ind w:firstLine="640" w:firstLineChars="200"/>
    </w:pPr>
    <w:rPr>
      <w:rFonts w:ascii="Times New Roman" w:hAnsi="Times New Roman" w:eastAsia="宋体" w:cs="Times New Roman"/>
      <w:b/>
      <w:bCs/>
      <w:kern w:val="0"/>
      <w:sz w:val="24"/>
    </w:rPr>
  </w:style>
  <w:style w:type="paragraph" w:styleId="30">
    <w:name w:val="Body Text First Indent 2"/>
    <w:basedOn w:val="1"/>
    <w:next w:val="1"/>
    <w:autoRedefine/>
    <w:semiHidden/>
    <w:qFormat/>
    <w:uiPriority w:val="0"/>
    <w:pPr>
      <w:spacing w:after="120" w:line="240" w:lineRule="auto"/>
      <w:ind w:left="420" w:leftChars="200" w:firstLine="420"/>
    </w:pPr>
    <w:rPr>
      <w:sz w:val="21"/>
    </w:rPr>
  </w:style>
  <w:style w:type="table" w:styleId="32">
    <w:name w:val="Table Grid"/>
    <w:basedOn w:val="31"/>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endnote reference"/>
    <w:basedOn w:val="33"/>
    <w:autoRedefine/>
    <w:qFormat/>
    <w:uiPriority w:val="0"/>
    <w:rPr>
      <w:vertAlign w:val="superscript"/>
    </w:rPr>
  </w:style>
  <w:style w:type="character" w:styleId="35">
    <w:name w:val="Hyperlink"/>
    <w:autoRedefine/>
    <w:qFormat/>
    <w:uiPriority w:val="99"/>
    <w:rPr>
      <w:color w:val="0000FF"/>
      <w:u w:val="single"/>
    </w:rPr>
  </w:style>
  <w:style w:type="character" w:styleId="36">
    <w:name w:val="annotation reference"/>
    <w:basedOn w:val="33"/>
    <w:autoRedefine/>
    <w:qFormat/>
    <w:uiPriority w:val="0"/>
    <w:rPr>
      <w:sz w:val="21"/>
      <w:szCs w:val="21"/>
    </w:rPr>
  </w:style>
  <w:style w:type="paragraph" w:customStyle="1" w:styleId="37">
    <w:name w:val="风评表头"/>
    <w:basedOn w:val="1"/>
    <w:next w:val="1"/>
    <w:autoRedefine/>
    <w:qFormat/>
    <w:uiPriority w:val="0"/>
    <w:pPr>
      <w:snapToGrid w:val="0"/>
      <w:spacing w:beforeLines="100" w:line="480" w:lineRule="exact"/>
      <w:ind w:firstLine="880" w:firstLineChars="200"/>
      <w:jc w:val="center"/>
    </w:pPr>
    <w:rPr>
      <w:rFonts w:eastAsia="黑体"/>
      <w:b/>
      <w:sz w:val="24"/>
      <w:szCs w:val="22"/>
    </w:rPr>
  </w:style>
  <w:style w:type="character" w:customStyle="1" w:styleId="38">
    <w:name w:val="标题 3 字符"/>
    <w:link w:val="4"/>
    <w:autoRedefine/>
    <w:qFormat/>
    <w:uiPriority w:val="0"/>
    <w:rPr>
      <w:b/>
      <w:sz w:val="28"/>
      <w:szCs w:val="24"/>
    </w:rPr>
  </w:style>
  <w:style w:type="character" w:customStyle="1" w:styleId="39">
    <w:name w:val="标题 2 字符"/>
    <w:link w:val="3"/>
    <w:autoRedefine/>
    <w:qFormat/>
    <w:uiPriority w:val="0"/>
    <w:rPr>
      <w:b/>
      <w:sz w:val="28"/>
      <w:szCs w:val="24"/>
    </w:rPr>
  </w:style>
  <w:style w:type="paragraph" w:customStyle="1" w:styleId="40">
    <w:name w:val="_Style 1"/>
    <w:autoRedefine/>
    <w:qFormat/>
    <w:uiPriority w:val="1"/>
    <w:pPr>
      <w:adjustRightInd w:val="0"/>
      <w:snapToGrid w:val="0"/>
      <w:spacing w:line="480" w:lineRule="exact"/>
      <w:ind w:firstLine="480" w:firstLineChars="200"/>
      <w:jc w:val="center"/>
    </w:pPr>
    <w:rPr>
      <w:rFonts w:ascii="Times New Roman" w:hAnsi="Times New Roman" w:eastAsia="宋体" w:cs="Times New Roman"/>
      <w:sz w:val="24"/>
      <w:szCs w:val="22"/>
      <w:lang w:val="en-US" w:eastAsia="zh-CN" w:bidi="ar-SA"/>
    </w:rPr>
  </w:style>
  <w:style w:type="character" w:customStyle="1" w:styleId="41">
    <w:name w:val="标题 4 字符"/>
    <w:basedOn w:val="33"/>
    <w:link w:val="5"/>
    <w:autoRedefine/>
    <w:qFormat/>
    <w:uiPriority w:val="0"/>
    <w:rPr>
      <w:rFonts w:asciiTheme="majorHAnsi" w:hAnsiTheme="majorHAnsi" w:eastAsiaTheme="majorEastAsia" w:cstheme="majorBidi"/>
      <w:b/>
      <w:bCs/>
      <w:sz w:val="28"/>
      <w:szCs w:val="28"/>
    </w:rPr>
  </w:style>
  <w:style w:type="character" w:customStyle="1" w:styleId="42">
    <w:name w:val="标题 5 字符"/>
    <w:basedOn w:val="33"/>
    <w:link w:val="6"/>
    <w:autoRedefine/>
    <w:qFormat/>
    <w:uiPriority w:val="0"/>
    <w:rPr>
      <w:rFonts w:asciiTheme="minorHAnsi" w:hAnsiTheme="minorHAnsi" w:cstheme="minorBidi"/>
      <w:b/>
      <w:bCs/>
      <w:kern w:val="2"/>
      <w:sz w:val="21"/>
      <w:szCs w:val="28"/>
    </w:rPr>
  </w:style>
  <w:style w:type="character" w:customStyle="1" w:styleId="43">
    <w:name w:val="索引标题 字符"/>
    <w:basedOn w:val="33"/>
    <w:link w:val="23"/>
    <w:autoRedefine/>
    <w:qFormat/>
    <w:uiPriority w:val="99"/>
    <w:rPr>
      <w:rFonts w:ascii="Arial" w:hAnsi="Arial"/>
      <w:b/>
      <w:sz w:val="24"/>
      <w:szCs w:val="24"/>
    </w:rPr>
  </w:style>
  <w:style w:type="character" w:customStyle="1" w:styleId="44">
    <w:name w:val="正文文本 字符"/>
    <w:basedOn w:val="43"/>
    <w:link w:val="11"/>
    <w:autoRedefine/>
    <w:qFormat/>
    <w:uiPriority w:val="1"/>
    <w:rPr>
      <w:rFonts w:ascii="宋体" w:hAnsi="Arial" w:cs="宋体"/>
      <w:sz w:val="24"/>
      <w:szCs w:val="24"/>
    </w:rPr>
  </w:style>
  <w:style w:type="character" w:customStyle="1" w:styleId="45">
    <w:name w:val="页眉 字符"/>
    <w:basedOn w:val="33"/>
    <w:link w:val="21"/>
    <w:autoRedefine/>
    <w:qFormat/>
    <w:uiPriority w:val="99"/>
    <w:rPr>
      <w:sz w:val="18"/>
      <w:szCs w:val="24"/>
    </w:rPr>
  </w:style>
  <w:style w:type="paragraph" w:customStyle="1" w:styleId="46">
    <w:name w:val="0正文"/>
    <w:basedOn w:val="14"/>
    <w:autoRedefine/>
    <w:unhideWhenUsed/>
    <w:qFormat/>
    <w:uiPriority w:val="0"/>
    <w:pPr>
      <w:widowControl w:val="0"/>
      <w:ind w:firstLine="720"/>
    </w:pPr>
    <w:rPr>
      <w:szCs w:val="22"/>
    </w:rPr>
  </w:style>
  <w:style w:type="paragraph" w:customStyle="1" w:styleId="47">
    <w:name w:val="_Style 4"/>
    <w:autoRedefine/>
    <w:qFormat/>
    <w:uiPriority w:val="1"/>
    <w:pPr>
      <w:widowControl w:val="0"/>
      <w:jc w:val="both"/>
    </w:pPr>
    <w:rPr>
      <w:rFonts w:ascii="Times New Roman" w:hAnsi="Times New Roman" w:eastAsia="仿宋_GB2312" w:cs="Times New Roman"/>
      <w:kern w:val="2"/>
      <w:sz w:val="24"/>
      <w:szCs w:val="22"/>
      <w:lang w:val="en-US" w:eastAsia="zh-CN" w:bidi="ar-SA"/>
    </w:rPr>
  </w:style>
  <w:style w:type="paragraph" w:customStyle="1" w:styleId="48">
    <w:name w:val="正文（首行缩进）"/>
    <w:basedOn w:val="1"/>
    <w:autoRedefine/>
    <w:qFormat/>
    <w:uiPriority w:val="0"/>
    <w:pPr>
      <w:widowControl w:val="0"/>
      <w:adjustRightInd w:val="0"/>
      <w:snapToGrid w:val="0"/>
      <w:ind w:firstLine="200"/>
      <w:jc w:val="both"/>
    </w:pPr>
    <w:rPr>
      <w:snapToGrid w:val="0"/>
    </w:rPr>
  </w:style>
  <w:style w:type="paragraph" w:customStyle="1" w:styleId="49">
    <w:name w:val="报告正文"/>
    <w:basedOn w:val="1"/>
    <w:autoRedefine/>
    <w:qFormat/>
    <w:uiPriority w:val="0"/>
    <w:pPr>
      <w:adjustRightInd w:val="0"/>
      <w:snapToGrid w:val="0"/>
      <w:spacing w:line="480" w:lineRule="exact"/>
      <w:ind w:firstLine="200"/>
    </w:pPr>
  </w:style>
  <w:style w:type="table" w:customStyle="1" w:styleId="50">
    <w:name w:val="Table Normal"/>
    <w:autoRedefine/>
    <w:unhideWhenUsed/>
    <w:qFormat/>
    <w:uiPriority w:val="0"/>
    <w:tblPr>
      <w:tblCellMar>
        <w:top w:w="0" w:type="dxa"/>
        <w:left w:w="0" w:type="dxa"/>
        <w:bottom w:w="0" w:type="dxa"/>
        <w:right w:w="0" w:type="dxa"/>
      </w:tblCellMar>
    </w:tblPr>
  </w:style>
  <w:style w:type="paragraph" w:customStyle="1" w:styleId="51">
    <w:name w:val="表内文字"/>
    <w:autoRedefine/>
    <w:qFormat/>
    <w:uiPriority w:val="0"/>
    <w:pPr>
      <w:jc w:val="center"/>
    </w:pPr>
    <w:rPr>
      <w:rFonts w:ascii="Times New Roman" w:hAnsi="Times New Roman" w:eastAsia="Times New Roman" w:cs="Times New Roman"/>
      <w:sz w:val="21"/>
      <w:szCs w:val="22"/>
      <w:lang w:val="en-US" w:eastAsia="zh-CN" w:bidi="ar-SA"/>
    </w:rPr>
  </w:style>
  <w:style w:type="paragraph" w:customStyle="1" w:styleId="52">
    <w:name w:val="环保表内字（五号）"/>
    <w:basedOn w:val="1"/>
    <w:autoRedefine/>
    <w:qFormat/>
    <w:uiPriority w:val="0"/>
    <w:pPr>
      <w:autoSpaceDE w:val="0"/>
      <w:autoSpaceDN w:val="0"/>
      <w:adjustRightInd w:val="0"/>
      <w:snapToGrid w:val="0"/>
      <w:spacing w:beforeAutospacing="1" w:afterAutospacing="1"/>
      <w:ind w:left="-1" w:leftChars="-1" w:hanging="2" w:hangingChars="1"/>
      <w:jc w:val="center"/>
    </w:pPr>
    <w:rPr>
      <w:color w:val="000000"/>
      <w:szCs w:val="21"/>
    </w:rPr>
  </w:style>
  <w:style w:type="paragraph" w:customStyle="1" w:styleId="53">
    <w:name w:val="表内字"/>
    <w:basedOn w:val="1"/>
    <w:autoRedefine/>
    <w:qFormat/>
    <w:uiPriority w:val="0"/>
    <w:pPr>
      <w:spacing w:line="312" w:lineRule="auto"/>
      <w:jc w:val="center"/>
    </w:pPr>
    <w:rPr>
      <w:color w:val="000000"/>
      <w:szCs w:val="20"/>
    </w:rPr>
  </w:style>
  <w:style w:type="paragraph" w:customStyle="1" w:styleId="54">
    <w:name w:val="正文文本1"/>
    <w:basedOn w:val="1"/>
    <w:autoRedefine/>
    <w:qFormat/>
    <w:uiPriority w:val="0"/>
    <w:pPr>
      <w:ind w:firstLine="200"/>
    </w:pPr>
    <w:rPr>
      <w:rFonts w:ascii="宋体" w:hAnsi="宋体"/>
      <w:sz w:val="28"/>
    </w:rPr>
  </w:style>
  <w:style w:type="paragraph" w:customStyle="1" w:styleId="55">
    <w:name w:val="Table Paragraph"/>
    <w:autoRedefine/>
    <w:qFormat/>
    <w:uiPriority w:val="1"/>
    <w:pPr>
      <w:widowControl w:val="0"/>
    </w:pPr>
    <w:rPr>
      <w:rFonts w:ascii="Calibri" w:hAnsi="Calibri" w:eastAsia="Calibri" w:cs="Times New Roman"/>
      <w:sz w:val="22"/>
      <w:szCs w:val="22"/>
      <w:lang w:val="en-US" w:eastAsia="en-US" w:bidi="ar-SA"/>
    </w:rPr>
  </w:style>
  <w:style w:type="character" w:customStyle="1" w:styleId="56">
    <w:name w:val="批注框文本 字符"/>
    <w:basedOn w:val="33"/>
    <w:link w:val="19"/>
    <w:autoRedefine/>
    <w:qFormat/>
    <w:uiPriority w:val="0"/>
    <w:rPr>
      <w:sz w:val="18"/>
      <w:szCs w:val="18"/>
    </w:rPr>
  </w:style>
  <w:style w:type="character" w:customStyle="1" w:styleId="57">
    <w:name w:val="批注文字 字符"/>
    <w:basedOn w:val="33"/>
    <w:link w:val="13"/>
    <w:autoRedefine/>
    <w:qFormat/>
    <w:uiPriority w:val="0"/>
    <w:rPr>
      <w:rFonts w:asciiTheme="minorHAnsi" w:hAnsiTheme="minorHAnsi" w:eastAsiaTheme="minorEastAsia" w:cstheme="minorBidi"/>
      <w:kern w:val="2"/>
      <w:sz w:val="21"/>
      <w:szCs w:val="24"/>
    </w:rPr>
  </w:style>
  <w:style w:type="character" w:customStyle="1" w:styleId="58">
    <w:name w:val="RAINYON的段落 Char"/>
    <w:link w:val="59"/>
    <w:autoRedefine/>
    <w:qFormat/>
    <w:uiPriority w:val="0"/>
    <w:rPr>
      <w:color w:val="000000"/>
      <w:sz w:val="28"/>
      <w:szCs w:val="28"/>
    </w:rPr>
  </w:style>
  <w:style w:type="paragraph" w:customStyle="1" w:styleId="59">
    <w:name w:val="RAINYON的段落"/>
    <w:link w:val="58"/>
    <w:autoRedefine/>
    <w:qFormat/>
    <w:uiPriority w:val="0"/>
    <w:pPr>
      <w:widowControl w:val="0"/>
      <w:suppressAutoHyphens/>
      <w:topLinePunct/>
      <w:autoSpaceDE w:val="0"/>
      <w:spacing w:line="540" w:lineRule="exact"/>
      <w:ind w:firstLine="200" w:firstLineChars="200"/>
    </w:pPr>
    <w:rPr>
      <w:rFonts w:ascii="Times New Roman" w:hAnsi="Times New Roman" w:eastAsia="宋体" w:cs="Times New Roman"/>
      <w:color w:val="000000"/>
      <w:sz w:val="28"/>
      <w:szCs w:val="28"/>
      <w:lang w:val="en-US" w:eastAsia="zh-CN" w:bidi="ar-SA"/>
    </w:rPr>
  </w:style>
  <w:style w:type="character" w:customStyle="1" w:styleId="60">
    <w:name w:val="纯文本 字符"/>
    <w:basedOn w:val="33"/>
    <w:link w:val="16"/>
    <w:autoRedefine/>
    <w:qFormat/>
    <w:uiPriority w:val="0"/>
    <w:rPr>
      <w:rFonts w:ascii="宋体" w:hAnsi="宋体" w:eastAsiaTheme="minorEastAsia" w:cstheme="minorBidi"/>
      <w:kern w:val="2"/>
      <w:sz w:val="21"/>
    </w:rPr>
  </w:style>
  <w:style w:type="paragraph" w:customStyle="1" w:styleId="61">
    <w:name w:val="正文修改"/>
    <w:basedOn w:val="1"/>
    <w:autoRedefine/>
    <w:qFormat/>
    <w:uiPriority w:val="99"/>
    <w:pPr>
      <w:widowControl w:val="0"/>
      <w:ind w:firstLine="480"/>
      <w:jc w:val="both"/>
    </w:pPr>
    <w:rPr>
      <w:rFonts w:asciiTheme="minorHAnsi" w:hAnsiTheme="minorHAnsi" w:eastAsiaTheme="minorEastAsia" w:cstheme="minorBidi"/>
    </w:rPr>
  </w:style>
  <w:style w:type="character" w:customStyle="1" w:styleId="62">
    <w:name w:val="正文文本首行缩进 字符"/>
    <w:basedOn w:val="44"/>
    <w:link w:val="10"/>
    <w:autoRedefine/>
    <w:qFormat/>
    <w:uiPriority w:val="0"/>
    <w:rPr>
      <w:rFonts w:ascii="宋体" w:hAnsi="Arial" w:cs="宋体"/>
      <w:b w:val="0"/>
      <w:sz w:val="24"/>
      <w:szCs w:val="24"/>
    </w:rPr>
  </w:style>
  <w:style w:type="character" w:customStyle="1" w:styleId="63">
    <w:name w:val="标题 字符"/>
    <w:basedOn w:val="33"/>
    <w:link w:val="28"/>
    <w:autoRedefine/>
    <w:qFormat/>
    <w:uiPriority w:val="0"/>
    <w:rPr>
      <w:rFonts w:ascii="Cambria" w:hAnsi="Cambria"/>
      <w:b/>
      <w:bCs/>
      <w:kern w:val="2"/>
      <w:sz w:val="32"/>
      <w:szCs w:val="32"/>
    </w:rPr>
  </w:style>
  <w:style w:type="character" w:customStyle="1" w:styleId="64">
    <w:name w:val="尾注文本 字符"/>
    <w:basedOn w:val="33"/>
    <w:link w:val="18"/>
    <w:autoRedefine/>
    <w:qFormat/>
    <w:uiPriority w:val="0"/>
    <w:rPr>
      <w:rFonts w:asciiTheme="minorHAnsi" w:hAnsiTheme="minorHAnsi" w:eastAsiaTheme="minorEastAsia" w:cstheme="minorBidi"/>
      <w:kern w:val="2"/>
      <w:sz w:val="21"/>
      <w:szCs w:val="24"/>
    </w:rPr>
  </w:style>
  <w:style w:type="paragraph" w:customStyle="1" w:styleId="65">
    <w:name w:val="Default"/>
    <w:next w:val="1"/>
    <w:autoRedefine/>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66">
    <w:name w:val="正文内容"/>
    <w:basedOn w:val="1"/>
    <w:autoRedefine/>
    <w:qFormat/>
    <w:uiPriority w:val="0"/>
    <w:pPr>
      <w:widowControl w:val="0"/>
      <w:ind w:firstLine="200"/>
      <w:jc w:val="both"/>
    </w:pPr>
    <w:rPr>
      <w:rFonts w:cstheme="minorBidi"/>
      <w:kern w:val="2"/>
      <w:szCs w:val="20"/>
    </w:rPr>
  </w:style>
  <w:style w:type="paragraph" w:customStyle="1" w:styleId="67">
    <w:name w:val="表格文字"/>
    <w:basedOn w:val="11"/>
    <w:next w:val="1"/>
    <w:autoRedefine/>
    <w:qFormat/>
    <w:uiPriority w:val="0"/>
    <w:pPr>
      <w:autoSpaceDE/>
      <w:autoSpaceDN/>
      <w:adjustRightInd/>
      <w:spacing w:before="0" w:line="240" w:lineRule="auto"/>
      <w:ind w:left="0" w:firstLine="0" w:firstLineChars="0"/>
      <w:jc w:val="center"/>
    </w:pPr>
    <w:rPr>
      <w:rFonts w:hAnsi="宋体" w:asciiTheme="minorHAnsi" w:cstheme="minorBidi"/>
      <w:snapToGrid w:val="0"/>
      <w:color w:val="000000"/>
      <w:sz w:val="21"/>
      <w:szCs w:val="21"/>
    </w:rPr>
  </w:style>
  <w:style w:type="paragraph" w:customStyle="1" w:styleId="68">
    <w:name w:val="样式 正文缩进Body text ident 1特点 + 首行缩进:  0.85 厘米 行距: 多倍行距 1.2 字行1"/>
    <w:basedOn w:val="8"/>
    <w:autoRedefine/>
    <w:qFormat/>
    <w:uiPriority w:val="0"/>
    <w:pPr>
      <w:spacing w:line="360" w:lineRule="auto"/>
      <w:ind w:firstLine="482"/>
    </w:pPr>
    <w:rPr>
      <w:rFonts w:ascii="宋体" w:hAnsi="宋体" w:eastAsia="宋体" w:cs="宋体"/>
      <w:sz w:val="24"/>
    </w:rPr>
  </w:style>
  <w:style w:type="paragraph" w:customStyle="1" w:styleId="69">
    <w:name w:val="样式 行距: 固定值 24 磅 首行缩进:  2 字符"/>
    <w:basedOn w:val="1"/>
    <w:autoRedefine/>
    <w:qFormat/>
    <w:uiPriority w:val="0"/>
    <w:pPr>
      <w:widowControl w:val="0"/>
      <w:spacing w:line="480" w:lineRule="exact"/>
      <w:ind w:firstLine="480"/>
      <w:jc w:val="both"/>
    </w:pPr>
    <w:rPr>
      <w:rFonts w:cs="宋体" w:asciiTheme="minorHAnsi" w:hAnsiTheme="minorHAnsi" w:eastAsiaTheme="minorEastAsia"/>
      <w:kern w:val="2"/>
      <w:szCs w:val="20"/>
    </w:rPr>
  </w:style>
  <w:style w:type="paragraph" w:customStyle="1" w:styleId="70">
    <w:name w:val="表字居中"/>
    <w:basedOn w:val="1"/>
    <w:link w:val="95"/>
    <w:autoRedefine/>
    <w:qFormat/>
    <w:uiPriority w:val="0"/>
    <w:pPr>
      <w:widowControl w:val="0"/>
      <w:tabs>
        <w:tab w:val="left" w:pos="0"/>
        <w:tab w:val="left" w:pos="3626"/>
      </w:tabs>
      <w:spacing w:line="240" w:lineRule="auto"/>
      <w:ind w:firstLine="0" w:firstLineChars="0"/>
      <w:jc w:val="center"/>
    </w:pPr>
    <w:rPr>
      <w:rFonts w:cstheme="minorBidi"/>
      <w:kern w:val="2"/>
      <w:sz w:val="21"/>
      <w:szCs w:val="21"/>
    </w:rPr>
  </w:style>
  <w:style w:type="paragraph" w:styleId="71">
    <w:name w:val="List Paragraph"/>
    <w:basedOn w:val="1"/>
    <w:autoRedefine/>
    <w:qFormat/>
    <w:uiPriority w:val="1"/>
    <w:pPr>
      <w:widowControl w:val="0"/>
      <w:spacing w:line="240" w:lineRule="auto"/>
      <w:ind w:firstLine="420"/>
      <w:jc w:val="both"/>
    </w:pPr>
    <w:rPr>
      <w:rFonts w:asciiTheme="minorHAnsi" w:hAnsiTheme="minorHAnsi" w:eastAsiaTheme="minorEastAsia" w:cstheme="minorBidi"/>
      <w:kern w:val="2"/>
      <w:sz w:val="21"/>
    </w:rPr>
  </w:style>
  <w:style w:type="character" w:customStyle="1" w:styleId="72">
    <w:name w:val="正文 Char Char"/>
    <w:autoRedefine/>
    <w:qFormat/>
    <w:uiPriority w:val="0"/>
    <w:rPr>
      <w:rFonts w:ascii="宋体" w:hAnsi="宋体" w:eastAsia="宋体"/>
      <w:kern w:val="2"/>
      <w:sz w:val="28"/>
      <w:szCs w:val="24"/>
      <w:lang w:val="en-US" w:eastAsia="zh-CN" w:bidi="ar-SA"/>
    </w:rPr>
  </w:style>
  <w:style w:type="character" w:customStyle="1" w:styleId="73">
    <w:name w:val="标题2 Char"/>
    <w:link w:val="74"/>
    <w:autoRedefine/>
    <w:qFormat/>
    <w:uiPriority w:val="0"/>
    <w:rPr>
      <w:rFonts w:eastAsia="Times New Roman"/>
      <w:b/>
      <w:sz w:val="24"/>
      <w:szCs w:val="28"/>
    </w:rPr>
  </w:style>
  <w:style w:type="paragraph" w:customStyle="1" w:styleId="74">
    <w:name w:val="标题2"/>
    <w:basedOn w:val="71"/>
    <w:link w:val="73"/>
    <w:autoRedefine/>
    <w:qFormat/>
    <w:uiPriority w:val="0"/>
    <w:pPr>
      <w:spacing w:line="360" w:lineRule="auto"/>
      <w:ind w:firstLine="0" w:firstLineChars="0"/>
      <w:outlineLvl w:val="1"/>
    </w:pPr>
    <w:rPr>
      <w:rFonts w:ascii="Times New Roman" w:hAnsi="Times New Roman" w:eastAsia="Times New Roman" w:cs="Times New Roman"/>
      <w:b/>
      <w:kern w:val="0"/>
      <w:sz w:val="24"/>
      <w:szCs w:val="28"/>
    </w:rPr>
  </w:style>
  <w:style w:type="paragraph" w:customStyle="1" w:styleId="75">
    <w:name w:val="！正文 Alt+0"/>
    <w:basedOn w:val="1"/>
    <w:autoRedefine/>
    <w:qFormat/>
    <w:uiPriority w:val="0"/>
    <w:pPr>
      <w:widowControl w:val="0"/>
      <w:spacing w:beforeLines="50"/>
      <w:ind w:firstLine="200"/>
      <w:jc w:val="both"/>
    </w:pPr>
    <w:rPr>
      <w:kern w:val="2"/>
      <w:sz w:val="28"/>
      <w:szCs w:val="28"/>
    </w:rPr>
  </w:style>
  <w:style w:type="paragraph" w:customStyle="1" w:styleId="76">
    <w:name w:val="标题11"/>
    <w:basedOn w:val="1"/>
    <w:autoRedefine/>
    <w:qFormat/>
    <w:uiPriority w:val="0"/>
    <w:pPr>
      <w:widowControl w:val="0"/>
      <w:numPr>
        <w:ilvl w:val="0"/>
        <w:numId w:val="1"/>
      </w:numPr>
      <w:tabs>
        <w:tab w:val="left" w:pos="1260"/>
      </w:tabs>
      <w:ind w:firstLine="0" w:firstLineChars="0"/>
      <w:jc w:val="center"/>
      <w:outlineLvl w:val="0"/>
    </w:pPr>
    <w:rPr>
      <w:b/>
      <w:bCs/>
      <w:kern w:val="2"/>
      <w:sz w:val="32"/>
      <w:szCs w:val="36"/>
    </w:rPr>
  </w:style>
  <w:style w:type="paragraph" w:customStyle="1" w:styleId="77">
    <w:name w:val="Char Char Char Char Char Char Char Char Char Char Char Char Char Char Char1 Char Char Char Char Char Char Char Char Char Char Char Char Char"/>
    <w:basedOn w:val="1"/>
    <w:autoRedefine/>
    <w:qFormat/>
    <w:uiPriority w:val="0"/>
    <w:pPr>
      <w:widowControl w:val="0"/>
      <w:autoSpaceDE w:val="0"/>
      <w:autoSpaceDN w:val="0"/>
      <w:adjustRightInd w:val="0"/>
      <w:snapToGrid w:val="0"/>
      <w:spacing w:before="50" w:after="50"/>
      <w:ind w:firstLine="560"/>
      <w:jc w:val="both"/>
    </w:pPr>
    <w:rPr>
      <w:rFonts w:eastAsia="仿宋_GB2312"/>
      <w:color w:val="000000"/>
      <w:kern w:val="2"/>
    </w:rPr>
  </w:style>
  <w:style w:type="paragraph" w:customStyle="1" w:styleId="78">
    <w:name w:val="15"/>
    <w:basedOn w:val="1"/>
    <w:autoRedefine/>
    <w:qFormat/>
    <w:uiPriority w:val="0"/>
    <w:pPr>
      <w:spacing w:before="100" w:beforeAutospacing="1" w:after="100" w:afterAutospacing="1"/>
      <w:ind w:firstLine="510" w:firstLineChars="0"/>
      <w:jc w:val="both"/>
    </w:pPr>
    <w:rPr>
      <w:spacing w:val="8"/>
    </w:rPr>
  </w:style>
  <w:style w:type="paragraph" w:customStyle="1" w:styleId="79">
    <w:name w:val="段落"/>
    <w:basedOn w:val="1"/>
    <w:autoRedefine/>
    <w:qFormat/>
    <w:uiPriority w:val="0"/>
    <w:pPr>
      <w:widowControl w:val="0"/>
      <w:tabs>
        <w:tab w:val="left" w:pos="1021"/>
      </w:tabs>
      <w:adjustRightInd w:val="0"/>
      <w:ind w:firstLine="480"/>
      <w:jc w:val="both"/>
    </w:pPr>
    <w:rPr>
      <w:rFonts w:ascii="ˎ̥" w:hAnsi="ˎ̥" w:eastAsiaTheme="minorEastAsia" w:cstheme="minorBidi"/>
      <w:kern w:val="24"/>
    </w:rPr>
  </w:style>
  <w:style w:type="paragraph" w:customStyle="1" w:styleId="80">
    <w:name w:val="正"/>
    <w:basedOn w:val="1"/>
    <w:autoRedefine/>
    <w:qFormat/>
    <w:uiPriority w:val="0"/>
    <w:pPr>
      <w:widowControl w:val="0"/>
      <w:autoSpaceDE w:val="0"/>
      <w:autoSpaceDN w:val="0"/>
      <w:ind w:firstLine="200"/>
    </w:pPr>
    <w:rPr>
      <w:rFonts w:asciiTheme="minorHAnsi" w:hAnsiTheme="minorHAnsi" w:eastAsiaTheme="minorEastAsia" w:cstheme="minorBidi"/>
      <w:bCs/>
      <w:color w:val="000000"/>
      <w:szCs w:val="28"/>
    </w:rPr>
  </w:style>
  <w:style w:type="paragraph" w:customStyle="1" w:styleId="81">
    <w:name w:val="01正文"/>
    <w:basedOn w:val="1"/>
    <w:autoRedefine/>
    <w:qFormat/>
    <w:uiPriority w:val="0"/>
    <w:pPr>
      <w:widowControl w:val="0"/>
      <w:adjustRightInd w:val="0"/>
      <w:snapToGrid w:val="0"/>
      <w:spacing w:line="480" w:lineRule="exact"/>
      <w:ind w:firstLine="520"/>
      <w:jc w:val="both"/>
    </w:pPr>
    <w:rPr>
      <w:rFonts w:eastAsiaTheme="minorEastAsia" w:cstheme="minorBidi"/>
      <w:kern w:val="2"/>
      <w:sz w:val="26"/>
      <w:szCs w:val="26"/>
    </w:rPr>
  </w:style>
  <w:style w:type="paragraph" w:customStyle="1" w:styleId="82">
    <w:name w:val="样式 四号"/>
    <w:basedOn w:val="1"/>
    <w:autoRedefine/>
    <w:qFormat/>
    <w:uiPriority w:val="0"/>
    <w:pPr>
      <w:widowControl w:val="0"/>
      <w:ind w:firstLine="560"/>
      <w:jc w:val="both"/>
    </w:pPr>
    <w:rPr>
      <w:rFonts w:cs="宋体" w:eastAsiaTheme="minorEastAsia"/>
      <w:kern w:val="2"/>
      <w:sz w:val="28"/>
      <w:szCs w:val="20"/>
    </w:rPr>
  </w:style>
  <w:style w:type="paragraph" w:customStyle="1" w:styleId="83">
    <w:name w:val="新正文"/>
    <w:basedOn w:val="1"/>
    <w:autoRedefine/>
    <w:qFormat/>
    <w:uiPriority w:val="0"/>
    <w:pPr>
      <w:widowControl w:val="0"/>
      <w:spacing w:line="480" w:lineRule="exact"/>
      <w:ind w:firstLine="200"/>
      <w:jc w:val="both"/>
    </w:pPr>
    <w:rPr>
      <w:rFonts w:ascii="楷体_GB2312" w:eastAsia="楷体_GB2312" w:cs="宋体" w:hAnsiTheme="minorHAnsi"/>
      <w:kern w:val="2"/>
      <w:sz w:val="28"/>
      <w:szCs w:val="20"/>
    </w:rPr>
  </w:style>
  <w:style w:type="paragraph" w:customStyle="1" w:styleId="84">
    <w:name w:val="ENFI表体"/>
    <w:autoRedefine/>
    <w:qFormat/>
    <w:uiPriority w:val="0"/>
    <w:pPr>
      <w:adjustRightInd w:val="0"/>
      <w:snapToGrid w:val="0"/>
      <w:spacing w:line="240" w:lineRule="atLeast"/>
      <w:jc w:val="center"/>
    </w:pPr>
    <w:rPr>
      <w:rFonts w:ascii="Calibri" w:hAnsi="Calibri" w:eastAsia="仿宋_GB2312" w:cs="Times New Roman"/>
      <w:sz w:val="24"/>
      <w:lang w:val="en-US" w:eastAsia="zh-CN" w:bidi="ar-SA"/>
    </w:rPr>
  </w:style>
  <w:style w:type="paragraph" w:customStyle="1" w:styleId="85">
    <w:name w:val="样式1"/>
    <w:basedOn w:val="1"/>
    <w:autoRedefine/>
    <w:qFormat/>
    <w:uiPriority w:val="0"/>
    <w:pPr>
      <w:widowControl w:val="0"/>
      <w:adjustRightInd w:val="0"/>
      <w:spacing w:line="440" w:lineRule="atLeast"/>
      <w:ind w:firstLine="482" w:firstLineChars="0"/>
      <w:textAlignment w:val="baseline"/>
    </w:pPr>
    <w:rPr>
      <w:rFonts w:cs="宋体"/>
    </w:rPr>
  </w:style>
  <w:style w:type="paragraph" w:customStyle="1" w:styleId="86">
    <w:name w:val="常规表格"/>
    <w:basedOn w:val="1"/>
    <w:next w:val="1"/>
    <w:autoRedefine/>
    <w:qFormat/>
    <w:uiPriority w:val="99"/>
    <w:pPr>
      <w:widowControl w:val="0"/>
      <w:ind w:firstLine="0" w:firstLineChars="0"/>
      <w:jc w:val="center"/>
    </w:pPr>
    <w:rPr>
      <w:rFonts w:cs="宋体"/>
      <w:kern w:val="2"/>
    </w:rPr>
  </w:style>
  <w:style w:type="paragraph" w:customStyle="1" w:styleId="87">
    <w:name w:val="正文1"/>
    <w:basedOn w:val="1"/>
    <w:next w:val="1"/>
    <w:autoRedefine/>
    <w:qFormat/>
    <w:uiPriority w:val="0"/>
    <w:pPr>
      <w:ind w:firstLine="723"/>
    </w:pPr>
    <w:rPr>
      <w:rFonts w:cs="宋体"/>
    </w:rPr>
  </w:style>
  <w:style w:type="character" w:customStyle="1" w:styleId="88">
    <w:name w:val="标题 4 Char1"/>
    <w:autoRedefine/>
    <w:qFormat/>
    <w:uiPriority w:val="0"/>
    <w:rPr>
      <w:b/>
      <w:color w:val="000000"/>
      <w:kern w:val="2"/>
      <w:sz w:val="26"/>
      <w:szCs w:val="28"/>
    </w:rPr>
  </w:style>
  <w:style w:type="character" w:customStyle="1" w:styleId="89">
    <w:name w:val="页脚 字符"/>
    <w:basedOn w:val="33"/>
    <w:link w:val="20"/>
    <w:autoRedefine/>
    <w:qFormat/>
    <w:uiPriority w:val="99"/>
    <w:rPr>
      <w:sz w:val="18"/>
      <w:szCs w:val="24"/>
    </w:rPr>
  </w:style>
  <w:style w:type="paragraph" w:styleId="90">
    <w:name w:val="No Spacing"/>
    <w:link w:val="91"/>
    <w:autoRedefine/>
    <w:qFormat/>
    <w:uiPriority w:val="1"/>
    <w:rPr>
      <w:rFonts w:asciiTheme="minorHAnsi" w:hAnsiTheme="minorHAnsi" w:eastAsiaTheme="minorEastAsia" w:cstheme="minorBidi"/>
      <w:sz w:val="22"/>
      <w:szCs w:val="22"/>
      <w:lang w:val="en-US" w:eastAsia="zh-CN" w:bidi="ar-SA"/>
    </w:rPr>
  </w:style>
  <w:style w:type="character" w:customStyle="1" w:styleId="91">
    <w:name w:val="无间隔 字符"/>
    <w:basedOn w:val="33"/>
    <w:link w:val="90"/>
    <w:autoRedefine/>
    <w:qFormat/>
    <w:uiPriority w:val="1"/>
    <w:rPr>
      <w:rFonts w:asciiTheme="minorHAnsi" w:hAnsiTheme="minorHAnsi" w:eastAsiaTheme="minorEastAsia" w:cstheme="minorBidi"/>
      <w:sz w:val="22"/>
      <w:szCs w:val="22"/>
    </w:rPr>
  </w:style>
  <w:style w:type="character" w:customStyle="1" w:styleId="92">
    <w:name w:val="标题 1 字符"/>
    <w:link w:val="2"/>
    <w:autoRedefine/>
    <w:qFormat/>
    <w:uiPriority w:val="0"/>
    <w:rPr>
      <w:b/>
      <w:kern w:val="44"/>
      <w:sz w:val="32"/>
    </w:rPr>
  </w:style>
  <w:style w:type="paragraph" w:customStyle="1" w:styleId="93">
    <w:name w:val="图表标题"/>
    <w:basedOn w:val="1"/>
    <w:autoRedefine/>
    <w:qFormat/>
    <w:uiPriority w:val="0"/>
    <w:pPr>
      <w:tabs>
        <w:tab w:val="left" w:pos="8640"/>
      </w:tabs>
      <w:adjustRightInd w:val="0"/>
      <w:spacing w:beforeLines="40" w:afterLines="30"/>
      <w:jc w:val="center"/>
    </w:pPr>
    <w:rPr>
      <w:rFonts w:eastAsia="黑体" w:cs="宋体"/>
      <w:sz w:val="22"/>
    </w:rPr>
  </w:style>
  <w:style w:type="character" w:customStyle="1" w:styleId="94">
    <w:name w:val="font11"/>
    <w:basedOn w:val="33"/>
    <w:autoRedefine/>
    <w:qFormat/>
    <w:uiPriority w:val="0"/>
    <w:rPr>
      <w:rFonts w:hint="default" w:ascii="Times New Roman" w:hAnsi="Times New Roman" w:cs="Times New Roman"/>
      <w:color w:val="000000"/>
      <w:sz w:val="21"/>
      <w:szCs w:val="21"/>
      <w:u w:val="none"/>
    </w:rPr>
  </w:style>
  <w:style w:type="character" w:customStyle="1" w:styleId="95">
    <w:name w:val="表字居中 Char"/>
    <w:link w:val="70"/>
    <w:autoRedefine/>
    <w:qFormat/>
    <w:uiPriority w:val="0"/>
    <w:rPr>
      <w:rFonts w:ascii="Times New Roman" w:hAnsi="Times New Roman" w:eastAsia="宋体" w:cstheme="minorBidi"/>
      <w:kern w:val="2"/>
      <w:sz w:val="21"/>
      <w:szCs w:val="21"/>
    </w:rPr>
  </w:style>
  <w:style w:type="paragraph" w:customStyle="1" w:styleId="96">
    <w:name w:val="正文，文本"/>
    <w:basedOn w:val="97"/>
    <w:autoRedefine/>
    <w:qFormat/>
    <w:uiPriority w:val="0"/>
    <w:pPr>
      <w:ind w:firstLine="480"/>
    </w:pPr>
    <w:rPr>
      <w:rFonts w:cs="宋体"/>
      <w:szCs w:val="20"/>
    </w:rPr>
  </w:style>
  <w:style w:type="paragraph" w:customStyle="1" w:styleId="97">
    <w:name w:val="文本"/>
    <w:basedOn w:val="1"/>
    <w:autoRedefine/>
    <w:semiHidden/>
    <w:qFormat/>
    <w:uiPriority w:val="0"/>
    <w:pPr>
      <w:ind w:firstLine="200"/>
    </w:pPr>
  </w:style>
  <w:style w:type="paragraph" w:customStyle="1" w:styleId="98">
    <w:name w:val="表图标题"/>
    <w:basedOn w:val="1"/>
    <w:next w:val="67"/>
    <w:autoRedefine/>
    <w:qFormat/>
    <w:uiPriority w:val="0"/>
    <w:pPr>
      <w:ind w:firstLine="0" w:firstLineChars="0"/>
      <w:jc w:val="center"/>
    </w:pPr>
    <w:rPr>
      <w:rFonts w:hint="eastAsia"/>
      <w:b/>
    </w:rPr>
  </w:style>
  <w:style w:type="paragraph" w:customStyle="1" w:styleId="99">
    <w:name w:val="Table Text"/>
    <w:basedOn w:val="1"/>
    <w:autoRedefine/>
    <w:semiHidden/>
    <w:qFormat/>
    <w:uiPriority w:val="0"/>
    <w:rPr>
      <w:rFonts w:ascii="仿宋" w:hAnsi="仿宋" w:eastAsia="仿宋" w:cs="仿宋"/>
      <w:sz w:val="21"/>
      <w:szCs w:val="21"/>
      <w:lang w:eastAsia="en-US"/>
    </w:rPr>
  </w:style>
  <w:style w:type="paragraph" w:customStyle="1" w:styleId="100">
    <w:name w:val="3级标题"/>
    <w:next w:val="101"/>
    <w:autoRedefine/>
    <w:qFormat/>
    <w:uiPriority w:val="99"/>
    <w:pPr>
      <w:spacing w:line="360" w:lineRule="auto"/>
      <w:outlineLvl w:val="2"/>
    </w:pPr>
    <w:rPr>
      <w:rFonts w:ascii="Times New Roman" w:hAnsi="Times New Roman" w:eastAsia="宋体" w:cs="Times New Roman"/>
      <w:b/>
      <w:bCs/>
      <w:kern w:val="44"/>
      <w:sz w:val="24"/>
      <w:szCs w:val="44"/>
      <w:lang w:val="en-US" w:eastAsia="zh-CN" w:bidi="ar-SA"/>
    </w:rPr>
  </w:style>
  <w:style w:type="paragraph" w:customStyle="1" w:styleId="101">
    <w:name w:val="本项目正文"/>
    <w:autoRedefine/>
    <w:qFormat/>
    <w:uiPriority w:val="99"/>
    <w:pPr>
      <w:spacing w:line="360" w:lineRule="auto"/>
      <w:ind w:firstLine="200" w:firstLineChars="200"/>
      <w:jc w:val="both"/>
    </w:pPr>
    <w:rPr>
      <w:rFonts w:ascii="Times New Roman" w:hAnsi="Times New Roman" w:eastAsia="宋体" w:cs="Times New Roman"/>
      <w:kern w:val="44"/>
      <w:sz w:val="22"/>
      <w:lang w:val="en-US" w:eastAsia="zh-CN" w:bidi="ar-SA"/>
    </w:rPr>
  </w:style>
  <w:style w:type="paragraph" w:customStyle="1" w:styleId="102">
    <w:name w:val="表头"/>
    <w:next w:val="1"/>
    <w:autoRedefine/>
    <w:qFormat/>
    <w:uiPriority w:val="0"/>
    <w:pPr>
      <w:tabs>
        <w:tab w:val="left" w:pos="1021"/>
      </w:tabs>
      <w:spacing w:line="360" w:lineRule="auto"/>
      <w:jc w:val="center"/>
    </w:pPr>
    <w:rPr>
      <w:rFonts w:ascii="Calibri" w:hAnsi="Calibri" w:eastAsia="黑体" w:cs="Times New Roman"/>
      <w:kern w:val="24"/>
      <w:lang w:val="en-US" w:eastAsia="zh-CN" w:bidi="ar-SA"/>
    </w:rPr>
  </w:style>
  <w:style w:type="paragraph" w:customStyle="1" w:styleId="103">
    <w:name w:val="表文"/>
    <w:basedOn w:val="1"/>
    <w:autoRedefine/>
    <w:qFormat/>
    <w:uiPriority w:val="0"/>
    <w:pPr>
      <w:tabs>
        <w:tab w:val="left" w:pos="1021"/>
      </w:tabs>
      <w:spacing w:line="240" w:lineRule="auto"/>
      <w:jc w:val="center"/>
    </w:pPr>
    <w:rPr>
      <w:position w:val="-24"/>
      <w:sz w:val="21"/>
      <w:szCs w:val="21"/>
    </w:rPr>
  </w:style>
  <w:style w:type="paragraph" w:customStyle="1" w:styleId="104">
    <w:name w:val="02WX"/>
    <w:basedOn w:val="1"/>
    <w:next w:val="105"/>
    <w:autoRedefine/>
    <w:qFormat/>
    <w:uiPriority w:val="0"/>
    <w:pPr>
      <w:numPr>
        <w:ilvl w:val="1"/>
        <w:numId w:val="2"/>
      </w:numPr>
      <w:adjustRightInd w:val="0"/>
      <w:snapToGrid w:val="0"/>
      <w:outlineLvl w:val="1"/>
    </w:pPr>
    <w:rPr>
      <w:b/>
      <w:sz w:val="28"/>
    </w:rPr>
  </w:style>
  <w:style w:type="paragraph" w:customStyle="1" w:styleId="105">
    <w:name w:val="+正文"/>
    <w:basedOn w:val="1"/>
    <w:autoRedefine/>
    <w:qFormat/>
    <w:uiPriority w:val="0"/>
    <w:pPr>
      <w:ind w:firstLine="200"/>
    </w:pPr>
    <w:rPr>
      <w:sz w:val="28"/>
      <w:szCs w:val="28"/>
    </w:rPr>
  </w:style>
  <w:style w:type="paragraph" w:customStyle="1" w:styleId="106">
    <w:name w:val="05WX"/>
    <w:basedOn w:val="1"/>
    <w:next w:val="105"/>
    <w:autoRedefine/>
    <w:qFormat/>
    <w:uiPriority w:val="0"/>
    <w:pPr>
      <w:numPr>
        <w:ilvl w:val="4"/>
        <w:numId w:val="2"/>
      </w:numPr>
      <w:adjustRightInd w:val="0"/>
      <w:snapToGrid w:val="0"/>
      <w:spacing w:line="240" w:lineRule="auto"/>
      <w:ind w:left="0"/>
      <w:jc w:val="center"/>
      <w:outlineLvl w:val="4"/>
    </w:pPr>
    <w:rPr>
      <w:b/>
    </w:rPr>
  </w:style>
  <w:style w:type="paragraph" w:customStyle="1" w:styleId="107">
    <w:name w:val="03WX"/>
    <w:basedOn w:val="1"/>
    <w:next w:val="105"/>
    <w:autoRedefine/>
    <w:qFormat/>
    <w:uiPriority w:val="0"/>
    <w:pPr>
      <w:numPr>
        <w:ilvl w:val="2"/>
        <w:numId w:val="2"/>
      </w:numPr>
      <w:adjustRightInd w:val="0"/>
      <w:snapToGrid w:val="0"/>
      <w:ind w:left="0"/>
      <w:outlineLvl w:val="2"/>
    </w:pPr>
    <w:rPr>
      <w:b/>
      <w:lang w:val="zh-CN"/>
    </w:rPr>
  </w:style>
  <w:style w:type="paragraph" w:customStyle="1" w:styleId="108">
    <w:name w:val="标题3.3"/>
    <w:basedOn w:val="28"/>
    <w:autoRedefine/>
    <w:qFormat/>
    <w:uiPriority w:val="0"/>
    <w:pPr>
      <w:numPr>
        <w:ilvl w:val="2"/>
        <w:numId w:val="3"/>
      </w:numPr>
      <w:outlineLvl w:val="2"/>
    </w:pPr>
  </w:style>
  <w:style w:type="character" w:customStyle="1" w:styleId="109">
    <w:name w:val="批注主题 字符"/>
    <w:basedOn w:val="57"/>
    <w:link w:val="29"/>
    <w:autoRedefine/>
    <w:qFormat/>
    <w:uiPriority w:val="0"/>
    <w:rPr>
      <w:rFonts w:asciiTheme="minorHAnsi" w:hAnsiTheme="minorHAnsi" w:eastAsiaTheme="minorEastAsia" w:cstheme="minorBidi"/>
      <w:b/>
      <w:bCs/>
      <w:kern w:val="2"/>
      <w:sz w:val="24"/>
      <w:szCs w:val="24"/>
    </w:rPr>
  </w:style>
  <w:style w:type="character" w:customStyle="1" w:styleId="110">
    <w:name w:val="font21"/>
    <w:basedOn w:val="33"/>
    <w:autoRedefine/>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2.png"/><Relationship Id="rId23" Type="http://schemas.openxmlformats.org/officeDocument/2006/relationships/image" Target="media/image11.jpeg"/><Relationship Id="rId22" Type="http://schemas.openxmlformats.org/officeDocument/2006/relationships/image" Target="media/image10.pn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jpe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3073" textRotate="1"/>
    <customShpInfo spid="_x0000_s2050"/>
    <customShpInfo spid="_x0000_s2075"/>
    <customShpInfo spid="_x0000_s2074"/>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278D0D-1107-48AB-A807-28E0ED43324C}">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147</Pages>
  <Words>12348</Words>
  <Characters>70387</Characters>
  <Lines>586</Lines>
  <Paragraphs>165</Paragraphs>
  <TotalTime>3</TotalTime>
  <ScaleCrop>false</ScaleCrop>
  <LinksUpToDate>false</LinksUpToDate>
  <CharactersWithSpaces>82570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2023-09-14T09:08:00Z</dcterms:created>
  <dc:creator>admin</dc:creator>
  <cp:lastModifiedBy>XXXX</cp:lastModifiedBy>
  <cp:lastPrinted>2023-06-30T00:30:00Z</cp:lastPrinted>
  <dcterms:modified xsi:type="dcterms:W3CDTF">2024-03-22T03:35:20Z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8F850494A90B4AA384F2201B33A05E5B_13</vt:lpwstr>
  </property>
</Properties>
</file>