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b/>
          <w:sz w:val="24"/>
        </w:rPr>
      </w:pPr>
    </w:p>
    <w:p>
      <w:pPr>
        <w:snapToGrid w:val="0"/>
        <w:jc w:val="center"/>
        <w:rPr>
          <w:b/>
          <w:sz w:val="24"/>
        </w:rPr>
      </w:pPr>
    </w:p>
    <w:p>
      <w:pPr>
        <w:snapToGrid w:val="0"/>
        <w:jc w:val="center"/>
        <w:rPr>
          <w:b/>
          <w:sz w:val="24"/>
        </w:rPr>
      </w:pPr>
    </w:p>
    <w:p>
      <w:pPr>
        <w:snapToGrid w:val="0"/>
        <w:jc w:val="center"/>
        <w:rPr>
          <w:b/>
          <w:sz w:val="24"/>
        </w:rPr>
      </w:pPr>
    </w:p>
    <w:p>
      <w:pPr>
        <w:snapToGrid w:val="0"/>
        <w:jc w:val="center"/>
        <w:rPr>
          <w:b/>
          <w:sz w:val="24"/>
        </w:rPr>
      </w:pPr>
    </w:p>
    <w:p>
      <w:pPr>
        <w:keepNext w:val="0"/>
        <w:keepLines w:val="0"/>
        <w:pageBreakBefore w:val="0"/>
        <w:widowControl w:val="0"/>
        <w:tabs>
          <w:tab w:val="left" w:pos="6240"/>
        </w:tabs>
        <w:kinsoku/>
        <w:wordWrap/>
        <w:overflowPunct/>
        <w:topLinePunct w:val="0"/>
        <w:autoSpaceDE/>
        <w:autoSpaceDN/>
        <w:bidi w:val="0"/>
        <w:adjustRightInd/>
        <w:snapToGrid/>
        <w:spacing w:line="560" w:lineRule="exact"/>
        <w:jc w:val="right"/>
        <w:textAlignment w:val="auto"/>
        <w:rPr>
          <w:rFonts w:hint="eastAsia" w:ascii="仿宋_GB2312" w:eastAsia="仿宋_GB2312"/>
          <w:color w:val="auto"/>
          <w:sz w:val="32"/>
          <w:szCs w:val="32"/>
        </w:rPr>
      </w:pPr>
      <w:r>
        <w:rPr>
          <w:rFonts w:hint="eastAsia" w:ascii="仿宋_GB2312" w:eastAsia="仿宋_GB2312"/>
          <w:color w:val="000000" w:themeColor="text1"/>
          <w:sz w:val="24"/>
          <w14:textFill>
            <w14:solidFill>
              <w14:schemeClr w14:val="tx1"/>
            </w14:solidFill>
          </w14:textFill>
        </w:rPr>
        <w:t xml:space="preserve">                                       </w:t>
      </w:r>
      <w:r>
        <w:rPr>
          <w:rFonts w:hint="eastAsia" w:ascii="仿宋_GB2312" w:hAnsi="仿宋_GB2312" w:eastAsia="仿宋_GB2312" w:cs="仿宋_GB2312"/>
          <w:bCs/>
          <w:color w:val="auto"/>
          <w:spacing w:val="0"/>
          <w:szCs w:val="32"/>
        </w:rPr>
        <w:t>益高环评表〔2023〕</w:t>
      </w:r>
      <w:r>
        <w:rPr>
          <w:rFonts w:hint="eastAsia" w:ascii="仿宋_GB2312" w:hAnsi="仿宋_GB2312" w:eastAsia="仿宋_GB2312" w:cs="仿宋_GB2312"/>
          <w:bCs/>
          <w:color w:val="auto"/>
          <w:spacing w:val="0"/>
          <w:szCs w:val="32"/>
          <w:lang w:val="en-US" w:eastAsia="zh-CN"/>
        </w:rPr>
        <w:t>11</w:t>
      </w:r>
      <w:r>
        <w:rPr>
          <w:rFonts w:hint="eastAsia" w:ascii="仿宋_GB2312" w:hAnsi="仿宋_GB2312" w:eastAsia="仿宋_GB2312" w:cs="仿宋_GB2312"/>
          <w:bCs/>
          <w:color w:val="auto"/>
          <w:spacing w:val="0"/>
          <w:szCs w:val="32"/>
        </w:rPr>
        <w:t>号</w:t>
      </w:r>
      <w:bookmarkStart w:id="0" w:name="_GoBack"/>
      <w:bookmarkEnd w:id="0"/>
    </w:p>
    <w:p>
      <w:pPr>
        <w:keepNext w:val="0"/>
        <w:keepLines w:val="0"/>
        <w:pageBreakBefore w:val="0"/>
        <w:widowControl w:val="0"/>
        <w:tabs>
          <w:tab w:val="left" w:pos="6240"/>
        </w:tabs>
        <w:kinsoku/>
        <w:wordWrap/>
        <w:overflowPunct/>
        <w:topLinePunct w:val="0"/>
        <w:autoSpaceDE/>
        <w:autoSpaceDN/>
        <w:bidi w:val="0"/>
        <w:adjustRightInd/>
        <w:snapToGrid/>
        <w:spacing w:line="560" w:lineRule="exact"/>
        <w:jc w:val="right"/>
        <w:textAlignment w:val="auto"/>
        <w:rPr>
          <w:rFonts w:hint="eastAsia" w:ascii="仿宋_GB2312" w:eastAsia="仿宋_GB2312"/>
          <w:color w:val="auto"/>
          <w:sz w:val="32"/>
          <w:szCs w:val="32"/>
          <w:lang w:val="en-US" w:eastAsia="zh-CN"/>
        </w:rPr>
      </w:pPr>
    </w:p>
    <w:p>
      <w:pPr>
        <w:tabs>
          <w:tab w:val="left" w:pos="6240"/>
        </w:tabs>
        <w:spacing w:line="560" w:lineRule="exact"/>
        <w:jc w:val="center"/>
        <w:rPr>
          <w:rFonts w:hint="eastAsia" w:ascii="Times New Roman" w:hAnsi="Times New Roman" w:eastAsia="方正小标宋简体" w:cs="Times New Roman"/>
          <w:color w:val="000000"/>
          <w:sz w:val="44"/>
          <w:szCs w:val="44"/>
          <w:lang w:val="en-US" w:eastAsia="zh-CN"/>
        </w:rPr>
      </w:pPr>
      <w:r>
        <w:rPr>
          <w:rFonts w:hint="eastAsia" w:ascii="Times New Roman" w:hAnsi="Times New Roman" w:eastAsia="方正小标宋简体" w:cs="Times New Roman"/>
          <w:color w:val="000000"/>
          <w:sz w:val="44"/>
          <w:szCs w:val="44"/>
          <w:lang w:val="en-US" w:eastAsia="zh-CN"/>
        </w:rPr>
        <w:t>益阳市生态环境局</w:t>
      </w:r>
    </w:p>
    <w:p>
      <w:pPr>
        <w:tabs>
          <w:tab w:val="left" w:pos="6240"/>
        </w:tabs>
        <w:spacing w:line="560" w:lineRule="exact"/>
        <w:jc w:val="center"/>
        <w:rPr>
          <w:rFonts w:hint="eastAsia" w:ascii="Times New Roman" w:hAnsi="Times New Roman" w:eastAsia="方正小标宋简体" w:cs="Times New Roman"/>
          <w:color w:val="000000"/>
          <w:sz w:val="44"/>
          <w:szCs w:val="44"/>
        </w:rPr>
      </w:pPr>
      <w:r>
        <w:rPr>
          <w:rFonts w:hint="eastAsia" w:ascii="Times New Roman" w:hAnsi="Times New Roman" w:eastAsia="方正小标宋简体" w:cs="Times New Roman"/>
          <w:color w:val="000000"/>
          <w:sz w:val="44"/>
          <w:szCs w:val="44"/>
        </w:rPr>
        <w:t>关于湖南三一中阳机械有限公司三一中阳产业园1号厂房改扩建项目环境影响报告</w:t>
      </w:r>
      <w:r>
        <w:rPr>
          <w:rFonts w:hint="eastAsia" w:ascii="Times New Roman" w:hAnsi="Times New Roman" w:eastAsia="方正小标宋简体" w:cs="Times New Roman"/>
          <w:color w:val="000000"/>
          <w:sz w:val="44"/>
          <w:szCs w:val="44"/>
          <w:lang w:eastAsia="zh-CN"/>
        </w:rPr>
        <w:t>表</w:t>
      </w:r>
      <w:r>
        <w:rPr>
          <w:rFonts w:hint="eastAsia" w:ascii="Times New Roman" w:hAnsi="Times New Roman" w:eastAsia="方正小标宋简体" w:cs="Times New Roman"/>
          <w:color w:val="000000"/>
          <w:sz w:val="44"/>
          <w:szCs w:val="44"/>
        </w:rPr>
        <w:t>的批复</w:t>
      </w:r>
    </w:p>
    <w:p>
      <w:pPr>
        <w:spacing w:line="560" w:lineRule="exact"/>
        <w:rPr>
          <w:rFonts w:ascii="仿宋_GB2312" w:hAnsi="黑体" w:eastAsia="仿宋_GB2312"/>
          <w:color w:val="000000"/>
          <w:sz w:val="36"/>
          <w:szCs w:val="36"/>
        </w:rPr>
      </w:pPr>
    </w:p>
    <w:p>
      <w:pPr>
        <w:keepNext w:val="0"/>
        <w:keepLines w:val="0"/>
        <w:pageBreakBefore w:val="0"/>
        <w:kinsoku/>
        <w:wordWrap/>
        <w:overflowPunct/>
        <w:topLinePunct w:val="0"/>
        <w:autoSpaceDE/>
        <w:autoSpaceDN/>
        <w:bidi w:val="0"/>
        <w:adjustRightInd/>
        <w:snapToGrid/>
        <w:spacing w:line="600" w:lineRule="exact"/>
        <w:ind w:leftChars="0"/>
        <w:textAlignment w:val="auto"/>
        <w:rPr>
          <w:rFonts w:hint="eastAsia" w:ascii="Times New Roman" w:hAnsi="Times New Roman" w:eastAsia="仿宋_GB2312" w:cs="Times New Roman"/>
          <w:color w:val="000000"/>
          <w:spacing w:val="4"/>
          <w:szCs w:val="32"/>
          <w:lang w:eastAsia="zh-CN"/>
        </w:rPr>
      </w:pPr>
      <w:r>
        <w:rPr>
          <w:rFonts w:hint="eastAsia" w:ascii="Times New Roman" w:hAnsi="Times New Roman" w:eastAsia="仿宋_GB2312" w:cs="Times New Roman"/>
          <w:color w:val="000000"/>
          <w:spacing w:val="4"/>
          <w:szCs w:val="32"/>
          <w:lang w:eastAsia="zh-CN"/>
        </w:rPr>
        <w:t>湖南三一中阳机械有限公司：</w:t>
      </w:r>
    </w:p>
    <w:p>
      <w:pPr>
        <w:keepNext w:val="0"/>
        <w:keepLines w:val="0"/>
        <w:pageBreakBefore w:val="0"/>
        <w:numPr>
          <w:ilvl w:val="0"/>
          <w:numId w:val="0"/>
        </w:numPr>
        <w:kinsoku/>
        <w:wordWrap/>
        <w:overflowPunct/>
        <w:topLinePunct w:val="0"/>
        <w:autoSpaceDE/>
        <w:autoSpaceDN/>
        <w:bidi w:val="0"/>
        <w:adjustRightInd/>
        <w:snapToGrid/>
        <w:spacing w:line="600" w:lineRule="exact"/>
        <w:ind w:leftChars="0" w:firstLine="656" w:firstLineChars="200"/>
        <w:textAlignment w:val="auto"/>
        <w:rPr>
          <w:rFonts w:hint="eastAsia" w:ascii="Times New Roman" w:hAnsi="Times New Roman" w:eastAsia="仿宋_GB2312" w:cs="Times New Roman"/>
          <w:color w:val="000000"/>
          <w:spacing w:val="4"/>
          <w:szCs w:val="32"/>
          <w:lang w:eastAsia="zh-CN"/>
        </w:rPr>
      </w:pPr>
      <w:r>
        <w:rPr>
          <w:rFonts w:hint="eastAsia" w:ascii="Times New Roman" w:hAnsi="Times New Roman" w:eastAsia="仿宋_GB2312" w:cs="Times New Roman"/>
          <w:color w:val="000000"/>
          <w:spacing w:val="4"/>
          <w:szCs w:val="32"/>
          <w:lang w:eastAsia="zh-CN"/>
        </w:rPr>
        <w:t>你公司呈报的《三一中阳产业园1号厂房改扩建项目环境影响报告表》（以下简称“报告表”）</w:t>
      </w:r>
      <w:r>
        <w:rPr>
          <w:rFonts w:hint="eastAsia" w:ascii="Times New Roman" w:hAnsi="Times New Roman" w:eastAsia="仿宋_GB2312" w:cs="Times New Roman"/>
          <w:color w:val="000000"/>
          <w:spacing w:val="4"/>
          <w:szCs w:val="32"/>
          <w:lang w:val="en-US" w:eastAsia="zh-CN"/>
        </w:rPr>
        <w:t>及相关附件收悉</w:t>
      </w:r>
      <w:r>
        <w:rPr>
          <w:rFonts w:hint="eastAsia" w:ascii="Times New Roman" w:hAnsi="Times New Roman" w:eastAsia="仿宋_GB2312" w:cs="Times New Roman"/>
          <w:color w:val="000000"/>
          <w:spacing w:val="4"/>
          <w:szCs w:val="32"/>
          <w:lang w:eastAsia="zh-CN"/>
        </w:rPr>
        <w:t>。经研究，批复如下：</w:t>
      </w:r>
    </w:p>
    <w:p>
      <w:pPr>
        <w:keepNext w:val="0"/>
        <w:keepLines w:val="0"/>
        <w:pageBreakBefore w:val="0"/>
        <w:numPr>
          <w:ilvl w:val="0"/>
          <w:numId w:val="2"/>
        </w:numPr>
        <w:kinsoku/>
        <w:wordWrap/>
        <w:overflowPunct/>
        <w:topLinePunct w:val="0"/>
        <w:autoSpaceDE/>
        <w:autoSpaceDN/>
        <w:bidi w:val="0"/>
        <w:adjustRightInd/>
        <w:snapToGrid/>
        <w:spacing w:line="600" w:lineRule="exact"/>
        <w:ind w:leftChars="0" w:firstLine="656" w:firstLineChars="200"/>
        <w:textAlignment w:val="auto"/>
        <w:rPr>
          <w:rFonts w:hint="eastAsia" w:ascii="Times New Roman" w:hAnsi="Times New Roman" w:eastAsia="仿宋_GB2312" w:cs="Times New Roman"/>
          <w:color w:val="000000"/>
          <w:spacing w:val="4"/>
          <w:szCs w:val="32"/>
          <w:lang w:val="en-US" w:eastAsia="zh-CN"/>
        </w:rPr>
        <w:sectPr>
          <w:headerReference r:id="rId5" w:type="default"/>
          <w:pgSz w:w="11906" w:h="16838"/>
          <w:pgMar w:top="2098" w:right="1276" w:bottom="1984" w:left="1587" w:header="851" w:footer="992" w:gutter="0"/>
          <w:pgNumType w:fmt="numberInDash"/>
          <w:cols w:space="425" w:num="1"/>
          <w:docGrid w:type="lines" w:linePitch="312" w:charSpace="0"/>
        </w:sectPr>
      </w:pPr>
      <w:r>
        <w:rPr>
          <w:rFonts w:hint="eastAsia" w:ascii="Times New Roman" w:hAnsi="Times New Roman" w:eastAsia="仿宋_GB2312" w:cs="Times New Roman"/>
          <w:color w:val="000000"/>
          <w:spacing w:val="4"/>
          <w:szCs w:val="32"/>
          <w:lang w:val="en-US" w:eastAsia="zh-CN"/>
        </w:rPr>
        <w:t>湖南三一中阳机械有限公司</w:t>
      </w:r>
      <w:r>
        <w:rPr>
          <w:rFonts w:hint="eastAsia" w:eastAsia="仿宋_GB2312" w:cs="Times New Roman"/>
          <w:color w:val="000000"/>
          <w:spacing w:val="4"/>
          <w:szCs w:val="32"/>
          <w:lang w:val="en-US" w:eastAsia="zh-CN"/>
        </w:rPr>
        <w:t>位于湖南省益阳高新区东部产业园。2011年6月，</w:t>
      </w:r>
      <w:r>
        <w:rPr>
          <w:rFonts w:hint="eastAsia" w:ascii="Times New Roman" w:hAnsi="Times New Roman" w:eastAsia="仿宋_GB2312" w:cs="Times New Roman"/>
          <w:color w:val="000000"/>
          <w:spacing w:val="4"/>
          <w:szCs w:val="32"/>
          <w:lang w:eastAsia="zh-CN"/>
        </w:rPr>
        <w:t>三一中阳产业园</w:t>
      </w:r>
      <w:r>
        <w:rPr>
          <w:rFonts w:hint="eastAsia" w:eastAsia="仿宋_GB2312" w:cs="Times New Roman"/>
          <w:color w:val="000000"/>
          <w:spacing w:val="4"/>
          <w:szCs w:val="32"/>
          <w:lang w:eastAsia="zh-CN"/>
        </w:rPr>
        <w:t>建设项目获</w:t>
      </w:r>
      <w:r>
        <w:rPr>
          <w:rFonts w:hint="eastAsia" w:eastAsia="仿宋_GB2312" w:cs="Times New Roman"/>
          <w:color w:val="000000"/>
          <w:spacing w:val="4"/>
          <w:szCs w:val="32"/>
          <w:lang w:val="en-US" w:eastAsia="zh-CN"/>
        </w:rPr>
        <w:t>原湖南省环境保护厅批复（湘环评</w:t>
      </w:r>
      <w:r>
        <w:rPr>
          <w:rFonts w:hint="eastAsia" w:ascii="仿宋_GB2312" w:hAnsi="仿宋_GB2312" w:eastAsia="仿宋_GB2312" w:cs="仿宋_GB2312"/>
          <w:bCs/>
          <w:color w:val="auto"/>
          <w:spacing w:val="0"/>
          <w:szCs w:val="32"/>
        </w:rPr>
        <w:t>〔</w:t>
      </w:r>
      <w:r>
        <w:rPr>
          <w:rFonts w:hint="eastAsia" w:ascii="仿宋_GB2312" w:hAnsi="仿宋_GB2312" w:eastAsia="仿宋_GB2312" w:cs="仿宋_GB2312"/>
          <w:bCs/>
          <w:color w:val="auto"/>
          <w:spacing w:val="0"/>
          <w:szCs w:val="32"/>
          <w:lang w:val="en-US" w:eastAsia="zh-CN"/>
        </w:rPr>
        <w:t>2011</w:t>
      </w:r>
      <w:r>
        <w:rPr>
          <w:rFonts w:hint="eastAsia" w:ascii="仿宋_GB2312" w:hAnsi="仿宋_GB2312" w:eastAsia="仿宋_GB2312" w:cs="仿宋_GB2312"/>
          <w:bCs/>
          <w:color w:val="auto"/>
          <w:spacing w:val="0"/>
          <w:szCs w:val="32"/>
        </w:rPr>
        <w:t>〕</w:t>
      </w:r>
      <w:r>
        <w:rPr>
          <w:rFonts w:hint="eastAsia" w:ascii="仿宋_GB2312" w:hAnsi="仿宋_GB2312" w:eastAsia="仿宋_GB2312" w:cs="仿宋_GB2312"/>
          <w:bCs/>
          <w:color w:val="auto"/>
          <w:spacing w:val="0"/>
          <w:szCs w:val="32"/>
          <w:lang w:val="en-US" w:eastAsia="zh-CN"/>
        </w:rPr>
        <w:t>80号</w:t>
      </w:r>
      <w:r>
        <w:rPr>
          <w:rFonts w:hint="eastAsia" w:eastAsia="仿宋_GB2312" w:cs="Times New Roman"/>
          <w:color w:val="000000"/>
          <w:spacing w:val="4"/>
          <w:szCs w:val="32"/>
          <w:lang w:val="en-US" w:eastAsia="zh-CN"/>
        </w:rPr>
        <w:t>）。2015年，</w:t>
      </w:r>
      <w:r>
        <w:rPr>
          <w:rFonts w:hint="eastAsia" w:ascii="Times New Roman" w:hAnsi="Times New Roman" w:eastAsia="仿宋_GB2312" w:cs="Times New Roman"/>
          <w:color w:val="000000"/>
          <w:spacing w:val="4"/>
          <w:szCs w:val="32"/>
          <w:lang w:eastAsia="zh-CN"/>
        </w:rPr>
        <w:t>三一中阳产业园</w:t>
      </w:r>
      <w:r>
        <w:rPr>
          <w:rFonts w:hint="eastAsia" w:eastAsia="仿宋_GB2312" w:cs="Times New Roman"/>
          <w:color w:val="000000"/>
          <w:spacing w:val="4"/>
          <w:szCs w:val="32"/>
          <w:lang w:eastAsia="zh-CN"/>
        </w:rPr>
        <w:t>改扩建项目获</w:t>
      </w:r>
      <w:r>
        <w:rPr>
          <w:rFonts w:hint="eastAsia" w:eastAsia="仿宋_GB2312" w:cs="Times New Roman"/>
          <w:color w:val="000000"/>
          <w:spacing w:val="4"/>
          <w:szCs w:val="32"/>
          <w:lang w:val="en-US" w:eastAsia="zh-CN"/>
        </w:rPr>
        <w:t>原益阳市环境保护局高新区分局批复（湘益环高审</w:t>
      </w:r>
      <w:r>
        <w:rPr>
          <w:rFonts w:hint="eastAsia" w:ascii="仿宋_GB2312" w:hAnsi="仿宋_GB2312" w:eastAsia="仿宋_GB2312" w:cs="仿宋_GB2312"/>
          <w:bCs/>
          <w:color w:val="auto"/>
          <w:spacing w:val="0"/>
          <w:szCs w:val="32"/>
        </w:rPr>
        <w:t>〔</w:t>
      </w:r>
      <w:r>
        <w:rPr>
          <w:rFonts w:hint="eastAsia" w:ascii="仿宋_GB2312" w:hAnsi="仿宋_GB2312" w:eastAsia="仿宋_GB2312" w:cs="仿宋_GB2312"/>
          <w:bCs/>
          <w:color w:val="auto"/>
          <w:spacing w:val="0"/>
          <w:szCs w:val="32"/>
          <w:lang w:val="en-US" w:eastAsia="zh-CN"/>
        </w:rPr>
        <w:t>2015</w:t>
      </w:r>
      <w:r>
        <w:rPr>
          <w:rFonts w:hint="eastAsia" w:ascii="仿宋_GB2312" w:hAnsi="仿宋_GB2312" w:eastAsia="仿宋_GB2312" w:cs="仿宋_GB2312"/>
          <w:bCs/>
          <w:color w:val="auto"/>
          <w:spacing w:val="0"/>
          <w:szCs w:val="32"/>
        </w:rPr>
        <w:t>〕</w:t>
      </w:r>
      <w:r>
        <w:rPr>
          <w:rFonts w:hint="eastAsia" w:ascii="仿宋_GB2312" w:hAnsi="仿宋_GB2312" w:eastAsia="仿宋_GB2312" w:cs="仿宋_GB2312"/>
          <w:bCs/>
          <w:color w:val="auto"/>
          <w:spacing w:val="0"/>
          <w:szCs w:val="32"/>
          <w:lang w:val="en-US" w:eastAsia="zh-CN"/>
        </w:rPr>
        <w:t>29号</w:t>
      </w:r>
      <w:r>
        <w:rPr>
          <w:rFonts w:hint="eastAsia" w:eastAsia="仿宋_GB2312" w:cs="Times New Roman"/>
          <w:color w:val="000000"/>
          <w:spacing w:val="4"/>
          <w:szCs w:val="32"/>
          <w:lang w:val="en-US" w:eastAsia="zh-CN"/>
        </w:rPr>
        <w:t>）。为适应市场发展，公司推动产业和污治设施优化升级，</w:t>
      </w:r>
      <w:r>
        <w:rPr>
          <w:rFonts w:hint="eastAsia" w:ascii="Times New Roman" w:hAnsi="Times New Roman" w:eastAsia="仿宋_GB2312" w:cs="Times New Roman"/>
          <w:color w:val="000000"/>
          <w:spacing w:val="4"/>
          <w:szCs w:val="32"/>
          <w:lang w:val="en-US" w:eastAsia="zh-CN"/>
        </w:rPr>
        <w:t>投资8000万元</w:t>
      </w:r>
      <w:r>
        <w:rPr>
          <w:rFonts w:hint="eastAsia" w:eastAsia="仿宋_GB2312" w:cs="Times New Roman"/>
          <w:color w:val="000000"/>
          <w:spacing w:val="4"/>
          <w:szCs w:val="32"/>
          <w:lang w:val="en-US" w:eastAsia="zh-CN"/>
        </w:rPr>
        <w:t>对</w:t>
      </w:r>
      <w:r>
        <w:rPr>
          <w:rFonts w:hint="eastAsia" w:ascii="Times New Roman" w:hAnsi="Times New Roman" w:eastAsia="仿宋_GB2312" w:cs="Times New Roman"/>
          <w:color w:val="000000"/>
          <w:spacing w:val="4"/>
          <w:szCs w:val="32"/>
          <w:lang w:val="en-US" w:eastAsia="zh-CN"/>
        </w:rPr>
        <w:t>三一中阳产业园1号厂房生产线进行改扩建、技术改造。</w:t>
      </w:r>
      <w:r>
        <w:rPr>
          <w:rFonts w:hint="eastAsia" w:eastAsia="仿宋_GB2312" w:cs="Times New Roman"/>
          <w:color w:val="000000"/>
          <w:spacing w:val="4"/>
          <w:szCs w:val="32"/>
          <w:lang w:val="en-US" w:eastAsia="zh-CN"/>
        </w:rPr>
        <w:t>本次改扩建内容主要包括：扩大各类管、板生产规模，新增路基结构件和油箱，扩建后年产直管a 250000</w:t>
      </w:r>
    </w:p>
    <w:p>
      <w:pPr>
        <w:keepNext w:val="0"/>
        <w:keepLines w:val="0"/>
        <w:pageBreakBefore w:val="0"/>
        <w:numPr>
          <w:ilvl w:val="0"/>
          <w:numId w:val="0"/>
        </w:numPr>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color w:val="000000"/>
          <w:spacing w:val="4"/>
          <w:szCs w:val="32"/>
          <w:lang w:val="en-US" w:eastAsia="zh-CN"/>
        </w:rPr>
      </w:pPr>
      <w:r>
        <w:rPr>
          <w:rFonts w:hint="eastAsia" w:eastAsia="仿宋_GB2312" w:cs="Times New Roman"/>
          <w:color w:val="000000"/>
          <w:spacing w:val="4"/>
          <w:szCs w:val="32"/>
          <w:lang w:val="en-US" w:eastAsia="zh-CN"/>
        </w:rPr>
        <w:t>吨、直管b 14400吨、眼镜板1000吨、切割环1080吨、锥管12000吨、弯管24000吨、S管5万件、焊管30000吨、PC立柱2500根、石油高压管汇6万件，路机结构件720吨，油箱1530吨；拆除</w:t>
      </w:r>
      <w:r>
        <w:rPr>
          <w:rFonts w:hint="eastAsia" w:ascii="Times New Roman" w:hAnsi="Times New Roman" w:eastAsia="仿宋_GB2312" w:cs="Times New Roman"/>
          <w:color w:val="000000"/>
          <w:spacing w:val="4"/>
          <w:szCs w:val="32"/>
          <w:lang w:val="en-US" w:eastAsia="zh-CN"/>
        </w:rPr>
        <w:t>原废水处理设施，</w:t>
      </w:r>
      <w:r>
        <w:rPr>
          <w:rFonts w:hint="eastAsia" w:eastAsia="仿宋_GB2312" w:cs="Times New Roman"/>
          <w:color w:val="000000"/>
          <w:spacing w:val="4"/>
          <w:szCs w:val="32"/>
          <w:lang w:val="en-US" w:eastAsia="zh-CN"/>
        </w:rPr>
        <w:t>新建一套2吨/天的</w:t>
      </w:r>
      <w:r>
        <w:rPr>
          <w:rFonts w:hint="eastAsia" w:ascii="Times New Roman" w:hAnsi="Times New Roman" w:eastAsia="仿宋_GB2312" w:cs="Times New Roman"/>
          <w:color w:val="000000"/>
          <w:spacing w:val="4"/>
          <w:szCs w:val="32"/>
          <w:lang w:val="en-US" w:eastAsia="zh-CN"/>
        </w:rPr>
        <w:t>中和+调节池+隔油池+混凝沉淀池+清水池+多介质过滤器废水处理设施</w:t>
      </w:r>
      <w:r>
        <w:rPr>
          <w:rFonts w:hint="eastAsia" w:eastAsia="仿宋_GB2312" w:cs="Times New Roman"/>
          <w:color w:val="000000"/>
          <w:spacing w:val="4"/>
          <w:szCs w:val="32"/>
          <w:lang w:val="en-US" w:eastAsia="zh-CN"/>
        </w:rPr>
        <w:t>；改造涂装生产线和有机废气治理设施，改建为4条自动喷塑线和2条自动喷漆线，配建2套“漆雾过滤器+干式漆雾预处理器+活性炭吸附/脱附+催化燃烧”装置；升级改造酸洗磷化线。</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56" w:firstLineChars="200"/>
        <w:textAlignment w:val="auto"/>
        <w:rPr>
          <w:rFonts w:hint="eastAsia" w:ascii="Times New Roman" w:hAnsi="Times New Roman" w:eastAsia="仿宋_GB2312" w:cs="Times New Roman"/>
          <w:color w:val="000000"/>
          <w:spacing w:val="4"/>
          <w:szCs w:val="32"/>
          <w:lang w:val="en-US" w:eastAsia="zh-CN"/>
        </w:rPr>
      </w:pPr>
      <w:r>
        <w:rPr>
          <w:rFonts w:hint="eastAsia" w:ascii="Times New Roman" w:hAnsi="Times New Roman" w:eastAsia="仿宋_GB2312" w:cs="Times New Roman"/>
          <w:color w:val="000000"/>
          <w:spacing w:val="4"/>
          <w:szCs w:val="32"/>
          <w:lang w:val="en-US" w:eastAsia="zh-CN"/>
        </w:rPr>
        <w:t>项目符合国家产业政策，符合益阳市“三线一单”生态环境</w:t>
      </w:r>
      <w:r>
        <w:rPr>
          <w:rFonts w:hint="eastAsia" w:eastAsia="仿宋_GB2312" w:cs="Times New Roman"/>
          <w:color w:val="000000"/>
          <w:spacing w:val="4"/>
          <w:szCs w:val="32"/>
          <w:lang w:val="en-US" w:eastAsia="zh-CN"/>
        </w:rPr>
        <w:t>总体</w:t>
      </w:r>
      <w:r>
        <w:rPr>
          <w:rFonts w:hint="eastAsia" w:ascii="Times New Roman" w:hAnsi="Times New Roman" w:eastAsia="仿宋_GB2312" w:cs="Times New Roman"/>
          <w:color w:val="000000"/>
          <w:spacing w:val="4"/>
          <w:szCs w:val="32"/>
          <w:lang w:val="en-US" w:eastAsia="zh-CN"/>
        </w:rPr>
        <w:t>管控要求和湖南益阳高新技术产业开发区生态环境准入清单要求。根据湖南葆华环保科技有限公司编制的报告表分析结论，在建设单位认真落实报告表和本批复提出的各项生态环境保护措施，确保各项污染物稳定达标排放</w:t>
      </w:r>
      <w:r>
        <w:rPr>
          <w:rFonts w:hint="eastAsia" w:eastAsia="仿宋_GB2312" w:cs="Times New Roman"/>
          <w:color w:val="000000"/>
          <w:spacing w:val="4"/>
          <w:szCs w:val="32"/>
          <w:lang w:val="en-US" w:eastAsia="zh-CN"/>
        </w:rPr>
        <w:t>以及</w:t>
      </w:r>
      <w:r>
        <w:rPr>
          <w:rFonts w:hint="eastAsia" w:ascii="Times New Roman" w:hAnsi="Times New Roman" w:eastAsia="仿宋_GB2312" w:cs="Times New Roman"/>
          <w:color w:val="000000"/>
          <w:spacing w:val="4"/>
          <w:szCs w:val="32"/>
          <w:lang w:val="en-US" w:eastAsia="zh-CN"/>
        </w:rPr>
        <w:t>增产减污的前提下，我局原则同意补办环评</w:t>
      </w:r>
      <w:r>
        <w:rPr>
          <w:rFonts w:hint="eastAsia" w:eastAsia="仿宋_GB2312" w:cs="Times New Roman"/>
          <w:color w:val="000000"/>
          <w:spacing w:val="4"/>
          <w:szCs w:val="32"/>
          <w:lang w:val="en-US" w:eastAsia="zh-CN"/>
        </w:rPr>
        <w:t>审批手续。</w:t>
      </w:r>
    </w:p>
    <w:p>
      <w:pPr>
        <w:keepNext w:val="0"/>
        <w:keepLines w:val="0"/>
        <w:pageBreakBefore w:val="0"/>
        <w:numPr>
          <w:ilvl w:val="0"/>
          <w:numId w:val="0"/>
        </w:numPr>
        <w:kinsoku/>
        <w:wordWrap/>
        <w:overflowPunct/>
        <w:topLinePunct w:val="0"/>
        <w:autoSpaceDE/>
        <w:autoSpaceDN/>
        <w:bidi w:val="0"/>
        <w:adjustRightInd/>
        <w:snapToGrid/>
        <w:spacing w:line="600" w:lineRule="exact"/>
        <w:ind w:leftChars="0" w:firstLine="656" w:firstLineChars="200"/>
        <w:textAlignment w:val="auto"/>
        <w:rPr>
          <w:rFonts w:hint="eastAsia" w:ascii="Times New Roman" w:hAnsi="Times New Roman" w:eastAsia="仿宋_GB2312" w:cs="Times New Roman"/>
          <w:color w:val="000000"/>
          <w:spacing w:val="4"/>
          <w:szCs w:val="32"/>
          <w:lang w:val="en-US" w:eastAsia="zh-CN"/>
        </w:rPr>
      </w:pPr>
      <w:r>
        <w:rPr>
          <w:rFonts w:hint="eastAsia" w:ascii="Times New Roman" w:hAnsi="Times New Roman" w:eastAsia="仿宋_GB2312" w:cs="Times New Roman"/>
          <w:color w:val="000000"/>
          <w:spacing w:val="4"/>
          <w:szCs w:val="32"/>
          <w:lang w:val="en-US" w:eastAsia="zh-CN"/>
        </w:rPr>
        <w:t>二、你公司在工程设计、建设和营运管理中，必须落实</w:t>
      </w:r>
      <w:r>
        <w:rPr>
          <w:rFonts w:hint="eastAsia" w:eastAsia="仿宋_GB2312" w:cs="Times New Roman"/>
          <w:color w:val="000000"/>
          <w:spacing w:val="4"/>
          <w:szCs w:val="32"/>
          <w:lang w:val="en-US" w:eastAsia="zh-CN"/>
        </w:rPr>
        <w:t>报告表</w:t>
      </w:r>
      <w:r>
        <w:rPr>
          <w:rFonts w:hint="eastAsia" w:ascii="Times New Roman" w:hAnsi="Times New Roman" w:eastAsia="仿宋_GB2312" w:cs="Times New Roman"/>
          <w:color w:val="000000"/>
          <w:spacing w:val="4"/>
          <w:szCs w:val="32"/>
          <w:lang w:val="en-US" w:eastAsia="zh-CN"/>
        </w:rPr>
        <w:t>提出的各项污染防治</w:t>
      </w:r>
      <w:r>
        <w:rPr>
          <w:rFonts w:hint="eastAsia" w:eastAsia="仿宋_GB2312" w:cs="Times New Roman"/>
          <w:color w:val="000000"/>
          <w:spacing w:val="4"/>
          <w:szCs w:val="32"/>
          <w:lang w:val="en-US" w:eastAsia="zh-CN"/>
        </w:rPr>
        <w:t>措施并</w:t>
      </w:r>
      <w:r>
        <w:rPr>
          <w:rFonts w:hint="eastAsia" w:ascii="Times New Roman" w:hAnsi="Times New Roman" w:eastAsia="仿宋_GB2312" w:cs="Times New Roman"/>
          <w:color w:val="000000"/>
          <w:spacing w:val="4"/>
          <w:szCs w:val="32"/>
          <w:lang w:val="en-US" w:eastAsia="zh-CN"/>
        </w:rPr>
        <w:t>着重做好以下工作：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leftChars="0" w:firstLine="656" w:firstLineChars="200"/>
        <w:jc w:val="left"/>
        <w:textAlignment w:val="auto"/>
        <w:rPr>
          <w:rFonts w:hint="eastAsia" w:ascii="仿宋_GB2312" w:hAnsi="仿宋_GB2312" w:eastAsia="仿宋_GB2312" w:cs="仿宋_GB2312"/>
          <w:color w:val="auto"/>
          <w:spacing w:val="0"/>
          <w:sz w:val="32"/>
          <w:szCs w:val="32"/>
          <w:lang w:val="en-US" w:eastAsia="zh-CN"/>
        </w:rPr>
      </w:pPr>
      <w:r>
        <w:rPr>
          <w:rFonts w:eastAsia="楷体_GB2312"/>
          <w:color w:val="000000"/>
          <w:spacing w:val="4"/>
          <w:szCs w:val="32"/>
        </w:rPr>
        <w:t>（一）严格履行建设单位的环保主体责任。</w:t>
      </w:r>
      <w:r>
        <w:rPr>
          <w:rFonts w:hint="eastAsia" w:ascii="Times New Roman" w:hAnsi="Times New Roman" w:eastAsia="仿宋_GB2312" w:cs="Times New Roman"/>
          <w:color w:val="000000"/>
          <w:spacing w:val="4"/>
          <w:szCs w:val="32"/>
          <w:lang w:val="en-US" w:eastAsia="zh-CN"/>
        </w:rPr>
        <w:t>建立健全环保规章制度和岗位责任制，配备专职环保管理人员；加强生产台账和环保台账的登记管理，做到有据可查；定期对污染防治设施进行检查和维修，确保环保设施稳定正常运行和污染物稳定达标排放；制定环境风险事故应急预案，落实事故风险防范措施，切实防范各类环境风险事故。</w:t>
      </w:r>
    </w:p>
    <w:p>
      <w:pPr>
        <w:keepNext w:val="0"/>
        <w:keepLines w:val="0"/>
        <w:pageBreakBefore w:val="0"/>
        <w:widowControl w:val="0"/>
        <w:kinsoku/>
        <w:wordWrap/>
        <w:overflowPunct/>
        <w:topLinePunct w:val="0"/>
        <w:autoSpaceDE/>
        <w:autoSpaceDN/>
        <w:bidi w:val="0"/>
        <w:adjustRightInd/>
        <w:snapToGrid/>
        <w:spacing w:after="0" w:line="600" w:lineRule="exact"/>
        <w:ind w:firstLine="656" w:firstLineChars="200"/>
        <w:jc w:val="both"/>
        <w:textAlignment w:val="auto"/>
        <w:rPr>
          <w:rFonts w:hint="default" w:ascii="Times New Roman" w:hAnsi="Times New Roman" w:eastAsia="宋体" w:cs="Times New Roman"/>
          <w:color w:val="000000"/>
          <w:kern w:val="0"/>
          <w:sz w:val="21"/>
          <w:szCs w:val="21"/>
          <w:u w:val="wave" w:color="auto"/>
          <w:lang w:eastAsia="zh-Hans" w:bidi="ar"/>
        </w:rPr>
      </w:pPr>
      <w:r>
        <w:rPr>
          <w:rFonts w:eastAsia="楷体_GB2312"/>
          <w:color w:val="000000"/>
          <w:spacing w:val="4"/>
          <w:szCs w:val="32"/>
        </w:rPr>
        <w:t>（</w:t>
      </w:r>
      <w:r>
        <w:rPr>
          <w:rFonts w:hint="eastAsia" w:eastAsia="楷体_GB2312"/>
          <w:color w:val="000000"/>
          <w:spacing w:val="4"/>
          <w:szCs w:val="32"/>
          <w:lang w:eastAsia="zh-CN"/>
        </w:rPr>
        <w:t>二</w:t>
      </w:r>
      <w:r>
        <w:rPr>
          <w:rFonts w:eastAsia="楷体_GB2312"/>
          <w:color w:val="000000"/>
          <w:spacing w:val="4"/>
          <w:szCs w:val="32"/>
        </w:rPr>
        <w:t>）</w:t>
      </w:r>
      <w:r>
        <w:rPr>
          <w:rFonts w:eastAsia="楷体_GB2312"/>
          <w:color w:val="auto"/>
          <w:spacing w:val="4"/>
          <w:szCs w:val="32"/>
        </w:rPr>
        <w:t>落实大气污染防治措施。</w:t>
      </w:r>
      <w:r>
        <w:rPr>
          <w:rFonts w:hint="eastAsia" w:eastAsia="仿宋_GB2312" w:cs="Times New Roman"/>
          <w:color w:val="auto"/>
          <w:spacing w:val="4"/>
          <w:szCs w:val="32"/>
          <w:lang w:val="en-US" w:eastAsia="zh-CN"/>
        </w:rPr>
        <w:t>喷漆废气以及烘干固化废气经“漆雾过滤器+干式漆雾预处理器+活性炭吸附/脱附+催化燃烧”装置处理后通过2根20米高的排气筒（DA001、DA002）排放</w:t>
      </w:r>
      <w:r>
        <w:rPr>
          <w:rFonts w:hint="eastAsia" w:ascii="Times New Roman" w:hAnsi="Times New Roman" w:eastAsia="仿宋_GB2312" w:cs="Times New Roman"/>
          <w:color w:val="auto"/>
          <w:spacing w:val="4"/>
          <w:szCs w:val="32"/>
          <w:lang w:val="en-US" w:eastAsia="zh-CN"/>
        </w:rPr>
        <w:t>，确保外排污染物</w:t>
      </w:r>
      <w:r>
        <w:rPr>
          <w:rFonts w:hint="eastAsia" w:eastAsia="仿宋_GB2312" w:cs="Times New Roman"/>
          <w:color w:val="auto"/>
          <w:spacing w:val="4"/>
          <w:szCs w:val="32"/>
          <w:lang w:val="en-US" w:eastAsia="zh-CN"/>
        </w:rPr>
        <w:t>满足</w:t>
      </w:r>
      <w:r>
        <w:rPr>
          <w:rFonts w:hint="eastAsia" w:ascii="Times New Roman" w:hAnsi="Times New Roman" w:eastAsia="仿宋_GB2312" w:cs="Times New Roman"/>
          <w:color w:val="auto"/>
          <w:spacing w:val="4"/>
          <w:szCs w:val="32"/>
          <w:lang w:val="en-US" w:eastAsia="zh-CN"/>
        </w:rPr>
        <w:t>《表面涂装（汽车制造及维修）挥发性有机物、镍排放标准》（DB43/ 1356-2017）表1中相关排放限值和《挥发性有机物无组织排放控制标准》（GB37822-2019）附录A中厂区内VOCs无组织排放限值要求</w:t>
      </w:r>
      <w:r>
        <w:rPr>
          <w:rFonts w:hint="eastAsia" w:eastAsia="仿宋_GB2312" w:cs="Times New Roman"/>
          <w:color w:val="000000"/>
          <w:spacing w:val="4"/>
          <w:szCs w:val="32"/>
          <w:lang w:val="en-US" w:eastAsia="zh-CN"/>
        </w:rPr>
        <w:t>；热风炉天然气燃烧废气通过</w:t>
      </w:r>
      <w:r>
        <w:rPr>
          <w:rFonts w:hint="eastAsia" w:eastAsia="仿宋_GB2312" w:cs="Times New Roman"/>
          <w:color w:val="auto"/>
          <w:spacing w:val="4"/>
          <w:szCs w:val="32"/>
          <w:lang w:val="en-US" w:eastAsia="zh-CN"/>
        </w:rPr>
        <w:t>5根</w:t>
      </w:r>
      <w:r>
        <w:rPr>
          <w:rFonts w:hint="eastAsia" w:eastAsia="仿宋_GB2312" w:cs="Times New Roman"/>
          <w:color w:val="000000"/>
          <w:spacing w:val="4"/>
          <w:szCs w:val="32"/>
          <w:lang w:val="en-US" w:eastAsia="zh-CN"/>
        </w:rPr>
        <w:t>20米高的排气筒（DA004-DA008）排放，</w:t>
      </w:r>
      <w:r>
        <w:rPr>
          <w:rFonts w:hint="eastAsia" w:ascii="Times New Roman" w:hAnsi="Times New Roman" w:eastAsia="仿宋_GB2312" w:cs="Times New Roman"/>
          <w:color w:val="000000"/>
          <w:spacing w:val="4"/>
          <w:szCs w:val="32"/>
          <w:lang w:val="en-US" w:eastAsia="zh-CN"/>
        </w:rPr>
        <w:t>确保外排污染物</w:t>
      </w:r>
      <w:r>
        <w:rPr>
          <w:rFonts w:hint="eastAsia" w:eastAsia="仿宋_GB2312" w:cs="Times New Roman"/>
          <w:color w:val="000000"/>
          <w:spacing w:val="4"/>
          <w:szCs w:val="32"/>
          <w:lang w:val="en-US" w:eastAsia="zh-CN"/>
        </w:rPr>
        <w:t>满足</w:t>
      </w:r>
      <w:r>
        <w:rPr>
          <w:rFonts w:hint="eastAsia" w:ascii="Times New Roman" w:hAnsi="Times New Roman" w:eastAsia="仿宋_GB2312" w:cs="Times New Roman"/>
          <w:color w:val="000000"/>
          <w:spacing w:val="4"/>
          <w:szCs w:val="32"/>
          <w:lang w:val="en-US" w:eastAsia="zh-CN"/>
        </w:rPr>
        <w:t>《</w:t>
      </w:r>
      <w:r>
        <w:rPr>
          <w:rFonts w:hint="eastAsia" w:eastAsia="仿宋_GB2312" w:cs="Times New Roman"/>
          <w:color w:val="000000"/>
          <w:spacing w:val="4"/>
          <w:szCs w:val="32"/>
          <w:lang w:val="en-US" w:eastAsia="zh-CN"/>
        </w:rPr>
        <w:t>湖南省</w:t>
      </w:r>
      <w:r>
        <w:rPr>
          <w:rFonts w:hint="eastAsia" w:ascii="Times New Roman" w:hAnsi="Times New Roman" w:eastAsia="仿宋_GB2312" w:cs="Times New Roman"/>
          <w:color w:val="000000"/>
          <w:spacing w:val="4"/>
          <w:szCs w:val="32"/>
          <w:lang w:val="en-US" w:eastAsia="zh-CN"/>
        </w:rPr>
        <w:t>工业炉窑大气污染综合治理实施方案》（湘环发</w:t>
      </w:r>
      <w:r>
        <w:rPr>
          <w:rFonts w:hint="eastAsia" w:ascii="仿宋_GB2312" w:hAnsi="仿宋_GB2312" w:eastAsia="仿宋_GB2312" w:cs="仿宋_GB2312"/>
          <w:bCs/>
          <w:color w:val="auto"/>
          <w:spacing w:val="0"/>
          <w:szCs w:val="32"/>
        </w:rPr>
        <w:t>〔</w:t>
      </w:r>
      <w:r>
        <w:rPr>
          <w:rFonts w:hint="eastAsia" w:ascii="Times New Roman" w:hAnsi="Times New Roman" w:eastAsia="仿宋_GB2312" w:cs="Times New Roman"/>
          <w:color w:val="000000"/>
          <w:spacing w:val="4"/>
          <w:szCs w:val="32"/>
          <w:lang w:val="en-US" w:eastAsia="zh-CN"/>
        </w:rPr>
        <w:t>2020</w:t>
      </w:r>
      <w:r>
        <w:rPr>
          <w:rFonts w:hint="eastAsia" w:ascii="仿宋_GB2312" w:hAnsi="仿宋_GB2312" w:eastAsia="仿宋_GB2312" w:cs="仿宋_GB2312"/>
          <w:bCs/>
          <w:color w:val="auto"/>
          <w:spacing w:val="0"/>
          <w:szCs w:val="32"/>
        </w:rPr>
        <w:t>〕</w:t>
      </w:r>
      <w:r>
        <w:rPr>
          <w:rFonts w:hint="eastAsia" w:ascii="Times New Roman" w:hAnsi="Times New Roman" w:eastAsia="仿宋_GB2312" w:cs="Times New Roman"/>
          <w:color w:val="000000"/>
          <w:spacing w:val="4"/>
          <w:szCs w:val="32"/>
          <w:lang w:val="en-US" w:eastAsia="zh-CN"/>
        </w:rPr>
        <w:t>6号）</w:t>
      </w:r>
      <w:r>
        <w:rPr>
          <w:rFonts w:hint="eastAsia" w:eastAsia="仿宋_GB2312" w:cs="Times New Roman"/>
          <w:color w:val="000000"/>
          <w:spacing w:val="4"/>
          <w:szCs w:val="32"/>
          <w:lang w:val="en-US" w:eastAsia="zh-CN"/>
        </w:rPr>
        <w:t>中的排放限值要求；热水锅炉天然气燃烧废气通过1根20米高的排气筒（DA009）排放，</w:t>
      </w:r>
      <w:r>
        <w:rPr>
          <w:rFonts w:hint="eastAsia" w:ascii="Times New Roman" w:hAnsi="Times New Roman" w:eastAsia="仿宋_GB2312" w:cs="Times New Roman"/>
          <w:color w:val="000000"/>
          <w:spacing w:val="4"/>
          <w:szCs w:val="32"/>
          <w:lang w:val="en-US" w:eastAsia="zh-CN"/>
        </w:rPr>
        <w:t>确保外排污染物</w:t>
      </w:r>
      <w:r>
        <w:rPr>
          <w:rFonts w:hint="eastAsia" w:eastAsia="仿宋_GB2312" w:cs="Times New Roman"/>
          <w:color w:val="000000"/>
          <w:spacing w:val="4"/>
          <w:szCs w:val="32"/>
          <w:lang w:val="en-US" w:eastAsia="zh-CN"/>
        </w:rPr>
        <w:t>满足</w:t>
      </w:r>
      <w:r>
        <w:rPr>
          <w:rFonts w:hint="eastAsia" w:ascii="Times New Roman" w:hAnsi="Times New Roman" w:eastAsia="仿宋_GB2312" w:cs="Times New Roman"/>
          <w:color w:val="000000"/>
          <w:spacing w:val="4"/>
          <w:szCs w:val="32"/>
          <w:lang w:val="en-US" w:eastAsia="zh-CN"/>
        </w:rPr>
        <w:t>《锅炉大气污染物排放标准》（GB 13271-2014）表3中燃气锅炉特别排放限值</w:t>
      </w:r>
      <w:r>
        <w:rPr>
          <w:rFonts w:hint="eastAsia" w:eastAsia="仿宋_GB2312" w:cs="Times New Roman"/>
          <w:color w:val="000000"/>
          <w:spacing w:val="4"/>
          <w:szCs w:val="32"/>
          <w:lang w:val="en-US" w:eastAsia="zh-CN"/>
        </w:rPr>
        <w:t>要求；酸洗废气经</w:t>
      </w:r>
      <w:r>
        <w:rPr>
          <w:rFonts w:hint="eastAsia" w:ascii="Times New Roman" w:hAnsi="Times New Roman" w:eastAsia="仿宋_GB2312" w:cs="Times New Roman"/>
          <w:color w:val="000000"/>
          <w:spacing w:val="4"/>
          <w:szCs w:val="32"/>
          <w:lang w:val="en-US" w:eastAsia="zh-CN"/>
        </w:rPr>
        <w:t>碱液喷淋</w:t>
      </w:r>
      <w:r>
        <w:rPr>
          <w:rFonts w:hint="eastAsia" w:eastAsia="仿宋_GB2312" w:cs="Times New Roman"/>
          <w:color w:val="000000"/>
          <w:spacing w:val="4"/>
          <w:szCs w:val="32"/>
          <w:lang w:val="en-US" w:eastAsia="zh-CN"/>
        </w:rPr>
        <w:t>装置</w:t>
      </w:r>
      <w:r>
        <w:rPr>
          <w:rFonts w:hint="eastAsia" w:ascii="Times New Roman" w:hAnsi="Times New Roman" w:eastAsia="仿宋_GB2312" w:cs="Times New Roman"/>
          <w:color w:val="000000"/>
          <w:spacing w:val="4"/>
          <w:szCs w:val="32"/>
          <w:lang w:val="en-US" w:eastAsia="zh-CN"/>
        </w:rPr>
        <w:t>中和处理</w:t>
      </w:r>
      <w:r>
        <w:rPr>
          <w:rFonts w:hint="eastAsia" w:eastAsia="仿宋_GB2312" w:cs="Times New Roman"/>
          <w:color w:val="000000"/>
          <w:spacing w:val="4"/>
          <w:szCs w:val="32"/>
          <w:lang w:val="en-US" w:eastAsia="zh-CN"/>
        </w:rPr>
        <w:t>后</w:t>
      </w:r>
      <w:r>
        <w:rPr>
          <w:rFonts w:hint="eastAsia" w:ascii="Times New Roman" w:hAnsi="Times New Roman" w:eastAsia="仿宋_GB2312" w:cs="Times New Roman"/>
          <w:color w:val="000000"/>
          <w:spacing w:val="4"/>
          <w:szCs w:val="32"/>
          <w:lang w:val="en-US" w:eastAsia="zh-CN"/>
        </w:rPr>
        <w:t>通过</w:t>
      </w:r>
      <w:r>
        <w:rPr>
          <w:rFonts w:hint="eastAsia" w:eastAsia="仿宋_GB2312" w:cs="Times New Roman"/>
          <w:color w:val="000000"/>
          <w:spacing w:val="4"/>
          <w:szCs w:val="32"/>
          <w:lang w:val="en-US" w:eastAsia="zh-CN"/>
        </w:rPr>
        <w:t>20米</w:t>
      </w:r>
      <w:r>
        <w:rPr>
          <w:rFonts w:hint="eastAsia" w:ascii="Times New Roman" w:hAnsi="Times New Roman" w:eastAsia="仿宋_GB2312" w:cs="Times New Roman"/>
          <w:color w:val="000000"/>
          <w:spacing w:val="4"/>
          <w:szCs w:val="32"/>
          <w:lang w:val="en-US" w:eastAsia="zh-CN"/>
        </w:rPr>
        <w:t>高</w:t>
      </w:r>
      <w:r>
        <w:rPr>
          <w:rFonts w:hint="eastAsia" w:eastAsia="仿宋_GB2312" w:cs="Times New Roman"/>
          <w:color w:val="000000"/>
          <w:spacing w:val="4"/>
          <w:szCs w:val="32"/>
          <w:lang w:val="en-US" w:eastAsia="zh-CN"/>
        </w:rPr>
        <w:t>的</w:t>
      </w:r>
      <w:r>
        <w:rPr>
          <w:rFonts w:hint="eastAsia" w:ascii="Times New Roman" w:hAnsi="Times New Roman" w:eastAsia="仿宋_GB2312" w:cs="Times New Roman"/>
          <w:color w:val="000000"/>
          <w:spacing w:val="4"/>
          <w:szCs w:val="32"/>
          <w:lang w:val="en-US" w:eastAsia="zh-CN"/>
        </w:rPr>
        <w:t>排气筒（DA0</w:t>
      </w:r>
      <w:r>
        <w:rPr>
          <w:rFonts w:hint="eastAsia" w:eastAsia="仿宋_GB2312" w:cs="Times New Roman"/>
          <w:color w:val="000000"/>
          <w:spacing w:val="4"/>
          <w:szCs w:val="32"/>
          <w:lang w:val="en-US" w:eastAsia="zh-CN"/>
        </w:rPr>
        <w:t>03</w:t>
      </w:r>
      <w:r>
        <w:rPr>
          <w:rFonts w:hint="eastAsia" w:ascii="Times New Roman" w:hAnsi="Times New Roman" w:eastAsia="仿宋_GB2312" w:cs="Times New Roman"/>
          <w:color w:val="000000"/>
          <w:spacing w:val="4"/>
          <w:szCs w:val="32"/>
          <w:lang w:val="en-US" w:eastAsia="zh-CN"/>
        </w:rPr>
        <w:t>）排放，</w:t>
      </w:r>
      <w:r>
        <w:rPr>
          <w:rFonts w:hint="eastAsia" w:eastAsia="仿宋_GB2312" w:cs="Times New Roman"/>
          <w:color w:val="000000"/>
          <w:spacing w:val="4"/>
          <w:szCs w:val="32"/>
          <w:lang w:val="en-US" w:eastAsia="zh-CN"/>
        </w:rPr>
        <w:t>抛丸、打磨及部分机器焊接废气经滤筒过滤器处理后分别通</w:t>
      </w:r>
      <w:r>
        <w:rPr>
          <w:rFonts w:hint="eastAsia" w:eastAsia="仿宋_GB2312" w:cs="Times New Roman"/>
          <w:color w:val="auto"/>
          <w:spacing w:val="4"/>
          <w:szCs w:val="32"/>
          <w:lang w:val="en-US" w:eastAsia="zh-CN"/>
        </w:rPr>
        <w:t>过5根</w:t>
      </w:r>
      <w:r>
        <w:rPr>
          <w:rFonts w:hint="eastAsia" w:eastAsia="仿宋_GB2312" w:cs="Times New Roman"/>
          <w:color w:val="000000"/>
          <w:spacing w:val="4"/>
          <w:szCs w:val="32"/>
          <w:lang w:val="en-US" w:eastAsia="zh-CN"/>
        </w:rPr>
        <w:t>20米高排气筒（DA010-DA014）排放，切割及部分机器焊接废气经滤筒烟尘净化器处理，人工焊接废气经移动式烟尘净化装置处理，</w:t>
      </w:r>
      <w:r>
        <w:rPr>
          <w:rFonts w:hint="eastAsia" w:eastAsia="仿宋_GB2312" w:cs="Times New Roman"/>
          <w:color w:val="auto"/>
          <w:spacing w:val="4"/>
          <w:szCs w:val="32"/>
          <w:lang w:val="en-US" w:eastAsia="zh-CN"/>
        </w:rPr>
        <w:t>喷粉粉尘经大旋风除尘设备处理，</w:t>
      </w:r>
      <w:r>
        <w:rPr>
          <w:rFonts w:hint="eastAsia" w:ascii="Times New Roman" w:hAnsi="Times New Roman" w:eastAsia="仿宋_GB2312" w:cs="Times New Roman"/>
          <w:color w:val="000000"/>
          <w:spacing w:val="4"/>
          <w:szCs w:val="32"/>
          <w:lang w:val="en-US" w:eastAsia="zh-CN"/>
        </w:rPr>
        <w:t>确保上述外排污染物</w:t>
      </w:r>
      <w:r>
        <w:rPr>
          <w:rFonts w:hint="eastAsia" w:eastAsia="仿宋_GB2312" w:cs="Times New Roman"/>
          <w:color w:val="000000"/>
          <w:spacing w:val="4"/>
          <w:szCs w:val="32"/>
          <w:lang w:val="en-US" w:eastAsia="zh-CN"/>
        </w:rPr>
        <w:t>满足</w:t>
      </w:r>
      <w:r>
        <w:rPr>
          <w:rFonts w:hint="eastAsia" w:ascii="Times New Roman" w:hAnsi="Times New Roman" w:eastAsia="仿宋_GB2312" w:cs="Times New Roman"/>
          <w:color w:val="000000"/>
          <w:spacing w:val="4"/>
          <w:szCs w:val="32"/>
          <w:lang w:val="en-US" w:eastAsia="zh-CN"/>
        </w:rPr>
        <w:t>《大气污染物综合排放标准》(GB16297-1996）表2中的二级标准</w:t>
      </w:r>
      <w:r>
        <w:rPr>
          <w:rFonts w:hint="eastAsia" w:eastAsia="仿宋_GB2312" w:cs="Times New Roman"/>
          <w:color w:val="000000"/>
          <w:spacing w:val="4"/>
          <w:szCs w:val="32"/>
          <w:lang w:val="en-US" w:eastAsia="zh-CN"/>
        </w:rPr>
        <w:t>及无组织排放监控浓度限值要求；食堂油烟经油烟净化装置处理达到《饮食业油烟排放标准（试行）》（GB18483-2001）要求后</w:t>
      </w:r>
      <w:r>
        <w:rPr>
          <w:rFonts w:hint="default" w:ascii="Times New Roman" w:hAnsi="Times New Roman" w:eastAsia="方正仿宋简体" w:cs="Times New Roman"/>
          <w:sz w:val="32"/>
          <w:szCs w:val="32"/>
          <w:lang w:val="en-US" w:eastAsia="zh-CN"/>
        </w:rPr>
        <w:t>高于屋顶排放。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56" w:firstLineChars="200"/>
        <w:textAlignment w:val="auto"/>
        <w:rPr>
          <w:rFonts w:hint="eastAsia" w:ascii="Times New Roman" w:hAnsi="Times New Roman" w:eastAsia="仿宋_GB2312" w:cs="Times New Roman"/>
          <w:color w:val="000000"/>
          <w:spacing w:val="4"/>
          <w:szCs w:val="32"/>
          <w:lang w:val="en-US" w:eastAsia="zh-CN"/>
        </w:rPr>
      </w:pPr>
      <w:r>
        <w:rPr>
          <w:rFonts w:eastAsia="楷体_GB2312"/>
          <w:color w:val="000000"/>
          <w:spacing w:val="4"/>
          <w:szCs w:val="32"/>
        </w:rPr>
        <w:t>（</w:t>
      </w:r>
      <w:r>
        <w:rPr>
          <w:rFonts w:hint="eastAsia" w:eastAsia="楷体_GB2312"/>
          <w:color w:val="000000"/>
          <w:spacing w:val="4"/>
          <w:szCs w:val="32"/>
          <w:lang w:eastAsia="zh-CN"/>
        </w:rPr>
        <w:t>三</w:t>
      </w:r>
      <w:r>
        <w:rPr>
          <w:rFonts w:eastAsia="楷体_GB2312"/>
          <w:color w:val="000000"/>
          <w:spacing w:val="4"/>
          <w:szCs w:val="32"/>
        </w:rPr>
        <w:t>）落实水污染防治措施。</w:t>
      </w:r>
      <w:r>
        <w:rPr>
          <w:rFonts w:hint="eastAsia" w:ascii="Times New Roman" w:hAnsi="Times New Roman" w:eastAsia="仿宋_GB2312" w:cs="Times New Roman"/>
          <w:color w:val="000000"/>
          <w:spacing w:val="4"/>
          <w:szCs w:val="32"/>
          <w:lang w:val="en-US" w:eastAsia="zh-CN"/>
        </w:rPr>
        <w:t>厂区排水必须实行雨污分流。</w:t>
      </w:r>
      <w:r>
        <w:rPr>
          <w:rFonts w:hint="eastAsia" w:ascii="Times New Roman" w:hAnsi="Times New Roman" w:eastAsia="仿宋_GB2312" w:cs="Times New Roman"/>
          <w:color w:val="auto"/>
          <w:spacing w:val="4"/>
          <w:szCs w:val="32"/>
          <w:lang w:val="en-US" w:eastAsia="zh-CN"/>
        </w:rPr>
        <w:t>冷却水循环使用不外排</w:t>
      </w:r>
      <w:r>
        <w:rPr>
          <w:rFonts w:hint="eastAsia" w:ascii="Times New Roman" w:hAnsi="Times New Roman" w:eastAsia="仿宋_GB2312" w:cs="Times New Roman"/>
          <w:color w:val="000000"/>
          <w:spacing w:val="4"/>
          <w:szCs w:val="32"/>
          <w:lang w:val="en-US" w:eastAsia="zh-CN"/>
        </w:rPr>
        <w:t>；生活污水经化粪池</w:t>
      </w:r>
      <w:r>
        <w:rPr>
          <w:rFonts w:hint="eastAsia" w:eastAsia="仿宋_GB2312" w:cs="Times New Roman"/>
          <w:color w:val="000000"/>
          <w:spacing w:val="4"/>
          <w:szCs w:val="32"/>
          <w:lang w:val="en-US" w:eastAsia="zh-CN"/>
        </w:rPr>
        <w:t>预处理，生产废水采用“中和+调节池+隔油池+混凝沉淀池+清水池+多介质过滤器”工艺处理，均</w:t>
      </w:r>
      <w:r>
        <w:rPr>
          <w:rFonts w:hint="eastAsia" w:ascii="Times New Roman" w:hAnsi="Times New Roman" w:eastAsia="仿宋_GB2312" w:cs="Times New Roman"/>
          <w:color w:val="000000"/>
          <w:spacing w:val="4"/>
          <w:szCs w:val="32"/>
          <w:lang w:val="en-US" w:eastAsia="zh-CN"/>
        </w:rPr>
        <w:t>达到《污水综合排放标准》(GB8978-1996）表4中三级标准后经</w:t>
      </w:r>
      <w:r>
        <w:rPr>
          <w:rFonts w:hint="eastAsia" w:eastAsia="仿宋_GB2312" w:cs="Times New Roman"/>
          <w:color w:val="000000"/>
          <w:spacing w:val="4"/>
          <w:szCs w:val="32"/>
          <w:lang w:val="en-US" w:eastAsia="zh-CN"/>
        </w:rPr>
        <w:t>园区</w:t>
      </w:r>
      <w:r>
        <w:rPr>
          <w:rFonts w:hint="eastAsia" w:ascii="Times New Roman" w:hAnsi="Times New Roman" w:eastAsia="仿宋_GB2312" w:cs="Times New Roman"/>
          <w:color w:val="000000"/>
          <w:spacing w:val="4"/>
          <w:szCs w:val="32"/>
          <w:lang w:val="en-US" w:eastAsia="zh-CN"/>
        </w:rPr>
        <w:t>污水管网</w:t>
      </w:r>
      <w:r>
        <w:rPr>
          <w:rFonts w:hint="eastAsia" w:eastAsia="仿宋_GB2312" w:cs="Times New Roman"/>
          <w:color w:val="000000"/>
          <w:spacing w:val="4"/>
          <w:szCs w:val="32"/>
          <w:lang w:val="en-US" w:eastAsia="zh-CN"/>
        </w:rPr>
        <w:t>排</w:t>
      </w:r>
      <w:r>
        <w:rPr>
          <w:rFonts w:hint="eastAsia" w:ascii="Times New Roman" w:hAnsi="Times New Roman" w:eastAsia="仿宋_GB2312" w:cs="Times New Roman"/>
          <w:color w:val="000000"/>
          <w:spacing w:val="4"/>
          <w:szCs w:val="32"/>
          <w:lang w:val="en-US" w:eastAsia="zh-CN"/>
        </w:rPr>
        <w:t>入益阳市东部新区污水处理厂进行深度处理。</w:t>
      </w:r>
    </w:p>
    <w:p>
      <w:pPr>
        <w:keepNext w:val="0"/>
        <w:keepLines w:val="0"/>
        <w:pageBreakBefore w:val="0"/>
        <w:kinsoku/>
        <w:wordWrap/>
        <w:overflowPunct/>
        <w:topLinePunct w:val="0"/>
        <w:autoSpaceDE/>
        <w:autoSpaceDN/>
        <w:bidi w:val="0"/>
        <w:adjustRightInd/>
        <w:snapToGrid/>
        <w:spacing w:line="600" w:lineRule="exact"/>
        <w:ind w:leftChars="0" w:firstLine="656" w:firstLineChars="200"/>
        <w:textAlignment w:val="auto"/>
        <w:rPr>
          <w:rFonts w:hint="eastAsia" w:ascii="Times New Roman" w:hAnsi="Times New Roman" w:eastAsia="仿宋_GB2312" w:cs="Times New Roman"/>
          <w:color w:val="000000"/>
          <w:spacing w:val="4"/>
          <w:szCs w:val="32"/>
          <w:lang w:val="en-US" w:eastAsia="zh-CN"/>
        </w:rPr>
      </w:pPr>
      <w:r>
        <w:rPr>
          <w:rFonts w:eastAsia="楷体_GB2312"/>
          <w:color w:val="000000"/>
          <w:spacing w:val="4"/>
          <w:szCs w:val="32"/>
        </w:rPr>
        <w:t>（</w:t>
      </w:r>
      <w:r>
        <w:rPr>
          <w:rFonts w:hint="eastAsia" w:eastAsia="楷体_GB2312"/>
          <w:color w:val="000000"/>
          <w:spacing w:val="4"/>
          <w:szCs w:val="32"/>
          <w:lang w:eastAsia="zh-CN"/>
        </w:rPr>
        <w:t>四</w:t>
      </w:r>
      <w:r>
        <w:rPr>
          <w:rFonts w:eastAsia="楷体_GB2312"/>
          <w:color w:val="000000"/>
          <w:spacing w:val="4"/>
          <w:szCs w:val="32"/>
        </w:rPr>
        <w:t>）落实噪声污染防治措施。</w:t>
      </w:r>
      <w:r>
        <w:rPr>
          <w:rFonts w:hint="eastAsia" w:ascii="Times New Roman" w:hAnsi="Times New Roman" w:eastAsia="仿宋_GB2312" w:cs="Times New Roman"/>
          <w:color w:val="000000"/>
          <w:spacing w:val="4"/>
          <w:szCs w:val="32"/>
          <w:lang w:val="en-US" w:eastAsia="zh-CN"/>
        </w:rPr>
        <w:t>合理</w:t>
      </w:r>
      <w:r>
        <w:rPr>
          <w:rFonts w:hint="default" w:ascii="Times New Roman" w:hAnsi="Times New Roman" w:eastAsia="仿宋_GB2312" w:cs="Times New Roman"/>
          <w:color w:val="000000"/>
          <w:spacing w:val="4"/>
          <w:szCs w:val="32"/>
          <w:lang w:val="en-US" w:eastAsia="zh-CN"/>
        </w:rPr>
        <w:t>优化</w:t>
      </w:r>
      <w:r>
        <w:rPr>
          <w:rFonts w:hint="eastAsia" w:ascii="Times New Roman" w:hAnsi="Times New Roman" w:eastAsia="仿宋_GB2312" w:cs="Times New Roman"/>
          <w:color w:val="000000"/>
          <w:spacing w:val="4"/>
          <w:szCs w:val="32"/>
          <w:lang w:val="en-US" w:eastAsia="zh-CN"/>
        </w:rPr>
        <w:t>总</w:t>
      </w:r>
      <w:r>
        <w:rPr>
          <w:rFonts w:hint="default" w:ascii="Times New Roman" w:hAnsi="Times New Roman" w:eastAsia="仿宋_GB2312" w:cs="Times New Roman"/>
          <w:color w:val="000000"/>
          <w:spacing w:val="4"/>
          <w:szCs w:val="32"/>
          <w:lang w:val="en-US" w:eastAsia="zh-CN"/>
        </w:rPr>
        <w:t>平面</w:t>
      </w:r>
      <w:r>
        <w:rPr>
          <w:rFonts w:hint="eastAsia" w:ascii="Times New Roman" w:hAnsi="Times New Roman" w:eastAsia="仿宋_GB2312" w:cs="Times New Roman"/>
          <w:color w:val="000000"/>
          <w:spacing w:val="4"/>
          <w:szCs w:val="32"/>
          <w:lang w:val="en-US" w:eastAsia="zh-CN"/>
        </w:rPr>
        <w:t>布置和设备的选型</w:t>
      </w:r>
      <w:r>
        <w:rPr>
          <w:rFonts w:hint="default" w:ascii="Times New Roman" w:hAnsi="Times New Roman" w:eastAsia="仿宋_GB2312" w:cs="Times New Roman"/>
          <w:color w:val="000000"/>
          <w:spacing w:val="4"/>
          <w:szCs w:val="32"/>
          <w:lang w:val="en-US" w:eastAsia="zh-CN"/>
        </w:rPr>
        <w:t>，</w:t>
      </w:r>
      <w:r>
        <w:rPr>
          <w:rFonts w:hint="eastAsia" w:ascii="Times New Roman" w:hAnsi="Times New Roman" w:eastAsia="仿宋_GB2312" w:cs="Times New Roman"/>
          <w:color w:val="000000"/>
          <w:spacing w:val="4"/>
          <w:szCs w:val="32"/>
          <w:lang w:val="en-US" w:eastAsia="zh-CN"/>
        </w:rPr>
        <w:t>对</w:t>
      </w:r>
      <w:r>
        <w:rPr>
          <w:rFonts w:hint="default" w:ascii="Times New Roman" w:hAnsi="Times New Roman" w:eastAsia="仿宋_GB2312" w:cs="Times New Roman"/>
          <w:color w:val="000000"/>
          <w:spacing w:val="4"/>
          <w:szCs w:val="32"/>
          <w:lang w:val="en-US" w:eastAsia="zh-CN"/>
        </w:rPr>
        <w:t>高噪声设备采取减震、消声、隔声等措施，合理安排生产时间，确保厂界噪声符合《工业企业厂界环境噪声排放标准》（GB12348-2008）中3类区标准要求。</w:t>
      </w:r>
    </w:p>
    <w:p>
      <w:pPr>
        <w:pStyle w:val="4"/>
        <w:keepNext w:val="0"/>
        <w:keepLines w:val="0"/>
        <w:pageBreakBefore w:val="0"/>
        <w:numPr>
          <w:ilvl w:val="0"/>
          <w:numId w:val="0"/>
        </w:numPr>
        <w:kinsoku/>
        <w:wordWrap/>
        <w:overflowPunct/>
        <w:topLinePunct w:val="0"/>
        <w:autoSpaceDE/>
        <w:autoSpaceDN/>
        <w:bidi w:val="0"/>
        <w:adjustRightInd/>
        <w:snapToGrid/>
        <w:spacing w:line="600" w:lineRule="exact"/>
        <w:ind w:leftChars="0" w:firstLine="656" w:firstLineChars="200"/>
        <w:jc w:val="both"/>
        <w:textAlignment w:val="auto"/>
        <w:rPr>
          <w:rFonts w:hint="eastAsia" w:ascii="Times New Roman" w:hAnsi="Times New Roman" w:eastAsia="仿宋_GB2312" w:cs="Times New Roman"/>
          <w:color w:val="000000"/>
          <w:spacing w:val="4"/>
          <w:kern w:val="2"/>
          <w:sz w:val="32"/>
          <w:szCs w:val="32"/>
          <w:lang w:val="en-US" w:eastAsia="zh-CN" w:bidi="ar-SA"/>
        </w:rPr>
      </w:pPr>
      <w:r>
        <w:rPr>
          <w:rFonts w:hint="default" w:ascii="Times New Roman" w:hAnsi="Times New Roman" w:eastAsia="楷体_GB2312" w:cs="Times New Roman"/>
          <w:color w:val="000000"/>
          <w:spacing w:val="4"/>
          <w:szCs w:val="32"/>
          <w:lang w:eastAsia="zh-CN"/>
        </w:rPr>
        <w:t>（</w:t>
      </w:r>
      <w:r>
        <w:rPr>
          <w:rFonts w:hint="eastAsia" w:ascii="Times New Roman" w:hAnsi="Times New Roman" w:eastAsia="楷体_GB2312" w:cs="Times New Roman"/>
          <w:color w:val="000000"/>
          <w:spacing w:val="4"/>
          <w:szCs w:val="32"/>
          <w:lang w:eastAsia="zh-CN"/>
        </w:rPr>
        <w:t>五</w:t>
      </w:r>
      <w:r>
        <w:rPr>
          <w:rFonts w:hint="default" w:ascii="Times New Roman" w:hAnsi="Times New Roman" w:eastAsia="楷体_GB2312" w:cs="Times New Roman"/>
          <w:color w:val="000000"/>
          <w:spacing w:val="4"/>
          <w:szCs w:val="32"/>
          <w:lang w:eastAsia="zh-CN"/>
        </w:rPr>
        <w:t>）加强对固体废物的分类管理。</w:t>
      </w:r>
      <w:r>
        <w:rPr>
          <w:rFonts w:hint="eastAsia" w:ascii="Times New Roman" w:hAnsi="Times New Roman" w:eastAsia="仿宋_GB2312" w:cs="Times New Roman"/>
          <w:color w:val="000000"/>
          <w:spacing w:val="4"/>
          <w:kern w:val="2"/>
          <w:sz w:val="32"/>
          <w:szCs w:val="32"/>
          <w:lang w:val="en-US" w:eastAsia="zh-CN" w:bidi="ar-SA"/>
        </w:rPr>
        <w:t>按照“无害化、资源化、减量化”的原则，做好固废的分类收集、暂存、安全处置和综合利用。厂区内按规范和环评提出的容量要求分别设置危废暂存库和一般固废暂存场所，其建设、运行和管理应分别满足《危险废物贮存污染控制标准》（GB18597-2023）、《一般工业固体废物贮存和填埋污染控制标准》（GB18599-2020）要求。生活垃圾收集后交当地环卫部门清运处置</w:t>
      </w:r>
      <w:r>
        <w:rPr>
          <w:rFonts w:hint="eastAsia" w:eastAsia="仿宋_GB2312" w:cs="Times New Roman"/>
          <w:color w:val="000000"/>
          <w:spacing w:val="4"/>
          <w:kern w:val="2"/>
          <w:sz w:val="32"/>
          <w:szCs w:val="32"/>
          <w:lang w:val="en-US" w:eastAsia="zh-CN" w:bidi="ar-SA"/>
        </w:rPr>
        <w:t>，抛丸、喷粉工序收集的粉尘作为原料综合利用，打磨和焊接工序收集的粉尘、焊渣、机加工边角料以及原料、产品废包装物</w:t>
      </w:r>
      <w:r>
        <w:rPr>
          <w:rFonts w:hint="eastAsia" w:ascii="Times New Roman" w:hAnsi="Times New Roman" w:eastAsia="仿宋_GB2312" w:cs="Times New Roman"/>
          <w:color w:val="000000"/>
          <w:spacing w:val="4"/>
          <w:kern w:val="2"/>
          <w:sz w:val="32"/>
          <w:szCs w:val="32"/>
          <w:lang w:val="en-US" w:eastAsia="zh-CN" w:bidi="ar-SA"/>
        </w:rPr>
        <w:t>外售资源回收单位，废水性漆桶</w:t>
      </w:r>
      <w:r>
        <w:rPr>
          <w:rFonts w:hint="eastAsia" w:eastAsia="仿宋_GB2312" w:cs="Times New Roman"/>
          <w:color w:val="000000"/>
          <w:spacing w:val="4"/>
          <w:kern w:val="2"/>
          <w:sz w:val="32"/>
          <w:szCs w:val="32"/>
          <w:lang w:val="en-US" w:eastAsia="zh-CN" w:bidi="ar-SA"/>
        </w:rPr>
        <w:t>交由厂家回收</w:t>
      </w:r>
      <w:r>
        <w:rPr>
          <w:rFonts w:hint="eastAsia" w:ascii="Times New Roman" w:hAnsi="Times New Roman" w:eastAsia="仿宋_GB2312" w:cs="Times New Roman"/>
          <w:color w:val="000000"/>
          <w:spacing w:val="4"/>
          <w:kern w:val="2"/>
          <w:sz w:val="32"/>
          <w:szCs w:val="32"/>
          <w:lang w:val="en-US" w:eastAsia="zh-CN" w:bidi="ar-SA"/>
        </w:rPr>
        <w:t>；漆渣</w:t>
      </w:r>
      <w:r>
        <w:rPr>
          <w:rFonts w:hint="eastAsia" w:eastAsia="仿宋_GB2312" w:cs="Times New Roman"/>
          <w:color w:val="000000"/>
          <w:spacing w:val="4"/>
          <w:kern w:val="2"/>
          <w:sz w:val="32"/>
          <w:szCs w:val="32"/>
          <w:lang w:val="en-US" w:eastAsia="zh-CN" w:bidi="ar-SA"/>
        </w:rPr>
        <w:t>、废活性炭、</w:t>
      </w:r>
      <w:r>
        <w:rPr>
          <w:rFonts w:hint="eastAsia" w:ascii="Times New Roman" w:hAnsi="Times New Roman" w:eastAsia="仿宋_GB2312" w:cs="Times New Roman"/>
          <w:color w:val="000000"/>
          <w:spacing w:val="4"/>
          <w:kern w:val="2"/>
          <w:sz w:val="32"/>
          <w:szCs w:val="32"/>
          <w:lang w:val="en-US" w:eastAsia="zh-CN" w:bidi="ar-SA"/>
        </w:rPr>
        <w:t>废机油、废油漆桶、废油桶、废过滤棉、</w:t>
      </w:r>
      <w:r>
        <w:rPr>
          <w:rFonts w:hint="eastAsia" w:eastAsia="仿宋_GB2312" w:cs="Times New Roman"/>
          <w:color w:val="000000"/>
          <w:spacing w:val="4"/>
          <w:kern w:val="2"/>
          <w:sz w:val="32"/>
          <w:szCs w:val="32"/>
          <w:lang w:val="en-US" w:eastAsia="zh-CN" w:bidi="ar-SA"/>
        </w:rPr>
        <w:t>污水处理站</w:t>
      </w:r>
      <w:r>
        <w:rPr>
          <w:rFonts w:hint="eastAsia" w:ascii="Times New Roman" w:hAnsi="Times New Roman" w:eastAsia="仿宋_GB2312" w:cs="Times New Roman"/>
          <w:color w:val="000000"/>
          <w:spacing w:val="4"/>
          <w:kern w:val="2"/>
          <w:sz w:val="32"/>
          <w:szCs w:val="32"/>
          <w:lang w:val="en-US" w:eastAsia="zh-CN" w:bidi="ar-SA"/>
        </w:rPr>
        <w:t>污泥、磷化渣、</w:t>
      </w:r>
      <w:r>
        <w:rPr>
          <w:rFonts w:hint="eastAsia" w:eastAsia="仿宋_GB2312" w:cs="Times New Roman"/>
          <w:color w:val="000000"/>
          <w:spacing w:val="4"/>
          <w:kern w:val="2"/>
          <w:sz w:val="32"/>
          <w:szCs w:val="32"/>
          <w:lang w:val="en-US" w:eastAsia="zh-CN" w:bidi="ar-SA"/>
        </w:rPr>
        <w:t>废催化剂、废切削液</w:t>
      </w:r>
      <w:r>
        <w:rPr>
          <w:rFonts w:hint="eastAsia" w:ascii="Times New Roman" w:hAnsi="Times New Roman" w:eastAsia="仿宋_GB2312" w:cs="Times New Roman"/>
          <w:color w:val="000000"/>
          <w:spacing w:val="4"/>
          <w:kern w:val="2"/>
          <w:sz w:val="32"/>
          <w:szCs w:val="32"/>
          <w:lang w:val="en-US" w:eastAsia="zh-CN" w:bidi="ar-SA"/>
        </w:rPr>
        <w:t>及含油废抹布及手套、包装物等危险废物</w:t>
      </w:r>
      <w:r>
        <w:rPr>
          <w:rFonts w:hint="default" w:ascii="Times New Roman" w:hAnsi="Times New Roman" w:eastAsia="仿宋_GB2312" w:cs="Times New Roman"/>
          <w:color w:val="000000"/>
          <w:spacing w:val="4"/>
          <w:kern w:val="2"/>
          <w:sz w:val="32"/>
          <w:szCs w:val="32"/>
          <w:lang w:val="en-US" w:eastAsia="zh-CN" w:bidi="ar-SA"/>
        </w:rPr>
        <w:t>分类贮存危废暂存库</w:t>
      </w:r>
      <w:r>
        <w:rPr>
          <w:rFonts w:hint="eastAsia" w:ascii="Times New Roman" w:hAnsi="Times New Roman" w:eastAsia="仿宋_GB2312" w:cs="Times New Roman"/>
          <w:color w:val="000000"/>
          <w:spacing w:val="4"/>
          <w:kern w:val="2"/>
          <w:sz w:val="32"/>
          <w:szCs w:val="32"/>
          <w:lang w:val="en-US" w:eastAsia="zh-CN" w:bidi="ar-SA"/>
        </w:rPr>
        <w:t>，</w:t>
      </w:r>
      <w:r>
        <w:rPr>
          <w:rFonts w:hint="default" w:ascii="Times New Roman" w:hAnsi="Times New Roman" w:eastAsia="仿宋_GB2312" w:cs="Times New Roman"/>
          <w:color w:val="000000"/>
          <w:spacing w:val="4"/>
          <w:kern w:val="2"/>
          <w:sz w:val="32"/>
          <w:szCs w:val="32"/>
          <w:lang w:val="en-US" w:eastAsia="zh-CN" w:bidi="ar-SA"/>
        </w:rPr>
        <w:t>定期外委有危废处置资质单位处理</w:t>
      </w:r>
      <w:r>
        <w:rPr>
          <w:rFonts w:hint="eastAsia" w:ascii="Times New Roman" w:hAnsi="Times New Roman" w:eastAsia="仿宋_GB2312" w:cs="Times New Roman"/>
          <w:color w:val="000000"/>
          <w:spacing w:val="4"/>
          <w:kern w:val="2"/>
          <w:sz w:val="32"/>
          <w:szCs w:val="32"/>
          <w:lang w:val="en-US" w:eastAsia="zh-CN" w:bidi="ar-SA"/>
        </w:rPr>
        <w:t>。</w:t>
      </w:r>
    </w:p>
    <w:p>
      <w:pPr>
        <w:keepNext w:val="0"/>
        <w:keepLines w:val="0"/>
        <w:pageBreakBefore w:val="0"/>
        <w:kinsoku/>
        <w:wordWrap/>
        <w:overflowPunct/>
        <w:topLinePunct w:val="0"/>
        <w:autoSpaceDE/>
        <w:autoSpaceDN/>
        <w:bidi w:val="0"/>
        <w:adjustRightInd/>
        <w:snapToGrid/>
        <w:spacing w:line="600" w:lineRule="exact"/>
        <w:ind w:leftChars="0" w:firstLine="656" w:firstLineChars="200"/>
        <w:textAlignment w:val="auto"/>
        <w:rPr>
          <w:rFonts w:hint="eastAsia" w:ascii="Times New Roman" w:hAnsi="Times New Roman" w:eastAsia="仿宋_GB2312" w:cs="Times New Roman"/>
          <w:color w:val="auto"/>
          <w:spacing w:val="4"/>
          <w:kern w:val="2"/>
          <w:sz w:val="32"/>
          <w:szCs w:val="32"/>
          <w:lang w:val="en-US" w:eastAsia="zh-CN" w:bidi="ar-SA"/>
        </w:rPr>
      </w:pPr>
      <w:r>
        <w:rPr>
          <w:rFonts w:eastAsia="楷体_GB2312"/>
          <w:color w:val="auto"/>
          <w:spacing w:val="4"/>
          <w:szCs w:val="32"/>
        </w:rPr>
        <w:t>（</w:t>
      </w:r>
      <w:r>
        <w:rPr>
          <w:rFonts w:hint="eastAsia" w:eastAsia="楷体_GB2312"/>
          <w:color w:val="auto"/>
          <w:spacing w:val="4"/>
          <w:szCs w:val="32"/>
          <w:lang w:eastAsia="zh-CN"/>
        </w:rPr>
        <w:t>六</w:t>
      </w:r>
      <w:r>
        <w:rPr>
          <w:rFonts w:eastAsia="楷体_GB2312"/>
          <w:color w:val="auto"/>
          <w:spacing w:val="4"/>
          <w:szCs w:val="32"/>
        </w:rPr>
        <w:t>）污染物总量控制指标为:</w:t>
      </w:r>
      <w:r>
        <w:rPr>
          <w:rFonts w:hint="eastAsia" w:ascii="Times New Roman" w:hAnsi="Times New Roman" w:eastAsia="仿宋_GB2312" w:cs="Times New Roman"/>
          <w:color w:val="auto"/>
          <w:spacing w:val="4"/>
          <w:kern w:val="2"/>
          <w:sz w:val="32"/>
          <w:szCs w:val="32"/>
          <w:lang w:val="en-US" w:eastAsia="zh-CN" w:bidi="ar-SA"/>
        </w:rPr>
        <w:t>二氧化硫（SO</w:t>
      </w:r>
      <w:r>
        <w:rPr>
          <w:rFonts w:hint="eastAsia" w:ascii="Times New Roman" w:hAnsi="Times New Roman" w:eastAsia="仿宋_GB2312" w:cs="Times New Roman"/>
          <w:color w:val="auto"/>
          <w:spacing w:val="4"/>
          <w:kern w:val="2"/>
          <w:sz w:val="32"/>
          <w:szCs w:val="32"/>
          <w:vertAlign w:val="subscript"/>
          <w:lang w:val="en-US" w:eastAsia="zh-CN" w:bidi="ar-SA"/>
        </w:rPr>
        <w:t>2</w:t>
      </w:r>
      <w:r>
        <w:rPr>
          <w:rFonts w:hint="eastAsia" w:ascii="Times New Roman" w:hAnsi="Times New Roman" w:eastAsia="仿宋_GB2312" w:cs="Times New Roman"/>
          <w:color w:val="auto"/>
          <w:spacing w:val="4"/>
          <w:kern w:val="2"/>
          <w:sz w:val="32"/>
          <w:szCs w:val="32"/>
          <w:lang w:val="en-US" w:eastAsia="zh-CN" w:bidi="ar-SA"/>
        </w:rPr>
        <w:t>）≤0.0</w:t>
      </w:r>
      <w:r>
        <w:rPr>
          <w:rFonts w:hint="eastAsia" w:eastAsia="仿宋_GB2312" w:cs="Times New Roman"/>
          <w:color w:val="auto"/>
          <w:spacing w:val="4"/>
          <w:kern w:val="2"/>
          <w:sz w:val="32"/>
          <w:szCs w:val="32"/>
          <w:lang w:val="en-US" w:eastAsia="zh-CN" w:bidi="ar-SA"/>
        </w:rPr>
        <w:t>8</w:t>
      </w:r>
      <w:r>
        <w:rPr>
          <w:rFonts w:hint="eastAsia" w:ascii="Times New Roman" w:hAnsi="Times New Roman" w:eastAsia="仿宋_GB2312" w:cs="Times New Roman"/>
          <w:color w:val="auto"/>
          <w:spacing w:val="4"/>
          <w:kern w:val="2"/>
          <w:sz w:val="32"/>
          <w:szCs w:val="32"/>
          <w:lang w:val="en-US" w:eastAsia="zh-CN" w:bidi="ar-SA"/>
        </w:rPr>
        <w:t>t/a</w:t>
      </w:r>
      <w:r>
        <w:rPr>
          <w:rFonts w:hint="eastAsia" w:eastAsia="仿宋_GB2312" w:cs="Times New Roman"/>
          <w:color w:val="auto"/>
          <w:spacing w:val="4"/>
          <w:kern w:val="2"/>
          <w:sz w:val="32"/>
          <w:szCs w:val="32"/>
          <w:lang w:val="en-US" w:eastAsia="zh-CN" w:bidi="ar-SA"/>
        </w:rPr>
        <w:t>、</w:t>
      </w:r>
      <w:r>
        <w:rPr>
          <w:rFonts w:hint="eastAsia" w:ascii="Times New Roman" w:hAnsi="Times New Roman" w:eastAsia="仿宋_GB2312" w:cs="Times New Roman"/>
          <w:color w:val="auto"/>
          <w:spacing w:val="4"/>
          <w:kern w:val="2"/>
          <w:sz w:val="32"/>
          <w:szCs w:val="32"/>
          <w:lang w:val="en-US" w:eastAsia="zh-CN" w:bidi="ar-SA"/>
        </w:rPr>
        <w:t>氮氧化物（NO</w:t>
      </w:r>
      <w:r>
        <w:rPr>
          <w:rFonts w:hint="eastAsia" w:ascii="Times New Roman" w:hAnsi="Times New Roman" w:eastAsia="仿宋_GB2312" w:cs="Times New Roman"/>
          <w:color w:val="auto"/>
          <w:spacing w:val="4"/>
          <w:kern w:val="2"/>
          <w:sz w:val="32"/>
          <w:szCs w:val="32"/>
          <w:vertAlign w:val="subscript"/>
          <w:lang w:val="en-US" w:eastAsia="zh-CN" w:bidi="ar-SA"/>
        </w:rPr>
        <w:t>X</w:t>
      </w:r>
      <w:r>
        <w:rPr>
          <w:rFonts w:hint="eastAsia" w:ascii="Times New Roman" w:hAnsi="Times New Roman" w:eastAsia="仿宋_GB2312" w:cs="Times New Roman"/>
          <w:color w:val="auto"/>
          <w:spacing w:val="4"/>
          <w:kern w:val="2"/>
          <w:sz w:val="32"/>
          <w:szCs w:val="32"/>
          <w:lang w:val="en-US" w:eastAsia="zh-CN" w:bidi="ar-SA"/>
        </w:rPr>
        <w:t>）≤0.</w:t>
      </w:r>
      <w:r>
        <w:rPr>
          <w:rFonts w:hint="eastAsia" w:eastAsia="仿宋_GB2312" w:cs="Times New Roman"/>
          <w:color w:val="auto"/>
          <w:spacing w:val="4"/>
          <w:kern w:val="2"/>
          <w:sz w:val="32"/>
          <w:szCs w:val="32"/>
          <w:lang w:val="en-US" w:eastAsia="zh-CN" w:bidi="ar-SA"/>
        </w:rPr>
        <w:t>32</w:t>
      </w:r>
      <w:r>
        <w:rPr>
          <w:rFonts w:hint="eastAsia" w:ascii="Times New Roman" w:hAnsi="Times New Roman" w:eastAsia="仿宋_GB2312" w:cs="Times New Roman"/>
          <w:color w:val="auto"/>
          <w:spacing w:val="4"/>
          <w:kern w:val="2"/>
          <w:sz w:val="32"/>
          <w:szCs w:val="32"/>
          <w:lang w:val="en-US" w:eastAsia="zh-CN" w:bidi="ar-SA"/>
        </w:rPr>
        <w:t>t/a</w:t>
      </w:r>
      <w:r>
        <w:rPr>
          <w:rFonts w:hint="eastAsia" w:eastAsia="仿宋_GB2312" w:cs="Times New Roman"/>
          <w:color w:val="auto"/>
          <w:spacing w:val="4"/>
          <w:kern w:val="2"/>
          <w:sz w:val="32"/>
          <w:szCs w:val="32"/>
          <w:lang w:val="en-US" w:eastAsia="zh-CN" w:bidi="ar-SA"/>
        </w:rPr>
        <w:t>、挥发性有机物（VOCs）</w:t>
      </w:r>
      <w:r>
        <w:rPr>
          <w:rFonts w:hint="eastAsia" w:ascii="Times New Roman" w:hAnsi="Times New Roman" w:eastAsia="仿宋_GB2312" w:cs="Times New Roman"/>
          <w:color w:val="auto"/>
          <w:spacing w:val="4"/>
          <w:kern w:val="2"/>
          <w:sz w:val="32"/>
          <w:szCs w:val="32"/>
          <w:lang w:val="en-US" w:eastAsia="zh-CN" w:bidi="ar-SA"/>
        </w:rPr>
        <w:t>≤</w:t>
      </w:r>
      <w:r>
        <w:rPr>
          <w:rFonts w:hint="eastAsia" w:eastAsia="仿宋_GB2312" w:cs="Times New Roman"/>
          <w:color w:val="auto"/>
          <w:spacing w:val="4"/>
          <w:kern w:val="2"/>
          <w:sz w:val="32"/>
          <w:szCs w:val="32"/>
          <w:lang w:val="en-US" w:eastAsia="zh-CN" w:bidi="ar-SA"/>
        </w:rPr>
        <w:t>1</w:t>
      </w:r>
      <w:r>
        <w:rPr>
          <w:rFonts w:hint="eastAsia" w:ascii="Times New Roman" w:hAnsi="Times New Roman" w:eastAsia="仿宋_GB2312" w:cs="Times New Roman"/>
          <w:color w:val="auto"/>
          <w:spacing w:val="4"/>
          <w:kern w:val="2"/>
          <w:sz w:val="32"/>
          <w:szCs w:val="32"/>
          <w:lang w:val="en-US" w:eastAsia="zh-CN" w:bidi="ar-SA"/>
        </w:rPr>
        <w:t>.</w:t>
      </w:r>
      <w:r>
        <w:rPr>
          <w:rFonts w:hint="eastAsia" w:eastAsia="仿宋_GB2312" w:cs="Times New Roman"/>
          <w:color w:val="auto"/>
          <w:spacing w:val="4"/>
          <w:kern w:val="2"/>
          <w:sz w:val="32"/>
          <w:szCs w:val="32"/>
          <w:lang w:val="en-US" w:eastAsia="zh-CN" w:bidi="ar-SA"/>
        </w:rPr>
        <w:t>23</w:t>
      </w:r>
      <w:r>
        <w:rPr>
          <w:rFonts w:hint="eastAsia" w:ascii="Times New Roman" w:hAnsi="Times New Roman" w:eastAsia="仿宋_GB2312" w:cs="Times New Roman"/>
          <w:color w:val="auto"/>
          <w:spacing w:val="4"/>
          <w:kern w:val="2"/>
          <w:sz w:val="32"/>
          <w:szCs w:val="32"/>
          <w:lang w:val="en-US" w:eastAsia="zh-CN" w:bidi="ar-SA"/>
        </w:rPr>
        <w:t>t/a</w:t>
      </w:r>
      <w:r>
        <w:rPr>
          <w:rFonts w:hint="eastAsia" w:eastAsia="仿宋_GB2312" w:cs="Times New Roman"/>
          <w:color w:val="auto"/>
          <w:spacing w:val="4"/>
          <w:kern w:val="2"/>
          <w:sz w:val="32"/>
          <w:szCs w:val="32"/>
          <w:lang w:val="en-US" w:eastAsia="zh-CN" w:bidi="ar-SA"/>
        </w:rPr>
        <w:t>、化学需氧量（COD）</w:t>
      </w:r>
      <w:r>
        <w:rPr>
          <w:rFonts w:hint="eastAsia" w:ascii="Times New Roman" w:hAnsi="Times New Roman" w:eastAsia="仿宋_GB2312" w:cs="Times New Roman"/>
          <w:color w:val="auto"/>
          <w:spacing w:val="4"/>
          <w:kern w:val="2"/>
          <w:sz w:val="32"/>
          <w:szCs w:val="32"/>
          <w:lang w:val="en-US" w:eastAsia="zh-CN" w:bidi="ar-SA"/>
        </w:rPr>
        <w:t>≤</w:t>
      </w:r>
      <w:r>
        <w:rPr>
          <w:rFonts w:hint="eastAsia" w:eastAsia="仿宋_GB2312" w:cs="Times New Roman"/>
          <w:color w:val="auto"/>
          <w:spacing w:val="4"/>
          <w:kern w:val="2"/>
          <w:sz w:val="32"/>
          <w:szCs w:val="32"/>
          <w:lang w:val="en-US" w:eastAsia="zh-CN" w:bidi="ar-SA"/>
        </w:rPr>
        <w:t>1.24</w:t>
      </w:r>
      <w:r>
        <w:rPr>
          <w:rFonts w:hint="eastAsia" w:ascii="Times New Roman" w:hAnsi="Times New Roman" w:eastAsia="仿宋_GB2312" w:cs="Times New Roman"/>
          <w:color w:val="auto"/>
          <w:spacing w:val="4"/>
          <w:kern w:val="2"/>
          <w:sz w:val="32"/>
          <w:szCs w:val="32"/>
          <w:lang w:val="en-US" w:eastAsia="zh-CN" w:bidi="ar-SA"/>
        </w:rPr>
        <w:t>t/a</w:t>
      </w:r>
      <w:r>
        <w:rPr>
          <w:rFonts w:hint="eastAsia" w:eastAsia="仿宋_GB2312" w:cs="Times New Roman"/>
          <w:color w:val="auto"/>
          <w:spacing w:val="4"/>
          <w:kern w:val="2"/>
          <w:sz w:val="32"/>
          <w:szCs w:val="32"/>
          <w:lang w:val="en-US" w:eastAsia="zh-CN" w:bidi="ar-SA"/>
        </w:rPr>
        <w:t>、氨氮（NH</w:t>
      </w:r>
      <w:r>
        <w:rPr>
          <w:rFonts w:hint="eastAsia" w:eastAsia="仿宋_GB2312" w:cs="Times New Roman"/>
          <w:color w:val="auto"/>
          <w:spacing w:val="4"/>
          <w:kern w:val="2"/>
          <w:sz w:val="32"/>
          <w:szCs w:val="32"/>
          <w:vertAlign w:val="subscript"/>
          <w:lang w:val="en-US" w:eastAsia="zh-CN" w:bidi="ar-SA"/>
        </w:rPr>
        <w:t>3</w:t>
      </w:r>
      <w:r>
        <w:rPr>
          <w:rFonts w:hint="eastAsia" w:eastAsia="仿宋_GB2312" w:cs="Times New Roman"/>
          <w:color w:val="auto"/>
          <w:spacing w:val="4"/>
          <w:kern w:val="2"/>
          <w:sz w:val="32"/>
          <w:szCs w:val="32"/>
          <w:lang w:val="en-US" w:eastAsia="zh-CN" w:bidi="ar-SA"/>
        </w:rPr>
        <w:t>-N）</w:t>
      </w:r>
      <w:r>
        <w:rPr>
          <w:rFonts w:hint="eastAsia" w:ascii="Times New Roman" w:hAnsi="Times New Roman" w:eastAsia="仿宋_GB2312" w:cs="Times New Roman"/>
          <w:color w:val="auto"/>
          <w:spacing w:val="4"/>
          <w:kern w:val="2"/>
          <w:sz w:val="32"/>
          <w:szCs w:val="32"/>
          <w:lang w:val="en-US" w:eastAsia="zh-CN" w:bidi="ar-SA"/>
        </w:rPr>
        <w:t>≤0.</w:t>
      </w:r>
      <w:r>
        <w:rPr>
          <w:rFonts w:hint="eastAsia" w:eastAsia="仿宋_GB2312" w:cs="Times New Roman"/>
          <w:color w:val="auto"/>
          <w:spacing w:val="4"/>
          <w:kern w:val="2"/>
          <w:sz w:val="32"/>
          <w:szCs w:val="32"/>
          <w:lang w:val="en-US" w:eastAsia="zh-CN" w:bidi="ar-SA"/>
        </w:rPr>
        <w:t>13</w:t>
      </w:r>
      <w:r>
        <w:rPr>
          <w:rFonts w:hint="eastAsia" w:ascii="Times New Roman" w:hAnsi="Times New Roman" w:eastAsia="仿宋_GB2312" w:cs="Times New Roman"/>
          <w:color w:val="auto"/>
          <w:spacing w:val="4"/>
          <w:kern w:val="2"/>
          <w:sz w:val="32"/>
          <w:szCs w:val="32"/>
          <w:lang w:val="en-US" w:eastAsia="zh-CN" w:bidi="ar-SA"/>
        </w:rPr>
        <w:t>t/a</w:t>
      </w:r>
      <w:r>
        <w:rPr>
          <w:rFonts w:hint="eastAsia" w:eastAsia="仿宋_GB2312" w:cs="Times New Roman"/>
          <w:color w:val="auto"/>
          <w:spacing w:val="4"/>
          <w:kern w:val="2"/>
          <w:sz w:val="32"/>
          <w:szCs w:val="32"/>
          <w:lang w:val="en-US" w:eastAsia="zh-CN" w:bidi="ar-SA"/>
        </w:rPr>
        <w:t>，</w:t>
      </w:r>
      <w:r>
        <w:rPr>
          <w:rFonts w:hint="eastAsia" w:ascii="Times New Roman" w:hAnsi="Times New Roman" w:eastAsia="仿宋_GB2312" w:cs="Times New Roman"/>
          <w:color w:val="auto"/>
          <w:spacing w:val="4"/>
          <w:kern w:val="2"/>
          <w:sz w:val="32"/>
          <w:szCs w:val="32"/>
          <w:lang w:val="en-US" w:eastAsia="zh-CN" w:bidi="ar-SA"/>
        </w:rPr>
        <w:t>总量指标纳入高新区总量控制。</w:t>
      </w:r>
    </w:p>
    <w:p>
      <w:pPr>
        <w:keepNext w:val="0"/>
        <w:keepLines w:val="0"/>
        <w:pageBreakBefore w:val="0"/>
        <w:kinsoku/>
        <w:wordWrap/>
        <w:overflowPunct/>
        <w:topLinePunct w:val="0"/>
        <w:autoSpaceDE/>
        <w:autoSpaceDN/>
        <w:bidi w:val="0"/>
        <w:adjustRightInd/>
        <w:snapToGrid/>
        <w:spacing w:line="600" w:lineRule="exact"/>
        <w:ind w:leftChars="0" w:firstLine="656" w:firstLineChars="200"/>
        <w:textAlignment w:val="auto"/>
        <w:rPr>
          <w:rFonts w:hint="eastAsia" w:ascii="Times New Roman" w:hAnsi="Times New Roman" w:eastAsia="仿宋_GB2312" w:cs="Times New Roman"/>
          <w:color w:val="000000"/>
          <w:spacing w:val="4"/>
          <w:kern w:val="2"/>
          <w:sz w:val="32"/>
          <w:szCs w:val="32"/>
          <w:lang w:val="en-US" w:eastAsia="zh-CN" w:bidi="ar-SA"/>
        </w:rPr>
      </w:pPr>
      <w:r>
        <w:rPr>
          <w:rFonts w:hint="eastAsia" w:ascii="Times New Roman" w:hAnsi="Times New Roman" w:eastAsia="仿宋_GB2312" w:cs="Times New Roman"/>
          <w:color w:val="000000"/>
          <w:spacing w:val="4"/>
          <w:kern w:val="2"/>
          <w:sz w:val="32"/>
          <w:szCs w:val="32"/>
          <w:lang w:val="en-US" w:eastAsia="zh-CN" w:bidi="ar-SA"/>
        </w:rPr>
        <w:t>三、项目性质、规模、地点、采用的生产工艺或者防治污染的措施发生重大变动的，应重新报批环境影响评价文件；</w:t>
      </w:r>
      <w:r>
        <w:rPr>
          <w:rFonts w:hint="eastAsia" w:ascii="Times New Roman" w:hAnsi="Times New Roman" w:eastAsia="仿宋_GB2312" w:cs="Times New Roman"/>
          <w:color w:val="auto"/>
          <w:spacing w:val="4"/>
          <w:kern w:val="2"/>
          <w:sz w:val="32"/>
          <w:szCs w:val="32"/>
          <w:lang w:val="en-US" w:eastAsia="zh-CN" w:bidi="ar-SA"/>
        </w:rPr>
        <w:t>若自批复之日起超过5年方开工建设的，其环境影响评价文件应报我局重新审核。</w:t>
      </w:r>
    </w:p>
    <w:p>
      <w:pPr>
        <w:keepNext w:val="0"/>
        <w:keepLines w:val="0"/>
        <w:pageBreakBefore w:val="0"/>
        <w:kinsoku/>
        <w:wordWrap/>
        <w:overflowPunct/>
        <w:topLinePunct w:val="0"/>
        <w:autoSpaceDE/>
        <w:autoSpaceDN/>
        <w:bidi w:val="0"/>
        <w:adjustRightInd/>
        <w:snapToGrid/>
        <w:spacing w:line="600" w:lineRule="exact"/>
        <w:ind w:leftChars="0" w:firstLine="656" w:firstLineChars="200"/>
        <w:textAlignment w:val="auto"/>
        <w:rPr>
          <w:rFonts w:hint="eastAsia" w:ascii="Times New Roman" w:hAnsi="Times New Roman" w:eastAsia="仿宋_GB2312" w:cs="Times New Roman"/>
          <w:color w:val="000000"/>
          <w:spacing w:val="4"/>
          <w:kern w:val="2"/>
          <w:sz w:val="32"/>
          <w:szCs w:val="32"/>
          <w:lang w:val="en-US" w:eastAsia="zh-CN" w:bidi="ar-SA"/>
        </w:rPr>
      </w:pPr>
      <w:r>
        <w:rPr>
          <w:rFonts w:hint="eastAsia" w:ascii="Times New Roman" w:hAnsi="Times New Roman" w:eastAsia="仿宋_GB2312" w:cs="Times New Roman"/>
          <w:color w:val="000000"/>
          <w:spacing w:val="4"/>
          <w:kern w:val="2"/>
          <w:sz w:val="32"/>
          <w:szCs w:val="32"/>
          <w:lang w:val="en-US" w:eastAsia="zh-CN" w:bidi="ar-SA"/>
        </w:rPr>
        <w:t>四、益阳市生态环境保护综合行政执法支队高新大队具体负责本工程“三同时”监督检查和管理工作，项目建成后，应按规定向我局办理排污许可相关手续和自行组织项目竣工环境保护验收。你公司在收到批复后15个工作日内，将批复及项目环评文件送至益阳市生态环境局高新区分局，并按规定接受各级生态环境管理部门的日常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eastAsia="仿宋_GB2312"/>
          <w:color w:val="auto"/>
          <w:spacing w:val="0"/>
        </w:rPr>
      </w:pPr>
      <w:r>
        <w:rPr>
          <w:rFonts w:hint="eastAsia" w:ascii="仿宋_GB2312" w:eastAsia="仿宋_GB2312"/>
          <w:color w:val="auto"/>
          <w:spacing w:val="0"/>
        </w:rPr>
        <w:t xml:space="preserve">                         </w:t>
      </w:r>
    </w:p>
    <w:p>
      <w:pPr>
        <w:keepNext w:val="0"/>
        <w:keepLines w:val="0"/>
        <w:pageBreakBefore w:val="0"/>
        <w:kinsoku/>
        <w:wordWrap/>
        <w:overflowPunct/>
        <w:topLinePunct w:val="0"/>
        <w:autoSpaceDE/>
        <w:autoSpaceDN/>
        <w:bidi w:val="0"/>
        <w:adjustRightInd/>
        <w:snapToGrid/>
        <w:spacing w:line="600" w:lineRule="exact"/>
        <w:ind w:leftChars="0" w:firstLine="5576" w:firstLineChars="1700"/>
        <w:textAlignment w:val="auto"/>
        <w:rPr>
          <w:rFonts w:hint="eastAsia" w:ascii="Times New Roman" w:hAnsi="Times New Roman" w:eastAsia="仿宋_GB2312" w:cs="Times New Roman"/>
          <w:color w:val="000000"/>
          <w:spacing w:val="4"/>
          <w:kern w:val="2"/>
          <w:sz w:val="32"/>
          <w:szCs w:val="32"/>
          <w:lang w:val="en-US" w:eastAsia="zh-CN" w:bidi="ar-SA"/>
        </w:rPr>
      </w:pPr>
      <w:r>
        <w:rPr>
          <w:rFonts w:hint="eastAsia" w:ascii="Times New Roman" w:hAnsi="Times New Roman" w:eastAsia="仿宋_GB2312" w:cs="Times New Roman"/>
          <w:color w:val="000000"/>
          <w:spacing w:val="4"/>
          <w:kern w:val="2"/>
          <w:sz w:val="32"/>
          <w:szCs w:val="32"/>
          <w:lang w:val="en-US" w:eastAsia="zh-CN" w:bidi="ar-SA"/>
        </w:rPr>
        <w:t>益阳市生态环境局</w:t>
      </w:r>
    </w:p>
    <w:p>
      <w:pPr>
        <w:keepNext w:val="0"/>
        <w:keepLines w:val="0"/>
        <w:pageBreakBefore w:val="0"/>
        <w:kinsoku/>
        <w:wordWrap/>
        <w:overflowPunct/>
        <w:topLinePunct w:val="0"/>
        <w:autoSpaceDE/>
        <w:autoSpaceDN/>
        <w:bidi w:val="0"/>
        <w:adjustRightInd/>
        <w:snapToGrid/>
        <w:spacing w:line="600" w:lineRule="exact"/>
        <w:ind w:leftChars="0" w:firstLine="656" w:firstLineChars="200"/>
        <w:textAlignment w:val="auto"/>
        <w:rPr>
          <w:rFonts w:hint="eastAsia" w:ascii="Times New Roman" w:hAnsi="Times New Roman" w:eastAsia="仿宋_GB2312" w:cs="Times New Roman"/>
          <w:color w:val="000000"/>
          <w:spacing w:val="4"/>
          <w:kern w:val="2"/>
          <w:sz w:val="32"/>
          <w:szCs w:val="32"/>
          <w:lang w:val="en-US" w:eastAsia="zh-CN" w:bidi="ar-SA"/>
        </w:rPr>
      </w:pPr>
      <w:r>
        <w:rPr>
          <w:rFonts w:hint="eastAsia" w:ascii="Times New Roman" w:hAnsi="Times New Roman" w:eastAsia="仿宋_GB2312" w:cs="Times New Roman"/>
          <w:color w:val="000000"/>
          <w:spacing w:val="4"/>
          <w:kern w:val="2"/>
          <w:sz w:val="32"/>
          <w:szCs w:val="32"/>
          <w:lang w:val="en-US" w:eastAsia="zh-CN" w:bidi="ar-SA"/>
        </w:rPr>
        <w:t xml:space="preserve">                              2023年</w:t>
      </w:r>
      <w:r>
        <w:rPr>
          <w:rFonts w:hint="eastAsia" w:eastAsia="仿宋_GB2312" w:cs="Times New Roman"/>
          <w:color w:val="000000"/>
          <w:spacing w:val="4"/>
          <w:kern w:val="2"/>
          <w:sz w:val="32"/>
          <w:szCs w:val="32"/>
          <w:lang w:val="en-US" w:eastAsia="zh-CN" w:bidi="ar-SA"/>
        </w:rPr>
        <w:t>8</w:t>
      </w:r>
      <w:r>
        <w:rPr>
          <w:rFonts w:hint="eastAsia" w:ascii="Times New Roman" w:hAnsi="Times New Roman" w:eastAsia="仿宋_GB2312" w:cs="Times New Roman"/>
          <w:color w:val="000000"/>
          <w:spacing w:val="4"/>
          <w:kern w:val="2"/>
          <w:sz w:val="32"/>
          <w:szCs w:val="32"/>
          <w:lang w:val="en-US" w:eastAsia="zh-CN" w:bidi="ar-SA"/>
        </w:rPr>
        <w:t>月</w:t>
      </w:r>
      <w:r>
        <w:rPr>
          <w:rFonts w:hint="eastAsia" w:eastAsia="仿宋_GB2312" w:cs="Times New Roman"/>
          <w:color w:val="000000"/>
          <w:spacing w:val="4"/>
          <w:kern w:val="2"/>
          <w:sz w:val="32"/>
          <w:szCs w:val="32"/>
          <w:lang w:val="en-US" w:eastAsia="zh-CN" w:bidi="ar-SA"/>
        </w:rPr>
        <w:t>4</w:t>
      </w:r>
      <w:r>
        <w:rPr>
          <w:rFonts w:hint="eastAsia" w:ascii="Times New Roman" w:hAnsi="Times New Roman" w:eastAsia="仿宋_GB2312" w:cs="Times New Roman"/>
          <w:color w:val="000000"/>
          <w:spacing w:val="4"/>
          <w:kern w:val="2"/>
          <w:sz w:val="32"/>
          <w:szCs w:val="32"/>
          <w:lang w:val="en-US" w:eastAsia="zh-CN" w:bidi="ar-SA"/>
        </w:rPr>
        <w:t>日</w:t>
      </w:r>
    </w:p>
    <w:sectPr>
      <w:footerReference r:id="rId6" w:type="default"/>
      <w:pgSz w:w="11906" w:h="16838"/>
      <w:pgMar w:top="2098" w:right="1276" w:bottom="1984" w:left="1587" w:header="851" w:footer="992" w:gutter="0"/>
      <w:pgNumType w:fmt="numberInDash" w:start="2"/>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0000600000000000000"/>
    <w:charset w:val="86"/>
    <w:family w:val="auto"/>
    <w:pitch w:val="default"/>
    <w:sig w:usb0="800002BF" w:usb1="184F6CF8" w:usb2="00000012" w:usb3="00000000" w:csb0="00160001" w:csb1="12030000"/>
  </w:font>
  <w:font w:name="楷体_GB2312">
    <w:altName w:val="楷体"/>
    <w:panose1 w:val="02010609030101010101"/>
    <w:charset w:val="86"/>
    <w:family w:val="modern"/>
    <w:pitch w:val="default"/>
    <w:sig w:usb0="00000000" w:usb1="0000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jc w:val="right"/>
                            <w:rPr>
                              <w:rFonts w:hint="eastAsia" w:eastAsia="华文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TCrejLAQAAnAMAAA4AAAAAAAAAAQAgAAAAHgEAAGRycy9lMm9E&#10;b2MueG1sUEsFBgAAAAAGAAYAWQEAAFsFAAAAAA==&#10;">
              <v:fill on="f" focussize="0,0"/>
              <v:stroke on="f"/>
              <v:imagedata o:title=""/>
              <o:lock v:ext="edit" aspectratio="f"/>
              <v:textbox inset="0mm,0mm,0mm,0mm" style="mso-fit-shape-to-text:t;">
                <w:txbxContent>
                  <w:p>
                    <w:pPr>
                      <w:pStyle w:val="8"/>
                      <w:jc w:val="right"/>
                      <w:rPr>
                        <w:rFonts w:hint="eastAsia" w:eastAsia="华文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E"/>
    <w:multiLevelType w:val="multilevel"/>
    <w:tmpl w:val="0000000E"/>
    <w:lvl w:ilvl="0" w:tentative="0">
      <w:start w:val="1"/>
      <w:numFmt w:val="decimal"/>
      <w:pStyle w:val="2"/>
      <w:lvlText w:val="%1"/>
      <w:lvlJc w:val="left"/>
      <w:pPr>
        <w:tabs>
          <w:tab w:val="left" w:pos="792"/>
        </w:tabs>
        <w:ind w:left="792" w:hanging="432"/>
      </w:pPr>
      <w:rPr>
        <w:rFonts w:hint="eastAsia" w:ascii="黑体" w:hAnsi="Times New Roman" w:eastAsia="黑体" w:cs="Times New Roman"/>
        <w:b/>
      </w:rPr>
    </w:lvl>
    <w:lvl w:ilvl="1" w:tentative="0">
      <w:start w:val="1"/>
      <w:numFmt w:val="decimal"/>
      <w:lvlText w:val="%1.%2"/>
      <w:lvlJc w:val="left"/>
      <w:pPr>
        <w:tabs>
          <w:tab w:val="left" w:pos="576"/>
        </w:tabs>
        <w:ind w:left="576" w:hanging="576"/>
      </w:pPr>
      <w:rPr>
        <w:rFonts w:hint="default" w:ascii="Times New Roman" w:hAnsi="Times New Roman" w:cs="Times New Roman"/>
      </w:rPr>
    </w:lvl>
    <w:lvl w:ilvl="2" w:tentative="0">
      <w:start w:val="1"/>
      <w:numFmt w:val="decimal"/>
      <w:lvlText w:val="%1.%2.%3"/>
      <w:lvlJc w:val="left"/>
      <w:pPr>
        <w:tabs>
          <w:tab w:val="left" w:pos="567"/>
        </w:tabs>
        <w:ind w:left="567" w:hanging="567"/>
      </w:pPr>
      <w:rPr>
        <w:rFonts w:hint="default" w:ascii="Times New Roman" w:hAnsi="Times New Roman" w:eastAsia="宋体" w:cs="Times New Roman"/>
        <w:b/>
        <w:i w:val="0"/>
        <w:color w:val="auto"/>
        <w:sz w:val="24"/>
        <w:szCs w:val="24"/>
      </w:rPr>
    </w:lvl>
    <w:lvl w:ilvl="3" w:tentative="0">
      <w:start w:val="1"/>
      <w:numFmt w:val="decimal"/>
      <w:lvlText w:val="%1.%2.%3.%4"/>
      <w:lvlJc w:val="left"/>
      <w:pPr>
        <w:tabs>
          <w:tab w:val="left" w:pos="284"/>
        </w:tabs>
        <w:ind w:left="255" w:hanging="198"/>
      </w:pPr>
      <w:rPr>
        <w:rFonts w:hint="default" w:ascii="Times New Roman" w:hAnsi="Times New Roman" w:cs="Times New Roman"/>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707BF746"/>
    <w:multiLevelType w:val="singleLevel"/>
    <w:tmpl w:val="707BF746"/>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xN2M1MmY1NDU2YzE2OWEwNjZkM2VhNWM2YTJjYTEifQ=="/>
  </w:docVars>
  <w:rsids>
    <w:rsidRoot w:val="003A417E"/>
    <w:rsid w:val="00001BF0"/>
    <w:rsid w:val="000048E1"/>
    <w:rsid w:val="00025DD7"/>
    <w:rsid w:val="0003774F"/>
    <w:rsid w:val="00045768"/>
    <w:rsid w:val="00051EBB"/>
    <w:rsid w:val="00061FF5"/>
    <w:rsid w:val="000631CD"/>
    <w:rsid w:val="00070A82"/>
    <w:rsid w:val="000731FD"/>
    <w:rsid w:val="00080857"/>
    <w:rsid w:val="00083200"/>
    <w:rsid w:val="000937FB"/>
    <w:rsid w:val="000B3309"/>
    <w:rsid w:val="000B4630"/>
    <w:rsid w:val="000C0A77"/>
    <w:rsid w:val="000C212A"/>
    <w:rsid w:val="000C3813"/>
    <w:rsid w:val="000D0A02"/>
    <w:rsid w:val="000D2CC4"/>
    <w:rsid w:val="000D481A"/>
    <w:rsid w:val="000D5172"/>
    <w:rsid w:val="000E1649"/>
    <w:rsid w:val="000F2C08"/>
    <w:rsid w:val="000F4556"/>
    <w:rsid w:val="00110053"/>
    <w:rsid w:val="00111F88"/>
    <w:rsid w:val="00117285"/>
    <w:rsid w:val="0012723E"/>
    <w:rsid w:val="00131AB6"/>
    <w:rsid w:val="001663FB"/>
    <w:rsid w:val="00183370"/>
    <w:rsid w:val="00185ED5"/>
    <w:rsid w:val="001A21A9"/>
    <w:rsid w:val="001A5E8D"/>
    <w:rsid w:val="001B2F42"/>
    <w:rsid w:val="001C3A30"/>
    <w:rsid w:val="001D2001"/>
    <w:rsid w:val="001D6ED1"/>
    <w:rsid w:val="0022226D"/>
    <w:rsid w:val="002371E9"/>
    <w:rsid w:val="002549FF"/>
    <w:rsid w:val="00261EB2"/>
    <w:rsid w:val="00263B19"/>
    <w:rsid w:val="00290FDA"/>
    <w:rsid w:val="002C17C9"/>
    <w:rsid w:val="002C6920"/>
    <w:rsid w:val="002C7DBB"/>
    <w:rsid w:val="002E1D0E"/>
    <w:rsid w:val="002F037B"/>
    <w:rsid w:val="002F3855"/>
    <w:rsid w:val="0030248F"/>
    <w:rsid w:val="00306B0D"/>
    <w:rsid w:val="00310CA4"/>
    <w:rsid w:val="003113CF"/>
    <w:rsid w:val="003326FA"/>
    <w:rsid w:val="00350787"/>
    <w:rsid w:val="00355987"/>
    <w:rsid w:val="00360EF0"/>
    <w:rsid w:val="00361918"/>
    <w:rsid w:val="0036540D"/>
    <w:rsid w:val="0037180A"/>
    <w:rsid w:val="00372D78"/>
    <w:rsid w:val="00386FA5"/>
    <w:rsid w:val="003873AE"/>
    <w:rsid w:val="003962E8"/>
    <w:rsid w:val="003A417E"/>
    <w:rsid w:val="003B01AD"/>
    <w:rsid w:val="003B478D"/>
    <w:rsid w:val="003C033E"/>
    <w:rsid w:val="003C6794"/>
    <w:rsid w:val="003C723E"/>
    <w:rsid w:val="003D7CF6"/>
    <w:rsid w:val="004066BA"/>
    <w:rsid w:val="004126F5"/>
    <w:rsid w:val="00425753"/>
    <w:rsid w:val="004263B3"/>
    <w:rsid w:val="004263F7"/>
    <w:rsid w:val="0042759C"/>
    <w:rsid w:val="00430BBE"/>
    <w:rsid w:val="004453C2"/>
    <w:rsid w:val="00453453"/>
    <w:rsid w:val="0045359D"/>
    <w:rsid w:val="0045451A"/>
    <w:rsid w:val="00462C7E"/>
    <w:rsid w:val="00471768"/>
    <w:rsid w:val="004765AE"/>
    <w:rsid w:val="00483AE6"/>
    <w:rsid w:val="004A33AC"/>
    <w:rsid w:val="004A7DE3"/>
    <w:rsid w:val="004B2C90"/>
    <w:rsid w:val="004B4DB9"/>
    <w:rsid w:val="004B72C7"/>
    <w:rsid w:val="004C6F89"/>
    <w:rsid w:val="004E1171"/>
    <w:rsid w:val="004E1812"/>
    <w:rsid w:val="004E58E8"/>
    <w:rsid w:val="004E6E66"/>
    <w:rsid w:val="004F3A16"/>
    <w:rsid w:val="00507694"/>
    <w:rsid w:val="00522689"/>
    <w:rsid w:val="00540290"/>
    <w:rsid w:val="005655C9"/>
    <w:rsid w:val="005724A2"/>
    <w:rsid w:val="00574CE8"/>
    <w:rsid w:val="00592C7E"/>
    <w:rsid w:val="00594977"/>
    <w:rsid w:val="005A3F9F"/>
    <w:rsid w:val="005C1025"/>
    <w:rsid w:val="005C6754"/>
    <w:rsid w:val="005D39A4"/>
    <w:rsid w:val="005D5D29"/>
    <w:rsid w:val="005E3244"/>
    <w:rsid w:val="005E4435"/>
    <w:rsid w:val="005F17E9"/>
    <w:rsid w:val="00607224"/>
    <w:rsid w:val="006132DE"/>
    <w:rsid w:val="006277FB"/>
    <w:rsid w:val="00652255"/>
    <w:rsid w:val="00676317"/>
    <w:rsid w:val="00682E08"/>
    <w:rsid w:val="0068731F"/>
    <w:rsid w:val="00693AB7"/>
    <w:rsid w:val="006971BB"/>
    <w:rsid w:val="006E2BE8"/>
    <w:rsid w:val="006E75E6"/>
    <w:rsid w:val="006F04FD"/>
    <w:rsid w:val="006F6BDD"/>
    <w:rsid w:val="00733AC7"/>
    <w:rsid w:val="00736DFB"/>
    <w:rsid w:val="007462E3"/>
    <w:rsid w:val="00750B05"/>
    <w:rsid w:val="00761219"/>
    <w:rsid w:val="00774D02"/>
    <w:rsid w:val="007A72EA"/>
    <w:rsid w:val="007B43D1"/>
    <w:rsid w:val="007C681B"/>
    <w:rsid w:val="007C72A6"/>
    <w:rsid w:val="007E59C8"/>
    <w:rsid w:val="007F14CB"/>
    <w:rsid w:val="00815E14"/>
    <w:rsid w:val="0086218D"/>
    <w:rsid w:val="00865299"/>
    <w:rsid w:val="008746D2"/>
    <w:rsid w:val="0089082A"/>
    <w:rsid w:val="008A0B01"/>
    <w:rsid w:val="008A1C29"/>
    <w:rsid w:val="008C36BC"/>
    <w:rsid w:val="008C5CA9"/>
    <w:rsid w:val="008D583C"/>
    <w:rsid w:val="008F23DE"/>
    <w:rsid w:val="00901A2D"/>
    <w:rsid w:val="0091266B"/>
    <w:rsid w:val="00914280"/>
    <w:rsid w:val="0091432D"/>
    <w:rsid w:val="009278DE"/>
    <w:rsid w:val="00936875"/>
    <w:rsid w:val="009549B7"/>
    <w:rsid w:val="00955595"/>
    <w:rsid w:val="0095578A"/>
    <w:rsid w:val="0096441F"/>
    <w:rsid w:val="009A6627"/>
    <w:rsid w:val="009A7161"/>
    <w:rsid w:val="009C2585"/>
    <w:rsid w:val="009D5A3E"/>
    <w:rsid w:val="009E0D18"/>
    <w:rsid w:val="009F3762"/>
    <w:rsid w:val="00A040C7"/>
    <w:rsid w:val="00A203A0"/>
    <w:rsid w:val="00A40D17"/>
    <w:rsid w:val="00A50CF1"/>
    <w:rsid w:val="00A61D09"/>
    <w:rsid w:val="00A71067"/>
    <w:rsid w:val="00A75DD9"/>
    <w:rsid w:val="00A77751"/>
    <w:rsid w:val="00A8604D"/>
    <w:rsid w:val="00AC03A6"/>
    <w:rsid w:val="00AD68E9"/>
    <w:rsid w:val="00AD782A"/>
    <w:rsid w:val="00AE6C55"/>
    <w:rsid w:val="00AF46EC"/>
    <w:rsid w:val="00B10801"/>
    <w:rsid w:val="00B3197F"/>
    <w:rsid w:val="00B33FA4"/>
    <w:rsid w:val="00B56F40"/>
    <w:rsid w:val="00B57591"/>
    <w:rsid w:val="00B575AE"/>
    <w:rsid w:val="00B64801"/>
    <w:rsid w:val="00B72013"/>
    <w:rsid w:val="00B777F7"/>
    <w:rsid w:val="00B80DB3"/>
    <w:rsid w:val="00B829CC"/>
    <w:rsid w:val="00B83300"/>
    <w:rsid w:val="00BB3AA8"/>
    <w:rsid w:val="00BB7D3F"/>
    <w:rsid w:val="00BC4262"/>
    <w:rsid w:val="00BC78D4"/>
    <w:rsid w:val="00BD0548"/>
    <w:rsid w:val="00BD2723"/>
    <w:rsid w:val="00BF042C"/>
    <w:rsid w:val="00C03684"/>
    <w:rsid w:val="00C04C48"/>
    <w:rsid w:val="00C131C0"/>
    <w:rsid w:val="00C31CFD"/>
    <w:rsid w:val="00C5157C"/>
    <w:rsid w:val="00C57A90"/>
    <w:rsid w:val="00C64DD0"/>
    <w:rsid w:val="00C75CEA"/>
    <w:rsid w:val="00C8365B"/>
    <w:rsid w:val="00CA1923"/>
    <w:rsid w:val="00CB4707"/>
    <w:rsid w:val="00CC3DD4"/>
    <w:rsid w:val="00CE1397"/>
    <w:rsid w:val="00CF0C36"/>
    <w:rsid w:val="00CF5456"/>
    <w:rsid w:val="00CF5985"/>
    <w:rsid w:val="00CF742E"/>
    <w:rsid w:val="00D060BC"/>
    <w:rsid w:val="00D14609"/>
    <w:rsid w:val="00D15CFC"/>
    <w:rsid w:val="00D36B6F"/>
    <w:rsid w:val="00D41047"/>
    <w:rsid w:val="00D462B5"/>
    <w:rsid w:val="00D547FD"/>
    <w:rsid w:val="00D62666"/>
    <w:rsid w:val="00D66D69"/>
    <w:rsid w:val="00D74C97"/>
    <w:rsid w:val="00D76381"/>
    <w:rsid w:val="00D831DF"/>
    <w:rsid w:val="00DB19A8"/>
    <w:rsid w:val="00DB48B0"/>
    <w:rsid w:val="00DC4A62"/>
    <w:rsid w:val="00DD19D4"/>
    <w:rsid w:val="00DE1668"/>
    <w:rsid w:val="00DE16B9"/>
    <w:rsid w:val="00DE2408"/>
    <w:rsid w:val="00DF6B84"/>
    <w:rsid w:val="00E0598B"/>
    <w:rsid w:val="00E10E44"/>
    <w:rsid w:val="00E26450"/>
    <w:rsid w:val="00E31040"/>
    <w:rsid w:val="00E44DF8"/>
    <w:rsid w:val="00E6023E"/>
    <w:rsid w:val="00E6739F"/>
    <w:rsid w:val="00E7377D"/>
    <w:rsid w:val="00E73A50"/>
    <w:rsid w:val="00E90832"/>
    <w:rsid w:val="00EB1F0E"/>
    <w:rsid w:val="00EB259B"/>
    <w:rsid w:val="00EC157C"/>
    <w:rsid w:val="00EC436B"/>
    <w:rsid w:val="00EC4CB3"/>
    <w:rsid w:val="00EC7A75"/>
    <w:rsid w:val="00ED1286"/>
    <w:rsid w:val="00EF02FE"/>
    <w:rsid w:val="00EF2DA4"/>
    <w:rsid w:val="00F0178D"/>
    <w:rsid w:val="00F12E10"/>
    <w:rsid w:val="00F3314B"/>
    <w:rsid w:val="00F34A3D"/>
    <w:rsid w:val="00F442B2"/>
    <w:rsid w:val="00F4790B"/>
    <w:rsid w:val="00F54EAA"/>
    <w:rsid w:val="00F74152"/>
    <w:rsid w:val="00F85AEE"/>
    <w:rsid w:val="00F86E75"/>
    <w:rsid w:val="00F91272"/>
    <w:rsid w:val="00F9172A"/>
    <w:rsid w:val="00F95F9E"/>
    <w:rsid w:val="00F96563"/>
    <w:rsid w:val="00F97E32"/>
    <w:rsid w:val="00FB255A"/>
    <w:rsid w:val="00FB7ED1"/>
    <w:rsid w:val="00FB7F67"/>
    <w:rsid w:val="00FE559B"/>
    <w:rsid w:val="00FE56D2"/>
    <w:rsid w:val="00FE632D"/>
    <w:rsid w:val="00FF6534"/>
    <w:rsid w:val="010333FC"/>
    <w:rsid w:val="012D5C29"/>
    <w:rsid w:val="01AE3AE6"/>
    <w:rsid w:val="01AE7488"/>
    <w:rsid w:val="01BF31D1"/>
    <w:rsid w:val="01D03FEC"/>
    <w:rsid w:val="01D159D9"/>
    <w:rsid w:val="01ED243B"/>
    <w:rsid w:val="01ED35F8"/>
    <w:rsid w:val="02224966"/>
    <w:rsid w:val="029E3B84"/>
    <w:rsid w:val="033476DA"/>
    <w:rsid w:val="03A60F18"/>
    <w:rsid w:val="03D345CC"/>
    <w:rsid w:val="03DA560A"/>
    <w:rsid w:val="042C501E"/>
    <w:rsid w:val="04571AFC"/>
    <w:rsid w:val="05956313"/>
    <w:rsid w:val="05990BE6"/>
    <w:rsid w:val="05D8789C"/>
    <w:rsid w:val="06093262"/>
    <w:rsid w:val="0638548F"/>
    <w:rsid w:val="065879BD"/>
    <w:rsid w:val="06C74ECC"/>
    <w:rsid w:val="06E42BFA"/>
    <w:rsid w:val="06E85C93"/>
    <w:rsid w:val="070865B3"/>
    <w:rsid w:val="072C6D6B"/>
    <w:rsid w:val="07354ECC"/>
    <w:rsid w:val="07511000"/>
    <w:rsid w:val="07702649"/>
    <w:rsid w:val="07DA01BE"/>
    <w:rsid w:val="080709A5"/>
    <w:rsid w:val="08114650"/>
    <w:rsid w:val="08260CF9"/>
    <w:rsid w:val="086B7063"/>
    <w:rsid w:val="088B2B53"/>
    <w:rsid w:val="089413C5"/>
    <w:rsid w:val="091D1DA1"/>
    <w:rsid w:val="09415B9F"/>
    <w:rsid w:val="0952317A"/>
    <w:rsid w:val="095C419A"/>
    <w:rsid w:val="097C2114"/>
    <w:rsid w:val="0998469B"/>
    <w:rsid w:val="09BE25B6"/>
    <w:rsid w:val="09BE6112"/>
    <w:rsid w:val="09FA59E7"/>
    <w:rsid w:val="0A851326"/>
    <w:rsid w:val="0A9F631F"/>
    <w:rsid w:val="0ADB0443"/>
    <w:rsid w:val="0BDF6813"/>
    <w:rsid w:val="0BF719CD"/>
    <w:rsid w:val="0BFD72E7"/>
    <w:rsid w:val="0C1122F2"/>
    <w:rsid w:val="0C3B064F"/>
    <w:rsid w:val="0C562ECC"/>
    <w:rsid w:val="0C9940FF"/>
    <w:rsid w:val="0C995126"/>
    <w:rsid w:val="0CFE2CC9"/>
    <w:rsid w:val="0D021275"/>
    <w:rsid w:val="0D3358B6"/>
    <w:rsid w:val="0D8E35FC"/>
    <w:rsid w:val="0D9A7649"/>
    <w:rsid w:val="0E75128A"/>
    <w:rsid w:val="0EB464CA"/>
    <w:rsid w:val="0EBF5211"/>
    <w:rsid w:val="0F4815CC"/>
    <w:rsid w:val="0F4E340A"/>
    <w:rsid w:val="0F512394"/>
    <w:rsid w:val="0F7F00F1"/>
    <w:rsid w:val="0FA90105"/>
    <w:rsid w:val="101616EC"/>
    <w:rsid w:val="10461AD6"/>
    <w:rsid w:val="108968AB"/>
    <w:rsid w:val="10E943BC"/>
    <w:rsid w:val="110C5B62"/>
    <w:rsid w:val="11324747"/>
    <w:rsid w:val="11423004"/>
    <w:rsid w:val="11BB73DB"/>
    <w:rsid w:val="11C96983"/>
    <w:rsid w:val="12284E79"/>
    <w:rsid w:val="12941229"/>
    <w:rsid w:val="129F6024"/>
    <w:rsid w:val="12C1072B"/>
    <w:rsid w:val="12D81B8D"/>
    <w:rsid w:val="13092833"/>
    <w:rsid w:val="13B70FE9"/>
    <w:rsid w:val="140D6837"/>
    <w:rsid w:val="14360E9D"/>
    <w:rsid w:val="148C4635"/>
    <w:rsid w:val="15612611"/>
    <w:rsid w:val="15653932"/>
    <w:rsid w:val="156A02A5"/>
    <w:rsid w:val="158942BB"/>
    <w:rsid w:val="16105693"/>
    <w:rsid w:val="16123C8E"/>
    <w:rsid w:val="162714E3"/>
    <w:rsid w:val="163C269B"/>
    <w:rsid w:val="16414F1E"/>
    <w:rsid w:val="167429F4"/>
    <w:rsid w:val="16CC5B36"/>
    <w:rsid w:val="16DF07A0"/>
    <w:rsid w:val="16E4540B"/>
    <w:rsid w:val="16E81710"/>
    <w:rsid w:val="176A2F62"/>
    <w:rsid w:val="18486CB8"/>
    <w:rsid w:val="18757D21"/>
    <w:rsid w:val="188744BB"/>
    <w:rsid w:val="188E4B07"/>
    <w:rsid w:val="18A10DE5"/>
    <w:rsid w:val="18A36E79"/>
    <w:rsid w:val="18BD66CD"/>
    <w:rsid w:val="1A10338C"/>
    <w:rsid w:val="1A1F4F6D"/>
    <w:rsid w:val="1A44428C"/>
    <w:rsid w:val="1A5058B6"/>
    <w:rsid w:val="1A5F6D6C"/>
    <w:rsid w:val="1AA17DB9"/>
    <w:rsid w:val="1AE96D60"/>
    <w:rsid w:val="1AF910A0"/>
    <w:rsid w:val="1B0F4CFD"/>
    <w:rsid w:val="1B5F06EB"/>
    <w:rsid w:val="1B6E71DD"/>
    <w:rsid w:val="1B7532B5"/>
    <w:rsid w:val="1B9E6554"/>
    <w:rsid w:val="1BCA4F59"/>
    <w:rsid w:val="1C083018"/>
    <w:rsid w:val="1C3F0F1B"/>
    <w:rsid w:val="1C493F61"/>
    <w:rsid w:val="1C4C681C"/>
    <w:rsid w:val="1C511779"/>
    <w:rsid w:val="1C534D67"/>
    <w:rsid w:val="1CB37522"/>
    <w:rsid w:val="1CCE45CD"/>
    <w:rsid w:val="1D4321A3"/>
    <w:rsid w:val="1D596D36"/>
    <w:rsid w:val="1D964AAF"/>
    <w:rsid w:val="1DCA3884"/>
    <w:rsid w:val="1DDE1448"/>
    <w:rsid w:val="1E3A67FD"/>
    <w:rsid w:val="1E5B2A7B"/>
    <w:rsid w:val="1E9A3AF9"/>
    <w:rsid w:val="1EA026C9"/>
    <w:rsid w:val="1ED0749E"/>
    <w:rsid w:val="1EFA69E1"/>
    <w:rsid w:val="1F2958D3"/>
    <w:rsid w:val="1F612791"/>
    <w:rsid w:val="1F8004F5"/>
    <w:rsid w:val="1F9B7931"/>
    <w:rsid w:val="1FAC6719"/>
    <w:rsid w:val="1FC12C5E"/>
    <w:rsid w:val="1FE92C51"/>
    <w:rsid w:val="20095B14"/>
    <w:rsid w:val="202B0267"/>
    <w:rsid w:val="204E2218"/>
    <w:rsid w:val="205224FE"/>
    <w:rsid w:val="205C1174"/>
    <w:rsid w:val="20BB217F"/>
    <w:rsid w:val="21B856E5"/>
    <w:rsid w:val="21D23C17"/>
    <w:rsid w:val="21D91D9E"/>
    <w:rsid w:val="22433EBD"/>
    <w:rsid w:val="229D1CE8"/>
    <w:rsid w:val="22C837C6"/>
    <w:rsid w:val="22D03DD0"/>
    <w:rsid w:val="231B68C4"/>
    <w:rsid w:val="232C6C32"/>
    <w:rsid w:val="23A639DA"/>
    <w:rsid w:val="23CE2D7B"/>
    <w:rsid w:val="243C0C96"/>
    <w:rsid w:val="244B378A"/>
    <w:rsid w:val="24526BE5"/>
    <w:rsid w:val="24E91CFB"/>
    <w:rsid w:val="25183443"/>
    <w:rsid w:val="251A4BEF"/>
    <w:rsid w:val="254C263C"/>
    <w:rsid w:val="257F27A2"/>
    <w:rsid w:val="25B51410"/>
    <w:rsid w:val="25EB3281"/>
    <w:rsid w:val="260C3AD1"/>
    <w:rsid w:val="26423EFF"/>
    <w:rsid w:val="267169E9"/>
    <w:rsid w:val="26C24876"/>
    <w:rsid w:val="26C7259C"/>
    <w:rsid w:val="27893F8C"/>
    <w:rsid w:val="27906E6E"/>
    <w:rsid w:val="27BA1B7C"/>
    <w:rsid w:val="27C03033"/>
    <w:rsid w:val="27C96B13"/>
    <w:rsid w:val="27F337F5"/>
    <w:rsid w:val="27FE25B8"/>
    <w:rsid w:val="28DE13B6"/>
    <w:rsid w:val="297F6DFB"/>
    <w:rsid w:val="29800011"/>
    <w:rsid w:val="29B0749A"/>
    <w:rsid w:val="29E25A79"/>
    <w:rsid w:val="2A215DB4"/>
    <w:rsid w:val="2A247DBB"/>
    <w:rsid w:val="2A7677D7"/>
    <w:rsid w:val="2A8E65A7"/>
    <w:rsid w:val="2B042976"/>
    <w:rsid w:val="2B431A3F"/>
    <w:rsid w:val="2B45236F"/>
    <w:rsid w:val="2B99301B"/>
    <w:rsid w:val="2BD91DBD"/>
    <w:rsid w:val="2BF70E1B"/>
    <w:rsid w:val="2C3575FD"/>
    <w:rsid w:val="2C36248E"/>
    <w:rsid w:val="2C491D5B"/>
    <w:rsid w:val="2C6D6814"/>
    <w:rsid w:val="2C9A7D53"/>
    <w:rsid w:val="2CAB47C4"/>
    <w:rsid w:val="2CE81886"/>
    <w:rsid w:val="2CED2FDA"/>
    <w:rsid w:val="2D0848C5"/>
    <w:rsid w:val="2D621927"/>
    <w:rsid w:val="2E00207F"/>
    <w:rsid w:val="2E0E786C"/>
    <w:rsid w:val="2E1C176D"/>
    <w:rsid w:val="2E5170EA"/>
    <w:rsid w:val="2ED91A45"/>
    <w:rsid w:val="2EFF65BF"/>
    <w:rsid w:val="2F3B7AFD"/>
    <w:rsid w:val="2F476BB2"/>
    <w:rsid w:val="2FBE547D"/>
    <w:rsid w:val="2FFD1D02"/>
    <w:rsid w:val="3015575C"/>
    <w:rsid w:val="302837E4"/>
    <w:rsid w:val="30622197"/>
    <w:rsid w:val="306D20D8"/>
    <w:rsid w:val="3073000C"/>
    <w:rsid w:val="3076612A"/>
    <w:rsid w:val="30A551EC"/>
    <w:rsid w:val="30AC0449"/>
    <w:rsid w:val="3104551C"/>
    <w:rsid w:val="31391598"/>
    <w:rsid w:val="31A95D5C"/>
    <w:rsid w:val="31BE7812"/>
    <w:rsid w:val="328F037F"/>
    <w:rsid w:val="33000108"/>
    <w:rsid w:val="336A22C1"/>
    <w:rsid w:val="33741DC8"/>
    <w:rsid w:val="33B11EC4"/>
    <w:rsid w:val="34711A93"/>
    <w:rsid w:val="34DD0564"/>
    <w:rsid w:val="35B4328A"/>
    <w:rsid w:val="35F16608"/>
    <w:rsid w:val="35FA51FE"/>
    <w:rsid w:val="36570620"/>
    <w:rsid w:val="36E44291"/>
    <w:rsid w:val="375456AC"/>
    <w:rsid w:val="37546213"/>
    <w:rsid w:val="379445B6"/>
    <w:rsid w:val="38F812E8"/>
    <w:rsid w:val="39272E42"/>
    <w:rsid w:val="39357CA9"/>
    <w:rsid w:val="3A157E48"/>
    <w:rsid w:val="3A8E5140"/>
    <w:rsid w:val="3AE349D1"/>
    <w:rsid w:val="3B0A280C"/>
    <w:rsid w:val="3B0F711B"/>
    <w:rsid w:val="3B125EF8"/>
    <w:rsid w:val="3B2E591B"/>
    <w:rsid w:val="3B4B1994"/>
    <w:rsid w:val="3B9A2191"/>
    <w:rsid w:val="3BA76AE1"/>
    <w:rsid w:val="3BB94552"/>
    <w:rsid w:val="3BF178B1"/>
    <w:rsid w:val="3C7007EC"/>
    <w:rsid w:val="3D780AE8"/>
    <w:rsid w:val="3DA11C79"/>
    <w:rsid w:val="3DAC00F4"/>
    <w:rsid w:val="3DD36518"/>
    <w:rsid w:val="3DE272B1"/>
    <w:rsid w:val="3DEE185B"/>
    <w:rsid w:val="3DEF0AD6"/>
    <w:rsid w:val="3E0B5655"/>
    <w:rsid w:val="3E184547"/>
    <w:rsid w:val="3E237685"/>
    <w:rsid w:val="3EA845CC"/>
    <w:rsid w:val="3EFA3BEC"/>
    <w:rsid w:val="3F460C8D"/>
    <w:rsid w:val="3F4E171F"/>
    <w:rsid w:val="40254AFB"/>
    <w:rsid w:val="408E24B2"/>
    <w:rsid w:val="40AF71A3"/>
    <w:rsid w:val="40BD7416"/>
    <w:rsid w:val="40C73D23"/>
    <w:rsid w:val="41B24C4F"/>
    <w:rsid w:val="42472E54"/>
    <w:rsid w:val="429C278D"/>
    <w:rsid w:val="432D42D0"/>
    <w:rsid w:val="436F0A40"/>
    <w:rsid w:val="43B93AF5"/>
    <w:rsid w:val="43BA3FC5"/>
    <w:rsid w:val="43F959BD"/>
    <w:rsid w:val="44645BA5"/>
    <w:rsid w:val="447D04C8"/>
    <w:rsid w:val="44DE6824"/>
    <w:rsid w:val="453E1CD7"/>
    <w:rsid w:val="45544C08"/>
    <w:rsid w:val="456F4189"/>
    <w:rsid w:val="45772094"/>
    <w:rsid w:val="45CF0E9E"/>
    <w:rsid w:val="45E80663"/>
    <w:rsid w:val="45EC7588"/>
    <w:rsid w:val="461448F7"/>
    <w:rsid w:val="463C423F"/>
    <w:rsid w:val="465A498A"/>
    <w:rsid w:val="465A7315"/>
    <w:rsid w:val="4680740B"/>
    <w:rsid w:val="468B4517"/>
    <w:rsid w:val="46926864"/>
    <w:rsid w:val="46A54B0F"/>
    <w:rsid w:val="46B467A7"/>
    <w:rsid w:val="46CD441C"/>
    <w:rsid w:val="471714AF"/>
    <w:rsid w:val="4729371C"/>
    <w:rsid w:val="48101CDD"/>
    <w:rsid w:val="481D7ECC"/>
    <w:rsid w:val="484F7B35"/>
    <w:rsid w:val="485A6652"/>
    <w:rsid w:val="48A069BA"/>
    <w:rsid w:val="48AE3800"/>
    <w:rsid w:val="48E65B5B"/>
    <w:rsid w:val="49287347"/>
    <w:rsid w:val="49354A08"/>
    <w:rsid w:val="49634005"/>
    <w:rsid w:val="4993613B"/>
    <w:rsid w:val="49B07B17"/>
    <w:rsid w:val="4A703499"/>
    <w:rsid w:val="4A8649CF"/>
    <w:rsid w:val="4A9B4753"/>
    <w:rsid w:val="4AA37943"/>
    <w:rsid w:val="4AB744D3"/>
    <w:rsid w:val="4ADA0518"/>
    <w:rsid w:val="4B0B25FB"/>
    <w:rsid w:val="4B106736"/>
    <w:rsid w:val="4B41052E"/>
    <w:rsid w:val="4B9602DD"/>
    <w:rsid w:val="4BB30D0B"/>
    <w:rsid w:val="4BE354F9"/>
    <w:rsid w:val="4BE51D09"/>
    <w:rsid w:val="4BE5557E"/>
    <w:rsid w:val="4BEE392E"/>
    <w:rsid w:val="4C395498"/>
    <w:rsid w:val="4D246998"/>
    <w:rsid w:val="4D45677E"/>
    <w:rsid w:val="4DCB3F26"/>
    <w:rsid w:val="4DD816AB"/>
    <w:rsid w:val="4DD92AE7"/>
    <w:rsid w:val="4DE21FE3"/>
    <w:rsid w:val="4DEE12CE"/>
    <w:rsid w:val="4DF95995"/>
    <w:rsid w:val="4E036FC1"/>
    <w:rsid w:val="4E075118"/>
    <w:rsid w:val="4E56633F"/>
    <w:rsid w:val="4E6A7DDF"/>
    <w:rsid w:val="4F1B62EC"/>
    <w:rsid w:val="4F1E6B4A"/>
    <w:rsid w:val="4F803124"/>
    <w:rsid w:val="4FEA6F2C"/>
    <w:rsid w:val="4FFF4689"/>
    <w:rsid w:val="5051105B"/>
    <w:rsid w:val="50B14EA5"/>
    <w:rsid w:val="517B596D"/>
    <w:rsid w:val="51900572"/>
    <w:rsid w:val="51DB6FAB"/>
    <w:rsid w:val="52132C6C"/>
    <w:rsid w:val="52BB5FDC"/>
    <w:rsid w:val="52D94894"/>
    <w:rsid w:val="53852E05"/>
    <w:rsid w:val="53B711BD"/>
    <w:rsid w:val="53D57E72"/>
    <w:rsid w:val="53F34F30"/>
    <w:rsid w:val="53F40D52"/>
    <w:rsid w:val="541859B5"/>
    <w:rsid w:val="542461B4"/>
    <w:rsid w:val="545D5E0B"/>
    <w:rsid w:val="54952865"/>
    <w:rsid w:val="54B84CAA"/>
    <w:rsid w:val="55366F69"/>
    <w:rsid w:val="554C3B9F"/>
    <w:rsid w:val="55982951"/>
    <w:rsid w:val="569637C0"/>
    <w:rsid w:val="5697709C"/>
    <w:rsid w:val="56B62346"/>
    <w:rsid w:val="56B74BDC"/>
    <w:rsid w:val="573568B4"/>
    <w:rsid w:val="577566ED"/>
    <w:rsid w:val="577F6BA4"/>
    <w:rsid w:val="58026A51"/>
    <w:rsid w:val="587474AF"/>
    <w:rsid w:val="58B03321"/>
    <w:rsid w:val="58B71C90"/>
    <w:rsid w:val="58CD32E8"/>
    <w:rsid w:val="591B69A8"/>
    <w:rsid w:val="59414293"/>
    <w:rsid w:val="59AA3FF9"/>
    <w:rsid w:val="59DB12B3"/>
    <w:rsid w:val="59E07892"/>
    <w:rsid w:val="5A107B8D"/>
    <w:rsid w:val="5A3263A9"/>
    <w:rsid w:val="5A42464D"/>
    <w:rsid w:val="5A532664"/>
    <w:rsid w:val="5A615DDF"/>
    <w:rsid w:val="5AFE2E05"/>
    <w:rsid w:val="5B2C0540"/>
    <w:rsid w:val="5B30342C"/>
    <w:rsid w:val="5B6B4FEA"/>
    <w:rsid w:val="5B996C72"/>
    <w:rsid w:val="5BF53B92"/>
    <w:rsid w:val="5C2530AE"/>
    <w:rsid w:val="5C6D01F8"/>
    <w:rsid w:val="5CAC01CB"/>
    <w:rsid w:val="5D0F6CD8"/>
    <w:rsid w:val="5D770F58"/>
    <w:rsid w:val="5F010883"/>
    <w:rsid w:val="5FBA4E4C"/>
    <w:rsid w:val="5FD26846"/>
    <w:rsid w:val="5FE01AB3"/>
    <w:rsid w:val="5FEB2BCB"/>
    <w:rsid w:val="600F468F"/>
    <w:rsid w:val="60470972"/>
    <w:rsid w:val="60AF3F75"/>
    <w:rsid w:val="60CE78E1"/>
    <w:rsid w:val="60E0450D"/>
    <w:rsid w:val="60E77AD1"/>
    <w:rsid w:val="61040EA5"/>
    <w:rsid w:val="61360325"/>
    <w:rsid w:val="616854FA"/>
    <w:rsid w:val="620C1DA3"/>
    <w:rsid w:val="621D021C"/>
    <w:rsid w:val="63192991"/>
    <w:rsid w:val="635C7308"/>
    <w:rsid w:val="63A831E2"/>
    <w:rsid w:val="63E66D2D"/>
    <w:rsid w:val="63ED6B74"/>
    <w:rsid w:val="643E43F2"/>
    <w:rsid w:val="64516D1A"/>
    <w:rsid w:val="64917754"/>
    <w:rsid w:val="6539718A"/>
    <w:rsid w:val="657924DC"/>
    <w:rsid w:val="657A6729"/>
    <w:rsid w:val="657F402D"/>
    <w:rsid w:val="65B217D5"/>
    <w:rsid w:val="65C62AAF"/>
    <w:rsid w:val="662326FA"/>
    <w:rsid w:val="66961E3C"/>
    <w:rsid w:val="66A2129D"/>
    <w:rsid w:val="676E0745"/>
    <w:rsid w:val="67990F2E"/>
    <w:rsid w:val="679E4A51"/>
    <w:rsid w:val="67CB767B"/>
    <w:rsid w:val="68185BEC"/>
    <w:rsid w:val="68251446"/>
    <w:rsid w:val="68A97E8F"/>
    <w:rsid w:val="68EA26DC"/>
    <w:rsid w:val="68F17803"/>
    <w:rsid w:val="691202EB"/>
    <w:rsid w:val="69757189"/>
    <w:rsid w:val="6A372C18"/>
    <w:rsid w:val="6A476406"/>
    <w:rsid w:val="6A54657B"/>
    <w:rsid w:val="6A737633"/>
    <w:rsid w:val="6AAB7162"/>
    <w:rsid w:val="6B141A4C"/>
    <w:rsid w:val="6B266A30"/>
    <w:rsid w:val="6BA708F2"/>
    <w:rsid w:val="6BB53802"/>
    <w:rsid w:val="6BD4248C"/>
    <w:rsid w:val="6BE77FC6"/>
    <w:rsid w:val="6BE85984"/>
    <w:rsid w:val="6C04239A"/>
    <w:rsid w:val="6C3F0FA7"/>
    <w:rsid w:val="6C486736"/>
    <w:rsid w:val="6C5E7310"/>
    <w:rsid w:val="6C6B2F98"/>
    <w:rsid w:val="6CB16327"/>
    <w:rsid w:val="6CEA21C3"/>
    <w:rsid w:val="6CF12E67"/>
    <w:rsid w:val="6D2B3600"/>
    <w:rsid w:val="6DEF39DF"/>
    <w:rsid w:val="6DF731D4"/>
    <w:rsid w:val="6E2E75B8"/>
    <w:rsid w:val="6E302565"/>
    <w:rsid w:val="6E6F6B54"/>
    <w:rsid w:val="6EB96AE0"/>
    <w:rsid w:val="6EE934B5"/>
    <w:rsid w:val="6FAB56DD"/>
    <w:rsid w:val="6FF944CB"/>
    <w:rsid w:val="7040045B"/>
    <w:rsid w:val="707779B5"/>
    <w:rsid w:val="70DB022F"/>
    <w:rsid w:val="70F25AEA"/>
    <w:rsid w:val="711235A4"/>
    <w:rsid w:val="711869E3"/>
    <w:rsid w:val="71332ADA"/>
    <w:rsid w:val="71766569"/>
    <w:rsid w:val="718944C6"/>
    <w:rsid w:val="71C138DA"/>
    <w:rsid w:val="7235034F"/>
    <w:rsid w:val="7238577F"/>
    <w:rsid w:val="723914F7"/>
    <w:rsid w:val="72D17DDC"/>
    <w:rsid w:val="72E74E49"/>
    <w:rsid w:val="736B043C"/>
    <w:rsid w:val="73CA0659"/>
    <w:rsid w:val="73E57B4E"/>
    <w:rsid w:val="74A13F0C"/>
    <w:rsid w:val="74EF24DB"/>
    <w:rsid w:val="754F0C44"/>
    <w:rsid w:val="75906821"/>
    <w:rsid w:val="75E56467"/>
    <w:rsid w:val="76184CB6"/>
    <w:rsid w:val="764364A0"/>
    <w:rsid w:val="76440617"/>
    <w:rsid w:val="77152654"/>
    <w:rsid w:val="773650D4"/>
    <w:rsid w:val="77461AAD"/>
    <w:rsid w:val="775234C7"/>
    <w:rsid w:val="778E72C8"/>
    <w:rsid w:val="77CF26E1"/>
    <w:rsid w:val="77DB6D35"/>
    <w:rsid w:val="77E761FD"/>
    <w:rsid w:val="781516FF"/>
    <w:rsid w:val="7833398A"/>
    <w:rsid w:val="78485F58"/>
    <w:rsid w:val="78552BBA"/>
    <w:rsid w:val="7867549A"/>
    <w:rsid w:val="78DB3308"/>
    <w:rsid w:val="78E15062"/>
    <w:rsid w:val="78EB30E1"/>
    <w:rsid w:val="791D5318"/>
    <w:rsid w:val="793C4517"/>
    <w:rsid w:val="79876FEC"/>
    <w:rsid w:val="798D56F0"/>
    <w:rsid w:val="79CC24A5"/>
    <w:rsid w:val="79F95B51"/>
    <w:rsid w:val="79FA0753"/>
    <w:rsid w:val="7AA95265"/>
    <w:rsid w:val="7AAE1062"/>
    <w:rsid w:val="7B15371E"/>
    <w:rsid w:val="7B231500"/>
    <w:rsid w:val="7B376C61"/>
    <w:rsid w:val="7B41207C"/>
    <w:rsid w:val="7B9E33E0"/>
    <w:rsid w:val="7BAD7063"/>
    <w:rsid w:val="7BC04826"/>
    <w:rsid w:val="7BD0513A"/>
    <w:rsid w:val="7BF12353"/>
    <w:rsid w:val="7C3308B7"/>
    <w:rsid w:val="7CA26617"/>
    <w:rsid w:val="7CE02C47"/>
    <w:rsid w:val="7D193810"/>
    <w:rsid w:val="7D267D83"/>
    <w:rsid w:val="7D7A2C5C"/>
    <w:rsid w:val="7DD13548"/>
    <w:rsid w:val="7ED61A00"/>
    <w:rsid w:val="7ED63C3C"/>
    <w:rsid w:val="7F225CF8"/>
    <w:rsid w:val="7F582C6A"/>
    <w:rsid w:val="7FD718B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Times New Roman" w:hAnsi="Times New Roman" w:eastAsia="华文仿宋" w:cs="Times New Roman"/>
      <w:kern w:val="2"/>
      <w:sz w:val="32"/>
      <w:szCs w:val="24"/>
      <w:lang w:val="en-US" w:eastAsia="zh-CN" w:bidi="ar-SA"/>
    </w:rPr>
  </w:style>
  <w:style w:type="paragraph" w:styleId="2">
    <w:name w:val="heading 1"/>
    <w:basedOn w:val="1"/>
    <w:next w:val="1"/>
    <w:qFormat/>
    <w:uiPriority w:val="0"/>
    <w:pPr>
      <w:numPr>
        <w:ilvl w:val="0"/>
        <w:numId w:val="1"/>
      </w:numPr>
      <w:overflowPunct w:val="0"/>
      <w:autoSpaceDE w:val="0"/>
      <w:autoSpaceDN w:val="0"/>
      <w:adjustRightInd w:val="0"/>
      <w:spacing w:before="60" w:after="60" w:line="360" w:lineRule="auto"/>
      <w:textAlignment w:val="baseline"/>
      <w:outlineLvl w:val="0"/>
    </w:pPr>
    <w:rPr>
      <w:rFonts w:ascii="Arial" w:hAnsi="Arial" w:eastAsia="黑体"/>
      <w:spacing w:val="-10"/>
      <w:kern w:val="20"/>
      <w:sz w:val="32"/>
      <w:szCs w:val="20"/>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7"/>
    <w:semiHidden/>
    <w:unhideWhenUsed/>
    <w:qFormat/>
    <w:uiPriority w:val="99"/>
    <w:rPr>
      <w:rFonts w:ascii="宋体" w:eastAsia="宋体"/>
      <w:sz w:val="18"/>
      <w:szCs w:val="18"/>
    </w:rPr>
  </w:style>
  <w:style w:type="paragraph" w:styleId="4">
    <w:name w:val="annotation text"/>
    <w:basedOn w:val="1"/>
    <w:link w:val="19"/>
    <w:unhideWhenUsed/>
    <w:qFormat/>
    <w:uiPriority w:val="0"/>
    <w:pPr>
      <w:jc w:val="left"/>
    </w:pPr>
  </w:style>
  <w:style w:type="paragraph" w:styleId="5">
    <w:name w:val="Body Text"/>
    <w:basedOn w:val="1"/>
    <w:unhideWhenUsed/>
    <w:qFormat/>
    <w:uiPriority w:val="1"/>
    <w:pPr>
      <w:spacing w:before="135"/>
      <w:ind w:left="140"/>
    </w:pPr>
    <w:rPr>
      <w:rFonts w:hint="eastAsia" w:ascii="宋体" w:hAnsi="宋体" w:eastAsia="宋体"/>
      <w:sz w:val="24"/>
    </w:rPr>
  </w:style>
  <w:style w:type="paragraph" w:styleId="6">
    <w:name w:val="Body Text Indent"/>
    <w:basedOn w:val="1"/>
    <w:qFormat/>
    <w:uiPriority w:val="0"/>
    <w:pPr>
      <w:snapToGrid/>
      <w:spacing w:line="360" w:lineRule="atLeast"/>
      <w:ind w:left="480" w:firstLine="480"/>
      <w:textAlignment w:val="baseline"/>
    </w:pPr>
    <w:rPr>
      <w:kern w:val="0"/>
      <w:szCs w:val="20"/>
    </w:rPr>
  </w:style>
  <w:style w:type="paragraph" w:styleId="7">
    <w:name w:val="Balloon Text"/>
    <w:basedOn w:val="1"/>
    <w:link w:val="18"/>
    <w:semiHidden/>
    <w:unhideWhenUsed/>
    <w:qFormat/>
    <w:uiPriority w:val="99"/>
    <w:rPr>
      <w:sz w:val="18"/>
      <w:szCs w:val="18"/>
    </w:rPr>
  </w:style>
  <w:style w:type="paragraph" w:styleId="8">
    <w:name w:val="footer"/>
    <w:basedOn w:val="1"/>
    <w:link w:val="16"/>
    <w:semiHidden/>
    <w:unhideWhenUsed/>
    <w:qFormat/>
    <w:uiPriority w:val="99"/>
    <w:pPr>
      <w:tabs>
        <w:tab w:val="center" w:pos="4153"/>
        <w:tab w:val="right" w:pos="8306"/>
      </w:tabs>
      <w:snapToGrid w:val="0"/>
      <w:jc w:val="left"/>
    </w:pPr>
    <w:rPr>
      <w:sz w:val="18"/>
      <w:szCs w:val="18"/>
    </w:rPr>
  </w:style>
  <w:style w:type="paragraph" w:styleId="9">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annotation subject"/>
    <w:basedOn w:val="4"/>
    <w:next w:val="4"/>
    <w:link w:val="20"/>
    <w:semiHidden/>
    <w:unhideWhenUsed/>
    <w:qFormat/>
    <w:uiPriority w:val="99"/>
    <w:rPr>
      <w:b/>
      <w:bCs/>
    </w:rPr>
  </w:style>
  <w:style w:type="paragraph" w:styleId="11">
    <w:name w:val="Body Text First Indent 2"/>
    <w:basedOn w:val="6"/>
    <w:qFormat/>
    <w:uiPriority w:val="0"/>
    <w:pPr>
      <w:adjustRightInd/>
      <w:spacing w:after="120" w:line="240" w:lineRule="auto"/>
      <w:ind w:left="420" w:leftChars="200" w:firstLine="420" w:firstLineChars="200"/>
      <w:jc w:val="both"/>
      <w:textAlignment w:val="auto"/>
    </w:pPr>
    <w:rPr>
      <w:kern w:val="2"/>
      <w:sz w:val="21"/>
      <w:szCs w:val="24"/>
    </w:rPr>
  </w:style>
  <w:style w:type="character" w:styleId="14">
    <w:name w:val="annotation reference"/>
    <w:basedOn w:val="13"/>
    <w:semiHidden/>
    <w:unhideWhenUsed/>
    <w:qFormat/>
    <w:uiPriority w:val="99"/>
    <w:rPr>
      <w:sz w:val="21"/>
      <w:szCs w:val="21"/>
    </w:rPr>
  </w:style>
  <w:style w:type="character" w:customStyle="1" w:styleId="15">
    <w:name w:val="页眉 Char"/>
    <w:basedOn w:val="13"/>
    <w:link w:val="9"/>
    <w:semiHidden/>
    <w:qFormat/>
    <w:uiPriority w:val="99"/>
    <w:rPr>
      <w:rFonts w:ascii="Times New Roman" w:hAnsi="Times New Roman" w:eastAsia="华文仿宋" w:cs="Times New Roman"/>
      <w:sz w:val="18"/>
      <w:szCs w:val="18"/>
    </w:rPr>
  </w:style>
  <w:style w:type="character" w:customStyle="1" w:styleId="16">
    <w:name w:val="页脚 Char"/>
    <w:basedOn w:val="13"/>
    <w:link w:val="8"/>
    <w:semiHidden/>
    <w:qFormat/>
    <w:uiPriority w:val="99"/>
    <w:rPr>
      <w:rFonts w:ascii="Times New Roman" w:hAnsi="Times New Roman" w:eastAsia="华文仿宋" w:cs="Times New Roman"/>
      <w:sz w:val="18"/>
      <w:szCs w:val="18"/>
    </w:rPr>
  </w:style>
  <w:style w:type="character" w:customStyle="1" w:styleId="17">
    <w:name w:val="文档结构图 Char"/>
    <w:basedOn w:val="13"/>
    <w:link w:val="3"/>
    <w:semiHidden/>
    <w:qFormat/>
    <w:uiPriority w:val="99"/>
    <w:rPr>
      <w:rFonts w:ascii="宋体" w:hAnsi="Times New Roman" w:eastAsia="宋体" w:cs="Times New Roman"/>
      <w:sz w:val="18"/>
      <w:szCs w:val="18"/>
    </w:rPr>
  </w:style>
  <w:style w:type="character" w:customStyle="1" w:styleId="18">
    <w:name w:val="批注框文本 Char"/>
    <w:basedOn w:val="13"/>
    <w:link w:val="7"/>
    <w:semiHidden/>
    <w:qFormat/>
    <w:uiPriority w:val="99"/>
    <w:rPr>
      <w:rFonts w:ascii="Times New Roman" w:hAnsi="Times New Roman" w:eastAsia="华文仿宋" w:cs="Times New Roman"/>
      <w:sz w:val="18"/>
      <w:szCs w:val="18"/>
    </w:rPr>
  </w:style>
  <w:style w:type="character" w:customStyle="1" w:styleId="19">
    <w:name w:val="批注文字 Char"/>
    <w:basedOn w:val="13"/>
    <w:link w:val="4"/>
    <w:qFormat/>
    <w:uiPriority w:val="0"/>
    <w:rPr>
      <w:rFonts w:ascii="Times New Roman" w:hAnsi="Times New Roman" w:eastAsia="华文仿宋" w:cs="Times New Roman"/>
      <w:sz w:val="32"/>
      <w:szCs w:val="24"/>
    </w:rPr>
  </w:style>
  <w:style w:type="character" w:customStyle="1" w:styleId="20">
    <w:name w:val="批注主题 Char"/>
    <w:basedOn w:val="19"/>
    <w:link w:val="10"/>
    <w:semiHidden/>
    <w:qFormat/>
    <w:uiPriority w:val="99"/>
    <w:rPr>
      <w:rFonts w:ascii="Times New Roman" w:hAnsi="Times New Roman" w:eastAsia="华文仿宋" w:cs="Times New Roman"/>
      <w:b/>
      <w:bCs/>
      <w:sz w:val="32"/>
      <w:szCs w:val="24"/>
    </w:rPr>
  </w:style>
  <w:style w:type="paragraph" w:styleId="2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2331</Words>
  <Characters>2582</Characters>
  <Lines>10</Lines>
  <Paragraphs>3</Paragraphs>
  <TotalTime>10</TotalTime>
  <ScaleCrop>false</ScaleCrop>
  <LinksUpToDate>false</LinksUpToDate>
  <CharactersWithSpaces>2680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2018-05-17T02:57:00Z</dcterms:created>
  <dc:creator>AutoBVT</dc:creator>
  <cp:lastModifiedBy>Administrator</cp:lastModifiedBy>
  <cp:lastPrinted>2023-08-04T01:36:38Z</cp:lastPrinted>
  <dcterms:modified xsi:type="dcterms:W3CDTF">2023-08-04T01:42:43Z</dcterms:modified>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F6B105CA78974DE0BB194383D746EA96_13</vt:lpwstr>
  </property>
</Properties>
</file>