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5CBE7" w14:textId="77777777" w:rsidR="00801E10" w:rsidRDefault="00801E10">
      <w:pPr>
        <w:jc w:val="center"/>
      </w:pPr>
    </w:p>
    <w:p w14:paraId="425C5195" w14:textId="77777777" w:rsidR="00801E10" w:rsidRDefault="00801E10">
      <w:pPr>
        <w:jc w:val="center"/>
        <w:rPr>
          <w:lang w:eastAsia="zh-CN"/>
        </w:rPr>
      </w:pPr>
    </w:p>
    <w:p w14:paraId="6AB293EC" w14:textId="77777777" w:rsidR="00801E10" w:rsidRDefault="00801E10">
      <w:pPr>
        <w:jc w:val="center"/>
        <w:rPr>
          <w:lang w:eastAsia="zh-CN"/>
        </w:rPr>
      </w:pPr>
    </w:p>
    <w:p w14:paraId="5FE1B9EC" w14:textId="77777777" w:rsidR="00801E10" w:rsidRDefault="00801E10">
      <w:pPr>
        <w:jc w:val="center"/>
        <w:rPr>
          <w:lang w:eastAsia="zh-CN"/>
        </w:rPr>
      </w:pPr>
    </w:p>
    <w:p w14:paraId="71A66FDE" w14:textId="77777777" w:rsidR="00801E10" w:rsidRDefault="00801E10">
      <w:pPr>
        <w:jc w:val="center"/>
        <w:rPr>
          <w:lang w:eastAsia="zh-CN"/>
        </w:rPr>
      </w:pPr>
    </w:p>
    <w:p w14:paraId="191E8F63" w14:textId="77777777" w:rsidR="00801E10" w:rsidRDefault="00801E10">
      <w:pPr>
        <w:jc w:val="center"/>
        <w:rPr>
          <w:lang w:eastAsia="zh-CN"/>
        </w:rPr>
      </w:pPr>
    </w:p>
    <w:p w14:paraId="446F86A2" w14:textId="05F34577" w:rsidR="00801E10" w:rsidRDefault="00000000">
      <w:pPr>
        <w:pStyle w:val="Bodytext20"/>
        <w:spacing w:after="0" w:line="360" w:lineRule="auto"/>
        <w:ind w:left="1280"/>
        <w:jc w:val="right"/>
        <w:rPr>
          <w:rFonts w:ascii="仿宋" w:eastAsia="仿宋" w:hAnsi="仿宋" w:cs="仿宋"/>
          <w:sz w:val="28"/>
          <w:szCs w:val="28"/>
        </w:rPr>
      </w:pPr>
      <w:r>
        <w:rPr>
          <w:rFonts w:ascii="仿宋" w:eastAsia="仿宋" w:hAnsi="仿宋" w:cs="仿宋" w:hint="eastAsia"/>
          <w:sz w:val="28"/>
          <w:szCs w:val="28"/>
          <w:lang w:eastAsia="zh-CN"/>
        </w:rPr>
        <w:t>益</w:t>
      </w:r>
      <w:r w:rsidR="007411CA">
        <w:rPr>
          <w:rFonts w:ascii="仿宋" w:eastAsia="仿宋" w:hAnsi="仿宋" w:cs="仿宋" w:hint="eastAsia"/>
          <w:sz w:val="28"/>
          <w:szCs w:val="28"/>
          <w:lang w:eastAsia="zh-CN"/>
        </w:rPr>
        <w:t>资</w:t>
      </w:r>
      <w:r>
        <w:rPr>
          <w:rFonts w:ascii="仿宋" w:eastAsia="仿宋" w:hAnsi="仿宋" w:cs="仿宋" w:hint="eastAsia"/>
          <w:sz w:val="28"/>
          <w:szCs w:val="28"/>
        </w:rPr>
        <w:t>环评</w:t>
      </w:r>
      <w:r w:rsidR="007411CA">
        <w:rPr>
          <w:rFonts w:ascii="仿宋" w:eastAsia="仿宋" w:hAnsi="仿宋" w:cs="仿宋" w:hint="eastAsia"/>
          <w:sz w:val="28"/>
          <w:szCs w:val="28"/>
        </w:rPr>
        <w:t>表</w:t>
      </w:r>
      <w:r w:rsidR="007411CA">
        <w:rPr>
          <w:rFonts w:ascii="仿宋" w:eastAsia="仿宋" w:hAnsi="仿宋" w:cs="仿宋" w:hint="eastAsia"/>
          <w:sz w:val="28"/>
          <w:szCs w:val="28"/>
          <w:lang w:val="en-US" w:eastAsia="zh-CN"/>
        </w:rPr>
        <w:t>﹝</w:t>
      </w:r>
      <w:r>
        <w:rPr>
          <w:rFonts w:ascii="仿宋" w:eastAsia="仿宋" w:hAnsi="仿宋" w:cs="仿宋" w:hint="eastAsia"/>
          <w:sz w:val="28"/>
          <w:szCs w:val="28"/>
          <w:lang w:val="en-US" w:eastAsia="zh-CN" w:bidi="en-US"/>
        </w:rPr>
        <w:t>2022</w:t>
      </w:r>
      <w:r w:rsidR="007411CA">
        <w:rPr>
          <w:rFonts w:ascii="仿宋" w:eastAsia="仿宋" w:hAnsi="仿宋" w:cs="仿宋" w:hint="eastAsia"/>
          <w:sz w:val="28"/>
          <w:szCs w:val="28"/>
          <w:lang w:val="en-US" w:eastAsia="zh-CN" w:bidi="en-US"/>
        </w:rPr>
        <w:t>﹞</w:t>
      </w:r>
      <w:r w:rsidR="007411CA">
        <w:rPr>
          <w:rFonts w:ascii="仿宋" w:eastAsia="仿宋" w:hAnsi="仿宋" w:cs="仿宋"/>
          <w:sz w:val="28"/>
          <w:szCs w:val="28"/>
          <w:lang w:val="en-US" w:eastAsia="zh-CN" w:bidi="en-US"/>
        </w:rPr>
        <w:t>25</w:t>
      </w:r>
      <w:r>
        <w:rPr>
          <w:rFonts w:ascii="仿宋" w:eastAsia="仿宋" w:hAnsi="仿宋" w:cs="仿宋" w:hint="eastAsia"/>
          <w:sz w:val="28"/>
          <w:szCs w:val="28"/>
        </w:rPr>
        <w:t>号</w:t>
      </w:r>
    </w:p>
    <w:p w14:paraId="058CBB23" w14:textId="77777777" w:rsidR="00801E10" w:rsidRDefault="00000000">
      <w:pPr>
        <w:spacing w:line="760" w:lineRule="exact"/>
        <w:jc w:val="center"/>
        <w:rPr>
          <w:rFonts w:ascii="方正小标宋简体" w:eastAsia="方正小标宋简体" w:hAnsi="方正小标宋简体" w:cs="方正小标宋简体"/>
          <w:kern w:val="2"/>
          <w:sz w:val="44"/>
          <w:szCs w:val="44"/>
          <w:lang w:eastAsia="zh-CN" w:bidi="ar-SA"/>
        </w:rPr>
      </w:pPr>
      <w:r>
        <w:rPr>
          <w:rFonts w:ascii="方正小标宋简体" w:eastAsia="方正小标宋简体" w:hAnsi="方正小标宋简体" w:cs="方正小标宋简体"/>
          <w:kern w:val="2"/>
          <w:sz w:val="44"/>
          <w:szCs w:val="44"/>
          <w:lang w:eastAsia="zh-CN" w:bidi="ar-SA"/>
        </w:rPr>
        <w:t>关于《益阳壹诺塑料制品有限公司</w:t>
      </w:r>
    </w:p>
    <w:p w14:paraId="02F3EFBB" w14:textId="77777777" w:rsidR="00801E10" w:rsidRDefault="00000000">
      <w:pPr>
        <w:spacing w:line="760" w:lineRule="exact"/>
        <w:jc w:val="center"/>
        <w:rPr>
          <w:rFonts w:ascii="方正小标宋简体" w:eastAsia="方正小标宋简体" w:hAnsi="方正小标宋简体" w:cs="方正小标宋简体"/>
          <w:kern w:val="2"/>
          <w:sz w:val="44"/>
          <w:szCs w:val="44"/>
          <w:lang w:eastAsia="zh-CN" w:bidi="ar-SA"/>
        </w:rPr>
      </w:pPr>
      <w:r>
        <w:rPr>
          <w:rFonts w:ascii="方正小标宋简体" w:eastAsia="方正小标宋简体" w:hAnsi="方正小标宋简体" w:cs="方正小标宋简体"/>
          <w:kern w:val="2"/>
          <w:sz w:val="44"/>
          <w:szCs w:val="44"/>
          <w:lang w:eastAsia="zh-CN" w:bidi="ar-SA"/>
        </w:rPr>
        <w:t>年产600吨注塑件生产线迁建项目</w:t>
      </w:r>
    </w:p>
    <w:p w14:paraId="63408D62" w14:textId="77777777" w:rsidR="00801E10" w:rsidRDefault="00000000">
      <w:pPr>
        <w:spacing w:line="760" w:lineRule="exact"/>
        <w:jc w:val="center"/>
        <w:rPr>
          <w:rFonts w:ascii="方正小标宋简体" w:eastAsia="方正小标宋简体" w:hAnsi="方正小标宋简体" w:cs="方正小标宋简体"/>
          <w:kern w:val="2"/>
          <w:sz w:val="44"/>
          <w:szCs w:val="44"/>
          <w:lang w:eastAsia="zh-CN" w:bidi="ar-SA"/>
        </w:rPr>
      </w:pPr>
      <w:r>
        <w:rPr>
          <w:rFonts w:ascii="方正小标宋简体" w:eastAsia="方正小标宋简体" w:hAnsi="方正小标宋简体" w:cs="方正小标宋简体"/>
          <w:kern w:val="2"/>
          <w:sz w:val="44"/>
          <w:szCs w:val="44"/>
          <w:lang w:eastAsia="zh-CN" w:bidi="ar-SA"/>
        </w:rPr>
        <w:t>环境影响报告表》的批复</w:t>
      </w:r>
    </w:p>
    <w:p w14:paraId="5416C7E5" w14:textId="77777777" w:rsidR="00801E10" w:rsidRDefault="00801E10">
      <w:pPr>
        <w:spacing w:line="360" w:lineRule="auto"/>
        <w:jc w:val="both"/>
        <w:rPr>
          <w:rFonts w:ascii="仿宋" w:eastAsia="仿宋" w:hAnsi="仿宋" w:cs="仿宋"/>
          <w:color w:val="auto"/>
          <w:sz w:val="32"/>
          <w:szCs w:val="32"/>
          <w:lang w:eastAsia="zh-CN"/>
        </w:rPr>
      </w:pPr>
    </w:p>
    <w:p w14:paraId="08FF8C96" w14:textId="77777777" w:rsidR="00801E10" w:rsidRDefault="00000000">
      <w:pPr>
        <w:spacing w:line="360" w:lineRule="auto"/>
        <w:jc w:val="both"/>
        <w:rPr>
          <w:rFonts w:ascii="仿宋" w:eastAsia="仿宋" w:hAnsi="仿宋" w:cs="仿宋"/>
          <w:color w:val="auto"/>
          <w:sz w:val="32"/>
          <w:szCs w:val="32"/>
          <w:lang w:eastAsia="zh-CN"/>
        </w:rPr>
      </w:pPr>
      <w:r>
        <w:rPr>
          <w:rFonts w:ascii="仿宋" w:eastAsia="仿宋" w:hAnsi="仿宋" w:cs="仿宋" w:hint="eastAsia"/>
          <w:color w:val="auto"/>
          <w:sz w:val="32"/>
          <w:szCs w:val="32"/>
          <w:lang w:eastAsia="zh-CN"/>
        </w:rPr>
        <w:t>益阳壹诺塑料制品有限公司：</w:t>
      </w:r>
    </w:p>
    <w:p w14:paraId="4EC11BA7" w14:textId="77777777" w:rsidR="00801E10" w:rsidRDefault="00000000">
      <w:pPr>
        <w:spacing w:line="360" w:lineRule="auto"/>
        <w:ind w:firstLineChars="200" w:firstLine="640"/>
        <w:jc w:val="both"/>
        <w:rPr>
          <w:rFonts w:ascii="仿宋" w:eastAsia="仿宋" w:hAnsi="仿宋" w:cs="仿宋"/>
          <w:color w:val="auto"/>
          <w:sz w:val="32"/>
          <w:szCs w:val="32"/>
          <w:lang w:eastAsia="zh-CN"/>
        </w:rPr>
      </w:pPr>
      <w:r>
        <w:rPr>
          <w:rFonts w:ascii="仿宋" w:eastAsia="仿宋" w:hAnsi="仿宋" w:cs="仿宋" w:hint="eastAsia"/>
          <w:color w:val="auto"/>
          <w:sz w:val="32"/>
          <w:szCs w:val="32"/>
          <w:lang w:eastAsia="zh-CN"/>
        </w:rPr>
        <w:t>你</w:t>
      </w:r>
      <w:r>
        <w:rPr>
          <w:rFonts w:ascii="仿宋" w:eastAsia="仿宋" w:hAnsi="仿宋" w:cs="仿宋" w:hint="eastAsia"/>
          <w:bCs/>
          <w:sz w:val="32"/>
          <w:szCs w:val="40"/>
          <w:lang w:eastAsia="zh-CN"/>
        </w:rPr>
        <w:t>单位呈报</w:t>
      </w:r>
      <w:r>
        <w:rPr>
          <w:rFonts w:ascii="仿宋" w:eastAsia="仿宋" w:hAnsi="仿宋" w:cs="仿宋" w:hint="eastAsia"/>
          <w:color w:val="auto"/>
          <w:sz w:val="32"/>
          <w:szCs w:val="32"/>
          <w:lang w:eastAsia="zh-CN"/>
        </w:rPr>
        <w:t>的《益阳壹诺塑料制品有限公司年产600吨注塑件生产线迁建项目环境影响报告表》（以下简称《报告表》）及相关附件收悉。经研究，批复如下：</w:t>
      </w:r>
    </w:p>
    <w:p w14:paraId="614EA23E" w14:textId="414EEC5D" w:rsidR="00801E10" w:rsidRDefault="00000000">
      <w:pPr>
        <w:spacing w:line="360" w:lineRule="auto"/>
        <w:ind w:firstLineChars="200" w:firstLine="640"/>
        <w:jc w:val="both"/>
        <w:rPr>
          <w:rFonts w:ascii="仿宋" w:eastAsia="仿宋" w:hAnsi="仿宋" w:cs="仿宋"/>
          <w:color w:val="auto"/>
          <w:sz w:val="32"/>
          <w:szCs w:val="32"/>
          <w:lang w:eastAsia="zh-CN"/>
        </w:rPr>
      </w:pPr>
      <w:r>
        <w:rPr>
          <w:rFonts w:ascii="仿宋" w:eastAsia="仿宋" w:hAnsi="仿宋" w:cs="仿宋" w:hint="eastAsia"/>
          <w:color w:val="auto"/>
          <w:sz w:val="32"/>
          <w:szCs w:val="32"/>
          <w:lang w:eastAsia="zh-CN"/>
        </w:rPr>
        <w:t>一、你公司投资600万元在益阳市资阳区长春经济开发区利达路02号湖南海优达智能科技有限公司厂区内闲置的标准化厂房C栋及D栋南半部分，建设一条注塑生产线，年产600吨塑料制品，项目总用地面积约4300m</w:t>
      </w:r>
      <w:r>
        <w:rPr>
          <w:rFonts w:ascii="仿宋" w:eastAsia="仿宋" w:hAnsi="仿宋" w:cs="仿宋" w:hint="eastAsia"/>
          <w:color w:val="auto"/>
          <w:sz w:val="32"/>
          <w:szCs w:val="32"/>
          <w:vertAlign w:val="superscript"/>
          <w:lang w:eastAsia="zh-CN"/>
        </w:rPr>
        <w:t>2</w:t>
      </w:r>
      <w:r>
        <w:rPr>
          <w:rFonts w:ascii="仿宋" w:eastAsia="仿宋" w:hAnsi="仿宋" w:cs="仿宋" w:hint="eastAsia"/>
          <w:color w:val="auto"/>
          <w:sz w:val="32"/>
          <w:szCs w:val="32"/>
          <w:lang w:eastAsia="zh-CN"/>
        </w:rPr>
        <w:t>。</w:t>
      </w:r>
      <w:r>
        <w:rPr>
          <w:rFonts w:ascii="仿宋" w:eastAsia="仿宋" w:hAnsi="仿宋" w:cs="仿宋" w:hint="eastAsia"/>
          <w:sz w:val="32"/>
          <w:szCs w:val="40"/>
          <w:lang w:eastAsia="zh-CN"/>
        </w:rPr>
        <w:t>项目符合国家产业政策，选址符合</w:t>
      </w:r>
      <w:r>
        <w:rPr>
          <w:rFonts w:ascii="仿宋" w:eastAsia="仿宋" w:hAnsi="仿宋" w:cs="仿宋" w:hint="eastAsia"/>
          <w:color w:val="auto"/>
          <w:sz w:val="32"/>
          <w:szCs w:val="32"/>
          <w:lang w:eastAsia="zh-CN"/>
        </w:rPr>
        <w:t>益阳市长春经济开发区的产业发展规划</w:t>
      </w:r>
      <w:r>
        <w:rPr>
          <w:rFonts w:ascii="仿宋" w:eastAsia="仿宋" w:hAnsi="仿宋" w:cs="仿宋" w:hint="eastAsia"/>
          <w:sz w:val="32"/>
          <w:szCs w:val="40"/>
          <w:lang w:eastAsia="zh-CN"/>
        </w:rPr>
        <w:t>要求。</w:t>
      </w:r>
      <w:r>
        <w:rPr>
          <w:rFonts w:ascii="仿宋" w:eastAsia="仿宋" w:hAnsi="仿宋" w:cs="仿宋" w:hint="eastAsia"/>
          <w:sz w:val="32"/>
          <w:szCs w:val="32"/>
          <w:lang w:eastAsia="zh-CN"/>
        </w:rPr>
        <w:t>根据湖南坤宇咨询管理有限公司编制的项目环境影响报告表的分析结论，</w:t>
      </w:r>
      <w:r>
        <w:rPr>
          <w:rFonts w:ascii="仿宋" w:eastAsia="仿宋" w:hAnsi="仿宋" w:cs="仿宋" w:hint="eastAsia"/>
          <w:color w:val="auto"/>
          <w:sz w:val="32"/>
          <w:szCs w:val="32"/>
          <w:lang w:eastAsia="zh-CN"/>
        </w:rPr>
        <w:t>在你单位严格落实好《报告表》提出的各项污染防治措施，</w:t>
      </w:r>
      <w:r>
        <w:rPr>
          <w:rFonts w:ascii="仿宋" w:eastAsia="仿宋" w:hAnsi="仿宋" w:cs="仿宋" w:hint="eastAsia"/>
          <w:sz w:val="32"/>
          <w:szCs w:val="32"/>
          <w:lang w:eastAsia="zh-CN"/>
        </w:rPr>
        <w:t>实现污染物达标排放的前提下</w:t>
      </w:r>
      <w:r>
        <w:rPr>
          <w:rFonts w:ascii="仿宋" w:eastAsia="仿宋" w:hAnsi="仿宋" w:cs="仿宋" w:hint="eastAsia"/>
          <w:color w:val="auto"/>
          <w:sz w:val="32"/>
          <w:szCs w:val="32"/>
          <w:lang w:eastAsia="zh-CN"/>
        </w:rPr>
        <w:t>，从环保角度同意本项目建设。</w:t>
      </w:r>
    </w:p>
    <w:p w14:paraId="20B316CB" w14:textId="77777777" w:rsidR="00801E10" w:rsidRDefault="00000000">
      <w:pPr>
        <w:spacing w:line="360" w:lineRule="auto"/>
        <w:ind w:firstLineChars="200" w:firstLine="640"/>
        <w:jc w:val="both"/>
        <w:rPr>
          <w:rFonts w:ascii="仿宋" w:eastAsia="仿宋" w:hAnsi="仿宋" w:cs="仿宋"/>
          <w:color w:val="auto"/>
          <w:sz w:val="32"/>
          <w:szCs w:val="32"/>
          <w:lang w:eastAsia="zh-CN"/>
        </w:rPr>
      </w:pPr>
      <w:r>
        <w:rPr>
          <w:rFonts w:ascii="仿宋" w:eastAsia="仿宋" w:hAnsi="仿宋" w:cs="仿宋" w:hint="eastAsia"/>
          <w:color w:val="auto"/>
          <w:sz w:val="32"/>
          <w:szCs w:val="32"/>
          <w:lang w:eastAsia="zh-CN"/>
        </w:rPr>
        <w:lastRenderedPageBreak/>
        <w:t>二、建设单位须全面落实环境影响报告表提出的各项环保措施，并重点做好以下工作：</w:t>
      </w:r>
    </w:p>
    <w:p w14:paraId="117E1D4D" w14:textId="77777777" w:rsidR="00801E10" w:rsidRDefault="00000000">
      <w:pPr>
        <w:pStyle w:val="TableParagraph"/>
        <w:spacing w:line="360" w:lineRule="auto"/>
        <w:ind w:firstLineChars="200" w:firstLine="640"/>
        <w:jc w:val="both"/>
        <w:rPr>
          <w:rFonts w:ascii="仿宋" w:eastAsia="仿宋" w:hAnsi="仿宋" w:cs="仿宋"/>
          <w:color w:val="auto"/>
          <w:sz w:val="32"/>
          <w:szCs w:val="32"/>
          <w:lang w:val="en-US"/>
        </w:rPr>
      </w:pPr>
      <w:r>
        <w:rPr>
          <w:rFonts w:ascii="仿宋" w:eastAsia="仿宋" w:hAnsi="仿宋" w:cs="仿宋" w:hint="eastAsia"/>
          <w:color w:val="auto"/>
          <w:sz w:val="32"/>
          <w:szCs w:val="32"/>
          <w:lang w:val="en-US"/>
        </w:rPr>
        <w:t>（一）、加强环境管理，建立环境管理机构，配备专职或兼职环保管理人员，完善环境管理的各项规章制度及应急事故处理措施，定期对“三废”治理设施、应急处理设施进行维护和检查，确保各项污染物达标排放和环境安全。</w:t>
      </w:r>
    </w:p>
    <w:p w14:paraId="2E36C540" w14:textId="77777777" w:rsidR="00801E10" w:rsidRDefault="00000000">
      <w:pPr>
        <w:pStyle w:val="TableParagraph"/>
        <w:spacing w:line="360" w:lineRule="auto"/>
        <w:ind w:firstLineChars="200" w:firstLine="640"/>
        <w:jc w:val="both"/>
        <w:rPr>
          <w:rFonts w:ascii="仿宋" w:eastAsia="仿宋" w:hAnsi="仿宋" w:cs="仿宋"/>
          <w:color w:val="auto"/>
          <w:sz w:val="32"/>
          <w:szCs w:val="32"/>
          <w:lang w:val="en-US"/>
        </w:rPr>
      </w:pPr>
      <w:r>
        <w:rPr>
          <w:rFonts w:ascii="仿宋" w:eastAsia="仿宋" w:hAnsi="仿宋" w:cs="仿宋" w:hint="eastAsia"/>
          <w:color w:val="auto"/>
          <w:sz w:val="32"/>
          <w:szCs w:val="32"/>
          <w:lang w:val="en-US"/>
        </w:rPr>
        <w:t>（二）、加强营运期</w:t>
      </w:r>
      <w:r>
        <w:rPr>
          <w:rFonts w:ascii="仿宋" w:eastAsia="仿宋" w:hAnsi="仿宋" w:cs="仿宋"/>
          <w:color w:val="auto"/>
          <w:sz w:val="32"/>
          <w:szCs w:val="32"/>
        </w:rPr>
        <w:t>大气污染防治</w:t>
      </w:r>
      <w:r>
        <w:rPr>
          <w:rFonts w:ascii="仿宋" w:eastAsia="仿宋" w:hAnsi="仿宋" w:cs="仿宋" w:hint="eastAsia"/>
          <w:color w:val="auto"/>
          <w:sz w:val="32"/>
          <w:szCs w:val="32"/>
          <w:lang w:val="en-US"/>
        </w:rPr>
        <w:t>。注塑环节产生的有机废气通过集气罩收集至活性炭吸附装置处理，确保非甲烷总烃、丙烯腈、丁二烯、苯乙烯排放浓度满足《合成树脂工业污染物排放标准》（GB31572-2015）表4排放限值要求后由1根15m高排气筒排放。企业应采取加强厂房通风等措施确保厂界有机废气、恶臭气体分别满足《合成树脂工业污染物排放标准》（GB31572-2015）表 9 浓度限值与《恶臭污染物排放标准》（GB14554-93）中表1的新扩改建二级标准要求。</w:t>
      </w:r>
    </w:p>
    <w:p w14:paraId="0639FD86" w14:textId="77777777" w:rsidR="00801E10" w:rsidRDefault="00000000">
      <w:pPr>
        <w:pStyle w:val="TableParagraph"/>
        <w:spacing w:line="360" w:lineRule="auto"/>
        <w:ind w:firstLineChars="200" w:firstLine="640"/>
        <w:jc w:val="both"/>
        <w:rPr>
          <w:rFonts w:ascii="仿宋" w:eastAsia="仿宋" w:hAnsi="仿宋" w:cs="仿宋"/>
          <w:color w:val="auto"/>
          <w:sz w:val="32"/>
          <w:szCs w:val="32"/>
          <w:lang w:val="en-US"/>
        </w:rPr>
      </w:pPr>
      <w:r>
        <w:rPr>
          <w:rFonts w:ascii="仿宋" w:eastAsia="仿宋" w:hAnsi="仿宋" w:cs="仿宋" w:hint="eastAsia"/>
          <w:color w:val="auto"/>
          <w:sz w:val="32"/>
          <w:szCs w:val="32"/>
          <w:lang w:val="en-US"/>
        </w:rPr>
        <w:t>（三）、做好项目水污染防治工作。冷却废水经循环水池处理后回用，不得外排；生活污水经化粪池预处理达到《污水综合排放标准》（GB8978-1996）表4中三级标准后排入园区污水管网，进益阳市城北污水处理厂处理达《城镇污水处理厂污染物排放标准》（GB18918-2002）一级A标准后排入资江。</w:t>
      </w:r>
    </w:p>
    <w:p w14:paraId="79BFA5EA" w14:textId="77777777" w:rsidR="00801E10" w:rsidRDefault="00000000">
      <w:pPr>
        <w:pStyle w:val="TableParagraph"/>
        <w:spacing w:line="360" w:lineRule="auto"/>
        <w:ind w:firstLineChars="200" w:firstLine="640"/>
        <w:jc w:val="both"/>
        <w:rPr>
          <w:rFonts w:ascii="仿宋" w:eastAsia="仿宋" w:hAnsi="仿宋" w:cs="仿宋"/>
          <w:color w:val="auto"/>
          <w:sz w:val="32"/>
          <w:szCs w:val="32"/>
        </w:rPr>
      </w:pPr>
      <w:r>
        <w:rPr>
          <w:rFonts w:ascii="仿宋" w:eastAsia="仿宋" w:hAnsi="仿宋" w:cs="仿宋" w:hint="eastAsia"/>
          <w:color w:val="auto"/>
          <w:sz w:val="32"/>
          <w:szCs w:val="32"/>
          <w:lang w:val="en-US"/>
        </w:rPr>
        <w:t>（四）、落实</w:t>
      </w:r>
      <w:r>
        <w:rPr>
          <w:rFonts w:ascii="仿宋" w:eastAsia="仿宋" w:hAnsi="仿宋" w:cs="仿宋"/>
          <w:color w:val="auto"/>
          <w:sz w:val="32"/>
          <w:szCs w:val="32"/>
        </w:rPr>
        <w:t>噪声污染防治</w:t>
      </w:r>
      <w:r>
        <w:rPr>
          <w:rFonts w:ascii="仿宋" w:eastAsia="仿宋" w:hAnsi="仿宋" w:cs="仿宋" w:hint="eastAsia"/>
          <w:color w:val="auto"/>
          <w:sz w:val="32"/>
          <w:szCs w:val="32"/>
          <w:lang w:val="en-US"/>
        </w:rPr>
        <w:t>措施。选用低噪声设备，采取</w:t>
      </w:r>
      <w:r>
        <w:rPr>
          <w:rFonts w:ascii="仿宋" w:eastAsia="仿宋" w:hAnsi="仿宋" w:cs="仿宋" w:hint="eastAsia"/>
          <w:color w:val="auto"/>
          <w:sz w:val="32"/>
          <w:szCs w:val="32"/>
          <w:lang w:val="en-US"/>
        </w:rPr>
        <w:lastRenderedPageBreak/>
        <w:t>隔声、基础减震等措施，加强生产机械的日常维护，确保营运期间厂界噪声达到《工业企业厂界环境噪声排放标准》（GB12348-2008）3类排放限值要求。</w:t>
      </w:r>
    </w:p>
    <w:p w14:paraId="484CF09A" w14:textId="77777777" w:rsidR="00801E10" w:rsidRDefault="00000000">
      <w:pPr>
        <w:pStyle w:val="TableParagraph"/>
        <w:spacing w:line="360" w:lineRule="auto"/>
        <w:ind w:firstLineChars="200" w:firstLine="640"/>
        <w:jc w:val="both"/>
        <w:rPr>
          <w:rFonts w:ascii="仿宋" w:eastAsia="仿宋" w:hAnsi="仿宋" w:cs="仿宋"/>
          <w:color w:val="auto"/>
          <w:sz w:val="32"/>
          <w:szCs w:val="32"/>
          <w:lang w:val="en-US" w:bidi="en-US"/>
        </w:rPr>
      </w:pPr>
      <w:r>
        <w:rPr>
          <w:rFonts w:ascii="仿宋" w:eastAsia="仿宋" w:hAnsi="仿宋" w:cs="仿宋" w:hint="eastAsia"/>
          <w:color w:val="auto"/>
          <w:sz w:val="32"/>
          <w:szCs w:val="32"/>
          <w:lang w:val="en-US" w:bidi="en-US"/>
        </w:rPr>
        <w:t>（五）、加强对固体废物的分类管理与控制。按照“减量化、资源化、无害化”的原则，做好固废的分类收集、暂存、处置及利用工作。项目一般固废应分类贮存，厂区内按规范和环评提出的容量要求设置一般固废暂存场所，其建设、运行和管理应满足《一般工业固体废物贮存和填埋污染控制标准》（GB18599-2020）要求。废边角料、次品经塑料粉碎机处理后回用于注塑生产线；废包装材料收集后外售；危险废物暂存于危废暂存间，定期交有相应危废处理资质单位处置。生活垃圾交由环卫部门清运处理。</w:t>
      </w:r>
    </w:p>
    <w:p w14:paraId="4AB721AE" w14:textId="77777777" w:rsidR="00801E10" w:rsidRDefault="00000000">
      <w:pPr>
        <w:pStyle w:val="TableParagraph"/>
        <w:spacing w:line="360" w:lineRule="auto"/>
        <w:ind w:firstLineChars="200" w:firstLine="640"/>
        <w:jc w:val="both"/>
        <w:rPr>
          <w:rFonts w:ascii="仿宋" w:eastAsia="仿宋" w:hAnsi="仿宋" w:cs="仿宋"/>
          <w:color w:val="auto"/>
          <w:sz w:val="32"/>
          <w:szCs w:val="32"/>
          <w:lang w:val="en-US" w:bidi="en-US"/>
        </w:rPr>
      </w:pPr>
      <w:r>
        <w:rPr>
          <w:rFonts w:ascii="仿宋" w:eastAsia="仿宋" w:hAnsi="仿宋" w:cs="仿宋" w:hint="eastAsia"/>
          <w:color w:val="auto"/>
          <w:sz w:val="32"/>
          <w:szCs w:val="32"/>
          <w:lang w:val="en-US" w:bidi="en-US"/>
        </w:rPr>
        <w:t>三、污染物总量控制∶COD 0.015t/a、NH</w:t>
      </w:r>
      <w:r>
        <w:rPr>
          <w:rFonts w:ascii="仿宋" w:eastAsia="仿宋" w:hAnsi="仿宋" w:cs="仿宋" w:hint="eastAsia"/>
          <w:color w:val="auto"/>
          <w:sz w:val="32"/>
          <w:szCs w:val="32"/>
          <w:vertAlign w:val="subscript"/>
          <w:lang w:val="en-US" w:bidi="en-US"/>
        </w:rPr>
        <w:t>3</w:t>
      </w:r>
      <w:r>
        <w:rPr>
          <w:rFonts w:ascii="仿宋" w:eastAsia="仿宋" w:hAnsi="仿宋" w:cs="仿宋" w:hint="eastAsia"/>
          <w:color w:val="auto"/>
          <w:sz w:val="32"/>
          <w:szCs w:val="32"/>
          <w:lang w:val="en-US" w:bidi="en-US"/>
        </w:rPr>
        <w:t>-N 0.0015t/a。总量指标纳入当地生态环境主管部门总量控制管理。</w:t>
      </w:r>
    </w:p>
    <w:p w14:paraId="6E93F2F7" w14:textId="07ACC2DC" w:rsidR="00801E10" w:rsidRDefault="00000000">
      <w:pPr>
        <w:pStyle w:val="TableParagraph"/>
        <w:spacing w:line="360" w:lineRule="auto"/>
        <w:ind w:firstLineChars="200" w:firstLine="640"/>
        <w:jc w:val="both"/>
        <w:rPr>
          <w:rFonts w:ascii="仿宋" w:eastAsia="仿宋" w:hAnsi="仿宋" w:cs="仿宋"/>
          <w:color w:val="auto"/>
          <w:sz w:val="32"/>
          <w:szCs w:val="32"/>
          <w:lang w:val="en-US" w:bidi="en-US"/>
        </w:rPr>
      </w:pPr>
      <w:r>
        <w:rPr>
          <w:rFonts w:ascii="仿宋" w:eastAsia="仿宋" w:hAnsi="仿宋" w:cs="仿宋" w:hint="eastAsia"/>
          <w:color w:val="auto"/>
          <w:sz w:val="32"/>
          <w:szCs w:val="32"/>
          <w:lang w:val="en-US" w:bidi="en-US"/>
        </w:rPr>
        <w:t>四、</w:t>
      </w:r>
      <w:r w:rsidR="007411CA" w:rsidRPr="007411CA">
        <w:rPr>
          <w:rFonts w:ascii="仿宋" w:eastAsia="仿宋" w:hAnsi="仿宋" w:cs="仿宋" w:hint="eastAsia"/>
          <w:color w:val="auto"/>
          <w:sz w:val="32"/>
          <w:szCs w:val="32"/>
          <w:lang w:val="en-US" w:bidi="en-US"/>
        </w:rPr>
        <w:t>项目建成后，应按规定程序及时办理排污许可及竣工环境保护验收工作，经验收合格后方可正式投入运营。益阳市生态环境保护综合行政执法支队资阳大队和益阳市生态环境局资阳分局负责该项目“三同时”现场监督检查和日常环境管理</w:t>
      </w:r>
      <w:r>
        <w:rPr>
          <w:rFonts w:ascii="仿宋" w:eastAsia="仿宋" w:hAnsi="仿宋" w:cs="仿宋" w:hint="eastAsia"/>
          <w:color w:val="auto"/>
          <w:sz w:val="32"/>
          <w:szCs w:val="32"/>
          <w:lang w:val="en-US" w:bidi="en-US"/>
        </w:rPr>
        <w:t>。</w:t>
      </w:r>
    </w:p>
    <w:p w14:paraId="3CDCD701" w14:textId="77777777" w:rsidR="00801E10" w:rsidRDefault="00000000">
      <w:pPr>
        <w:pStyle w:val="TableParagraph"/>
        <w:spacing w:line="360" w:lineRule="auto"/>
        <w:ind w:firstLineChars="200" w:firstLine="640"/>
        <w:jc w:val="both"/>
        <w:rPr>
          <w:rFonts w:ascii="仿宋" w:eastAsia="仿宋" w:hAnsi="仿宋" w:cs="仿宋"/>
          <w:color w:val="auto"/>
          <w:sz w:val="32"/>
          <w:szCs w:val="32"/>
          <w:lang w:val="en-US" w:bidi="en-US"/>
        </w:rPr>
      </w:pPr>
      <w:r>
        <w:rPr>
          <w:rFonts w:ascii="仿宋" w:eastAsia="仿宋" w:hAnsi="仿宋" w:cs="仿宋" w:hint="eastAsia"/>
          <w:color w:val="auto"/>
          <w:sz w:val="32"/>
          <w:szCs w:val="32"/>
          <w:lang w:val="en-US" w:bidi="en-US"/>
        </w:rPr>
        <w:t>五、本项目的性质、规模、地点、采用的生产工艺或者污染防治措施等发生重大变化时，应当重新向生态环境主管部</w:t>
      </w:r>
      <w:r>
        <w:rPr>
          <w:rFonts w:ascii="仿宋" w:eastAsia="仿宋" w:hAnsi="仿宋" w:cs="仿宋" w:hint="eastAsia"/>
          <w:color w:val="auto"/>
          <w:sz w:val="32"/>
          <w:szCs w:val="32"/>
          <w:lang w:val="en-US" w:bidi="en-US"/>
        </w:rPr>
        <w:lastRenderedPageBreak/>
        <w:t>门进行环评报批。</w:t>
      </w:r>
    </w:p>
    <w:p w14:paraId="7F312324" w14:textId="77777777" w:rsidR="00801E10" w:rsidRDefault="00801E10">
      <w:pPr>
        <w:jc w:val="both"/>
        <w:rPr>
          <w:rFonts w:ascii="仿宋" w:eastAsia="仿宋" w:hAnsi="仿宋" w:cs="仿宋"/>
          <w:color w:val="auto"/>
          <w:sz w:val="32"/>
          <w:szCs w:val="32"/>
          <w:lang w:eastAsia="zh-CN"/>
        </w:rPr>
      </w:pPr>
    </w:p>
    <w:p w14:paraId="1B1E1DDB" w14:textId="77777777" w:rsidR="00801E10" w:rsidRDefault="00801E10">
      <w:pPr>
        <w:jc w:val="both"/>
        <w:rPr>
          <w:rFonts w:ascii="仿宋" w:eastAsia="仿宋" w:hAnsi="仿宋" w:cs="仿宋"/>
          <w:color w:val="auto"/>
          <w:sz w:val="32"/>
          <w:szCs w:val="32"/>
          <w:lang w:eastAsia="zh-CN"/>
        </w:rPr>
      </w:pPr>
    </w:p>
    <w:p w14:paraId="6D6C251C" w14:textId="77777777" w:rsidR="00801E10" w:rsidRDefault="00801E10">
      <w:pPr>
        <w:jc w:val="both"/>
        <w:rPr>
          <w:rFonts w:ascii="仿宋" w:eastAsia="仿宋" w:hAnsi="仿宋" w:cs="仿宋"/>
          <w:color w:val="auto"/>
          <w:sz w:val="32"/>
          <w:szCs w:val="32"/>
          <w:lang w:eastAsia="zh-CN"/>
        </w:rPr>
      </w:pPr>
    </w:p>
    <w:p w14:paraId="68D8991B" w14:textId="77777777" w:rsidR="00801E10" w:rsidRDefault="00000000">
      <w:pPr>
        <w:spacing w:line="360" w:lineRule="auto"/>
        <w:jc w:val="right"/>
        <w:rPr>
          <w:rFonts w:ascii="仿宋" w:eastAsia="仿宋" w:hAnsi="仿宋" w:cs="仿宋"/>
          <w:color w:val="auto"/>
          <w:sz w:val="32"/>
          <w:szCs w:val="32"/>
          <w:lang w:eastAsia="zh-CN"/>
        </w:rPr>
      </w:pPr>
      <w:r>
        <w:rPr>
          <w:rFonts w:ascii="仿宋" w:eastAsia="仿宋" w:hAnsi="仿宋" w:cs="仿宋" w:hint="eastAsia"/>
          <w:color w:val="auto"/>
          <w:sz w:val="32"/>
          <w:szCs w:val="32"/>
          <w:lang w:eastAsia="zh-CN"/>
        </w:rPr>
        <w:t>益阳市生态环境局</w:t>
      </w:r>
    </w:p>
    <w:p w14:paraId="58769D6A" w14:textId="4A0ED78C" w:rsidR="00801E10" w:rsidRDefault="00000000">
      <w:pPr>
        <w:spacing w:line="360" w:lineRule="auto"/>
        <w:jc w:val="right"/>
        <w:rPr>
          <w:rFonts w:ascii="仿宋" w:eastAsia="仿宋" w:hAnsi="仿宋" w:cs="仿宋"/>
          <w:sz w:val="32"/>
          <w:szCs w:val="32"/>
          <w:lang w:eastAsia="zh-CN"/>
        </w:rPr>
      </w:pPr>
      <w:r>
        <w:rPr>
          <w:rFonts w:ascii="仿宋" w:eastAsia="仿宋" w:hAnsi="仿宋" w:cs="仿宋" w:hint="eastAsia"/>
          <w:color w:val="auto"/>
          <w:sz w:val="32"/>
          <w:szCs w:val="32"/>
          <w:lang w:eastAsia="zh-CN"/>
        </w:rPr>
        <w:t>2022</w:t>
      </w:r>
      <w:r>
        <w:rPr>
          <w:rFonts w:ascii="仿宋" w:eastAsia="仿宋" w:hAnsi="仿宋" w:cs="仿宋" w:hint="eastAsia"/>
          <w:sz w:val="32"/>
          <w:szCs w:val="32"/>
          <w:lang w:eastAsia="zh-CN"/>
        </w:rPr>
        <w:t>年</w:t>
      </w:r>
      <w:r w:rsidR="007411CA">
        <w:rPr>
          <w:rFonts w:ascii="仿宋" w:eastAsia="仿宋" w:hAnsi="仿宋" w:cs="仿宋"/>
          <w:sz w:val="32"/>
          <w:szCs w:val="32"/>
          <w:lang w:eastAsia="zh-CN"/>
        </w:rPr>
        <w:t>10</w:t>
      </w:r>
      <w:r>
        <w:rPr>
          <w:rFonts w:ascii="仿宋" w:eastAsia="仿宋" w:hAnsi="仿宋" w:cs="仿宋" w:hint="eastAsia"/>
          <w:sz w:val="32"/>
          <w:szCs w:val="32"/>
          <w:lang w:eastAsia="zh-CN"/>
        </w:rPr>
        <w:t>月</w:t>
      </w:r>
      <w:r w:rsidR="007411CA">
        <w:rPr>
          <w:rFonts w:ascii="仿宋" w:eastAsia="仿宋" w:hAnsi="仿宋" w:cs="仿宋"/>
          <w:sz w:val="32"/>
          <w:szCs w:val="32"/>
          <w:lang w:eastAsia="zh-CN"/>
        </w:rPr>
        <w:t>9</w:t>
      </w:r>
      <w:r>
        <w:rPr>
          <w:rFonts w:ascii="仿宋" w:eastAsia="仿宋" w:hAnsi="仿宋" w:cs="仿宋" w:hint="eastAsia"/>
          <w:sz w:val="32"/>
          <w:szCs w:val="32"/>
          <w:lang w:eastAsia="zh-CN"/>
        </w:rPr>
        <w:t>日</w:t>
      </w:r>
    </w:p>
    <w:sectPr w:rsidR="00801E10">
      <w:footerReference w:type="even" r:id="rId6"/>
      <w:footerReference w:type="default" r:id="rId7"/>
      <w:pgSz w:w="11905" w:h="16838"/>
      <w:pgMar w:top="1797" w:right="1757" w:bottom="1797" w:left="1757" w:header="0" w:footer="6" w:gutter="0"/>
      <w:pgNumType w:start="1"/>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5645C" w14:textId="77777777" w:rsidR="00180A12" w:rsidRDefault="00180A12"/>
  </w:endnote>
  <w:endnote w:type="continuationSeparator" w:id="0">
    <w:p w14:paraId="023CE6DA" w14:textId="77777777" w:rsidR="00180A12" w:rsidRDefault="00180A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977D6" w14:textId="77777777" w:rsidR="00801E10" w:rsidRDefault="00801E10">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09B8" w14:textId="77777777" w:rsidR="00801E10" w:rsidRDefault="00801E10">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7A082" w14:textId="77777777" w:rsidR="00180A12" w:rsidRDefault="00180A12"/>
  </w:footnote>
  <w:footnote w:type="continuationSeparator" w:id="0">
    <w:p w14:paraId="5006E2EE" w14:textId="77777777" w:rsidR="00180A12" w:rsidRDefault="00180A1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evenAndOddHeaders/>
  <w:drawingGridHorizontalSpacing w:val="181"/>
  <w:drawingGridVerticalSpacing w:val="181"/>
  <w:noPunctuationKerning/>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NmNGQ0ZDg2YWEyMTc5ZmU3OWFiNDlkMTczNjliNTMifQ=="/>
  </w:docVars>
  <w:rsids>
    <w:rsidRoot w:val="00801E10"/>
    <w:rsid w:val="00180A12"/>
    <w:rsid w:val="002C3361"/>
    <w:rsid w:val="007411CA"/>
    <w:rsid w:val="00801E10"/>
    <w:rsid w:val="009037C6"/>
    <w:rsid w:val="00C55A39"/>
    <w:rsid w:val="10900386"/>
    <w:rsid w:val="173E375E"/>
    <w:rsid w:val="1CA76992"/>
    <w:rsid w:val="28CE056A"/>
    <w:rsid w:val="31866214"/>
    <w:rsid w:val="33296443"/>
    <w:rsid w:val="418D085A"/>
    <w:rsid w:val="432E2C32"/>
    <w:rsid w:val="456E3C8E"/>
    <w:rsid w:val="4D294657"/>
    <w:rsid w:val="4D561559"/>
    <w:rsid w:val="4D9126B4"/>
    <w:rsid w:val="5127609E"/>
    <w:rsid w:val="537A66B1"/>
    <w:rsid w:val="575346BD"/>
    <w:rsid w:val="57935694"/>
    <w:rsid w:val="5CC84773"/>
    <w:rsid w:val="5CD06DFB"/>
    <w:rsid w:val="6250166B"/>
    <w:rsid w:val="79957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D023D0"/>
  <w15:docId w15:val="{AAA2BC67-7231-46D8-A962-086E497D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st" w:qFormat="1"/>
    <w:lsdException w:name="Title" w:qFormat="1"/>
    <w:lsdException w:name="Default Paragraph Font"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pPr>
    <w:rPr>
      <w:rFonts w:eastAsia="Times New Roman"/>
      <w:color w:val="000000"/>
      <w:sz w:val="24"/>
      <w:szCs w:val="24"/>
      <w:lang w:eastAsia="en-US" w:bidi="en-US"/>
    </w:rPr>
  </w:style>
  <w:style w:type="paragraph" w:styleId="1">
    <w:name w:val="heading 1"/>
    <w:basedOn w:val="a"/>
    <w:next w:val="a"/>
    <w:qFormat/>
    <w:pPr>
      <w:keepNext/>
      <w:keepLines/>
      <w:spacing w:before="160" w:after="160"/>
      <w:jc w:val="center"/>
      <w:outlineLvl w:val="0"/>
    </w:pPr>
    <w:rPr>
      <w:b/>
      <w:kern w:val="44"/>
      <w:sz w:val="30"/>
      <w:szCs w:val="30"/>
    </w:rPr>
  </w:style>
  <w:style w:type="paragraph" w:styleId="3">
    <w:name w:val="heading 3"/>
    <w:basedOn w:val="a"/>
    <w:next w:val="a"/>
    <w:uiPriority w:val="9"/>
    <w:qFormat/>
    <w:pPr>
      <w:keepNext/>
      <w:keepLines/>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style>
  <w:style w:type="paragraph" w:styleId="a4">
    <w:name w:val="footer"/>
    <w:basedOn w:val="a"/>
    <w:qFormat/>
    <w:pPr>
      <w:tabs>
        <w:tab w:val="center" w:pos="4153"/>
        <w:tab w:val="right" w:pos="8306"/>
      </w:tabs>
      <w:snapToGrid w:val="0"/>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6">
    <w:name w:val="List"/>
    <w:basedOn w:val="a"/>
    <w:qFormat/>
    <w:pPr>
      <w:jc w:val="center"/>
    </w:pPr>
    <w:rPr>
      <w:rFonts w:ascii="Calibri" w:hAnsi="Calibri"/>
      <w:sz w:val="21"/>
    </w:rPr>
  </w:style>
  <w:style w:type="paragraph" w:customStyle="1" w:styleId="0">
    <w:name w:val="0正文"/>
    <w:qFormat/>
    <w:pPr>
      <w:widowControl w:val="0"/>
      <w:spacing w:line="360" w:lineRule="auto"/>
      <w:ind w:firstLineChars="200" w:firstLine="720"/>
    </w:pPr>
    <w:rPr>
      <w:rFonts w:ascii="Calibri" w:eastAsia="仿宋_GB2312" w:hAnsi="Calibri"/>
      <w:sz w:val="24"/>
      <w:szCs w:val="22"/>
    </w:rPr>
  </w:style>
  <w:style w:type="character" w:customStyle="1" w:styleId="Heading11">
    <w:name w:val="Heading #1|1_"/>
    <w:basedOn w:val="a0"/>
    <w:link w:val="Heading110"/>
    <w:qFormat/>
    <w:rPr>
      <w:rFonts w:ascii="宋体" w:eastAsia="宋体" w:hAnsi="宋体" w:cs="宋体"/>
      <w:color w:val="AD4A49"/>
      <w:sz w:val="48"/>
      <w:szCs w:val="48"/>
      <w:u w:val="none"/>
      <w:shd w:val="clear" w:color="auto" w:fill="auto"/>
      <w:lang w:val="zh-TW" w:eastAsia="zh-TW" w:bidi="zh-TW"/>
    </w:rPr>
  </w:style>
  <w:style w:type="paragraph" w:customStyle="1" w:styleId="Heading110">
    <w:name w:val="Heading #1|1"/>
    <w:basedOn w:val="a"/>
    <w:link w:val="Heading11"/>
    <w:qFormat/>
    <w:pPr>
      <w:jc w:val="center"/>
      <w:outlineLvl w:val="0"/>
    </w:pPr>
    <w:rPr>
      <w:rFonts w:ascii="宋体" w:eastAsia="宋体" w:hAnsi="宋体" w:cs="宋体"/>
      <w:color w:val="AD4A49"/>
      <w:sz w:val="48"/>
      <w:szCs w:val="48"/>
      <w:lang w:val="zh-TW" w:eastAsia="zh-TW" w:bidi="zh-TW"/>
    </w:rPr>
  </w:style>
  <w:style w:type="character" w:customStyle="1" w:styleId="Headerorfooter2">
    <w:name w:val="Header or footer|2_"/>
    <w:basedOn w:val="a0"/>
    <w:link w:val="Headerorfooter20"/>
    <w:qFormat/>
    <w:rPr>
      <w:sz w:val="20"/>
      <w:szCs w:val="20"/>
      <w:u w:val="none"/>
      <w:shd w:val="clear" w:color="auto" w:fill="auto"/>
      <w:lang w:val="zh-TW" w:eastAsia="zh-TW" w:bidi="zh-TW"/>
    </w:rPr>
  </w:style>
  <w:style w:type="paragraph" w:customStyle="1" w:styleId="Headerorfooter20">
    <w:name w:val="Header or footer|2"/>
    <w:basedOn w:val="a"/>
    <w:link w:val="Headerorfooter2"/>
    <w:qFormat/>
    <w:rPr>
      <w:sz w:val="20"/>
      <w:szCs w:val="20"/>
      <w:lang w:val="zh-TW" w:eastAsia="zh-TW" w:bidi="zh-TW"/>
    </w:rPr>
  </w:style>
  <w:style w:type="character" w:customStyle="1" w:styleId="Bodytext3">
    <w:name w:val="Body text|3_"/>
    <w:basedOn w:val="a0"/>
    <w:link w:val="Bodytext30"/>
    <w:qFormat/>
    <w:rPr>
      <w:color w:val="AD4A49"/>
      <w:sz w:val="13"/>
      <w:szCs w:val="13"/>
      <w:u w:val="none"/>
      <w:shd w:val="clear" w:color="auto" w:fill="auto"/>
    </w:rPr>
  </w:style>
  <w:style w:type="paragraph" w:customStyle="1" w:styleId="Bodytext30">
    <w:name w:val="Body text|3"/>
    <w:basedOn w:val="a"/>
    <w:link w:val="Bodytext3"/>
    <w:qFormat/>
    <w:pPr>
      <w:jc w:val="center"/>
    </w:pPr>
    <w:rPr>
      <w:color w:val="AD4A49"/>
      <w:sz w:val="13"/>
      <w:szCs w:val="13"/>
    </w:rPr>
  </w:style>
  <w:style w:type="character" w:customStyle="1" w:styleId="Bodytext2">
    <w:name w:val="Body text|2_"/>
    <w:basedOn w:val="a0"/>
    <w:link w:val="Bodytext20"/>
    <w:qFormat/>
    <w:rPr>
      <w:rFonts w:ascii="宋体" w:eastAsia="宋体" w:hAnsi="宋体" w:cs="宋体"/>
      <w:sz w:val="20"/>
      <w:szCs w:val="20"/>
      <w:u w:val="none"/>
      <w:shd w:val="clear" w:color="auto" w:fill="auto"/>
      <w:lang w:val="zh-TW" w:eastAsia="zh-TW" w:bidi="zh-TW"/>
    </w:rPr>
  </w:style>
  <w:style w:type="paragraph" w:customStyle="1" w:styleId="Bodytext20">
    <w:name w:val="Body text|2"/>
    <w:basedOn w:val="a"/>
    <w:link w:val="Bodytext2"/>
    <w:qFormat/>
    <w:pPr>
      <w:spacing w:after="260" w:line="360" w:lineRule="exact"/>
      <w:ind w:left="640"/>
      <w:jc w:val="center"/>
    </w:pPr>
    <w:rPr>
      <w:rFonts w:ascii="宋体" w:eastAsia="宋体" w:hAnsi="宋体" w:cs="宋体"/>
      <w:sz w:val="20"/>
      <w:szCs w:val="20"/>
      <w:lang w:val="zh-TW" w:eastAsia="zh-TW" w:bidi="zh-TW"/>
    </w:rPr>
  </w:style>
  <w:style w:type="character" w:customStyle="1" w:styleId="Bodytext1">
    <w:name w:val="Body text|1_"/>
    <w:basedOn w:val="a0"/>
    <w:link w:val="Bodytext10"/>
    <w:qFormat/>
    <w:rPr>
      <w:rFonts w:ascii="宋体" w:eastAsia="宋体" w:hAnsi="宋体" w:cs="宋体"/>
      <w:sz w:val="17"/>
      <w:szCs w:val="17"/>
      <w:u w:val="none"/>
      <w:shd w:val="clear" w:color="auto" w:fill="auto"/>
      <w:lang w:val="zh-TW" w:eastAsia="zh-TW" w:bidi="zh-TW"/>
    </w:rPr>
  </w:style>
  <w:style w:type="paragraph" w:customStyle="1" w:styleId="Bodytext10">
    <w:name w:val="Body text|1"/>
    <w:basedOn w:val="a"/>
    <w:link w:val="Bodytext1"/>
    <w:qFormat/>
    <w:pPr>
      <w:spacing w:line="432" w:lineRule="auto"/>
      <w:ind w:firstLine="360"/>
    </w:pPr>
    <w:rPr>
      <w:rFonts w:ascii="宋体" w:eastAsia="宋体" w:hAnsi="宋体" w:cs="宋体"/>
      <w:sz w:val="17"/>
      <w:szCs w:val="17"/>
      <w:lang w:val="zh-TW" w:eastAsia="zh-TW" w:bidi="zh-TW"/>
    </w:rPr>
  </w:style>
  <w:style w:type="paragraph" w:customStyle="1" w:styleId="TableParagraph">
    <w:name w:val="Table Paragraph"/>
    <w:basedOn w:val="a"/>
    <w:uiPriority w:val="1"/>
    <w:qFormat/>
    <w:rPr>
      <w:rFonts w:ascii="宋体" w:eastAsia="宋体" w:hAnsi="宋体" w:cs="宋体"/>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220</Words>
  <Characters>1255</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五一园批复</dc:title>
  <dc:subject>五一园批复</dc:subject>
  <dc:creator>CamScanner</dc:creator>
  <cp:lastModifiedBy>张 俊齐</cp:lastModifiedBy>
  <cp:revision>3</cp:revision>
  <dcterms:created xsi:type="dcterms:W3CDTF">2020-12-22T14:44:00Z</dcterms:created>
  <dcterms:modified xsi:type="dcterms:W3CDTF">2022-10-07T12:16:00Z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181E9521AC2048CBA6EB126D1348D8A2</vt:lpwstr>
  </property>
</Properties>
</file>