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hint="default" w:ascii="Times New Roman" w:hAnsi="Times New Roman" w:eastAsia="宋体" w:cs="Times New Roman"/>
          <w:sz w:val="28"/>
          <w:szCs w:val="28"/>
          <w:u w:val="double"/>
        </w:rPr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280" w:right="0" w:firstLine="0"/>
        <w:jc w:val="righ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280" w:right="0" w:firstLine="0"/>
        <w:jc w:val="righ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280" w:right="0" w:firstLine="0"/>
        <w:jc w:val="righ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益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环评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202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1]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ab/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号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关于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 w:color="auto"/>
          <w:lang w:eastAsia="zh-CN"/>
        </w:rPr>
        <w:t>湖南三协智能科技有限公司工程车辆车架厢体制造加工扩建项目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环境影响报告表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湖南三协智能科技有限公司：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你公司报批的《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湖南三协智能科技有限公司工程车辆车架厢体制造加工扩建项目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环境影响报告表》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以下简称《报告表》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及附件收悉。经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研究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，批复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意见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如下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你公司投资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其中环保投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2.6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none" w:color="auto"/>
        </w:rPr>
        <w:t>益阳高新区东部产业园园山路三协智能厂房内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工程车辆车架厢体制造加工扩建项目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。项目用地面积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约4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00.0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本次扩建将在现有生产线工艺末端增加喷漆、烘干工序，不改变厂区现有的环保设施，产能保持不变。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根据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湖南</w:t>
      </w:r>
      <w:r>
        <w:rPr>
          <w:rFonts w:hint="eastAsia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靖东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环保</w:t>
      </w:r>
      <w:r>
        <w:rPr>
          <w:rFonts w:hint="eastAsia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科技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有限公司编制的项目环境影响报告表的分析结论，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在你单位严格落实好《报告表》提出的各项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污染防治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措施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</w:rPr>
        <w:t>实现污染物达标排放的前提下，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从环保角度同意本项目建设。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二、建设单位须全面落实环境影响报告表提出的各项环保措施，并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重点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做好以下工作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560" w:firstLineChars="200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加强大气污染防治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设置废气处理设施对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调漆、喷漆、烘干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作业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产生的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VOCs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及漆雾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进行有效收集处理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确保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VOCs有组织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排放浓度和排放速率满足《表面涂装（汽车制造及维修）挥发性有机物、镍排放标准》（DB43/1356-2017）表1排放浓度限值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要求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（15m排气筒：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0mg/m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vertAlign w:val="superscript"/>
          <w:lang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漆雾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有组织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排放浓度和排放速率满足《大气污染物综合排放标准》（GB16279-1996）表2排放限值（15m排气筒：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3.5kg/h，12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0mg/m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vertAlign w:val="superscript"/>
          <w:lang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，同时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厂界浓度满足《挥发性有机物无组织排放控制标准》（GB37822-2019）表A.1中特别排放限制要求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禁止生产废水外排。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生产废水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（主要为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喷淋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废水）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采用废水处理设备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处理后循环使用，不得外排。生活污水通过隔油池和化粪池处理后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满足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《污水综合排放标准》（GB8978-1996）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表4中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三级排放限值要求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排入园区污水管网，进东部新区污水处理厂处理。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560" w:firstLineChars="200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距离衰减选用低噪声设备，并采取隔声、基础减震等措施，加强生产机械的日常维护，确保厂界噪声达到《工业企业场界环境噪声排放标准》（GB12348-2008）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类排放限值要求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560" w:firstLineChars="200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加强固体废物的污染防治。设置危险废物暂存间用于暂存生产过程中产生的危险废物。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生活垃圾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统一收集，定期清运，由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环卫部门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妥善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《报告表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经批准后，你单位应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严格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执行环保“三同时”制度。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建设单位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应对配套建设的环境保护设施组织验收。如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项目的性质、规模、地点、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采用的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生产工艺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或者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染防治措施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发生重大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变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动，须重新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报批环境影响评价文件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。</w:t>
      </w:r>
    </w:p>
    <w:p>
      <w:pPr>
        <w:bidi w:val="0"/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bidi w:val="0"/>
        <w:spacing w:line="360" w:lineRule="auto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益阳市生态环境局</w:t>
      </w:r>
    </w:p>
    <w:p>
      <w:pPr>
        <w:bidi w:val="0"/>
        <w:spacing w:line="360" w:lineRule="auto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年</w:t>
      </w:r>
      <w:r>
        <w:rPr>
          <w:rFonts w:hint="eastAsia" w:eastAsia="宋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ab/>
      </w:r>
      <w:r>
        <w:rPr>
          <w:rFonts w:hint="eastAsia" w:eastAsia="宋体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日</w:t>
      </w:r>
      <w:bookmarkStart w:id="0" w:name="_GoBack"/>
      <w:bookmarkEnd w:id="0"/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righ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sectPr>
      <w:footerReference r:id="rId5" w:type="default"/>
      <w:footerReference r:id="rId6" w:type="even"/>
      <w:footnotePr>
        <w:numFmt w:val="decimal"/>
      </w:footnotePr>
      <w:pgSz w:w="11905" w:h="16838"/>
      <w:pgMar w:top="1797" w:right="1757" w:bottom="1797" w:left="1757" w:header="0" w:footer="6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9037C6"/>
    <w:rsid w:val="28CE056A"/>
    <w:rsid w:val="418D085A"/>
    <w:rsid w:val="432E2C32"/>
    <w:rsid w:val="456E3C8E"/>
    <w:rsid w:val="5127609E"/>
    <w:rsid w:val="5CD06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/>
      <w:ind w:firstLine="0" w:firstLineChars="0"/>
      <w:jc w:val="center"/>
      <w:outlineLvl w:val="0"/>
    </w:pPr>
    <w:rPr>
      <w:b/>
      <w:kern w:val="44"/>
      <w:sz w:val="30"/>
      <w:szCs w:val="30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仿宋_GB2312" w:cs="Times New Roman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Heading #1|1_"/>
    <w:basedOn w:val="7"/>
    <w:link w:val="9"/>
    <w:qFormat/>
    <w:uiPriority w:val="0"/>
    <w:rPr>
      <w:rFonts w:ascii="宋体" w:hAnsi="宋体" w:eastAsia="宋体" w:cs="宋体"/>
      <w:color w:val="AD4A49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color w:val="AD4A49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7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7"/>
    <w:link w:val="13"/>
    <w:qFormat/>
    <w:uiPriority w:val="0"/>
    <w:rPr>
      <w:color w:val="AD4A49"/>
      <w:sz w:val="13"/>
      <w:szCs w:val="13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jc w:val="center"/>
    </w:pPr>
    <w:rPr>
      <w:color w:val="AD4A49"/>
      <w:sz w:val="13"/>
      <w:szCs w:val="13"/>
      <w:u w:val="none"/>
      <w:shd w:val="clear" w:color="auto" w:fill="auto"/>
    </w:rPr>
  </w:style>
  <w:style w:type="character" w:customStyle="1" w:styleId="14">
    <w:name w:val="Body text|2_"/>
    <w:basedOn w:val="7"/>
    <w:link w:val="1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qFormat/>
    <w:uiPriority w:val="0"/>
    <w:pPr>
      <w:widowControl w:val="0"/>
      <w:shd w:val="clear" w:color="auto" w:fill="auto"/>
      <w:spacing w:after="260" w:line="360" w:lineRule="exact"/>
      <w:ind w:left="640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Body text|1_"/>
    <w:basedOn w:val="7"/>
    <w:link w:val="17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widowControl w:val="0"/>
      <w:shd w:val="clear" w:color="auto" w:fill="auto"/>
      <w:spacing w:line="432" w:lineRule="auto"/>
      <w:ind w:firstLine="36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2020-12-22T14:44:00Z</dcterms:created>
  <dc:creator>CamScanner</dc:creator>
  <cp:lastModifiedBy>邓单</cp:lastModifiedBy>
  <dcterms:modified xsi:type="dcterms:W3CDTF">2021-09-17T01:06:49Z</dcterms:modified>
  <dc:subject>五一园批复</dc:subject>
  <dc:title>五一园批复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181E9521AC2048CBA6EB126D1348D8A2</vt:lpwstr>
  </property>
</Properties>
</file>