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ind w:firstLine="0"/>
        <w:jc w:val="center"/>
        <w:textAlignment w:val="auto"/>
        <w:rPr>
          <w:rFonts w:hint="eastAsia" w:ascii="方正小标宋简体" w:eastAsia="方正小标宋简体"/>
          <w:sz w:val="24"/>
          <w:szCs w:val="24"/>
        </w:rPr>
      </w:pPr>
      <w:r>
        <w:rPr>
          <w:rFonts w:ascii="仿宋_GB2312"/>
          <w:szCs w:val="32"/>
        </w:rPr>
        <w:tab/>
      </w:r>
    </w:p>
    <w:p>
      <w:pPr>
        <w:keepNext w:val="0"/>
        <w:keepLines w:val="0"/>
        <w:pageBreakBefore w:val="0"/>
        <w:widowControl/>
        <w:kinsoku/>
        <w:wordWrap/>
        <w:overflowPunct/>
        <w:topLinePunct w:val="0"/>
        <w:autoSpaceDE/>
        <w:autoSpaceDN/>
        <w:bidi w:val="0"/>
        <w:adjustRightInd w:val="0"/>
        <w:snapToGrid w:val="0"/>
        <w:spacing w:after="0" w:line="600" w:lineRule="exact"/>
        <w:ind w:firstLine="0"/>
        <w:jc w:val="center"/>
        <w:textAlignment w:val="auto"/>
        <w:rPr>
          <w:rFonts w:hint="eastAsia" w:ascii="方正小标宋简体" w:eastAsia="方正小标宋简体"/>
          <w:sz w:val="24"/>
          <w:szCs w:val="24"/>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0"/>
        <w:jc w:val="center"/>
        <w:textAlignment w:val="auto"/>
        <w:rPr>
          <w:rFonts w:hint="eastAsia" w:ascii="方正小标宋简体" w:eastAsia="方正小标宋简体"/>
          <w:sz w:val="24"/>
          <w:szCs w:val="24"/>
        </w:rPr>
      </w:pPr>
    </w:p>
    <w:p>
      <w:pPr>
        <w:jc w:val="right"/>
        <w:rPr>
          <w:rFonts w:hint="eastAsia" w:ascii="黑体" w:eastAsia="黑体"/>
          <w:color w:val="FF0000"/>
          <w:sz w:val="36"/>
          <w:szCs w:val="36"/>
        </w:rPr>
      </w:pPr>
      <w:r>
        <w:rPr>
          <w:rFonts w:hint="eastAsia" w:ascii="方正小标宋简体" w:eastAsia="方正小标宋简体"/>
          <w:sz w:val="24"/>
          <w:szCs w:val="24"/>
          <w:lang w:val="en-US" w:eastAsia="zh-CN"/>
        </w:rPr>
        <w:t xml:space="preserve">  </w:t>
      </w:r>
      <w:r>
        <w:rPr>
          <w:rFonts w:hint="eastAsia" w:ascii="宋体" w:hAnsi="宋体" w:eastAsia="宋体" w:cs="宋体"/>
          <w:sz w:val="28"/>
          <w:szCs w:val="28"/>
        </w:rPr>
        <w:t>益</w:t>
      </w:r>
      <w:r>
        <w:rPr>
          <w:rFonts w:hint="eastAsia" w:ascii="宋体" w:hAnsi="宋体" w:eastAsia="宋体" w:cs="宋体"/>
          <w:sz w:val="28"/>
          <w:szCs w:val="28"/>
          <w:lang w:val="en-US" w:eastAsia="zh-CN"/>
        </w:rPr>
        <w:t>资</w:t>
      </w:r>
      <w:r>
        <w:rPr>
          <w:rFonts w:hint="eastAsia" w:ascii="宋体" w:hAnsi="宋体" w:eastAsia="宋体" w:cs="宋体"/>
          <w:sz w:val="28"/>
          <w:szCs w:val="28"/>
        </w:rPr>
        <w:t>环评</w:t>
      </w:r>
      <w:r>
        <w:rPr>
          <w:rFonts w:hint="eastAsia" w:ascii="宋体" w:hAnsi="宋体" w:eastAsia="宋体" w:cs="宋体"/>
          <w:sz w:val="28"/>
          <w:szCs w:val="28"/>
          <w:lang w:val="en-US" w:eastAsia="zh-CN"/>
        </w:rPr>
        <w:t>表</w:t>
      </w:r>
      <w:r>
        <w:rPr>
          <w:rFonts w:hint="eastAsia" w:ascii="宋体" w:hAnsi="宋体" w:eastAsia="宋体"/>
          <w:color w:val="auto"/>
          <w:sz w:val="28"/>
          <w:szCs w:val="28"/>
        </w:rPr>
        <w:t>〔</w:t>
      </w:r>
      <w:r>
        <w:rPr>
          <w:rFonts w:hint="eastAsia" w:ascii="宋体" w:hAnsi="宋体" w:eastAsia="宋体"/>
          <w:color w:val="auto"/>
          <w:sz w:val="28"/>
          <w:szCs w:val="28"/>
          <w:lang w:val="en-US" w:eastAsia="zh-CN"/>
        </w:rPr>
        <w:t>2021</w:t>
      </w:r>
      <w:r>
        <w:rPr>
          <w:rFonts w:hint="eastAsia" w:ascii="宋体" w:hAnsi="宋体" w:eastAsia="宋体"/>
          <w:color w:val="auto"/>
          <w:sz w:val="28"/>
          <w:szCs w:val="28"/>
        </w:rPr>
        <w:t>〕</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号</w:t>
      </w:r>
    </w:p>
    <w:p>
      <w:pPr>
        <w:tabs>
          <w:tab w:val="left" w:pos="1021"/>
        </w:tabs>
        <w:spacing w:after="0" w:line="240" w:lineRule="auto"/>
        <w:jc w:val="center"/>
        <w:rPr>
          <w:rFonts w:hint="eastAsia" w:eastAsia="黑体"/>
          <w:b w:val="0"/>
          <w:bCs/>
          <w:color w:val="000000" w:themeColor="text1"/>
          <w:sz w:val="44"/>
          <w:szCs w:val="44"/>
          <w:lang w:eastAsia="zh-CN"/>
          <w14:textFill>
            <w14:solidFill>
              <w14:schemeClr w14:val="tx1"/>
            </w14:solidFill>
          </w14:textFill>
        </w:rPr>
      </w:pPr>
      <w:r>
        <w:rPr>
          <w:rFonts w:ascii="Times New Roman" w:hAnsi="Times New Roman" w:eastAsia="黑体"/>
          <w:b w:val="0"/>
          <w:bCs/>
          <w:color w:val="000000" w:themeColor="text1"/>
          <w:sz w:val="44"/>
          <w:szCs w:val="44"/>
          <w14:textFill>
            <w14:solidFill>
              <w14:schemeClr w14:val="tx1"/>
            </w14:solidFill>
          </w14:textFill>
        </w:rPr>
        <w:t>关于</w:t>
      </w:r>
      <w:r>
        <w:rPr>
          <w:rFonts w:hint="eastAsia" w:eastAsia="黑体"/>
          <w:b w:val="0"/>
          <w:bCs/>
          <w:color w:val="000000" w:themeColor="text1"/>
          <w:sz w:val="44"/>
          <w:szCs w:val="44"/>
          <w:lang w:eastAsia="zh-CN"/>
          <w14:textFill>
            <w14:solidFill>
              <w14:schemeClr w14:val="tx1"/>
            </w14:solidFill>
          </w14:textFill>
        </w:rPr>
        <w:t>益阳资阳福康医院建设项目</w:t>
      </w:r>
    </w:p>
    <w:p>
      <w:pPr>
        <w:tabs>
          <w:tab w:val="left" w:pos="1021"/>
        </w:tabs>
        <w:spacing w:after="0" w:line="240" w:lineRule="auto"/>
        <w:jc w:val="center"/>
        <w:rPr>
          <w:rFonts w:ascii="Times New Roman" w:hAnsi="Times New Roman" w:eastAsia="黑体"/>
          <w:b w:val="0"/>
          <w:bCs/>
          <w:color w:val="000000" w:themeColor="text1"/>
          <w:sz w:val="44"/>
          <w:szCs w:val="44"/>
          <w14:textFill>
            <w14:solidFill>
              <w14:schemeClr w14:val="tx1"/>
            </w14:solidFill>
          </w14:textFill>
        </w:rPr>
      </w:pPr>
      <w:r>
        <w:rPr>
          <w:rFonts w:ascii="Times New Roman" w:hAnsi="Times New Roman" w:eastAsia="黑体"/>
          <w:b w:val="0"/>
          <w:bCs/>
          <w:color w:val="000000" w:themeColor="text1"/>
          <w:sz w:val="44"/>
          <w:szCs w:val="44"/>
          <w14:textFill>
            <w14:solidFill>
              <w14:schemeClr w14:val="tx1"/>
            </w14:solidFill>
          </w14:textFill>
        </w:rPr>
        <w:t>环境影响报告表的批复</w:t>
      </w:r>
    </w:p>
    <w:p>
      <w:pPr>
        <w:spacing w:line="240" w:lineRule="auto"/>
        <w:jc w:val="both"/>
        <w:rPr>
          <w:rFonts w:ascii="Times New Roman" w:hAnsi="Times New Roman"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益阳资阳福康医院</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你单位呈报的《</w:t>
      </w:r>
      <w:r>
        <w:rPr>
          <w:rFonts w:hint="eastAsia" w:ascii="仿宋" w:hAnsi="仿宋" w:eastAsia="仿宋" w:cs="仿宋"/>
          <w:color w:val="000000" w:themeColor="text1"/>
          <w:sz w:val="32"/>
          <w:szCs w:val="32"/>
          <w:lang w:eastAsia="zh-CN"/>
          <w14:textFill>
            <w14:solidFill>
              <w14:schemeClr w14:val="tx1"/>
            </w14:solidFill>
          </w14:textFill>
        </w:rPr>
        <w:t>益阳资阳福康医院建设项目</w:t>
      </w:r>
      <w:r>
        <w:rPr>
          <w:rFonts w:hint="eastAsia" w:ascii="仿宋" w:hAnsi="仿宋" w:eastAsia="仿宋" w:cs="仿宋"/>
          <w:color w:val="000000" w:themeColor="text1"/>
          <w:sz w:val="32"/>
          <w:szCs w:val="32"/>
          <w14:textFill>
            <w14:solidFill>
              <w14:schemeClr w14:val="tx1"/>
            </w14:solidFill>
          </w14:textFill>
        </w:rPr>
        <w:t>环境影响报告表》（以下简称《报告表》）及相关资料收悉。经研究，批复如下：</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益阳资阳福康医院拟在益阳市资阳区马良路与五福路交汇处欣天蓝郡1栋裙楼建设益阳资阳福康医院建设项目。项目总占地面积359.19平方米，总投资300万元，其中环保投资17万元，主要建设内容包括妇科诊断室、妇科治疗室、中医理疗室、康复理疗室、牙科、治疗室、化验室、B超室、处置室及其配套设施。</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项目符合国家产业政策。根据湖南太禹环保科技有限公司编制的环评报告表分析结论以及专家组评审意见，在建设单位严格落实各项污染治理和风险防范措施，确保各项污染物稳定达标、环境风险可控的前提下，从环境保护的角度，我局原则同意建设单位按照报告表所列工程方案实施项目建设。</w:t>
      </w:r>
    </w:p>
    <w:p>
      <w:pPr>
        <w:pStyle w:val="8"/>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建设单位在工程设计、建设和运营管理中，必须严格执行环保"三同时"制度，逐条落实《报告表》提出的各项污染防治和风险防范措施，确保各污染物达标排放，并着重做好以下工作：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（一）完善环境管理制度，配备专职或兼职环保人员，建立健全污染防治设施运行管理台帐，确保各项污染防治设施的正常运行，各类污染物达标排放。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二）落实项目废水污染防治措施。按"雨污分流"的原则建设排水系统。项目内生活污水和医疗废水（特殊废水经中和沉淀预处理后）进入自建污水处理设施处理达到《医疗机构水污染物排放标准》（GB18466-2005）中预处理标准后经市政管网排入城北污水处理厂深度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三）做好项目大气污染防治工作。卫生间采取安装抽排风装置、定期清理的措施减少恶臭散发；医疗废气通过抽排风装置处理后，通过楼顶排放；污水处理设施采用地埋式减少恶臭的散发，确保恶臭满足行《医疗机构水污染物排放标准》（GB18466-2005）中表3中的浓度限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（四）落实项目噪声污染防治措施。通过优化平面布局，选用低噪声设备，同时加强设备维护，并采取减振、隔声等措施，确保项目厂界噪声满足《工业企业厂界环境噪声排放标准》（GB12348-2008）中2类标准。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（五）</w:t>
      </w:r>
      <w:r>
        <w:rPr>
          <w:rFonts w:hint="eastAsia" w:ascii="仿宋" w:hAnsi="仿宋" w:eastAsia="仿宋" w:cs="仿宋"/>
          <w:color w:val="000000" w:themeColor="text1"/>
          <w:spacing w:val="-4"/>
          <w:kern w:val="2"/>
          <w:sz w:val="32"/>
          <w:szCs w:val="32"/>
          <w14:textFill>
            <w14:solidFill>
              <w14:schemeClr w14:val="tx1"/>
            </w14:solidFill>
          </w14:textFill>
        </w:rPr>
        <w:t>落实固体废弃物污染防治措施</w:t>
      </w:r>
      <w:r>
        <w:rPr>
          <w:rFonts w:hint="eastAsia" w:ascii="仿宋" w:hAnsi="仿宋" w:eastAsia="仿宋" w:cs="仿宋"/>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sz w:val="32"/>
          <w:szCs w:val="32"/>
          <w:lang w:val="en-US" w:eastAsia="zh-CN"/>
        </w:rPr>
        <w:t>按照“无害化、资源化、减量化”的原则，</w:t>
      </w:r>
      <w:r>
        <w:rPr>
          <w:rFonts w:hint="eastAsia" w:ascii="仿宋" w:hAnsi="仿宋" w:eastAsia="仿宋" w:cs="仿宋"/>
          <w:color w:val="000000" w:themeColor="text1"/>
          <w:kern w:val="2"/>
          <w:sz w:val="32"/>
          <w:szCs w:val="32"/>
          <w:lang w:val="en-US" w:eastAsia="zh-CN" w:bidi="ar-SA"/>
          <w14:textFill>
            <w14:solidFill>
              <w14:schemeClr w14:val="tx1"/>
            </w14:solidFill>
          </w14:textFill>
        </w:rPr>
        <w:t>加强医疗废物管理，严格执行医疗废物的分类收集，完善医疗废物的贮存、运输和消毒设施。医疗废物暂存医疗危废暂存间，定期委托有相关资质的单位处置，生活垃圾由垃圾桶收集后再交由当地环卫部门统一清运处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（六）本项目投入运营后，存在环境风险隐患，必须制定行之有效的环境风险事故应急预案和切实可行的应急措施，确保环境安全。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kern w:val="2"/>
          <w:sz w:val="32"/>
          <w:szCs w:val="32"/>
          <w:lang w:val="en-US" w:eastAsia="zh-CN" w:bidi="ar-SA"/>
        </w:rPr>
        <w:t>（七）</w:t>
      </w:r>
      <w:r>
        <w:rPr>
          <w:rFonts w:hint="default" w:ascii="仿宋" w:hAnsi="仿宋" w:eastAsia="仿宋" w:cs="仿宋"/>
          <w:kern w:val="2"/>
          <w:sz w:val="32"/>
          <w:szCs w:val="32"/>
          <w:lang w:val="en-US" w:eastAsia="zh-CN" w:bidi="ar-SA"/>
        </w:rPr>
        <w:t>项目污染物排放总</w:t>
      </w:r>
      <w:bookmarkStart w:id="0" w:name="_GoBack"/>
      <w:bookmarkEnd w:id="0"/>
      <w:r>
        <w:rPr>
          <w:rFonts w:hint="default" w:ascii="仿宋" w:hAnsi="仿宋" w:eastAsia="仿宋" w:cs="仿宋"/>
          <w:kern w:val="2"/>
          <w:sz w:val="32"/>
          <w:szCs w:val="32"/>
          <w:lang w:val="en-US" w:eastAsia="zh-CN" w:bidi="ar-SA"/>
        </w:rPr>
        <w:t>量控制为：COD≤</w:t>
      </w:r>
      <w:r>
        <w:rPr>
          <w:rFonts w:hint="eastAsia" w:ascii="仿宋" w:hAnsi="仿宋" w:eastAsia="仿宋" w:cs="仿宋"/>
          <w:kern w:val="2"/>
          <w:sz w:val="32"/>
          <w:szCs w:val="32"/>
          <w:lang w:val="en-US" w:eastAsia="zh-CN" w:bidi="ar-SA"/>
        </w:rPr>
        <w:t>0.1</w:t>
      </w:r>
      <w:r>
        <w:rPr>
          <w:rFonts w:hint="default" w:ascii="仿宋" w:hAnsi="仿宋" w:eastAsia="仿宋" w:cs="仿宋"/>
          <w:kern w:val="2"/>
          <w:sz w:val="32"/>
          <w:szCs w:val="32"/>
          <w:lang w:val="en-US" w:eastAsia="zh-CN" w:bidi="ar-SA"/>
        </w:rPr>
        <w:t>t/a、NH</w:t>
      </w:r>
      <w:r>
        <w:rPr>
          <w:rFonts w:hint="default" w:ascii="仿宋" w:hAnsi="仿宋" w:eastAsia="仿宋" w:cs="仿宋"/>
          <w:kern w:val="2"/>
          <w:sz w:val="32"/>
          <w:szCs w:val="32"/>
          <w:vertAlign w:val="subscript"/>
          <w:lang w:val="en-US" w:eastAsia="zh-CN" w:bidi="ar-SA"/>
        </w:rPr>
        <w:t>3</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N≤0.</w:t>
      </w:r>
      <w:r>
        <w:rPr>
          <w:rFonts w:hint="eastAsia" w:ascii="仿宋" w:hAnsi="仿宋" w:eastAsia="仿宋" w:cs="仿宋"/>
          <w:kern w:val="2"/>
          <w:sz w:val="32"/>
          <w:szCs w:val="32"/>
          <w:lang w:val="en-US" w:eastAsia="zh-CN" w:bidi="ar-SA"/>
        </w:rPr>
        <w:t>01</w:t>
      </w:r>
      <w:r>
        <w:rPr>
          <w:rFonts w:hint="default" w:ascii="仿宋" w:hAnsi="仿宋" w:eastAsia="仿宋" w:cs="仿宋"/>
          <w:kern w:val="2"/>
          <w:sz w:val="32"/>
          <w:szCs w:val="32"/>
          <w:lang w:val="en-US" w:eastAsia="zh-CN" w:bidi="ar-SA"/>
        </w:rPr>
        <w:t>t/a。</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四、本项目的性质、规模、地点或者污染防治措施等发生重大变化时，应当重新向生态环境部门进行环评报批。</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宋体"/>
          <w:bCs/>
          <w:szCs w:val="32"/>
        </w:rPr>
      </w:pPr>
      <w:r>
        <w:rPr>
          <w:rFonts w:hint="eastAsia" w:ascii="仿宋_GB2312" w:hAnsi="宋体"/>
          <w:bCs/>
          <w:szCs w:val="32"/>
        </w:rPr>
        <w:t>五、</w:t>
      </w:r>
      <w:r>
        <w:rPr>
          <w:rFonts w:hint="eastAsia" w:ascii="仿宋_GB2312"/>
          <w:bCs/>
          <w:color w:val="000000"/>
          <w:szCs w:val="32"/>
        </w:rPr>
        <w:t>项目建成后，</w:t>
      </w:r>
      <w:r>
        <w:rPr>
          <w:rFonts w:hint="eastAsia" w:ascii="仿宋_GB2312" w:hAnsi="仿宋_GB2312" w:cs="仿宋_GB2312"/>
          <w:bCs/>
          <w:color w:val="000000"/>
          <w:szCs w:val="32"/>
        </w:rPr>
        <w:t>应按规定程序及时办理排污许可及竣工环境保护验收工作，经验收合格</w:t>
      </w:r>
      <w:r>
        <w:rPr>
          <w:rFonts w:hint="eastAsia" w:ascii="仿宋_GB2312"/>
          <w:bCs/>
          <w:color w:val="000000"/>
          <w:szCs w:val="32"/>
        </w:rPr>
        <w:t>后</w:t>
      </w:r>
      <w:r>
        <w:rPr>
          <w:rFonts w:hint="eastAsia" w:ascii="仿宋_GB2312" w:hAnsi="宋体"/>
          <w:bCs/>
          <w:szCs w:val="32"/>
        </w:rPr>
        <w:t>方可正式投入运营。益阳市生态环境保护综合行政执法支队资阳大队和益阳市生态环境局资阳分局负责该项目“三同时”现场监督检查和日常环境管理。</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0" w:line="560" w:lineRule="exact"/>
        <w:jc w:val="righ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益阳市生态环境局</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righ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701" w:right="1701" w:bottom="1701" w:left="1701"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89431"/>
    <w:multiLevelType w:val="singleLevel"/>
    <w:tmpl w:val="53E894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76D2C"/>
    <w:rsid w:val="25014E5C"/>
    <w:rsid w:val="689515A6"/>
    <w:rsid w:val="6C066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985"/>
      </w:tabs>
      <w:spacing w:after="120" w:afterLines="0"/>
      <w:ind w:left="420" w:leftChars="200" w:firstLine="420" w:firstLineChars="200"/>
    </w:pPr>
    <w:rPr>
      <w:sz w:val="21"/>
    </w:rPr>
  </w:style>
  <w:style w:type="paragraph" w:styleId="3">
    <w:name w:val="Body Text Indent"/>
    <w:basedOn w:val="1"/>
    <w:next w:val="4"/>
    <w:qFormat/>
    <w:uiPriority w:val="0"/>
    <w:pPr>
      <w:widowControl w:val="0"/>
      <w:tabs>
        <w:tab w:val="left" w:pos="5985"/>
      </w:tabs>
      <w:adjustRightInd/>
      <w:snapToGrid/>
      <w:spacing w:after="0"/>
      <w:ind w:firstLine="560" w:firstLineChars="200"/>
      <w:jc w:val="both"/>
    </w:pPr>
    <w:rPr>
      <w:rFonts w:ascii="Times New Roman" w:hAnsi="Times New Roman" w:eastAsia="宋体" w:cs="Times New Roman"/>
      <w:kern w:val="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style>
  <w:style w:type="paragraph" w:customStyle="1" w:styleId="7">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福</cp:lastModifiedBy>
  <cp:lastPrinted>2021-03-31T09:44:26Z</cp:lastPrinted>
  <dcterms:modified xsi:type="dcterms:W3CDTF">2021-03-31T09:50:22Z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A1FA70DA7F2E424DBD60F352E0A7C2D3</vt:lpwstr>
  </property>
</Properties>
</file>