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auto"/>
          <w:szCs w:val="32"/>
        </w:rPr>
      </w:pPr>
      <w:r>
        <w:rPr>
          <w:rFonts w:hint="eastAsia" w:ascii="仿宋_GB2312" w:eastAsia="仿宋_GB2312"/>
          <w:color w:val="auto"/>
          <w:sz w:val="28"/>
          <w:szCs w:val="28"/>
        </w:rPr>
        <w:t>益</w:t>
      </w:r>
      <w:r>
        <w:rPr>
          <w:rFonts w:hint="eastAsia" w:ascii="仿宋_GB2312" w:eastAsia="仿宋_GB2312"/>
          <w:color w:val="auto"/>
          <w:sz w:val="28"/>
          <w:szCs w:val="28"/>
          <w:lang w:eastAsia="zh-CN"/>
        </w:rPr>
        <w:t>高</w:t>
      </w:r>
      <w:r>
        <w:rPr>
          <w:rFonts w:hint="eastAsia" w:ascii="仿宋_GB2312" w:eastAsia="仿宋_GB2312"/>
          <w:color w:val="auto"/>
          <w:sz w:val="28"/>
          <w:szCs w:val="28"/>
        </w:rPr>
        <w:t>环</w:t>
      </w:r>
      <w:r>
        <w:rPr>
          <w:rFonts w:hint="eastAsia" w:ascii="仿宋_GB2312" w:eastAsia="仿宋_GB2312"/>
          <w:color w:val="auto"/>
          <w:sz w:val="28"/>
          <w:szCs w:val="28"/>
          <w:lang w:eastAsia="zh-CN"/>
        </w:rPr>
        <w:t>评表</w:t>
      </w:r>
      <w:r>
        <w:rPr>
          <w:rFonts w:hint="eastAsia" w:ascii="仿宋_GB2312" w:hAnsi="仿宋_GB2312" w:eastAsia="仿宋_GB2312" w:cs="仿宋_GB2312"/>
          <w:color w:val="auto"/>
          <w:sz w:val="28"/>
          <w:szCs w:val="28"/>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val="0"/>
          <w:w w:val="96"/>
          <w:sz w:val="44"/>
          <w:szCs w:val="44"/>
        </w:rPr>
      </w:pPr>
      <w:r>
        <w:rPr>
          <w:rFonts w:hint="eastAsia" w:ascii="方正小标宋简体" w:hAnsi="方正小标宋简体" w:eastAsia="方正小标宋简体" w:cs="方正小标宋简体"/>
          <w:b w:val="0"/>
          <w:bCs w:val="0"/>
          <w:w w:val="96"/>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eastAsia="黑体"/>
          <w:w w:val="96"/>
          <w:sz w:val="44"/>
          <w:szCs w:val="44"/>
        </w:rPr>
      </w:pPr>
      <w:r>
        <w:rPr>
          <w:rFonts w:hint="eastAsia" w:ascii="方正小标宋简体" w:hAnsi="方正小标宋简体" w:eastAsia="方正小标宋简体" w:cs="方正小标宋简体"/>
          <w:b w:val="0"/>
          <w:bCs w:val="0"/>
          <w:w w:val="96"/>
          <w:sz w:val="44"/>
          <w:szCs w:val="44"/>
        </w:rPr>
        <w:t>关于</w:t>
      </w:r>
      <w:bookmarkStart w:id="0" w:name="_Hlk41641100"/>
      <w:r>
        <w:rPr>
          <w:rFonts w:hint="eastAsia" w:ascii="方正小标宋简体" w:hAnsi="方正小标宋简体" w:eastAsia="方正小标宋简体" w:cs="方正小标宋简体"/>
          <w:b w:val="0"/>
          <w:bCs w:val="0"/>
          <w:w w:val="96"/>
          <w:sz w:val="44"/>
          <w:szCs w:val="44"/>
        </w:rPr>
        <w:t>湖南厚资农业科技开发有限公司生态特色农业-稻蛙养殖项目环境影响报告表</w:t>
      </w:r>
      <w:bookmarkEnd w:id="0"/>
      <w:r>
        <w:rPr>
          <w:rFonts w:hint="eastAsia" w:ascii="方正小标宋简体" w:hAnsi="方正小标宋简体" w:eastAsia="方正小标宋简体" w:cs="方正小标宋简体"/>
          <w:b w:val="0"/>
          <w:bCs w:val="0"/>
          <w:w w:val="96"/>
          <w:sz w:val="44"/>
          <w:szCs w:val="44"/>
        </w:rPr>
        <w:t>的批复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4"/>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zCs w:val="32"/>
          <w:lang w:eastAsia="zh-CN"/>
        </w:rPr>
      </w:pPr>
      <w:r>
        <w:rPr>
          <w:rFonts w:hint="eastAsia" w:ascii="仿宋_GB2312" w:hAnsi="仿宋_GB2312" w:eastAsia="仿宋_GB2312" w:cs="仿宋_GB2312"/>
          <w:b w:val="0"/>
          <w:bCs w:val="0"/>
          <w:color w:val="auto"/>
          <w:spacing w:val="4"/>
          <w:szCs w:val="32"/>
        </w:rPr>
        <w:t>湖南厚资农业科技开发有限公司</w:t>
      </w:r>
      <w:r>
        <w:rPr>
          <w:rFonts w:hint="eastAsia" w:ascii="仿宋_GB2312" w:hAnsi="仿宋_GB2312" w:eastAsia="仿宋_GB2312" w:cs="仿宋_GB2312"/>
          <w:b w:val="0"/>
          <w:bCs w:val="0"/>
          <w:color w:val="auto"/>
          <w:spacing w:val="4"/>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bCs/>
          <w:color w:val="auto"/>
          <w:szCs w:val="32"/>
        </w:rPr>
      </w:pPr>
      <w:r>
        <w:rPr>
          <w:rFonts w:hint="eastAsia" w:ascii="仿宋_GB2312" w:hAnsi="仿宋_GB2312" w:eastAsia="仿宋_GB2312" w:cs="仿宋_GB2312"/>
          <w:color w:val="auto"/>
          <w:spacing w:val="4"/>
          <w:szCs w:val="32"/>
        </w:rPr>
        <w:t>你</w:t>
      </w:r>
      <w:r>
        <w:rPr>
          <w:rFonts w:hint="eastAsia" w:ascii="仿宋_GB2312" w:hAnsi="仿宋_GB2312" w:eastAsia="仿宋_GB2312" w:cs="仿宋_GB2312"/>
          <w:bCs/>
          <w:color w:val="auto"/>
          <w:szCs w:val="32"/>
        </w:rPr>
        <w:t>公司</w:t>
      </w:r>
      <w:r>
        <w:rPr>
          <w:rFonts w:hint="eastAsia" w:ascii="仿宋_GB2312" w:hAnsi="仿宋_GB2312" w:eastAsia="仿宋_GB2312" w:cs="仿宋_GB2312"/>
          <w:b w:val="0"/>
          <w:bCs w:val="0"/>
          <w:color w:val="auto"/>
          <w:spacing w:val="4"/>
          <w:szCs w:val="32"/>
        </w:rPr>
        <w:t>呈报的《湖南厚资农业科技开发有限公司生态特色农业-稻蛙养殖项目环境影响报告表</w:t>
      </w:r>
      <w:r>
        <w:rPr>
          <w:rFonts w:hint="eastAsia" w:ascii="仿宋_GB2312" w:hAnsi="仿宋_GB2312" w:eastAsia="仿宋_GB2312" w:cs="仿宋_GB2312"/>
          <w:bCs/>
          <w:color w:val="auto"/>
          <w:szCs w:val="32"/>
        </w:rPr>
        <w:t>》</w:t>
      </w:r>
      <w:r>
        <w:rPr>
          <w:rFonts w:hint="eastAsia" w:ascii="仿宋_GB2312" w:hAnsi="仿宋_GB2312" w:eastAsia="仿宋_GB2312" w:cs="仿宋_GB2312"/>
          <w:bCs/>
          <w:spacing w:val="0"/>
          <w:szCs w:val="32"/>
          <w:lang w:eastAsia="zh-CN"/>
        </w:rPr>
        <w:t>（以下简称“报告表”）</w:t>
      </w:r>
      <w:r>
        <w:rPr>
          <w:rFonts w:hint="eastAsia" w:ascii="仿宋_GB2312" w:hAnsi="仿宋_GB2312" w:eastAsia="仿宋_GB2312" w:cs="仿宋_GB2312"/>
          <w:color w:val="auto"/>
          <w:szCs w:val="32"/>
        </w:rPr>
        <w:t>及相关附件收悉。经研究，批复如下：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bCs/>
          <w:color w:val="auto"/>
          <w:szCs w:val="32"/>
        </w:rPr>
        <w:t>你公司</w:t>
      </w:r>
      <w:r>
        <w:rPr>
          <w:rFonts w:hint="eastAsia" w:ascii="仿宋_GB2312" w:hAnsi="仿宋_GB2312" w:eastAsia="仿宋_GB2312" w:cs="仿宋_GB2312"/>
          <w:bCs/>
          <w:color w:val="auto"/>
          <w:spacing w:val="4"/>
          <w:szCs w:val="32"/>
        </w:rPr>
        <w:t>拟</w:t>
      </w:r>
      <w:r>
        <w:rPr>
          <w:rFonts w:hint="eastAsia" w:ascii="仿宋_GB2312" w:hAnsi="仿宋_GB2312" w:eastAsia="仿宋_GB2312" w:cs="仿宋_GB2312"/>
          <w:color w:val="auto"/>
          <w:spacing w:val="4"/>
          <w:szCs w:val="32"/>
        </w:rPr>
        <w:t>投资</w:t>
      </w:r>
      <w:r>
        <w:rPr>
          <w:rFonts w:hint="eastAsia" w:ascii="仿宋_GB2312" w:hAnsi="仿宋_GB2312" w:eastAsia="仿宋_GB2312" w:cs="仿宋_GB2312"/>
          <w:szCs w:val="32"/>
          <w:lang w:val="en-US" w:eastAsia="zh-CN"/>
        </w:rPr>
        <w:t>1000</w:t>
      </w:r>
      <w:r>
        <w:rPr>
          <w:rFonts w:hint="eastAsia" w:ascii="仿宋_GB2312" w:hAnsi="仿宋_GB2312" w:eastAsia="仿宋_GB2312" w:cs="仿宋_GB2312"/>
          <w:color w:val="auto"/>
          <w:spacing w:val="4"/>
          <w:szCs w:val="32"/>
        </w:rPr>
        <w:t>万元</w:t>
      </w:r>
      <w:r>
        <w:rPr>
          <w:rFonts w:hint="eastAsia" w:ascii="仿宋_GB2312" w:hAnsi="仿宋_GB2312" w:eastAsia="仿宋_GB2312" w:cs="仿宋_GB2312"/>
          <w:color w:val="auto"/>
          <w:szCs w:val="32"/>
        </w:rPr>
        <w:t>在益阳</w:t>
      </w:r>
      <w:r>
        <w:rPr>
          <w:rFonts w:hint="eastAsia" w:ascii="仿宋_GB2312" w:hAnsi="仿宋_GB2312" w:eastAsia="仿宋_GB2312" w:cs="仿宋_GB2312"/>
          <w:color w:val="auto"/>
          <w:spacing w:val="0"/>
          <w:szCs w:val="32"/>
          <w:lang w:eastAsia="zh-CN"/>
        </w:rPr>
        <w:t>东部新区鱼形山街道大泉村</w:t>
      </w:r>
      <w:r>
        <w:rPr>
          <w:rFonts w:hint="default" w:ascii="Times New Roman" w:hAnsi="Times New Roman" w:cs="Times New Roman"/>
          <w:color w:val="auto"/>
          <w:lang w:val="en-US" w:eastAsia="zh-CN"/>
        </w:rPr>
        <w:t>利用现有稻田</w:t>
      </w:r>
      <w:r>
        <w:rPr>
          <w:rFonts w:hint="eastAsia" w:ascii="Times New Roman" w:hAnsi="Times New Roman" w:cs="Times New Roman"/>
          <w:color w:val="auto"/>
          <w:lang w:val="en-US" w:eastAsia="zh-CN"/>
        </w:rPr>
        <w:t>开展</w:t>
      </w:r>
      <w:r>
        <w:rPr>
          <w:rFonts w:hint="eastAsia" w:ascii="仿宋_GB2312" w:hAnsi="仿宋_GB2312" w:eastAsia="仿宋_GB2312" w:cs="仿宋_GB2312"/>
          <w:b w:val="0"/>
          <w:bCs w:val="0"/>
          <w:color w:val="auto"/>
          <w:spacing w:val="4"/>
          <w:szCs w:val="32"/>
        </w:rPr>
        <w:t>生态特色农业-稻蛙养殖项目</w:t>
      </w:r>
      <w:r>
        <w:rPr>
          <w:rFonts w:hint="eastAsia" w:ascii="仿宋_GB2312" w:hAnsi="仿宋_GB2312" w:eastAsia="仿宋_GB2312" w:cs="仿宋_GB2312"/>
          <w:b w:val="0"/>
          <w:bCs w:val="0"/>
          <w:color w:val="auto"/>
          <w:spacing w:val="4"/>
          <w:szCs w:val="32"/>
          <w:lang w:eastAsia="zh-CN"/>
        </w:rPr>
        <w:t>。项目总占地面积</w:t>
      </w:r>
      <w:r>
        <w:rPr>
          <w:rFonts w:hint="eastAsia" w:ascii="仿宋_GB2312" w:hAnsi="仿宋_GB2312" w:eastAsia="仿宋_GB2312" w:cs="仿宋_GB2312"/>
          <w:color w:val="auto"/>
          <w:spacing w:val="0"/>
          <w:lang w:val="en-US" w:eastAsia="zh-CN"/>
        </w:rPr>
        <w:t>402.874亩，</w:t>
      </w:r>
      <w:r>
        <w:rPr>
          <w:rFonts w:hint="eastAsia" w:ascii="仿宋_GB2312" w:hAnsi="仿宋_GB2312" w:eastAsia="仿宋_GB2312" w:cs="仿宋_GB2312"/>
          <w:color w:val="000000"/>
          <w:spacing w:val="0"/>
          <w:szCs w:val="32"/>
          <w:lang w:val="en-US" w:eastAsia="zh-CN"/>
        </w:rPr>
        <w:t>主要建设内容包括稻蛙养殖区30亩、绿色蔬菜种植区60亩、稻田种植区310亩</w:t>
      </w:r>
      <w:r>
        <w:rPr>
          <w:rFonts w:hint="eastAsia" w:ascii="仿宋_GB2312" w:hAnsi="仿宋_GB2312" w:eastAsia="仿宋_GB2312" w:cs="仿宋_GB2312"/>
          <w:color w:val="auto"/>
          <w:spacing w:val="0"/>
          <w:sz w:val="32"/>
          <w:szCs w:val="32"/>
          <w:lang w:eastAsia="zh-CN"/>
        </w:rPr>
        <w:t>及</w:t>
      </w:r>
      <w:r>
        <w:rPr>
          <w:rFonts w:hint="eastAsia" w:ascii="仿宋_GB2312" w:hAnsi="仿宋_GB2312" w:eastAsia="仿宋_GB2312" w:cs="仿宋_GB2312"/>
          <w:color w:val="auto"/>
          <w:spacing w:val="0"/>
          <w:sz w:val="32"/>
          <w:szCs w:val="32"/>
          <w:lang w:val="en-US" w:eastAsia="zh-CN"/>
        </w:rPr>
        <w:t>给排水、供配电、环保等相关公用辅助工程。项目建设符合国家产</w:t>
      </w:r>
      <w:r>
        <w:rPr>
          <w:rFonts w:hint="eastAsia" w:ascii="仿宋_GB2312" w:hAnsi="仿宋_GB2312" w:eastAsia="仿宋_GB2312" w:cs="仿宋_GB2312"/>
          <w:color w:val="000000"/>
          <w:spacing w:val="0"/>
          <w:sz w:val="32"/>
          <w:szCs w:val="32"/>
          <w:lang w:val="en-US" w:eastAsia="zh-CN"/>
        </w:rPr>
        <w:t>业政策，选址符合益阳</w:t>
      </w:r>
      <w:r>
        <w:rPr>
          <w:rFonts w:hint="eastAsia" w:ascii="仿宋_GB2312" w:hAnsi="仿宋_GB2312" w:eastAsia="仿宋_GB2312" w:cs="仿宋_GB2312"/>
          <w:color w:val="auto"/>
          <w:spacing w:val="0"/>
          <w:szCs w:val="32"/>
          <w:lang w:eastAsia="zh-CN"/>
        </w:rPr>
        <w:t>东部新区</w:t>
      </w:r>
      <w:r>
        <w:rPr>
          <w:rFonts w:hint="eastAsia" w:ascii="仿宋_GB2312" w:hAnsi="仿宋_GB2312" w:eastAsia="仿宋_GB2312" w:cs="仿宋_GB2312"/>
          <w:color w:val="000000"/>
          <w:spacing w:val="0"/>
          <w:sz w:val="32"/>
          <w:szCs w:val="32"/>
          <w:lang w:val="en-US" w:eastAsia="zh-CN"/>
        </w:rPr>
        <w:t>用地规划要求</w:t>
      </w:r>
      <w:r>
        <w:rPr>
          <w:rFonts w:hint="eastAsia" w:ascii="仿宋_GB2312" w:hAnsi="仿宋_GB2312" w:eastAsia="仿宋_GB2312" w:cs="仿宋_GB2312"/>
          <w:color w:val="000000"/>
          <w:spacing w:val="0"/>
          <w:sz w:val="32"/>
          <w:szCs w:val="32"/>
        </w:rPr>
        <w:t>。根</w:t>
      </w:r>
      <w:r>
        <w:rPr>
          <w:rFonts w:hint="eastAsia" w:ascii="仿宋_GB2312" w:hAnsi="仿宋_GB2312" w:eastAsia="仿宋_GB2312" w:cs="仿宋_GB2312"/>
          <w:color w:val="auto"/>
          <w:spacing w:val="0"/>
          <w:sz w:val="32"/>
          <w:szCs w:val="32"/>
          <w:lang w:val="en-US" w:eastAsia="zh-CN"/>
        </w:rPr>
        <w:t>据湖南欣森宏景环境评估有限公司编</w:t>
      </w:r>
      <w:r>
        <w:rPr>
          <w:rFonts w:hint="eastAsia" w:ascii="仿宋_GB2312" w:hAnsi="仿宋_GB2312" w:eastAsia="仿宋_GB2312" w:cs="仿宋_GB2312"/>
          <w:color w:val="000000"/>
          <w:spacing w:val="0"/>
          <w:sz w:val="32"/>
          <w:szCs w:val="32"/>
          <w:lang w:eastAsia="zh-CN"/>
        </w:rPr>
        <w:t>制</w:t>
      </w:r>
      <w:r>
        <w:rPr>
          <w:rFonts w:hint="eastAsia" w:ascii="仿宋_GB2312" w:hAnsi="仿宋_GB2312" w:eastAsia="仿宋_GB2312" w:cs="仿宋_GB2312"/>
          <w:color w:val="000000"/>
          <w:spacing w:val="0"/>
          <w:sz w:val="32"/>
          <w:szCs w:val="32"/>
          <w:lang w:val="en-US" w:eastAsia="zh-CN"/>
        </w:rPr>
        <w:t>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建设单位在项目设计、建设和营运期间，必须严格执行环保“三同时”制度，按照报告表要求落实各项污染防治措施，并着重做好如下工作：</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000000"/>
          <w:spacing w:val="0"/>
          <w:sz w:val="32"/>
          <w:szCs w:val="32"/>
          <w:lang w:val="en-US" w:eastAsia="zh-CN"/>
        </w:rPr>
        <w:t>做好项目大气污染防治工作。严格按照环评要求控制无组织排放，</w:t>
      </w:r>
      <w:r>
        <w:rPr>
          <w:rFonts w:hint="eastAsia" w:ascii="仿宋_GB2312" w:hAnsi="仿宋_GB2312" w:eastAsia="仿宋_GB2312" w:cs="仿宋_GB2312"/>
          <w:color w:val="auto"/>
          <w:spacing w:val="0"/>
          <w:sz w:val="32"/>
          <w:szCs w:val="32"/>
          <w:lang w:eastAsia="zh-CN"/>
        </w:rPr>
        <w:t>确保外排污染物满足《恶臭污染物排放标准》（GB14554-93）表1中恶臭污染物厂界标准值要求</w:t>
      </w:r>
      <w:r>
        <w:rPr>
          <w:rFonts w:hint="eastAsia" w:ascii="仿宋_GB2312" w:hAnsi="仿宋_GB2312" w:eastAsia="仿宋_GB2312" w:cs="仿宋_GB2312"/>
          <w:color w:val="000000"/>
          <w:spacing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做好项目水污染防治工作。</w:t>
      </w:r>
      <w:r>
        <w:rPr>
          <w:rFonts w:hint="eastAsia" w:ascii="仿宋_GB2312" w:hAnsi="仿宋_GB2312" w:eastAsia="仿宋_GB2312" w:cs="仿宋_GB2312"/>
          <w:color w:val="000000"/>
          <w:spacing w:val="4"/>
          <w:szCs w:val="32"/>
        </w:rPr>
        <w:t>厂区排水必须实行雨污分流，认真落实</w:t>
      </w:r>
      <w:r>
        <w:rPr>
          <w:rFonts w:hint="eastAsia" w:ascii="仿宋_GB2312" w:hAnsi="仿宋_GB2312" w:eastAsia="仿宋_GB2312" w:cs="仿宋_GB2312"/>
          <w:szCs w:val="32"/>
        </w:rPr>
        <w:t>报告表</w:t>
      </w:r>
      <w:r>
        <w:rPr>
          <w:rFonts w:hint="eastAsia" w:ascii="仿宋_GB2312" w:hAnsi="仿宋_GB2312" w:eastAsia="仿宋_GB2312" w:cs="仿宋_GB2312"/>
          <w:color w:val="000000"/>
          <w:spacing w:val="4"/>
          <w:szCs w:val="32"/>
        </w:rPr>
        <w:t>提出的废水处理方案。</w:t>
      </w:r>
      <w:r>
        <w:rPr>
          <w:rFonts w:hint="eastAsia" w:ascii="仿宋_GB2312" w:hAnsi="仿宋_GB2312" w:eastAsia="仿宋_GB2312" w:cs="仿宋_GB2312"/>
          <w:color w:val="000000"/>
          <w:spacing w:val="0"/>
          <w:szCs w:val="32"/>
          <w:lang w:val="en-US" w:eastAsia="zh-CN"/>
        </w:rPr>
        <w:t>稻蛙养殖区产生的</w:t>
      </w:r>
      <w:r>
        <w:rPr>
          <w:rFonts w:hint="eastAsia" w:ascii="Times New Roman" w:cs="Times New Roman"/>
          <w:color w:val="auto"/>
          <w:lang w:eastAsia="zh-CN"/>
        </w:rPr>
        <w:t>养殖废水由</w:t>
      </w:r>
      <w:r>
        <w:rPr>
          <w:rFonts w:hint="eastAsia" w:ascii="仿宋_GB2312" w:hAnsi="仿宋_GB2312" w:eastAsia="仿宋_GB2312" w:cs="仿宋_GB2312"/>
          <w:color w:val="000000"/>
          <w:spacing w:val="0"/>
          <w:szCs w:val="32"/>
          <w:lang w:val="en-US" w:eastAsia="zh-CN"/>
        </w:rPr>
        <w:t>绿色蔬菜种植区和稻田种植区消纳，不外排；</w:t>
      </w:r>
      <w:r>
        <w:rPr>
          <w:rFonts w:hint="eastAsia" w:ascii="仿宋_GB2312" w:hAnsi="仿宋_GB2312" w:eastAsia="仿宋_GB2312" w:cs="仿宋_GB2312"/>
          <w:color w:val="auto"/>
          <w:spacing w:val="0"/>
          <w:szCs w:val="32"/>
        </w:rPr>
        <w:t>生活污水经</w:t>
      </w:r>
      <w:r>
        <w:rPr>
          <w:rFonts w:hint="eastAsia" w:ascii="仿宋_GB2312" w:hAnsi="仿宋_GB2312" w:eastAsia="仿宋_GB2312" w:cs="仿宋_GB2312"/>
          <w:color w:val="auto"/>
          <w:spacing w:val="0"/>
          <w:sz w:val="32"/>
          <w:szCs w:val="32"/>
          <w:lang w:eastAsia="zh-CN"/>
        </w:rPr>
        <w:t>自建</w:t>
      </w:r>
      <w:r>
        <w:rPr>
          <w:rFonts w:hint="eastAsia" w:ascii="仿宋_GB2312" w:hAnsi="仿宋_GB2312" w:eastAsia="仿宋_GB2312" w:cs="仿宋_GB2312"/>
          <w:color w:val="auto"/>
          <w:spacing w:val="0"/>
          <w:sz w:val="32"/>
          <w:szCs w:val="32"/>
        </w:rPr>
        <w:t>污水处理</w:t>
      </w:r>
      <w:r>
        <w:rPr>
          <w:rFonts w:hint="eastAsia" w:ascii="仿宋_GB2312" w:hAnsi="仿宋_GB2312" w:eastAsia="仿宋_GB2312" w:cs="仿宋_GB2312"/>
          <w:color w:val="auto"/>
          <w:spacing w:val="0"/>
          <w:sz w:val="32"/>
          <w:szCs w:val="32"/>
          <w:lang w:eastAsia="zh-CN"/>
        </w:rPr>
        <w:t>设施</w:t>
      </w:r>
      <w:r>
        <w:rPr>
          <w:rFonts w:hint="eastAsia" w:ascii="仿宋_GB2312" w:hAnsi="仿宋_GB2312" w:eastAsia="仿宋_GB2312" w:cs="仿宋_GB2312"/>
          <w:color w:val="auto"/>
          <w:spacing w:val="0"/>
          <w:szCs w:val="32"/>
        </w:rPr>
        <w:t>深度处理</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确保</w:t>
      </w:r>
      <w:r>
        <w:rPr>
          <w:rFonts w:hint="eastAsia" w:ascii="仿宋_GB2312" w:hAnsi="仿宋_GB2312" w:eastAsia="仿宋_GB2312" w:cs="仿宋_GB2312"/>
          <w:color w:val="000000"/>
          <w:spacing w:val="0"/>
          <w:sz w:val="32"/>
          <w:szCs w:val="32"/>
          <w:lang w:val="en-US" w:eastAsia="zh-CN"/>
        </w:rPr>
        <w:t>外排污染物</w:t>
      </w:r>
      <w:r>
        <w:rPr>
          <w:rFonts w:hint="eastAsia" w:ascii="仿宋_GB2312" w:hAnsi="仿宋_GB2312" w:eastAsia="仿宋_GB2312" w:cs="仿宋_GB2312"/>
          <w:color w:val="auto"/>
          <w:spacing w:val="0"/>
          <w:sz w:val="32"/>
          <w:szCs w:val="32"/>
        </w:rPr>
        <w:t>满足《农田灌溉水质标准》（GB5084-2005）中规定的旱作标准后，用于农田灌溉</w:t>
      </w:r>
      <w:r>
        <w:rPr>
          <w:rFonts w:hint="eastAsia" w:ascii="仿宋_GB2312" w:hAnsi="仿宋_GB2312" w:eastAsia="仿宋_GB2312" w:cs="仿宋_GB2312"/>
          <w:color w:val="auto"/>
          <w:spacing w:val="4"/>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做好项目噪声污染防治工作。</w:t>
      </w:r>
      <w:r>
        <w:rPr>
          <w:rFonts w:hint="eastAsia" w:ascii="仿宋_GB2312" w:hAnsi="仿宋_GB2312" w:eastAsia="仿宋_GB2312" w:cs="仿宋_GB2312"/>
          <w:color w:val="auto"/>
          <w:szCs w:val="32"/>
        </w:rPr>
        <w:t>落实环评报告</w:t>
      </w:r>
      <w:r>
        <w:rPr>
          <w:rFonts w:hint="eastAsia" w:ascii="仿宋_GB2312" w:hAnsi="仿宋_GB2312" w:eastAsia="仿宋_GB2312" w:cs="仿宋_GB2312"/>
          <w:color w:val="auto"/>
          <w:szCs w:val="32"/>
          <w:lang w:eastAsia="zh-CN"/>
        </w:rPr>
        <w:t>表</w:t>
      </w:r>
      <w:r>
        <w:rPr>
          <w:rFonts w:hint="eastAsia" w:ascii="仿宋_GB2312" w:hAnsi="仿宋_GB2312" w:eastAsia="仿宋_GB2312" w:cs="仿宋_GB2312"/>
          <w:color w:val="auto"/>
          <w:szCs w:val="32"/>
        </w:rPr>
        <w:t>提出的噪声防治措施，合理优化总平面布局，确保</w:t>
      </w:r>
      <w:r>
        <w:rPr>
          <w:rFonts w:hint="eastAsia" w:ascii="仿宋_GB2312" w:hAnsi="仿宋_GB2312" w:eastAsia="仿宋_GB2312" w:cs="仿宋_GB2312"/>
          <w:color w:val="auto"/>
          <w:spacing w:val="0"/>
          <w:szCs w:val="32"/>
          <w:lang w:eastAsia="zh-CN"/>
        </w:rPr>
        <w:t>厂</w:t>
      </w:r>
      <w:r>
        <w:rPr>
          <w:rFonts w:hint="eastAsia" w:ascii="仿宋_GB2312" w:hAnsi="仿宋_GB2312" w:eastAsia="仿宋_GB2312" w:cs="仿宋_GB2312"/>
          <w:color w:val="auto"/>
          <w:spacing w:val="0"/>
          <w:szCs w:val="32"/>
        </w:rPr>
        <w:t>界噪声达</w:t>
      </w:r>
      <w:r>
        <w:rPr>
          <w:rFonts w:hint="eastAsia" w:ascii="仿宋_GB2312" w:hAnsi="仿宋_GB2312" w:eastAsia="仿宋_GB2312" w:cs="仿宋_GB2312"/>
          <w:color w:val="auto"/>
          <w:spacing w:val="0"/>
          <w:szCs w:val="32"/>
          <w:lang w:eastAsia="zh-CN"/>
        </w:rPr>
        <w:t>到</w:t>
      </w:r>
      <w:r>
        <w:rPr>
          <w:rFonts w:hint="eastAsia" w:ascii="仿宋_GB2312" w:hAnsi="仿宋_GB2312" w:eastAsia="仿宋_GB2312" w:cs="仿宋_GB2312"/>
          <w:color w:val="auto"/>
          <w:spacing w:val="0"/>
          <w:szCs w:val="32"/>
        </w:rPr>
        <w:t>《工业企业厂界环境噪声排放标准》（GB12348-2008）中</w:t>
      </w:r>
      <w:r>
        <w:rPr>
          <w:rFonts w:hint="eastAsia" w:ascii="仿宋_GB2312" w:hAnsi="仿宋_GB2312" w:eastAsia="仿宋_GB2312" w:cs="仿宋_GB2312"/>
          <w:color w:val="auto"/>
          <w:spacing w:val="0"/>
          <w:szCs w:val="32"/>
          <w:lang w:val="en-US" w:eastAsia="zh-CN"/>
        </w:rPr>
        <w:t>2</w:t>
      </w:r>
      <w:r>
        <w:rPr>
          <w:rFonts w:hint="eastAsia" w:ascii="仿宋_GB2312" w:hAnsi="仿宋_GB2312" w:eastAsia="仿宋_GB2312" w:cs="仿宋_GB2312"/>
          <w:color w:val="auto"/>
          <w:spacing w:val="0"/>
          <w:szCs w:val="32"/>
        </w:rPr>
        <w:t>类区标准要求</w:t>
      </w:r>
      <w:r>
        <w:rPr>
          <w:rFonts w:hint="eastAsia" w:ascii="仿宋_GB2312" w:hAnsi="仿宋_GB2312" w:eastAsia="仿宋_GB2312" w:cs="仿宋_GB2312"/>
          <w:color w:val="auto"/>
          <w:spacing w:val="4"/>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auto"/>
          <w:kern w:val="0"/>
          <w:szCs w:val="32"/>
        </w:rPr>
        <w:t>生活垃圾收集后交给地方环卫部门处理；</w:t>
      </w:r>
      <w:r>
        <w:rPr>
          <w:rFonts w:hint="eastAsia" w:ascii="仿宋_GB2312" w:hAnsi="仿宋_GB2312" w:eastAsia="仿宋_GB2312" w:cs="仿宋_GB2312"/>
          <w:color w:val="000000"/>
          <w:spacing w:val="0"/>
          <w:szCs w:val="32"/>
          <w:lang w:eastAsia="zh-CN"/>
        </w:rPr>
        <w:t>废弃围网、饲料包装袋</w:t>
      </w:r>
      <w:r>
        <w:rPr>
          <w:rFonts w:hint="eastAsia" w:ascii="仿宋_GB2312" w:hAnsi="仿宋_GB2312" w:eastAsia="仿宋_GB2312" w:cs="仿宋_GB2312"/>
          <w:color w:val="000000"/>
          <w:spacing w:val="4"/>
          <w:szCs w:val="32"/>
          <w:lang w:eastAsia="zh-CN"/>
        </w:rPr>
        <w:t>等</w:t>
      </w:r>
      <w:r>
        <w:rPr>
          <w:rFonts w:hint="eastAsia" w:ascii="仿宋_GB2312" w:hAnsi="仿宋_GB2312" w:eastAsia="仿宋_GB2312" w:cs="仿宋_GB2312"/>
          <w:color w:val="auto"/>
          <w:szCs w:val="32"/>
        </w:rPr>
        <w:t>为一般工业固废，</w:t>
      </w:r>
      <w:r>
        <w:rPr>
          <w:rFonts w:hint="eastAsia" w:ascii="仿宋_GB2312" w:hAnsi="仿宋_GB2312" w:eastAsia="仿宋_GB2312" w:cs="仿宋_GB2312"/>
          <w:color w:val="auto"/>
          <w:spacing w:val="0"/>
          <w:sz w:val="32"/>
          <w:szCs w:val="32"/>
          <w:lang w:val="en-US" w:eastAsia="zh-CN"/>
        </w:rPr>
        <w:t>经分类收集贮存后外售或综合利用</w:t>
      </w:r>
      <w:r>
        <w:rPr>
          <w:rFonts w:hint="eastAsia" w:ascii="仿宋_GB2312" w:hAnsi="仿宋_GB2312" w:eastAsia="仿宋_GB2312" w:cs="仿宋_GB2312"/>
          <w:color w:val="auto"/>
          <w:szCs w:val="32"/>
        </w:rPr>
        <w:t>；病死</w:t>
      </w:r>
      <w:r>
        <w:rPr>
          <w:rFonts w:hint="eastAsia" w:ascii="仿宋_GB2312" w:hAnsi="仿宋_GB2312" w:eastAsia="仿宋_GB2312" w:cs="仿宋_GB2312"/>
          <w:color w:val="auto"/>
          <w:szCs w:val="32"/>
          <w:lang w:eastAsia="zh-CN"/>
        </w:rPr>
        <w:t>蛙</w:t>
      </w:r>
      <w:r>
        <w:rPr>
          <w:rFonts w:hint="eastAsia" w:ascii="仿宋_GB2312" w:hAnsi="仿宋_GB2312" w:eastAsia="仿宋_GB2312" w:cs="仿宋_GB2312"/>
          <w:color w:val="auto"/>
          <w:szCs w:val="32"/>
        </w:rPr>
        <w:t>、医疗废物分别外委有处置资质单位处理</w:t>
      </w:r>
      <w:r>
        <w:rPr>
          <w:rFonts w:hint="eastAsia" w:ascii="仿宋_GB2312" w:hAnsi="仿宋_GB2312" w:eastAsia="仿宋_GB2312" w:cs="仿宋_GB2312"/>
          <w:color w:val="auto"/>
          <w:kern w:val="0"/>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0"/>
          <w:szCs w:val="32"/>
          <w:lang w:val="en-US" w:eastAsia="zh-CN"/>
        </w:rPr>
      </w:pPr>
      <w:r>
        <w:rPr>
          <w:rFonts w:hint="eastAsia" w:ascii="仿宋_GB2312" w:hAnsi="仿宋_GB2312" w:eastAsia="仿宋_GB2312" w:cs="仿宋_GB2312"/>
          <w:color w:val="auto"/>
          <w:szCs w:val="32"/>
        </w:rPr>
        <w:t>加强环境风险防范。加强环保和风险防范设施的运行管理，明确责任人，确保环保设施稳定正常运行和污染物的稳定达标排放，制定环境风险事故应急预案，落实事故应急防范措施</w:t>
      </w:r>
      <w:r>
        <w:rPr>
          <w:rFonts w:hint="eastAsia" w:ascii="仿宋_GB2312" w:hAnsi="仿宋_GB2312" w:eastAsia="仿宋_GB2312" w:cs="仿宋_GB2312"/>
          <w:color w:val="auto"/>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仿宋_GB2312" w:hAnsi="仿宋_GB2312" w:eastAsia="仿宋_GB2312" w:cs="仿宋_GB2312"/>
          <w:spacing w:val="0"/>
          <w:sz w:val="32"/>
          <w:szCs w:val="32"/>
        </w:rPr>
        <w:t>按照排污许可要求申报排污许可证，并落实许可证及报告</w:t>
      </w:r>
      <w:r>
        <w:rPr>
          <w:rFonts w:hint="eastAsia" w:ascii="仿宋_GB2312" w:hAnsi="仿宋_GB2312" w:eastAsia="仿宋_GB2312" w:cs="仿宋_GB2312"/>
          <w:spacing w:val="0"/>
          <w:sz w:val="32"/>
          <w:szCs w:val="32"/>
          <w:lang w:eastAsia="zh-CN"/>
        </w:rPr>
        <w:t>表</w:t>
      </w:r>
      <w:r>
        <w:rPr>
          <w:rFonts w:hint="eastAsia" w:ascii="仿宋_GB2312" w:hAnsi="仿宋_GB2312" w:eastAsia="仿宋_GB2312" w:cs="仿宋_GB2312"/>
          <w:spacing w:val="0"/>
          <w:sz w:val="32"/>
          <w:szCs w:val="32"/>
        </w:rPr>
        <w:t>中提出的环境管理和监测计划。</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pacing w:val="0"/>
          <w:szCs w:val="32"/>
          <w:lang w:eastAsia="zh-CN"/>
        </w:rPr>
        <w:t>《报告表》经批准后，若建设项目的性质、规模、地点、采用的生产工艺或者防治污染、防治生态破坏的措施等发生重大变动，你单位应当重新报批建设项目的环境影响评价文件。自《报告表》批准之日起，如工程超过5年未开工建设，须报我局重新审核。</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4"/>
          <w:szCs w:val="32"/>
        </w:rPr>
        <w:t>三、</w:t>
      </w:r>
      <w:r>
        <w:rPr>
          <w:rFonts w:hint="eastAsia" w:ascii="仿宋_GB2312" w:hAnsi="仿宋_GB2312" w:eastAsia="仿宋_GB2312" w:cs="仿宋_GB2312"/>
          <w:color w:val="auto"/>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auto"/>
          <w:spacing w:val="4"/>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益阳市生态环境局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月</w:t>
      </w:r>
      <w:bookmarkStart w:id="1" w:name="_GoBack"/>
      <w:bookmarkEnd w:id="1"/>
      <w:r>
        <w:rPr>
          <w:rFonts w:hint="eastAsia" w:ascii="仿宋_GB2312" w:hAnsi="仿宋_GB2312" w:eastAsia="仿宋_GB2312" w:cs="仿宋_GB2312"/>
          <w:color w:val="auto"/>
          <w:lang w:val="en-US" w:eastAsia="zh-CN"/>
        </w:rPr>
        <w:t>26</w:t>
      </w:r>
      <w:r>
        <w:rPr>
          <w:rFonts w:hint="eastAsia" w:ascii="仿宋_GB2312" w:hAnsi="仿宋_GB2312" w:eastAsia="仿宋_GB2312" w:cs="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3175"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1"/>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OyXFn7AQAABAQAAA4AAABkcnMvZTJvRG9jLnhtbK1TwW7bMAy9D9g/&#10;CLovtrO22Iw4Rdcgw4BuHdD2AxRZjoVZokApsbOvHyXbWddeetjFoEXq8b1HanU9mI4dFXoNtuLF&#10;IudMWQm1tvuKPz1uP3zizAdha9GBVRU/Kc+v1+/frXpXqiW00NUKGYFYX/au4m0IrswyL1tlhF+A&#10;U5aSDaARgX5xn9UoekI3XbbM86u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jslxZ+wEAAAQEAAAOAAAAAAAAAAEAIAAAAB8BAABkcnMvZTJvRG9jLnhtbFBL&#10;BQYAAAAABgAGAFkBAACMBQAAAAA=&#10;">
              <v:fill on="f" focussize="0,0"/>
              <v:stroke on="f"/>
              <v:imagedata o:title=""/>
              <o:lock v:ext="edit" aspectratio="f"/>
              <v:textbox inset="0mm,0mm,0mm,0mm" style="mso-fit-shape-to-text:t;">
                <w:txbxContent>
                  <w:p>
                    <w:pPr>
                      <w:pStyle w:val="11"/>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7"/>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12E400C"/>
    <w:multiLevelType w:val="singleLevel"/>
    <w:tmpl w:val="712E400C"/>
    <w:lvl w:ilvl="0" w:tentative="0">
      <w:start w:val="1"/>
      <w:numFmt w:val="chineseCounting"/>
      <w:suff w:val="nothing"/>
      <w:lvlText w:val="（%1）"/>
      <w:lvlJc w:val="left"/>
      <w:rPr>
        <w:rFonts w:hint="eastAsia"/>
      </w:rPr>
    </w:lvl>
  </w:abstractNum>
  <w:abstractNum w:abstractNumId="2">
    <w:nsid w:val="7282C6C8"/>
    <w:multiLevelType w:val="singleLevel"/>
    <w:tmpl w:val="7282C6C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453C2"/>
    <w:rsid w:val="00453453"/>
    <w:rsid w:val="0045359D"/>
    <w:rsid w:val="0045451A"/>
    <w:rsid w:val="00455A6D"/>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61A3"/>
    <w:rsid w:val="006E2BE8"/>
    <w:rsid w:val="006E75E6"/>
    <w:rsid w:val="006F04FD"/>
    <w:rsid w:val="006F6BDD"/>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9C2F00"/>
    <w:rsid w:val="01A565AC"/>
    <w:rsid w:val="01D03FEC"/>
    <w:rsid w:val="01ED35F8"/>
    <w:rsid w:val="02186671"/>
    <w:rsid w:val="021E513A"/>
    <w:rsid w:val="02270E21"/>
    <w:rsid w:val="02E5367F"/>
    <w:rsid w:val="033476DA"/>
    <w:rsid w:val="0352741E"/>
    <w:rsid w:val="037538F9"/>
    <w:rsid w:val="04661F91"/>
    <w:rsid w:val="04ED6839"/>
    <w:rsid w:val="054E2C56"/>
    <w:rsid w:val="06191A07"/>
    <w:rsid w:val="064444CA"/>
    <w:rsid w:val="06FC0490"/>
    <w:rsid w:val="070865B3"/>
    <w:rsid w:val="07856BF6"/>
    <w:rsid w:val="07D00580"/>
    <w:rsid w:val="0832755E"/>
    <w:rsid w:val="09E070C5"/>
    <w:rsid w:val="09FA59E7"/>
    <w:rsid w:val="0A615708"/>
    <w:rsid w:val="0BF719CD"/>
    <w:rsid w:val="0C044FF8"/>
    <w:rsid w:val="0C562ECC"/>
    <w:rsid w:val="0F485B65"/>
    <w:rsid w:val="0F86206E"/>
    <w:rsid w:val="0FF07FC3"/>
    <w:rsid w:val="109A3ADF"/>
    <w:rsid w:val="11A27091"/>
    <w:rsid w:val="13172B23"/>
    <w:rsid w:val="133F4A74"/>
    <w:rsid w:val="13933DAB"/>
    <w:rsid w:val="13DA1C5D"/>
    <w:rsid w:val="13E31472"/>
    <w:rsid w:val="140D6837"/>
    <w:rsid w:val="14360E9D"/>
    <w:rsid w:val="14C25215"/>
    <w:rsid w:val="1561736B"/>
    <w:rsid w:val="15656773"/>
    <w:rsid w:val="15DD3D24"/>
    <w:rsid w:val="15ED06ED"/>
    <w:rsid w:val="15EE74A5"/>
    <w:rsid w:val="167429F4"/>
    <w:rsid w:val="16E81710"/>
    <w:rsid w:val="170702B5"/>
    <w:rsid w:val="17226248"/>
    <w:rsid w:val="181E5164"/>
    <w:rsid w:val="184060C2"/>
    <w:rsid w:val="18A358A6"/>
    <w:rsid w:val="18B8732A"/>
    <w:rsid w:val="1A1F4F6D"/>
    <w:rsid w:val="1B5E446E"/>
    <w:rsid w:val="1BBD0A7B"/>
    <w:rsid w:val="1BC96ED0"/>
    <w:rsid w:val="1BE96FC3"/>
    <w:rsid w:val="1CE020E0"/>
    <w:rsid w:val="1D941A55"/>
    <w:rsid w:val="1DDE1448"/>
    <w:rsid w:val="1E5848E4"/>
    <w:rsid w:val="1F1B5E7B"/>
    <w:rsid w:val="1F6054C4"/>
    <w:rsid w:val="1FFC5DB1"/>
    <w:rsid w:val="20095B14"/>
    <w:rsid w:val="20862E06"/>
    <w:rsid w:val="20CF2CDA"/>
    <w:rsid w:val="21D36F37"/>
    <w:rsid w:val="22365D4B"/>
    <w:rsid w:val="231E1A29"/>
    <w:rsid w:val="240C2621"/>
    <w:rsid w:val="24FF6394"/>
    <w:rsid w:val="25585A3B"/>
    <w:rsid w:val="26423EFF"/>
    <w:rsid w:val="269F0B54"/>
    <w:rsid w:val="26C7259C"/>
    <w:rsid w:val="27611254"/>
    <w:rsid w:val="27BA1B7C"/>
    <w:rsid w:val="280C170F"/>
    <w:rsid w:val="28901F03"/>
    <w:rsid w:val="2897367F"/>
    <w:rsid w:val="292C5AD7"/>
    <w:rsid w:val="29C73B2E"/>
    <w:rsid w:val="2B3F4AD1"/>
    <w:rsid w:val="2B501260"/>
    <w:rsid w:val="2C014183"/>
    <w:rsid w:val="2C1771B5"/>
    <w:rsid w:val="2C36248E"/>
    <w:rsid w:val="2C9F6C26"/>
    <w:rsid w:val="2CA2445C"/>
    <w:rsid w:val="2CC915D2"/>
    <w:rsid w:val="2F852E4A"/>
    <w:rsid w:val="2FBE547D"/>
    <w:rsid w:val="302837E4"/>
    <w:rsid w:val="31B911ED"/>
    <w:rsid w:val="32782469"/>
    <w:rsid w:val="3470545F"/>
    <w:rsid w:val="34711A93"/>
    <w:rsid w:val="359C2591"/>
    <w:rsid w:val="36CF6C88"/>
    <w:rsid w:val="36E44291"/>
    <w:rsid w:val="38A869F5"/>
    <w:rsid w:val="38F66195"/>
    <w:rsid w:val="3A582307"/>
    <w:rsid w:val="3A7142CE"/>
    <w:rsid w:val="3A94225F"/>
    <w:rsid w:val="3A9B153F"/>
    <w:rsid w:val="3BDD0A76"/>
    <w:rsid w:val="3D147B7B"/>
    <w:rsid w:val="3D3A0EC9"/>
    <w:rsid w:val="3DD36518"/>
    <w:rsid w:val="3E237685"/>
    <w:rsid w:val="3F4E171F"/>
    <w:rsid w:val="3F785A55"/>
    <w:rsid w:val="3F8675DD"/>
    <w:rsid w:val="3F8E6E0D"/>
    <w:rsid w:val="3F92279E"/>
    <w:rsid w:val="3FC408E9"/>
    <w:rsid w:val="3FE2629D"/>
    <w:rsid w:val="401F72E2"/>
    <w:rsid w:val="403D1582"/>
    <w:rsid w:val="40A63C09"/>
    <w:rsid w:val="4251674D"/>
    <w:rsid w:val="425E62F8"/>
    <w:rsid w:val="43FE4F8A"/>
    <w:rsid w:val="44F32B4D"/>
    <w:rsid w:val="45134199"/>
    <w:rsid w:val="45E80663"/>
    <w:rsid w:val="461E2176"/>
    <w:rsid w:val="46421B84"/>
    <w:rsid w:val="484F7B35"/>
    <w:rsid w:val="48E332F8"/>
    <w:rsid w:val="49324F8D"/>
    <w:rsid w:val="49386227"/>
    <w:rsid w:val="493E2AE8"/>
    <w:rsid w:val="49862A6E"/>
    <w:rsid w:val="4993613B"/>
    <w:rsid w:val="49B07B17"/>
    <w:rsid w:val="4A9B4753"/>
    <w:rsid w:val="4BE51D09"/>
    <w:rsid w:val="4C191424"/>
    <w:rsid w:val="4C846C29"/>
    <w:rsid w:val="4CDE1A57"/>
    <w:rsid w:val="4DC51DCF"/>
    <w:rsid w:val="4DE22D75"/>
    <w:rsid w:val="4E603BA3"/>
    <w:rsid w:val="4F2D4EE3"/>
    <w:rsid w:val="4FA93F8F"/>
    <w:rsid w:val="4FDF580A"/>
    <w:rsid w:val="509031E4"/>
    <w:rsid w:val="50D3572C"/>
    <w:rsid w:val="51DB6FAB"/>
    <w:rsid w:val="520B43E2"/>
    <w:rsid w:val="52886CEA"/>
    <w:rsid w:val="52A10F3A"/>
    <w:rsid w:val="52A96D5D"/>
    <w:rsid w:val="52D7628E"/>
    <w:rsid w:val="53412FF4"/>
    <w:rsid w:val="547A7751"/>
    <w:rsid w:val="54952865"/>
    <w:rsid w:val="56410B56"/>
    <w:rsid w:val="57F110C0"/>
    <w:rsid w:val="5840522C"/>
    <w:rsid w:val="58813B3F"/>
    <w:rsid w:val="58B07615"/>
    <w:rsid w:val="58D87843"/>
    <w:rsid w:val="59150C1C"/>
    <w:rsid w:val="59CF5A6F"/>
    <w:rsid w:val="5ACB6AF7"/>
    <w:rsid w:val="5B2C0540"/>
    <w:rsid w:val="5B4409D3"/>
    <w:rsid w:val="5CB858F3"/>
    <w:rsid w:val="5CDC4F8C"/>
    <w:rsid w:val="5D3E1692"/>
    <w:rsid w:val="5E074C8A"/>
    <w:rsid w:val="5E621FBC"/>
    <w:rsid w:val="5F010883"/>
    <w:rsid w:val="5F395830"/>
    <w:rsid w:val="5FBA4E4C"/>
    <w:rsid w:val="60536B06"/>
    <w:rsid w:val="60EB4166"/>
    <w:rsid w:val="61040EA5"/>
    <w:rsid w:val="616854FA"/>
    <w:rsid w:val="61942B8C"/>
    <w:rsid w:val="646352A4"/>
    <w:rsid w:val="64FB7500"/>
    <w:rsid w:val="650C0974"/>
    <w:rsid w:val="656D5D38"/>
    <w:rsid w:val="65B149C5"/>
    <w:rsid w:val="65CE6F24"/>
    <w:rsid w:val="667F5A30"/>
    <w:rsid w:val="668D2130"/>
    <w:rsid w:val="6709081D"/>
    <w:rsid w:val="697E3B08"/>
    <w:rsid w:val="6A476406"/>
    <w:rsid w:val="6A737633"/>
    <w:rsid w:val="6B2D6919"/>
    <w:rsid w:val="6BB40992"/>
    <w:rsid w:val="6BB53802"/>
    <w:rsid w:val="6C5D37DD"/>
    <w:rsid w:val="6D4A112A"/>
    <w:rsid w:val="6DE200EF"/>
    <w:rsid w:val="6DF731D4"/>
    <w:rsid w:val="6F536A2B"/>
    <w:rsid w:val="6FAB56DD"/>
    <w:rsid w:val="702654E8"/>
    <w:rsid w:val="711235A4"/>
    <w:rsid w:val="711B7A6B"/>
    <w:rsid w:val="71332ADA"/>
    <w:rsid w:val="728A7A39"/>
    <w:rsid w:val="72D17DDC"/>
    <w:rsid w:val="739F7747"/>
    <w:rsid w:val="747B5DC9"/>
    <w:rsid w:val="75346655"/>
    <w:rsid w:val="76184CB6"/>
    <w:rsid w:val="764A6223"/>
    <w:rsid w:val="764C0C79"/>
    <w:rsid w:val="77447370"/>
    <w:rsid w:val="77845204"/>
    <w:rsid w:val="77C82C4F"/>
    <w:rsid w:val="7803071C"/>
    <w:rsid w:val="78714F38"/>
    <w:rsid w:val="79CF2D8A"/>
    <w:rsid w:val="79DA61B1"/>
    <w:rsid w:val="79EF04E3"/>
    <w:rsid w:val="7A20645F"/>
    <w:rsid w:val="7A9A1FB0"/>
    <w:rsid w:val="7B2B0A95"/>
    <w:rsid w:val="7B672A1C"/>
    <w:rsid w:val="7C3B11E5"/>
    <w:rsid w:val="7C535D72"/>
    <w:rsid w:val="7D5B54A4"/>
    <w:rsid w:val="7D955459"/>
    <w:rsid w:val="7DB00C74"/>
    <w:rsid w:val="7E1F2C32"/>
    <w:rsid w:val="7E420F9B"/>
    <w:rsid w:val="7F09516B"/>
    <w:rsid w:val="7F0D5C16"/>
    <w:rsid w:val="7F2F482C"/>
    <w:rsid w:val="7F3C48F5"/>
    <w:rsid w:val="7F574ED1"/>
    <w:rsid w:val="7F581E20"/>
    <w:rsid w:val="7FF61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paragraph" w:styleId="7">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ind w:left="675" w:firstLine="0" w:firstLineChars="0"/>
    </w:pPr>
    <w:rPr>
      <w:rFonts w:ascii="宋体"/>
      <w:bCs w:val="0"/>
      <w:sz w:val="28"/>
      <w:szCs w:val="20"/>
    </w:rPr>
  </w:style>
  <w:style w:type="paragraph" w:styleId="3">
    <w:name w:val="Body Text Indent"/>
    <w:basedOn w:val="1"/>
    <w:next w:val="4"/>
    <w:qFormat/>
    <w:uiPriority w:val="0"/>
    <w:pPr>
      <w:adjustRightInd w:val="0"/>
      <w:spacing w:line="360" w:lineRule="auto"/>
      <w:ind w:firstLine="480" w:firstLineChars="200"/>
    </w:pPr>
    <w:rPr>
      <w:bCs/>
      <w:sz w:val="24"/>
    </w:rPr>
  </w:style>
  <w:style w:type="paragraph" w:customStyle="1" w:styleId="4">
    <w:name w:val="表格编号"/>
    <w:basedOn w:val="1"/>
    <w:next w:val="5"/>
    <w:qFormat/>
    <w:uiPriority w:val="0"/>
    <w:pPr>
      <w:spacing w:line="60" w:lineRule="atLeast"/>
      <w:jc w:val="left"/>
    </w:pPr>
    <w:rPr>
      <w:spacing w:val="10"/>
      <w:kern w:val="0"/>
      <w:szCs w:val="21"/>
    </w:rPr>
  </w:style>
  <w:style w:type="paragraph" w:customStyle="1" w:styleId="5">
    <w:name w:val="表格文字"/>
    <w:basedOn w:val="6"/>
    <w:next w:val="1"/>
    <w:qFormat/>
    <w:uiPriority w:val="0"/>
    <w:pPr>
      <w:jc w:val="center"/>
    </w:pPr>
  </w:style>
  <w:style w:type="paragraph" w:styleId="6">
    <w:name w:val="Normal Indent"/>
    <w:basedOn w:val="1"/>
    <w:qFormat/>
    <w:uiPriority w:val="0"/>
    <w:pPr>
      <w:adjustRightInd w:val="0"/>
      <w:snapToGrid w:val="0"/>
      <w:spacing w:line="300" w:lineRule="auto"/>
      <w:ind w:firstLine="200" w:firstLineChars="200"/>
    </w:pPr>
    <w:rPr>
      <w:rFonts w:ascii="仿宋_GB2312" w:eastAsia="仿宋_GB2312"/>
      <w:sz w:val="28"/>
    </w:rPr>
  </w:style>
  <w:style w:type="paragraph" w:styleId="8">
    <w:name w:val="Document Map"/>
    <w:basedOn w:val="1"/>
    <w:link w:val="19"/>
    <w:semiHidden/>
    <w:unhideWhenUsed/>
    <w:qFormat/>
    <w:uiPriority w:val="99"/>
    <w:rPr>
      <w:rFonts w:ascii="宋体" w:eastAsia="宋体"/>
      <w:sz w:val="18"/>
      <w:szCs w:val="18"/>
    </w:rPr>
  </w:style>
  <w:style w:type="paragraph" w:styleId="9">
    <w:name w:val="annotation text"/>
    <w:basedOn w:val="1"/>
    <w:link w:val="21"/>
    <w:unhideWhenUsed/>
    <w:qFormat/>
    <w:uiPriority w:val="0"/>
    <w:pPr>
      <w:jc w:val="left"/>
    </w:pPr>
  </w:style>
  <w:style w:type="paragraph" w:styleId="10">
    <w:name w:val="Balloon Text"/>
    <w:basedOn w:val="1"/>
    <w:link w:val="20"/>
    <w:semiHidden/>
    <w:unhideWhenUsed/>
    <w:qFormat/>
    <w:uiPriority w:val="99"/>
    <w:rPr>
      <w:sz w:val="18"/>
      <w:szCs w:val="18"/>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9"/>
    <w:next w:val="9"/>
    <w:link w:val="22"/>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2"/>
    <w:semiHidden/>
    <w:qFormat/>
    <w:uiPriority w:val="99"/>
    <w:rPr>
      <w:rFonts w:ascii="Times New Roman" w:hAnsi="Times New Roman" w:eastAsia="华文仿宋" w:cs="Times New Roman"/>
      <w:sz w:val="18"/>
      <w:szCs w:val="18"/>
    </w:rPr>
  </w:style>
  <w:style w:type="character" w:customStyle="1" w:styleId="18">
    <w:name w:val="页脚 字符"/>
    <w:basedOn w:val="15"/>
    <w:link w:val="11"/>
    <w:semiHidden/>
    <w:qFormat/>
    <w:uiPriority w:val="99"/>
    <w:rPr>
      <w:rFonts w:ascii="Times New Roman" w:hAnsi="Times New Roman" w:eastAsia="华文仿宋" w:cs="Times New Roman"/>
      <w:sz w:val="18"/>
      <w:szCs w:val="18"/>
    </w:rPr>
  </w:style>
  <w:style w:type="character" w:customStyle="1" w:styleId="19">
    <w:name w:val="文档结构图 字符"/>
    <w:basedOn w:val="15"/>
    <w:link w:val="8"/>
    <w:semiHidden/>
    <w:qFormat/>
    <w:uiPriority w:val="99"/>
    <w:rPr>
      <w:rFonts w:ascii="宋体" w:hAnsi="Times New Roman" w:eastAsia="宋体" w:cs="Times New Roman"/>
      <w:sz w:val="18"/>
      <w:szCs w:val="18"/>
    </w:rPr>
  </w:style>
  <w:style w:type="character" w:customStyle="1" w:styleId="20">
    <w:name w:val="批注框文本 字符"/>
    <w:basedOn w:val="15"/>
    <w:link w:val="10"/>
    <w:semiHidden/>
    <w:qFormat/>
    <w:uiPriority w:val="99"/>
    <w:rPr>
      <w:rFonts w:ascii="Times New Roman" w:hAnsi="Times New Roman" w:eastAsia="华文仿宋" w:cs="Times New Roman"/>
      <w:sz w:val="18"/>
      <w:szCs w:val="18"/>
    </w:rPr>
  </w:style>
  <w:style w:type="character" w:customStyle="1" w:styleId="21">
    <w:name w:val="批注文字 字符"/>
    <w:basedOn w:val="15"/>
    <w:link w:val="9"/>
    <w:qFormat/>
    <w:uiPriority w:val="0"/>
    <w:rPr>
      <w:rFonts w:ascii="Times New Roman" w:hAnsi="Times New Roman" w:eastAsia="华文仿宋" w:cs="Times New Roman"/>
      <w:sz w:val="32"/>
      <w:szCs w:val="24"/>
    </w:rPr>
  </w:style>
  <w:style w:type="character" w:customStyle="1" w:styleId="22">
    <w:name w:val="批注主题 字符"/>
    <w:basedOn w:val="21"/>
    <w:link w:val="13"/>
    <w:semiHidden/>
    <w:qFormat/>
    <w:uiPriority w:val="99"/>
    <w:rPr>
      <w:rFonts w:ascii="Times New Roman" w:hAnsi="Times New Roman" w:eastAsia="华文仿宋" w:cs="Times New Roman"/>
      <w:b/>
      <w:bCs/>
      <w:sz w:val="32"/>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1197</Characters>
  <Lines>9</Lines>
  <Paragraphs>2</Paragraphs>
  <TotalTime>19</TotalTime>
  <ScaleCrop>false</ScaleCrop>
  <LinksUpToDate>false</LinksUpToDate>
  <CharactersWithSpaces>1404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2020-08-03T02:27:00Z</dcterms:created>
  <dc:creator>AutoBVT</dc:creator>
  <cp:lastModifiedBy>Administrator</cp:lastModifiedBy>
  <cp:lastPrinted>2020-11-06T03:40:00Z</cp:lastPrinted>
  <dcterms:modified xsi:type="dcterms:W3CDTF">2021-02-04T07:51:47Z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