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color w:val="000000"/>
          <w:sz w:val="24"/>
          <w14:textFill>
            <w14:solidFill>
              <w14:srgbClr w14:val="000000"/>
            </w14:solidFill>
          </w14:textFill>
        </w:rPr>
      </w:pPr>
    </w:p>
    <w:p>
      <w:pPr>
        <w:tabs>
          <w:tab w:val="left" w:pos="6240"/>
        </w:tabs>
        <w:spacing w:line="560" w:lineRule="exact"/>
        <w:jc w:val="right"/>
        <w:rPr>
          <w:rFonts w:ascii="仿宋_GB2312" w:eastAsia="仿宋_GB2312"/>
          <w:color w:val="FF0000"/>
          <w:szCs w:val="32"/>
        </w:rPr>
      </w:pPr>
      <w:r>
        <w:rPr>
          <w:rFonts w:ascii="仿宋_GB2312" w:eastAsia="仿宋_GB2312" w:hint="eastAsia"/>
          <w:color w:val="FF0000"/>
          <w:sz w:val="28"/>
          <w:szCs w:val="28"/>
        </w:rPr>
        <w:t>益环赫审（表）[2020]</w:t>
      </w:r>
      <w:r>
        <w:rPr>
          <w:rFonts w:ascii="仿宋_GB2312" w:eastAsia="仿宋_GB2312" w:hint="eastAsia"/>
          <w:color w:val="FF0000"/>
          <w:sz w:val="28"/>
          <w:szCs w:val="28"/>
          <w:lang w:val="en-US" w:eastAsia="zh-CN"/>
        </w:rPr>
        <w:t>7</w:t>
      </w:r>
      <w:r>
        <w:rPr>
          <w:rFonts w:ascii="仿宋_GB2312" w:eastAsia="仿宋_GB2312"/>
          <w:color w:val="FF0000"/>
          <w:sz w:val="28"/>
          <w:szCs w:val="28"/>
          <w:lang w:val="en-US" w:eastAsia="zh-CN"/>
        </w:rPr>
        <w:t>8</w:t>
      </w:r>
      <w:bookmarkStart w:id="0" w:name="_GoBack"/>
      <w:bookmarkEnd w:id="0"/>
      <w:r>
        <w:rPr>
          <w:rFonts w:ascii="仿宋_GB2312" w:eastAsia="仿宋_GB2312" w:hint="eastAsia"/>
          <w:color w:val="FF0000"/>
          <w:sz w:val="28"/>
          <w:szCs w:val="28"/>
        </w:rPr>
        <w:t>号</w:t>
      </w:r>
    </w:p>
    <w:p>
      <w:pPr>
        <w:spacing w:line="640" w:lineRule="exact"/>
        <w:jc w:val="center"/>
        <w:rPr>
          <w:rFonts w:ascii="方正小标宋简体" w:eastAsia="方正小标宋简体" w:cs="方正小标宋简体"/>
          <w:sz w:val="44"/>
          <w:szCs w:val="44"/>
        </w:rPr>
      </w:pPr>
      <w:r>
        <w:rPr>
          <w:rFonts w:ascii="方正小标宋简体" w:eastAsia="方正小标宋简体" w:cs="方正小标宋简体" w:hint="eastAsia"/>
          <w:sz w:val="44"/>
          <w:szCs w:val="44"/>
        </w:rPr>
        <w:t>关于</w:t>
      </w:r>
      <w:bookmarkStart w:id="1" w:name="_Hlk41641100"/>
      <w:r>
        <w:rPr>
          <w:rFonts w:ascii="方正小标宋简体" w:eastAsia="方正小标宋简体" w:cs="方正小标宋简体" w:hint="eastAsia"/>
          <w:sz w:val="44"/>
          <w:szCs w:val="44"/>
        </w:rPr>
        <w:t>《益阳市金马二手车交易市场有限公司汽车内饰加工生产线建设项目环境影响报告表》</w:t>
      </w:r>
      <w:bookmarkEnd w:id="1"/>
      <w:r>
        <w:rPr>
          <w:rFonts w:ascii="方正小标宋简体" w:eastAsia="方正小标宋简体" w:cs="方正小标宋简体" w:hint="eastAsia"/>
          <w:sz w:val="44"/>
          <w:szCs w:val="44"/>
        </w:rPr>
        <w:t>的批复</w:t>
      </w:r>
    </w:p>
    <w:p>
      <w:pPr>
        <w:spacing w:line="560" w:lineRule="exact"/>
        <w:rPr>
          <w:rFonts w:ascii="仿宋_GB2312" w:eastAsia="仿宋_GB2312" w:cs="仿宋_GB231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仿宋_GB2312"/>
          <w:szCs w:val="32"/>
        </w:rPr>
      </w:pPr>
      <w:r>
        <w:rPr>
          <w:rFonts w:ascii="仿宋_GB2312" w:eastAsia="仿宋_GB2312" w:cs="仿宋_GB2312" w:hint="eastAsia"/>
          <w:szCs w:val="32"/>
        </w:rPr>
        <w:t>益阳市金马二手车交易市场有限公司：</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outlineLvl w:val="9"/>
        <w:rPr>
          <w:rFonts w:ascii="仿宋_GB2312" w:eastAsia="仿宋_GB2312" w:cs="仿宋_GB2312"/>
          <w:szCs w:val="32"/>
        </w:rPr>
      </w:pPr>
      <w:r>
        <w:rPr>
          <w:rFonts w:ascii="仿宋_GB2312" w:eastAsia="仿宋_GB2312" w:cs="仿宋_GB2312" w:hint="eastAsia"/>
          <w:szCs w:val="32"/>
        </w:rPr>
        <w:t>你单位呈报的《益阳市金马二手车交易市场有限公司汽车内饰加工生产线建设项目环境影响报告表》（以下简称《报告表》）及相关附件收悉。经研究，批复如下：</w:t>
      </w:r>
    </w:p>
    <w:p>
      <w:pPr>
        <w:numPr>
          <w:ilvl w:val="0"/>
          <w:numId w:val="1"/>
        </w:numPr>
        <w:spacing w:line="560" w:lineRule="exact"/>
        <w:ind w:left="0" w:firstLineChars="200" w:firstLine="640"/>
        <w:rPr>
          <w:rFonts w:ascii="仿宋_GB2312" w:eastAsia="仿宋_GB2312" w:cs="仿宋_GB2312" w:hint="eastAsia"/>
          <w:szCs w:val="32"/>
        </w:rPr>
      </w:pPr>
      <w:r>
        <w:rPr>
          <w:rFonts w:ascii="仿宋_GB2312" w:eastAsia="仿宋_GB2312" w:cs="仿宋_GB2312" w:hint="eastAsia"/>
          <w:szCs w:val="32"/>
        </w:rPr>
        <w:t>益阳市金马二手车交易市场有限公司汽车内饰加工生产线建设项目</w:t>
      </w:r>
      <w:r>
        <w:rPr>
          <w:rFonts w:ascii="仿宋_GB2312" w:eastAsia="仿宋_GB2312" w:cs="仿宋_GB2312"/>
          <w:szCs w:val="32"/>
        </w:rPr>
        <w:t>位于</w:t>
      </w:r>
      <w:r>
        <w:rPr>
          <w:rFonts w:ascii="仿宋_GB2312" w:eastAsia="仿宋_GB2312" w:cs="仿宋_GB2312" w:hint="eastAsia"/>
          <w:szCs w:val="32"/>
        </w:rPr>
        <w:t>益阳市龙岭工业园学府路以南、龙山路以西。项目总投资1</w:t>
      </w:r>
      <w:r>
        <w:rPr>
          <w:rFonts w:ascii="仿宋_GB2312" w:eastAsia="仿宋_GB2312" w:cs="仿宋_GB2312"/>
          <w:szCs w:val="32"/>
        </w:rPr>
        <w:t>800</w:t>
      </w:r>
      <w:r>
        <w:rPr>
          <w:rFonts w:ascii="仿宋_GB2312" w:eastAsia="仿宋_GB2312" w:cs="仿宋_GB2312" w:hint="eastAsia"/>
          <w:szCs w:val="32"/>
        </w:rPr>
        <w:t>万元，总占地面积为4</w:t>
      </w:r>
      <w:r>
        <w:rPr>
          <w:rFonts w:ascii="仿宋_GB2312" w:eastAsia="仿宋_GB2312" w:cs="仿宋_GB2312"/>
          <w:szCs w:val="32"/>
        </w:rPr>
        <w:t>716.8</w:t>
      </w:r>
      <w:r>
        <w:rPr>
          <w:rFonts w:ascii="仿宋_GB2312" w:eastAsia="仿宋_GB2312" w:cs="仿宋_GB2312" w:hint="eastAsia"/>
          <w:szCs w:val="32"/>
        </w:rPr>
        <w:t>平米，主要建筑内容为两栋标准化车间厂房。项目主要以汽车内饰加工生产活动为主，</w:t>
      </w:r>
      <w:r>
        <w:rPr>
          <w:rFonts w:ascii="仿宋_GB2312" w:eastAsia="仿宋_GB2312" w:cs="仿宋_GB2312" w:hint="eastAsia"/>
          <w:szCs w:val="32"/>
          <w:lang w:val="en-US" w:eastAsia="zh-CN"/>
        </w:rPr>
        <w:t>项目建成后，</w:t>
      </w:r>
      <w:r>
        <w:rPr>
          <w:rFonts w:ascii="仿宋_GB2312" w:eastAsia="仿宋_GB2312" w:cs="仿宋_GB2312" w:hint="eastAsia"/>
          <w:szCs w:val="32"/>
        </w:rPr>
        <w:t>预计年进行皮革制品汽车内饰加工约1</w:t>
      </w:r>
      <w:r>
        <w:rPr>
          <w:rFonts w:ascii="仿宋_GB2312" w:eastAsia="仿宋_GB2312" w:cs="仿宋_GB2312"/>
          <w:szCs w:val="32"/>
        </w:rPr>
        <w:t>0</w:t>
      </w:r>
      <w:r>
        <w:rPr>
          <w:rFonts w:ascii="仿宋_GB2312" w:eastAsia="仿宋_GB2312" w:cs="仿宋_GB2312" w:hint="eastAsia"/>
          <w:szCs w:val="32"/>
        </w:rPr>
        <w:t>万平米、木质制品汽车内饰加工约</w:t>
      </w:r>
      <w:r>
        <w:rPr>
          <w:rFonts w:ascii="仿宋_GB2312" w:eastAsia="仿宋_GB2312" w:cs="仿宋_GB2312"/>
          <w:szCs w:val="32"/>
        </w:rPr>
        <w:t>0.5</w:t>
      </w:r>
      <w:r>
        <w:rPr>
          <w:rFonts w:ascii="仿宋_GB2312" w:eastAsia="仿宋_GB2312" w:cs="仿宋_GB2312" w:hint="eastAsia"/>
          <w:szCs w:val="32"/>
        </w:rPr>
        <w:t>万平米。</w:t>
      </w:r>
    </w:p>
    <w:p>
      <w:pPr>
        <w:numPr>
          <w:ilvl w:val="0"/>
          <w:numId w:val="1"/>
        </w:numPr>
        <w:spacing w:line="560" w:lineRule="exact"/>
        <w:ind w:left="0" w:firstLineChars="200" w:firstLine="640"/>
        <w:rPr>
          <w:rFonts w:ascii="仿宋_GB2312" w:eastAsia="仿宋_GB2312" w:cs="仿宋_GB2312"/>
          <w:szCs w:val="32"/>
        </w:rPr>
      </w:pPr>
      <w:r>
        <w:rPr>
          <w:rFonts w:ascii="仿宋_GB2312" w:eastAsia="仿宋_GB2312" w:cs="仿宋_GB2312" w:hint="eastAsia"/>
          <w:szCs w:val="32"/>
        </w:rPr>
        <w:t>项目符合国家产业政策，选址可行。原则上同意《报告表》的基本内容、所作结论和建议以及专家组评审意见。在建设单位认真落实环评报告表提出的污染防治和生态保护措施，确保外排污染物稳定达标的前提下，从环保的角度分析，我局同意项目按报告表所列的建设方案、规模、工艺、环保措施等的建设。</w:t>
      </w:r>
    </w:p>
    <w:p>
      <w:pPr>
        <w:spacing w:line="560" w:lineRule="exact"/>
        <w:ind w:firstLineChars="200" w:firstLine="640"/>
        <w:rPr>
          <w:rFonts w:ascii="仿宋_GB2312" w:eastAsia="仿宋_GB2312" w:cs="仿宋_GB2312"/>
          <w:szCs w:val="32"/>
        </w:rPr>
      </w:pPr>
      <w:r>
        <w:rPr>
          <w:rFonts w:ascii="仿宋_GB2312" w:eastAsia="仿宋_GB2312" w:cs="仿宋_GB2312" w:hint="eastAsia"/>
          <w:szCs w:val="32"/>
          <w:lang w:val="en-US" w:eastAsia="zh-CN"/>
        </w:rPr>
        <w:t>三</w:t>
      </w:r>
      <w:r>
        <w:rPr>
          <w:rFonts w:ascii="仿宋_GB2312" w:eastAsia="仿宋_GB2312" w:cs="仿宋_GB2312" w:hint="eastAsia"/>
          <w:szCs w:val="32"/>
        </w:rPr>
        <w:t>、建设单位在工程设计、建设和运营过程中，必须全面落实《报告表》提出的各项污染防治和风险防范措施，并着重做好如下工作：</w:t>
      </w:r>
    </w:p>
    <w:p>
      <w:pPr>
        <w:spacing w:line="560" w:lineRule="exact"/>
        <w:ind w:firstLineChars="200" w:firstLine="640"/>
        <w:rPr>
          <w:rFonts w:ascii="仿宋_GB2312" w:eastAsia="仿宋_GB2312" w:cs="仿宋_GB2312"/>
          <w:szCs w:val="32"/>
        </w:rPr>
      </w:pPr>
      <w:r>
        <w:rPr>
          <w:rFonts w:ascii="仿宋_GB2312" w:eastAsia="仿宋_GB2312" w:cs="仿宋_GB2312" w:hint="eastAsia"/>
          <w:szCs w:val="32"/>
        </w:rPr>
        <w:t>（一）、加强环境管理，建立环境管理机构，配备专职或兼职环保管理人员，完善环境管理的各项规章制度及应急事故处理措施，定期对“三废”治理设施、应急处理设施进行维护和检查，确保各项污染物达标排放和环境安全。</w:t>
      </w:r>
    </w:p>
    <w:p>
      <w:pPr>
        <w:spacing w:line="560" w:lineRule="exact"/>
        <w:ind w:firstLineChars="200" w:firstLine="640"/>
        <w:rPr>
          <w:rFonts w:ascii="仿宋_GB2312" w:eastAsia="仿宋_GB2312" w:cs="仿宋_GB2312"/>
          <w:szCs w:val="32"/>
        </w:rPr>
      </w:pPr>
      <w:r>
        <w:rPr>
          <w:rFonts w:ascii="仿宋_GB2312" w:eastAsia="仿宋_GB2312" w:cs="仿宋_GB2312" w:hint="eastAsia"/>
          <w:szCs w:val="32"/>
        </w:rPr>
        <w:t>（二）、做好项目大气污染防治工作。焊接烟尘通过配套移动式焊接烟尘处理装置进行收集处理，切割打磨粉尘通过配套移动式布袋除尘装置进行收集处理，减少无组织烟/粉尘排放量，达到《大气污染物综合排放标准》（GB16297-1996）表2中无组织排放监控浓度限值要求；食堂油烟经油烟净化装置处理达到《饮食业油烟排放标准（试行）》（GB18483-2001）要求后高空排放。</w:t>
      </w:r>
    </w:p>
    <w:p>
      <w:pPr>
        <w:spacing w:line="560" w:lineRule="exact"/>
        <w:ind w:firstLineChars="200" w:firstLine="640"/>
        <w:rPr>
          <w:rFonts w:ascii="仿宋_GB2312" w:eastAsia="仿宋_GB2312" w:cs="仿宋_GB2312"/>
          <w:szCs w:val="32"/>
        </w:rPr>
      </w:pPr>
      <w:r>
        <w:rPr>
          <w:rFonts w:ascii="仿宋_GB2312" w:eastAsia="仿宋_GB2312" w:cs="仿宋_GB2312" w:hint="eastAsia"/>
          <w:szCs w:val="32"/>
        </w:rPr>
        <w:t>（三）、做好项目水污染防治工作。厂区排水必须实行雨污分流，认真落实报告表提出的废水处理方案。生活污水通过隔油池、化粪池处理，车辆清洗废水通过隔油沉淀池处理，均达到《污水综合排放标准》（GB8978-1996）表4中三级标准后排入园区的污水管网，最终由益阳市城东污水处理厂进行深度处理</w:t>
      </w:r>
      <w:r>
        <w:rPr>
          <w:rFonts w:ascii="仿宋_GB2312" w:eastAsia="仿宋_GB2312" w:cs="仿宋_GB2312"/>
          <w:szCs w:val="32"/>
        </w:rPr>
        <w:t>。</w:t>
      </w:r>
    </w:p>
    <w:p>
      <w:pPr>
        <w:spacing w:line="560" w:lineRule="exact"/>
        <w:ind w:firstLineChars="200" w:firstLine="640"/>
        <w:rPr>
          <w:rFonts w:ascii="仿宋_GB2312" w:eastAsia="仿宋_GB2312" w:cs="仿宋_GB2312"/>
          <w:szCs w:val="32"/>
        </w:rPr>
      </w:pPr>
      <w:r>
        <w:rPr>
          <w:rFonts w:ascii="仿宋_GB2312" w:eastAsia="仿宋_GB2312" w:cs="仿宋_GB2312" w:hint="eastAsia"/>
          <w:szCs w:val="32"/>
        </w:rPr>
        <w:t>（四）、做好项目噪声污染防治工作。通过优化平面布局，采取减振、隔声，加强设备维护等</w:t>
      </w:r>
      <w:r>
        <w:rPr>
          <w:rFonts w:ascii="仿宋_GB2312" w:eastAsia="仿宋_GB2312" w:cs="仿宋_GB2312" w:hint="eastAsia"/>
          <w:bCs/>
          <w:szCs w:val="32"/>
        </w:rPr>
        <w:t>措施</w:t>
      </w:r>
      <w:r>
        <w:rPr>
          <w:rFonts w:ascii="仿宋_GB2312" w:eastAsia="仿宋_GB2312" w:cs="仿宋_GB2312" w:hint="eastAsia"/>
          <w:szCs w:val="32"/>
        </w:rPr>
        <w:t>，确保项目营运期间厂界东、南、西面噪声达到《工业企业厂界环境噪声排放标准》（GB12348-2008）中3类标准要求，厂界北面噪声达到</w:t>
      </w:r>
      <w:r>
        <w:rPr>
          <w:rFonts w:ascii="仿宋_GB2312" w:eastAsia="仿宋_GB2312" w:cs="仿宋_GB2312"/>
          <w:szCs w:val="32"/>
        </w:rPr>
        <w:t>4</w:t>
      </w:r>
      <w:r>
        <w:rPr>
          <w:rFonts w:ascii="仿宋_GB2312" w:eastAsia="仿宋_GB2312" w:cs="仿宋_GB2312" w:hint="eastAsia"/>
          <w:szCs w:val="32"/>
        </w:rPr>
        <w:t>类标准要求。</w:t>
      </w:r>
    </w:p>
    <w:p>
      <w:pPr>
        <w:spacing w:line="560" w:lineRule="exact"/>
        <w:ind w:firstLineChars="200" w:firstLine="640"/>
        <w:rPr>
          <w:rFonts w:ascii="仿宋_GB2312" w:eastAsia="仿宋_GB2312" w:cs="仿宋_GB2312"/>
          <w:szCs w:val="32"/>
        </w:rPr>
      </w:pPr>
      <w:r>
        <w:rPr>
          <w:rFonts w:ascii="仿宋_GB2312" w:eastAsia="仿宋_GB2312" w:cs="仿宋_GB2312" w:hint="eastAsia"/>
          <w:szCs w:val="32"/>
        </w:rPr>
        <w:t>（五）、加强对固体废物的分类管理控制。按照“无害化、资源化、减量化”的原则，做好工程固废的分类收集、暂存、安全处置和综合利用工作。生活垃圾分类收集后委托当地环卫部门统一清运，禁止乱堆乱弃；皮革边角料、板材边角料随生活垃圾一同交由环卫部门及时清运，废包装材料收集后外售进行综合利用。</w:t>
      </w:r>
    </w:p>
    <w:p>
      <w:pPr>
        <w:spacing w:line="560" w:lineRule="exact"/>
        <w:ind w:firstLineChars="200" w:firstLine="640"/>
        <w:rPr>
          <w:rFonts w:ascii="仿宋_GB2312" w:eastAsia="仿宋_GB2312" w:cs="仿宋_GB2312"/>
          <w:szCs w:val="32"/>
        </w:rPr>
      </w:pPr>
      <w:r>
        <w:rPr>
          <w:rFonts w:ascii="仿宋_GB2312" w:eastAsia="仿宋_GB2312" w:cs="仿宋_GB2312" w:hint="eastAsia"/>
          <w:szCs w:val="32"/>
        </w:rPr>
        <w:t>（六）、加强环境风险防范。加强环保和风险防范设施的运行管理，明确责任人，确保环保设施稳定正常运行和污染物的稳定达标排放，制定环境风险事故应急预案，落实事故应急防范措施。</w:t>
      </w:r>
    </w:p>
    <w:p>
      <w:pPr>
        <w:spacing w:line="560" w:lineRule="exact"/>
        <w:ind w:firstLineChars="200" w:firstLine="640"/>
        <w:rPr>
          <w:rFonts w:ascii="仿宋_GB2312" w:eastAsia="仿宋_GB2312" w:cs="仿宋_GB2312"/>
          <w:szCs w:val="32"/>
        </w:rPr>
      </w:pPr>
      <w:r>
        <w:rPr>
          <w:rFonts w:ascii="仿宋_GB2312" w:eastAsia="仿宋_GB2312" w:cs="仿宋_GB2312" w:hint="eastAsia"/>
          <w:szCs w:val="32"/>
          <w:lang w:val="en-US" w:eastAsia="zh-CN"/>
        </w:rPr>
        <w:t>四</w:t>
      </w:r>
      <w:r>
        <w:rPr>
          <w:rFonts w:ascii="仿宋_GB2312" w:eastAsia="仿宋_GB2312" w:cs="仿宋_GB2312" w:hint="eastAsia"/>
          <w:szCs w:val="32"/>
        </w:rPr>
        <w:t>、本项目的性质、规模、地点或者污染防治措施等发生重大变化时，应当重新向环保部门进行环评报批。</w:t>
      </w:r>
    </w:p>
    <w:p>
      <w:pPr>
        <w:spacing w:line="560" w:lineRule="exact"/>
        <w:ind w:firstLineChars="200" w:firstLine="640"/>
        <w:rPr>
          <w:rFonts w:ascii="仿宋_GB2312" w:eastAsia="仿宋_GB2312" w:cs="仿宋_GB2312"/>
          <w:szCs w:val="32"/>
        </w:rPr>
      </w:pPr>
      <w:r>
        <w:rPr>
          <w:rFonts w:ascii="仿宋_GB2312" w:eastAsia="仿宋_GB2312" w:cs="仿宋_GB2312" w:hint="eastAsia"/>
          <w:szCs w:val="32"/>
          <w:lang w:val="en-US" w:eastAsia="zh-CN"/>
        </w:rPr>
        <w:t>五</w:t>
      </w:r>
      <w:r>
        <w:rPr>
          <w:rFonts w:ascii="仿宋_GB2312" w:eastAsia="仿宋_GB2312" w:cs="仿宋_GB2312" w:hint="eastAsia"/>
          <w:szCs w:val="32"/>
        </w:rPr>
        <w:t>、项目批复后，须按照《固定污染源排污许可分类管理名录》(2019年版)和《排污许可管理办法（试行）》（环保部令第48号）的要求及时办理排污许可相关手续。同时，按《建设项目环境保护管理条例》的有关规定，及时办理项目竣工环保验收手续。</w:t>
      </w:r>
    </w:p>
    <w:p>
      <w:pPr>
        <w:spacing w:line="560" w:lineRule="exact"/>
        <w:ind w:firstLineChars="200" w:firstLine="640"/>
        <w:rPr>
          <w:rFonts w:ascii="仿宋_GB2312" w:eastAsia="仿宋_GB2312" w:cs="仿宋_GB2312"/>
          <w:szCs w:val="32"/>
        </w:rPr>
      </w:pPr>
    </w:p>
    <w:p>
      <w:pPr>
        <w:spacing w:line="560" w:lineRule="exact"/>
        <w:ind w:firstLineChars="200" w:firstLine="640"/>
        <w:rPr>
          <w:rFonts w:ascii="仿宋_GB2312" w:eastAsia="仿宋_GB2312" w:cs="仿宋_GB2312" w:hint="eastAsia"/>
          <w:szCs w:val="32"/>
        </w:rPr>
      </w:pPr>
    </w:p>
    <w:p>
      <w:pPr>
        <w:spacing w:line="560" w:lineRule="exact"/>
        <w:ind w:firstLineChars="200" w:firstLine="640"/>
        <w:jc w:val="center"/>
        <w:rPr>
          <w:rFonts w:ascii="仿宋_GB2312" w:eastAsia="仿宋_GB2312" w:cs="仿宋_GB2312"/>
          <w:color w:val="000000"/>
          <w14:textFill>
            <w14:solidFill>
              <w14:srgbClr w14:val="000000"/>
            </w14:solidFill>
          </w14:textFill>
        </w:rPr>
      </w:pPr>
      <w:r>
        <w:rPr>
          <w:rFonts w:ascii="仿宋_GB2312" w:eastAsia="仿宋_GB2312" w:cs="仿宋_GB2312" w:hint="eastAsia"/>
          <w:color w:val="000000"/>
          <w14:textFill>
            <w14:solidFill>
              <w14:srgbClr w14:val="000000"/>
            </w14:solidFill>
          </w14:textFill>
          <w:lang w:val="en-US" w:eastAsia="zh-CN"/>
        </w:rPr>
        <w:t xml:space="preserve">                          </w:t>
      </w:r>
      <w:r>
        <w:rPr>
          <w:rFonts w:ascii="仿宋_GB2312" w:eastAsia="仿宋_GB2312" w:cs="仿宋_GB2312" w:hint="eastAsia"/>
          <w:color w:val="000000"/>
          <w14:textFill>
            <w14:solidFill>
              <w14:srgbClr w14:val="000000"/>
            </w14:solidFill>
          </w14:textFill>
        </w:rPr>
        <w:t>益阳市生态环境局</w:t>
      </w:r>
    </w:p>
    <w:p>
      <w:pPr>
        <w:spacing w:line="560" w:lineRule="exact"/>
        <w:jc w:val="center"/>
        <w:rPr>
          <w:rFonts w:ascii="仿宋_GB2312" w:eastAsia="仿宋_GB2312" w:cs="仿宋_GB2312"/>
          <w:color w:val="FF0000"/>
        </w:rPr>
      </w:pPr>
      <w:r>
        <w:rPr>
          <w:rFonts w:ascii="仿宋_GB2312" w:eastAsia="仿宋_GB2312" w:cs="仿宋_GB2312" w:hint="eastAsia"/>
          <w:color w:val="FF0000"/>
          <w:lang w:val="en-US" w:eastAsia="zh-CN"/>
        </w:rPr>
        <w:t xml:space="preserve">                               </w:t>
      </w:r>
      <w:r>
        <w:rPr>
          <w:rFonts w:ascii="仿宋_GB2312" w:eastAsia="仿宋_GB2312" w:cs="仿宋_GB2312" w:hint="eastAsia"/>
          <w:color w:val="FF0000"/>
        </w:rPr>
        <w:t>2020年1</w:t>
      </w:r>
      <w:r>
        <w:rPr>
          <w:rFonts w:ascii="仿宋_GB2312" w:eastAsia="仿宋_GB2312" w:cs="仿宋_GB2312"/>
          <w:color w:val="FF0000"/>
        </w:rPr>
        <w:t>2</w:t>
      </w:r>
      <w:r>
        <w:rPr>
          <w:rFonts w:ascii="仿宋_GB2312" w:eastAsia="仿宋_GB2312" w:cs="仿宋_GB2312" w:hint="eastAsia"/>
          <w:color w:val="FF0000"/>
        </w:rPr>
        <w:t>月</w:t>
      </w:r>
      <w:r>
        <w:rPr>
          <w:rFonts w:ascii="仿宋_GB2312" w:eastAsia="仿宋_GB2312" w:cs="仿宋_GB2312"/>
          <w:color w:val="FF0000"/>
        </w:rPr>
        <w:t>3</w:t>
      </w:r>
      <w:r>
        <w:rPr>
          <w:rFonts w:ascii="仿宋_GB2312" w:eastAsia="仿宋_GB2312" w:cs="仿宋_GB2312" w:hint="eastAsia"/>
          <w:color w:val="FF0000"/>
          <w:lang w:val="en-US" w:eastAsia="zh-CN"/>
        </w:rPr>
        <w:t>1</w:t>
      </w:r>
      <w:r>
        <w:rPr>
          <w:rFonts w:ascii="仿宋_GB2312" w:eastAsia="仿宋_GB2312" w:cs="仿宋_GB2312" w:hint="eastAsia"/>
          <w:color w:val="FF0000"/>
        </w:rPr>
        <w:t>日</w:t>
      </w:r>
    </w:p>
    <w:sectPr>
      <w:headerReference w:type="default" r:id="rId2"/>
      <w:pgSz w:w="11906" w:h="16838"/>
      <w:pgMar w:top="1440" w:right="1797" w:bottom="1440" w:left="1797" w:header="851" w:footer="992" w:gutter="0"/>
      <w:pgNumType w:fmt="numberInDash"/>
      <w:docGrid w:type="lines" w:linePitch="312" w:charSpace="0"/>
    </w:sectPr>
  </w:body>
</w:document>
</file>

<file path=word/fontTable.xml><?xml version="1.0" encoding="utf-8"?>
<w:fonts xmlns:w="http://schemas.openxmlformats.org/wordprocessingml/2006/main" xmlns:r="http://schemas.openxmlformats.org/officeDocument/2006/relationships">
  <w:font w:name="仿宋_GB2312">
    <w:altName w:val="仿宋"/>
    <w:panose1 w:val="00000000000000000000"/>
    <w:charset w:val="86"/>
    <w:family w:val="modern"/>
    <w:pitch w:val="variable"/>
    <w:sig w:usb0="00000000" w:usb1="00000000" w:usb2="00000010" w:usb3="00000000" w:csb0="00040000" w:csb1="00000000"/>
  </w:font>
  <w:font w:name="方正小标宋简体">
    <w:altName w:val="黑体"/>
    <w:panose1 w:val="00000000000000000000"/>
    <w:charset w:val="86"/>
    <w:family w:val="auto"/>
    <w:pitch w:val="variable"/>
    <w:sig w:usb0="00000000" w:usb1="0000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variable"/>
    <w:sig w:usb0="00000003" w:usb1="288F0000" w:usb2="00000006" w:usb3="00000000" w:csb0="00040001" w:csb1="00000000"/>
  </w:font>
  <w:font w:name="华文仿宋">
    <w:altName w:val="仿宋"/>
    <w:panose1 w:val="00000000000000000000"/>
    <w:charset w:val="86"/>
    <w:family w:val="auto"/>
    <w:pitch w:val="variable"/>
    <w:sig w:usb0="00000000" w:usb1="00000000" w:usb2="00000010" w:usb3="00000000" w:csb0="0004009F"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variable"/>
    <w:sig w:usb0="800002BF" w:usb1="38CF7CFA" w:usb2="00000016" w:usb3="00000000" w:csb0="00040001"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6"/>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3E78871E"/>
    <w:multiLevelType w:val="singleLevel"/>
    <w:tmpl w:val="3E78871E"/>
    <w:lvl w:ilvl="0">
      <w:start w:val="1"/>
      <w:numFmt w:val="chineseCounting"/>
      <w:lvlRestart w:val="0"/>
      <w:suff w:val="nothing"/>
      <w:lvlText w:val="%1、"/>
      <w:lvlJc w:val="left"/>
      <w:pPr>
        <w:tabs>
          <w:tab w:val="num" w:pos="0"/>
        </w:tabs>
        <w:ind w:left="0" w:hanging="0"/>
      </w:pPr>
      <w:rPr>
        <w:rFonts w:hint="eastAsia"/>
      </w:rPr>
    </w:lvl>
  </w:abstractNum>
  <w:abstractNum w:abstractNumId="1">
    <w:nsid w:val="0000000E"/>
    <w:multiLevelType w:val="multilevel"/>
    <w:tmpl w:val="0000000E"/>
    <w:lvl w:ilvl="0">
      <w:start w:val="1"/>
      <w:numFmt w:val="decimal"/>
      <w:lvlRestart w:val="0"/>
      <w:pStyle w:val="1"/>
      <w:lvlText w:val="%1"/>
      <w:lvlJc w:val="left"/>
      <w:pPr>
        <w:tabs>
          <w:tab w:val="num" w:pos="0"/>
        </w:tabs>
        <w:ind w:left="792" w:hanging="432"/>
      </w:pPr>
      <w:rPr>
        <w:rFonts w:ascii="黑体" w:hAnsi="黑体" w:eastAsia="黑体" w:cs="Times New Roman" w:hint="eastAsia"/>
        <w:b/>
      </w:rPr>
    </w:lvl>
    <w:lvl w:ilvl="1">
      <w:start w:val="1"/>
      <w:numFmt w:val="decimal"/>
      <w:lvlText w:val="%1.%2"/>
      <w:lvlJc w:val="left"/>
      <w:pPr>
        <w:tabs>
          <w:tab w:val="num" w:pos="0"/>
        </w:tabs>
        <w:ind w:left="576" w:hanging="576"/>
      </w:pPr>
      <w:rPr>
        <w:rFonts w:ascii="Times New Roman" w:hAnsi="Times New Roman" w:cs="Times New Roman" w:hint="default"/>
      </w:rPr>
    </w:lvl>
    <w:lvl w:ilvl="2">
      <w:start w:val="1"/>
      <w:numFmt w:val="decimal"/>
      <w:lvlText w:val="%1.%2.%3"/>
      <w:lvlJc w:val="left"/>
      <w:pPr>
        <w:tabs>
          <w:tab w:val="num" w:pos="0"/>
        </w:tabs>
        <w:ind w:left="567" w:hanging="567"/>
      </w:pPr>
      <w:rPr>
        <w:rFonts w:ascii="Times New Roman" w:hAnsi="Times New Roman" w:eastAsia="宋体" w:cs="Times New Roman" w:hint="default"/>
        <w:b/>
        <w:i w:val="0"/>
        <w:color w:val="auto"/>
        <w:sz w:val="24"/>
        <w:szCs w:val="24"/>
      </w:rPr>
    </w:lvl>
    <w:lvl w:ilvl="3">
      <w:start w:val="1"/>
      <w:numFmt w:val="decimal"/>
      <w:lvlText w:val="%1.%2.%3.%4"/>
      <w:lvlJc w:val="left"/>
      <w:pPr>
        <w:tabs>
          <w:tab w:val="num" w:pos="0"/>
        </w:tabs>
        <w:ind w:left="255" w:hanging="198"/>
      </w:pPr>
      <w:rPr>
        <w:rFonts w:ascii="Times New Roman" w:hAnsi="Times New Roman" w:cs="Times New Roman" w:hint="default"/>
      </w:rPr>
    </w:lvl>
    <w:lvl w:ilvl="4">
      <w:start w:val="1"/>
      <w:numFmt w:val="decimal"/>
      <w:lvlText w:val="%1.%2.%3.%4.%5"/>
      <w:lvlJc w:val="left"/>
      <w:pPr>
        <w:tabs>
          <w:tab w:val="num" w:pos="0"/>
        </w:tabs>
        <w:ind w:left="1008" w:hanging="1008"/>
      </w:pPr>
      <w:rPr>
        <w:rFonts w:hint="eastAsia"/>
      </w:rPr>
    </w:lvl>
    <w:lvl w:ilvl="5">
      <w:start w:val="1"/>
      <w:numFmt w:val="decimal"/>
      <w:lvlText w:val="%1.%2.%3.%4.%5.%6"/>
      <w:lvlJc w:val="left"/>
      <w:pPr>
        <w:tabs>
          <w:tab w:val="num" w:pos="0"/>
        </w:tabs>
        <w:ind w:left="1152" w:hanging="1152"/>
      </w:pPr>
      <w:rPr>
        <w:rFonts w:hint="eastAsia"/>
      </w:rPr>
    </w:lvl>
    <w:lvl w:ilvl="6">
      <w:start w:val="1"/>
      <w:numFmt w:val="decimal"/>
      <w:lvlText w:val="%1.%2.%3.%4.%5.%6.%7"/>
      <w:lvlJc w:val="left"/>
      <w:pPr>
        <w:tabs>
          <w:tab w:val="num" w:pos="0"/>
        </w:tabs>
        <w:ind w:left="1296" w:hanging="1296"/>
      </w:pPr>
      <w:rPr>
        <w:rFonts w:hint="eastAsia"/>
      </w:rPr>
    </w:lvl>
    <w:lvl w:ilvl="7">
      <w:start w:val="1"/>
      <w:numFmt w:val="decimal"/>
      <w:lvlText w:val="%1.%2.%3.%4.%5.%6.%7.%8"/>
      <w:lvlJc w:val="left"/>
      <w:pPr>
        <w:tabs>
          <w:tab w:val="num" w:pos="0"/>
        </w:tabs>
        <w:ind w:left="1440" w:hanging="1440"/>
      </w:pPr>
      <w:rPr>
        <w:rFonts w:hint="eastAsia"/>
      </w:rPr>
    </w:lvl>
    <w:lvl w:ilvl="8">
      <w:start w:val="1"/>
      <w:numFmt w:val="decimal"/>
      <w:lvlText w:val="%1.%2.%3.%4.%5.%6.%7.%8.%9"/>
      <w:lvlJc w:val="left"/>
      <w:pPr>
        <w:tabs>
          <w:tab w:val="num" w:pos="0"/>
        </w:tabs>
        <w:ind w:left="1584" w:hanging="1584"/>
      </w:pPr>
      <w:rPr>
        <w:rFonts w:hint="eastAsia"/>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60"/>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6"/>
    <w:pPr>
      <w:widowControl w:val="0"/>
      <w:jc w:val="both"/>
    </w:pPr>
    <w:rPr>
      <w:rFonts w:ascii="Times New Roman" w:eastAsia="华文仿宋" w:cs="Times New Roman" w:hAnsi="Times New Roman"/>
      <w:kern w:val="2"/>
      <w:sz w:val="32"/>
      <w:szCs w:val="24"/>
      <w:lang w:val="en-US" w:eastAsia="zh-CN" w:bidi="ar-SA"/>
    </w:rPr>
  </w:style>
  <w:style w:type="paragraph" w:styleId="1">
    <w:name w:val="heading 1"/>
    <w:basedOn w:val="0"/>
    <w:next w:val="0"/>
    <w:pPr>
      <w:numPr>
        <w:ilvl w:val="0"/>
        <w:numId w:val="2"/>
      </w:numPr>
      <w:overflowPunct w:val="0"/>
      <w:autoSpaceDE w:val="0"/>
      <w:autoSpaceDN w:val="0"/>
      <w:adjustRightInd w:val="0"/>
      <w:spacing w:before="60" w:after="60" w:line="360" w:lineRule="auto"/>
      <w:textAlignment w:val="baseline"/>
      <w:outlineLvl w:val="0"/>
    </w:pPr>
    <w:rPr>
      <w:rFonts w:ascii="Arial" w:eastAsia="黑体" w:hAnsi="Arial"/>
      <w:spacing w:val="-10"/>
      <w:kern w:val="20"/>
      <w:szCs w:val="20"/>
    </w:rPr>
  </w:style>
  <w:style w:type="paragraph" w:styleId="2">
    <w:name w:val="heading 2"/>
    <w:basedOn w:val="0"/>
    <w:next w:val="0"/>
    <w:pPr>
      <w:keepNext/>
      <w:keepLines/>
      <w:spacing w:before="260" w:after="260" w:line="415" w:lineRule="auto"/>
      <w:outlineLvl w:val="1"/>
    </w:pPr>
    <w:rPr>
      <w:rFonts w:ascii="Arial" w:eastAsia="黑体" w:hAnsi="Arial"/>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Body Text Indent"/>
    <w:basedOn w:val="0"/>
    <w:next w:val="17"/>
    <w:pPr>
      <w:adjustRightInd w:val="0"/>
      <w:spacing w:line="360" w:lineRule="auto"/>
      <w:ind w:firstLineChars="200" w:firstLine="200"/>
    </w:pPr>
    <w:rPr>
      <w:bCs/>
      <w:sz w:val="24"/>
    </w:rPr>
  </w:style>
  <w:style w:type="paragraph" w:styleId="16">
    <w:name w:val="Body Text First Indent 2"/>
    <w:basedOn w:val="15"/>
    <w:next w:val="0"/>
    <w:pPr>
      <w:adjustRightInd/>
      <w:ind w:left="675" w:firstLineChars="0" w:firstLine="0"/>
    </w:pPr>
    <w:rPr>
      <w:rFonts w:ascii="宋体" w:hAnsi="宋体"/>
      <w:bCs w:val="0"/>
      <w:sz w:val="28"/>
      <w:szCs w:val="20"/>
    </w:rPr>
  </w:style>
  <w:style w:type="paragraph" w:customStyle="1" w:styleId="17">
    <w:name w:val="表格编号"/>
    <w:basedOn w:val="0"/>
    <w:next w:val="19"/>
    <w:pPr>
      <w:spacing w:line="60" w:lineRule="atLeast"/>
      <w:jc w:val="left"/>
    </w:pPr>
    <w:rPr>
      <w:spacing w:val="10"/>
      <w:kern w:val="0"/>
      <w:szCs w:val="21"/>
    </w:rPr>
  </w:style>
  <w:style w:type="paragraph" w:styleId="18">
    <w:name w:val="Normal Indent"/>
    <w:basedOn w:val="0"/>
    <w:pPr>
      <w:adjustRightInd w:val="0"/>
      <w:snapToGrid w:val="0"/>
      <w:spacing w:line="300" w:lineRule="auto"/>
      <w:ind w:firstLineChars="200" w:firstLine="200"/>
    </w:pPr>
    <w:rPr>
      <w:rFonts w:ascii="仿宋_GB2312" w:eastAsia="仿宋_GB2312"/>
      <w:sz w:val="28"/>
    </w:rPr>
  </w:style>
  <w:style w:type="paragraph" w:customStyle="1" w:styleId="19">
    <w:name w:val="表格文字"/>
    <w:basedOn w:val="18"/>
    <w:next w:val="0"/>
    <w:pPr>
      <w:jc w:val="center"/>
    </w:pPr>
  </w:style>
  <w:style w:type="paragraph" w:styleId="20">
    <w:name w:val="annotation text"/>
    <w:basedOn w:val="0"/>
    <w:pPr>
      <w:jc w:val="left"/>
    </w:pPr>
  </w:style>
  <w:style w:type="paragraph" w:styleId="21">
    <w:name w:val="annotation subject"/>
    <w:basedOn w:val="20"/>
    <w:next w:val="20"/>
    <w:rPr>
      <w:b/>
      <w:bCs/>
    </w:rPr>
  </w:style>
  <w:style w:type="paragraph" w:styleId="22">
    <w:name w:val="Document Map"/>
    <w:basedOn w:val="0"/>
    <w:rPr>
      <w:rFonts w:ascii="宋体" w:eastAsia="宋体"/>
      <w:sz w:val="18"/>
      <w:szCs w:val="18"/>
    </w:rPr>
  </w:style>
  <w:style w:type="paragraph" w:styleId="23">
    <w:name w:val="Plain Text"/>
    <w:basedOn w:val="0"/>
    <w:rPr>
      <w:rFonts w:ascii="宋体" w:hAnsi="宋体"/>
      <w:szCs w:val="20"/>
    </w:rPr>
  </w:style>
  <w:style w:type="paragraph" w:styleId="24">
    <w:name w:val="Balloon Text"/>
    <w:basedOn w:val="0"/>
    <w:rPr>
      <w:sz w:val="18"/>
      <w:szCs w:val="18"/>
    </w:rPr>
  </w:style>
  <w:style w:type="paragraph" w:styleId="25">
    <w:name w:val="footer"/>
    <w:basedOn w:val="0"/>
    <w:pPr>
      <w:tabs>
        <w:tab w:val="center" w:pos="4153"/>
        <w:tab w:val="right" w:pos="8306"/>
      </w:tabs>
      <w:snapToGrid w:val="0"/>
      <w:jc w:val="left"/>
    </w:pPr>
    <w:rPr>
      <w:sz w:val="18"/>
      <w:szCs w:val="18"/>
    </w:rPr>
  </w:style>
  <w:style w:type="paragraph" w:styleId="26">
    <w:name w:val="header"/>
    <w:basedOn w:val="0"/>
    <w:pPr>
      <w:pBdr>
        <w:bottom w:val="single" w:sz="6" w:space="1" w:color="auto"/>
      </w:pBdr>
      <w:tabs>
        <w:tab w:val="center" w:pos="4153"/>
        <w:tab w:val="right" w:pos="8306"/>
      </w:tabs>
      <w:snapToGrid w:val="0"/>
      <w:jc w:val="center"/>
    </w:pPr>
    <w:rPr>
      <w:sz w:val="18"/>
      <w:szCs w:val="18"/>
    </w:rPr>
  </w:style>
  <w:style w:type="character" w:styleId="27">
    <w:name w:val="annotation reference"/>
    <w:basedOn w:val="10"/>
    <w:rPr>
      <w:sz w:val="21"/>
      <w:szCs w:val="21"/>
    </w:rPr>
  </w:style>
  <w:style w:type="paragraph" w:styleId="28">
    <w:name w:val="List Paragraph"/>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48</TotalTime>
  <Application>Yozo_Office27021597764231180</Application>
  <Pages>3</Pages>
  <Words>0</Words>
  <Characters>1148</Characters>
  <Lines>0</Lines>
  <Paragraphs>27</Paragraphs>
  <CharactersWithSpaces>1531</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AutoBVT</dc:creator>
  <cp:lastModifiedBy>Administrator</cp:lastModifiedBy>
  <cp:revision>5</cp:revision>
  <cp:lastPrinted>2020-11-03T02:56:00Z</cp:lastPrinted>
  <dcterms:created xsi:type="dcterms:W3CDTF">2020-08-03T02:27:00Z</dcterms:created>
  <dcterms:modified xsi:type="dcterms:W3CDTF">2021-02-02T06:11:46Z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2052-10.1.0.7520</vt:lpwstr>
  </property>
</Properties>
</file>