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55</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6"/>
          <w:sz w:val="44"/>
          <w:szCs w:val="44"/>
          <w:lang w:val="en-US" w:eastAsia="zh-CN"/>
        </w:rPr>
      </w:pPr>
      <w:r>
        <w:rPr>
          <w:rFonts w:hint="eastAsia" w:ascii="方正小标宋简体" w:hAnsi="方正小标宋简体" w:eastAsia="方正小标宋简体" w:cs="方正小标宋简体"/>
          <w:b w:val="0"/>
          <w:bCs w:val="0"/>
          <w:w w:val="96"/>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6"/>
          <w:sz w:val="44"/>
          <w:szCs w:val="44"/>
        </w:rPr>
      </w:pPr>
      <w:r>
        <w:rPr>
          <w:rFonts w:hint="eastAsia" w:ascii="方正小标宋简体" w:hAnsi="方正小标宋简体" w:eastAsia="方正小标宋简体" w:cs="方正小标宋简体"/>
          <w:b w:val="0"/>
          <w:bCs w:val="0"/>
          <w:w w:val="96"/>
          <w:sz w:val="44"/>
          <w:szCs w:val="44"/>
        </w:rPr>
        <w:t>关于益阳市千万世家家居有限公司年产3000套木制家居用品建设项目环境影响报告表的批复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Cs w:val="32"/>
        </w:rPr>
      </w:pPr>
      <w:r>
        <w:rPr>
          <w:rFonts w:hint="eastAsia" w:ascii="仿宋_GB2312" w:hAnsi="仿宋_GB2312" w:eastAsia="仿宋_GB2312" w:cs="仿宋_GB2312"/>
          <w:bCs/>
          <w:spacing w:val="0"/>
          <w:szCs w:val="32"/>
        </w:rPr>
        <w:t>益阳市千万世家家居有限公司</w:t>
      </w:r>
      <w:r>
        <w:rPr>
          <w:rFonts w:hint="eastAsia" w:ascii="仿宋_GB2312" w:hAnsi="仿宋_GB2312" w:eastAsia="仿宋_GB2312" w:cs="仿宋_GB2312"/>
          <w:spacing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pacing w:val="0"/>
          <w:szCs w:val="32"/>
        </w:rPr>
      </w:pPr>
      <w:r>
        <w:rPr>
          <w:rFonts w:hint="eastAsia" w:ascii="仿宋_GB2312" w:hAnsi="仿宋_GB2312" w:eastAsia="仿宋_GB2312" w:cs="仿宋_GB2312"/>
          <w:color w:val="000000"/>
          <w:spacing w:val="0"/>
          <w:szCs w:val="32"/>
        </w:rPr>
        <w:t>你</w:t>
      </w:r>
      <w:r>
        <w:rPr>
          <w:rFonts w:hint="eastAsia" w:ascii="仿宋_GB2312" w:hAnsi="仿宋_GB2312" w:eastAsia="仿宋_GB2312" w:cs="仿宋_GB2312"/>
          <w:bCs/>
          <w:spacing w:val="0"/>
          <w:szCs w:val="32"/>
          <w:lang w:eastAsia="zh-CN"/>
        </w:rPr>
        <w:t>公司</w:t>
      </w:r>
      <w:r>
        <w:rPr>
          <w:rFonts w:hint="eastAsia" w:ascii="仿宋_GB2312" w:hAnsi="仿宋_GB2312" w:eastAsia="仿宋_GB2312" w:cs="仿宋_GB2312"/>
          <w:bCs/>
          <w:spacing w:val="0"/>
          <w:szCs w:val="32"/>
        </w:rPr>
        <w:t>呈报的《益阳市千万世家家居有限公司年产3000套木制家居用品建设项目环境影响报告表》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bCs/>
          <w:spacing w:val="0"/>
          <w:szCs w:val="32"/>
          <w:lang w:eastAsia="zh-CN"/>
        </w:rPr>
        <w:t>你</w:t>
      </w:r>
      <w:r>
        <w:rPr>
          <w:rFonts w:hint="eastAsia" w:ascii="仿宋_GB2312" w:hAnsi="仿宋_GB2312" w:eastAsia="仿宋_GB2312" w:cs="仿宋_GB2312"/>
          <w:bCs/>
          <w:spacing w:val="0"/>
          <w:szCs w:val="32"/>
        </w:rPr>
        <w:t>公司</w:t>
      </w:r>
      <w:r>
        <w:rPr>
          <w:rFonts w:hint="eastAsia" w:ascii="仿宋_GB2312" w:hAnsi="仿宋_GB2312" w:eastAsia="仿宋_GB2312" w:cs="仿宋_GB2312"/>
          <w:bCs/>
          <w:color w:val="000000"/>
          <w:spacing w:val="0"/>
          <w:szCs w:val="32"/>
        </w:rPr>
        <w:t>拟</w:t>
      </w:r>
      <w:r>
        <w:rPr>
          <w:rFonts w:hint="eastAsia" w:ascii="仿宋_GB2312" w:hAnsi="仿宋_GB2312" w:eastAsia="仿宋_GB2312" w:cs="仿宋_GB2312"/>
          <w:color w:val="000000"/>
          <w:spacing w:val="0"/>
          <w:szCs w:val="32"/>
        </w:rPr>
        <w:t>投资</w:t>
      </w:r>
      <w:r>
        <w:rPr>
          <w:rFonts w:hint="eastAsia" w:ascii="仿宋_GB2312" w:hAnsi="仿宋_GB2312" w:eastAsia="仿宋_GB2312" w:cs="仿宋_GB2312"/>
          <w:color w:val="000000"/>
          <w:spacing w:val="0"/>
          <w:szCs w:val="32"/>
          <w:lang w:val="en-US" w:eastAsia="zh-CN"/>
        </w:rPr>
        <w:t>4000</w:t>
      </w:r>
      <w:r>
        <w:rPr>
          <w:rFonts w:hint="eastAsia" w:ascii="仿宋_GB2312" w:hAnsi="仿宋_GB2312" w:eastAsia="仿宋_GB2312" w:cs="仿宋_GB2312"/>
          <w:color w:val="000000"/>
          <w:spacing w:val="0"/>
          <w:szCs w:val="32"/>
        </w:rPr>
        <w:t>万元</w:t>
      </w:r>
      <w:r>
        <w:rPr>
          <w:rFonts w:hint="eastAsia" w:ascii="仿宋_GB2312" w:hAnsi="仿宋_GB2312" w:eastAsia="仿宋_GB2312" w:cs="仿宋_GB2312"/>
          <w:color w:val="000000"/>
          <w:spacing w:val="0"/>
          <w:szCs w:val="32"/>
          <w:lang w:eastAsia="zh-CN"/>
        </w:rPr>
        <w:t>在</w:t>
      </w:r>
      <w:r>
        <w:rPr>
          <w:rFonts w:hint="eastAsia" w:ascii="仿宋_GB2312" w:hAnsi="仿宋_GB2312" w:eastAsia="仿宋_GB2312" w:cs="仿宋_GB2312"/>
          <w:color w:val="000000"/>
          <w:spacing w:val="0"/>
          <w:szCs w:val="32"/>
        </w:rPr>
        <w:t>益阳高新区东部产业园租赁</w:t>
      </w:r>
      <w:r>
        <w:rPr>
          <w:rFonts w:hint="eastAsia" w:ascii="仿宋_GB2312" w:hAnsi="仿宋_GB2312" w:eastAsia="仿宋_GB2312" w:cs="仿宋_GB2312"/>
          <w:color w:val="000000"/>
          <w:spacing w:val="0"/>
          <w:szCs w:val="32"/>
          <w:lang w:eastAsia="zh-CN"/>
        </w:rPr>
        <w:t>益阳鑫泰汽车坐垫沙发有限公司厂房，</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一条</w:t>
      </w:r>
      <w:r>
        <w:rPr>
          <w:rFonts w:hint="eastAsia" w:ascii="仿宋_GB2312" w:hAnsi="仿宋_GB2312" w:eastAsia="仿宋_GB2312" w:cs="仿宋_GB2312"/>
          <w:color w:val="000000"/>
          <w:spacing w:val="0"/>
          <w:szCs w:val="32"/>
        </w:rPr>
        <w:t>木制</w:t>
      </w:r>
      <w:r>
        <w:rPr>
          <w:rFonts w:hint="eastAsia" w:ascii="仿宋_GB2312" w:hAnsi="仿宋_GB2312" w:eastAsia="仿宋_GB2312" w:cs="仿宋_GB2312"/>
          <w:color w:val="000000"/>
          <w:spacing w:val="0"/>
          <w:szCs w:val="32"/>
          <w:lang w:eastAsia="zh-CN"/>
        </w:rPr>
        <w:t>家居用品生产线，年产木床</w:t>
      </w:r>
      <w:r>
        <w:rPr>
          <w:rFonts w:hint="eastAsia" w:ascii="仿宋_GB2312" w:hAnsi="仿宋_GB2312" w:eastAsia="仿宋_GB2312" w:cs="仿宋_GB2312"/>
          <w:color w:val="000000"/>
          <w:spacing w:val="0"/>
          <w:szCs w:val="32"/>
          <w:lang w:val="en-US" w:eastAsia="zh-CN"/>
        </w:rPr>
        <w:t>1000套、沙发1000套、茶几500套、电视柜500套。项目占地面积4500平方米</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auto"/>
          <w:spacing w:val="0"/>
          <w:sz w:val="32"/>
          <w:szCs w:val="32"/>
          <w:lang w:val="en-US" w:eastAsia="zh-CN"/>
        </w:rPr>
        <w:t>厂房</w:t>
      </w:r>
      <w:r>
        <w:rPr>
          <w:rFonts w:hint="eastAsia" w:ascii="仿宋_GB2312" w:hAnsi="仿宋_GB2312" w:eastAsia="仿宋_GB2312" w:cs="仿宋_GB2312"/>
          <w:color w:val="auto"/>
          <w:spacing w:val="0"/>
          <w:sz w:val="32"/>
          <w:szCs w:val="32"/>
          <w:lang w:eastAsia="zh-CN"/>
        </w:rPr>
        <w:t>内分区设置</w:t>
      </w:r>
      <w:r>
        <w:rPr>
          <w:rFonts w:hint="eastAsia" w:ascii="仿宋_GB2312" w:hAnsi="仿宋_GB2312" w:eastAsia="仿宋_GB2312" w:cs="仿宋_GB2312"/>
          <w:color w:val="000000"/>
          <w:spacing w:val="0"/>
          <w:sz w:val="32"/>
          <w:szCs w:val="32"/>
          <w:lang w:val="en-US" w:eastAsia="zh-CN"/>
        </w:rPr>
        <w:t>生产区、原料存放区、产品存放区、办公区</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根据贵州欣森宏景生态环境咨询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color w:val="000000"/>
          <w:spacing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Cs w:val="32"/>
          <w:lang w:eastAsia="zh-CN"/>
        </w:rPr>
        <w:t>（一）</w:t>
      </w:r>
      <w:r>
        <w:rPr>
          <w:rFonts w:hint="eastAsia" w:ascii="仿宋_GB2312" w:hAnsi="仿宋_GB2312" w:eastAsia="仿宋_GB2312" w:cs="仿宋_GB2312"/>
          <w:color w:val="000000"/>
          <w:spacing w:val="0"/>
          <w:szCs w:val="32"/>
        </w:rPr>
        <w:t>做好项目大气污染防治工作。</w:t>
      </w:r>
      <w:r>
        <w:rPr>
          <w:rFonts w:hint="eastAsia" w:ascii="仿宋_GB2312" w:hAnsi="仿宋_GB2312" w:eastAsia="仿宋_GB2312" w:cs="仿宋_GB2312"/>
          <w:spacing w:val="0"/>
          <w:szCs w:val="21"/>
        </w:rPr>
        <w:t>加强车间通风换气，</w:t>
      </w:r>
      <w:r>
        <w:rPr>
          <w:rFonts w:hint="eastAsia" w:ascii="仿宋_GB2312" w:hAnsi="仿宋_GB2312" w:eastAsia="仿宋_GB2312" w:cs="仿宋_GB2312"/>
          <w:color w:val="000000"/>
          <w:spacing w:val="4"/>
          <w:szCs w:val="32"/>
        </w:rPr>
        <w:t>木</w:t>
      </w:r>
      <w:r>
        <w:rPr>
          <w:rFonts w:hint="eastAsia" w:ascii="仿宋_GB2312" w:hAnsi="仿宋_GB2312" w:eastAsia="仿宋_GB2312" w:cs="仿宋_GB2312"/>
          <w:color w:val="000000"/>
          <w:spacing w:val="4"/>
          <w:szCs w:val="32"/>
          <w:lang w:eastAsia="zh-CN"/>
        </w:rPr>
        <w:t>材</w:t>
      </w:r>
      <w:r>
        <w:rPr>
          <w:rFonts w:hint="eastAsia" w:ascii="仿宋_GB2312" w:hAnsi="仿宋_GB2312" w:eastAsia="仿宋_GB2312" w:cs="仿宋_GB2312"/>
          <w:color w:val="000000"/>
          <w:spacing w:val="4"/>
          <w:szCs w:val="32"/>
        </w:rPr>
        <w:t>加工</w:t>
      </w:r>
      <w:r>
        <w:rPr>
          <w:rFonts w:hint="eastAsia" w:ascii="仿宋_GB2312" w:hAnsi="仿宋_GB2312" w:eastAsia="仿宋_GB2312" w:cs="仿宋_GB2312"/>
          <w:color w:val="000000"/>
          <w:spacing w:val="4"/>
          <w:szCs w:val="32"/>
          <w:lang w:eastAsia="zh-CN"/>
        </w:rPr>
        <w:t>产生的</w:t>
      </w:r>
      <w:r>
        <w:rPr>
          <w:rFonts w:hint="eastAsia" w:ascii="仿宋_GB2312" w:hAnsi="仿宋_GB2312" w:eastAsia="仿宋_GB2312" w:cs="仿宋_GB2312"/>
          <w:color w:val="000000"/>
          <w:spacing w:val="4"/>
          <w:szCs w:val="32"/>
        </w:rPr>
        <w:t>粉尘</w:t>
      </w:r>
      <w:r>
        <w:rPr>
          <w:rFonts w:hint="eastAsia" w:ascii="仿宋_GB2312" w:hAnsi="仿宋_GB2312" w:eastAsia="仿宋_GB2312" w:cs="仿宋_GB2312"/>
          <w:spacing w:val="0"/>
          <w:szCs w:val="21"/>
        </w:rPr>
        <w:t>采用“双筒布袋收尘系统”处理，打磨</w:t>
      </w:r>
      <w:r>
        <w:rPr>
          <w:rFonts w:hint="eastAsia" w:ascii="仿宋_GB2312" w:hAnsi="仿宋_GB2312" w:eastAsia="仿宋_GB2312" w:cs="仿宋_GB2312"/>
          <w:spacing w:val="0"/>
          <w:szCs w:val="21"/>
          <w:lang w:eastAsia="zh-CN"/>
        </w:rPr>
        <w:t>产生的</w:t>
      </w:r>
      <w:r>
        <w:rPr>
          <w:rFonts w:hint="eastAsia" w:ascii="仿宋_GB2312" w:hAnsi="仿宋_GB2312" w:eastAsia="仿宋_GB2312" w:cs="仿宋_GB2312"/>
          <w:spacing w:val="0"/>
          <w:szCs w:val="21"/>
        </w:rPr>
        <w:t>粉尘经“负压集气+</w:t>
      </w:r>
      <w:r>
        <w:rPr>
          <w:rFonts w:hint="eastAsia" w:ascii="仿宋_GB2312" w:hAnsi="仿宋_GB2312" w:eastAsia="仿宋_GB2312" w:cs="仿宋_GB2312"/>
          <w:spacing w:val="0"/>
          <w:szCs w:val="21"/>
          <w:lang w:eastAsia="zh-CN"/>
        </w:rPr>
        <w:t>水帘</w:t>
      </w:r>
      <w:r>
        <w:rPr>
          <w:rFonts w:hint="eastAsia" w:ascii="仿宋_GB2312" w:hAnsi="仿宋_GB2312" w:eastAsia="仿宋_GB2312" w:cs="仿宋_GB2312"/>
          <w:spacing w:val="0"/>
          <w:szCs w:val="21"/>
        </w:rPr>
        <w:t>除尘</w:t>
      </w:r>
      <w:r>
        <w:rPr>
          <w:rFonts w:hint="eastAsia" w:ascii="仿宋_GB2312" w:hAnsi="仿宋_GB2312" w:eastAsia="仿宋_GB2312" w:cs="仿宋_GB2312"/>
          <w:spacing w:val="0"/>
          <w:szCs w:val="21"/>
          <w:lang w:eastAsia="zh-CN"/>
        </w:rPr>
        <w:t>装置</w:t>
      </w:r>
      <w:r>
        <w:rPr>
          <w:rFonts w:hint="eastAsia" w:ascii="仿宋_GB2312" w:hAnsi="仿宋_GB2312" w:eastAsia="仿宋_GB2312" w:cs="仿宋_GB2312"/>
          <w:spacing w:val="0"/>
          <w:szCs w:val="21"/>
        </w:rPr>
        <w:t>”处理</w:t>
      </w:r>
      <w:r>
        <w:rPr>
          <w:rFonts w:hint="eastAsia" w:ascii="仿宋_GB2312" w:hAnsi="仿宋_GB2312" w:eastAsia="仿宋_GB2312" w:cs="仿宋_GB2312"/>
          <w:spacing w:val="0"/>
          <w:szCs w:val="21"/>
          <w:lang w:eastAsia="zh-CN"/>
        </w:rPr>
        <w:t>，喷漆（采用水性漆）、烘干工序产生的漆雾和有机废气由负压集气引入“喷淋塔</w:t>
      </w:r>
      <w:r>
        <w:rPr>
          <w:rFonts w:hint="eastAsia" w:ascii="仿宋_GB2312" w:hAnsi="仿宋_GB2312" w:eastAsia="仿宋_GB2312" w:cs="仿宋_GB2312"/>
          <w:spacing w:val="0"/>
          <w:szCs w:val="21"/>
          <w:lang w:val="en-US" w:eastAsia="zh-CN"/>
        </w:rPr>
        <w:t>+</w:t>
      </w:r>
      <w:r>
        <w:rPr>
          <w:rFonts w:hint="eastAsia" w:ascii="仿宋_GB2312" w:hAnsi="仿宋_GB2312" w:eastAsia="仿宋_GB2312" w:cs="仿宋_GB2312"/>
          <w:spacing w:val="0"/>
          <w:szCs w:val="21"/>
          <w:lang w:eastAsia="zh-CN"/>
        </w:rPr>
        <w:t>过滤棉+UV光解+活性炭吸附装置”处理后通过15米高排气筒排放，确保外排污染物</w:t>
      </w:r>
      <w:r>
        <w:rPr>
          <w:rFonts w:hint="eastAsia" w:ascii="仿宋_GB2312" w:hAnsi="仿宋_GB2312" w:eastAsia="仿宋_GB2312" w:cs="仿宋_GB2312"/>
          <w:color w:val="auto"/>
          <w:spacing w:val="4"/>
          <w:szCs w:val="32"/>
          <w:lang w:eastAsia="zh-CN"/>
        </w:rPr>
        <w:t>分别</w:t>
      </w:r>
      <w:r>
        <w:rPr>
          <w:rFonts w:hint="eastAsia" w:ascii="仿宋_GB2312" w:hAnsi="仿宋_GB2312" w:eastAsia="仿宋_GB2312" w:cs="仿宋_GB2312"/>
          <w:color w:val="auto"/>
          <w:spacing w:val="4"/>
          <w:szCs w:val="32"/>
        </w:rPr>
        <w:t>满足《大气污染物综合排放标准》（GB16297-1996）表2中二级标准及无组织排放监控浓度限值要求</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spacing w:val="0"/>
          <w:szCs w:val="21"/>
          <w:lang w:eastAsia="zh-CN"/>
        </w:rPr>
        <w:t>《家具制造行业挥发性有机物排放标准》（DB43/1355-2017）表1中企业排气筒挥发性有机物的最高允许排放限值和表</w:t>
      </w:r>
      <w:r>
        <w:rPr>
          <w:rFonts w:hint="eastAsia" w:ascii="仿宋_GB2312" w:hAnsi="仿宋_GB2312" w:eastAsia="仿宋_GB2312" w:cs="仿宋_GB2312"/>
          <w:spacing w:val="0"/>
          <w:szCs w:val="21"/>
          <w:lang w:val="en-US" w:eastAsia="zh-CN"/>
        </w:rPr>
        <w:t>2中无组织挥发性有机物排放浓度限值以及《挥发性有机物无组织排放控制标准》（GB37822-2019）表A.1中排放限值要求</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kern w:val="0"/>
          <w:szCs w:val="32"/>
        </w:rPr>
        <w:t>食堂油烟经油烟净化装置处理达到《饮食业油烟排放标准（试行）》（GB18483-2001）要求后高空排放</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油烟排气筒的高度、位置等具体要求按照</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饮食业环境保护技术规范</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HJ554-2010</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pacing w:val="0"/>
          <w:szCs w:val="32"/>
          <w:lang w:eastAsia="zh-CN"/>
        </w:rPr>
      </w:pPr>
      <w:r>
        <w:rPr>
          <w:rFonts w:hint="eastAsia" w:ascii="仿宋_GB2312" w:hAnsi="仿宋_GB2312" w:eastAsia="仿宋_GB2312" w:cs="仿宋_GB2312"/>
          <w:color w:val="000000"/>
          <w:spacing w:val="0"/>
          <w:szCs w:val="32"/>
          <w:lang w:eastAsia="zh-CN"/>
        </w:rPr>
        <w:t>（二）</w:t>
      </w:r>
      <w:r>
        <w:rPr>
          <w:rFonts w:hint="eastAsia" w:ascii="仿宋_GB2312" w:hAnsi="仿宋_GB2312" w:eastAsia="仿宋_GB2312" w:cs="仿宋_GB2312"/>
          <w:color w:val="000000"/>
          <w:spacing w:val="0"/>
          <w:szCs w:val="32"/>
        </w:rPr>
        <w:t>做好项目水污染防治工作。</w:t>
      </w:r>
      <w:r>
        <w:rPr>
          <w:rFonts w:hint="eastAsia" w:ascii="仿宋_GB2312" w:hAnsi="仿宋_GB2312" w:eastAsia="仿宋_GB2312" w:cs="仿宋_GB2312"/>
          <w:color w:val="auto"/>
          <w:spacing w:val="0"/>
          <w:szCs w:val="32"/>
        </w:rPr>
        <w:t>厂区排水必须实行雨污分流，认真落实报告</w:t>
      </w:r>
      <w:r>
        <w:rPr>
          <w:rFonts w:hint="eastAsia" w:ascii="仿宋_GB2312" w:hAnsi="仿宋_GB2312" w:eastAsia="仿宋_GB2312" w:cs="仿宋_GB2312"/>
          <w:color w:val="auto"/>
          <w:spacing w:val="0"/>
          <w:szCs w:val="32"/>
          <w:lang w:eastAsia="zh-CN"/>
        </w:rPr>
        <w:t>表</w:t>
      </w:r>
      <w:r>
        <w:rPr>
          <w:rFonts w:hint="eastAsia" w:ascii="仿宋_GB2312" w:hAnsi="仿宋_GB2312" w:eastAsia="仿宋_GB2312" w:cs="仿宋_GB2312"/>
          <w:color w:val="auto"/>
          <w:spacing w:val="0"/>
          <w:szCs w:val="32"/>
        </w:rPr>
        <w:t>提出的废水处理方案。</w:t>
      </w:r>
      <w:r>
        <w:rPr>
          <w:rFonts w:hint="eastAsia" w:ascii="仿宋_GB2312" w:hAnsi="仿宋_GB2312" w:eastAsia="仿宋_GB2312" w:cs="仿宋_GB2312"/>
          <w:spacing w:val="0"/>
          <w:szCs w:val="32"/>
        </w:rPr>
        <w:t>初期雨水经沉淀后用于厂区</w:t>
      </w:r>
      <w:r>
        <w:rPr>
          <w:rFonts w:hint="eastAsia" w:ascii="仿宋_GB2312" w:hAnsi="仿宋_GB2312" w:eastAsia="仿宋_GB2312" w:cs="仿宋_GB2312"/>
          <w:spacing w:val="0"/>
          <w:szCs w:val="32"/>
          <w:lang w:eastAsia="zh-CN"/>
        </w:rPr>
        <w:t>绿化</w:t>
      </w:r>
      <w:r>
        <w:rPr>
          <w:rFonts w:hint="eastAsia" w:ascii="仿宋_GB2312" w:hAnsi="仿宋_GB2312" w:eastAsia="仿宋_GB2312" w:cs="仿宋_GB2312"/>
          <w:spacing w:val="0"/>
          <w:szCs w:val="32"/>
        </w:rPr>
        <w:t>或洒水抑尘用水；生活污水经隔油池、化粪池处理</w:t>
      </w:r>
      <w:bookmarkStart w:id="0" w:name="_GoBack"/>
      <w:bookmarkEnd w:id="0"/>
      <w:r>
        <w:rPr>
          <w:rFonts w:hint="eastAsia" w:ascii="仿宋_GB2312" w:hAnsi="仿宋_GB2312" w:eastAsia="仿宋_GB2312" w:cs="仿宋_GB2312"/>
          <w:spacing w:val="0"/>
          <w:szCs w:val="32"/>
        </w:rPr>
        <w:t>达到《污水综合排放标准》（GB8978-1996）表4中三级标准后经园区</w:t>
      </w:r>
      <w:r>
        <w:rPr>
          <w:rFonts w:hint="eastAsia" w:ascii="仿宋_GB2312" w:hAnsi="仿宋_GB2312" w:eastAsia="仿宋_GB2312" w:cs="仿宋_GB2312"/>
          <w:spacing w:val="0"/>
          <w:szCs w:val="32"/>
          <w:lang w:eastAsia="zh-CN"/>
        </w:rPr>
        <w:t>市政</w:t>
      </w:r>
      <w:r>
        <w:rPr>
          <w:rFonts w:hint="eastAsia" w:ascii="仿宋_GB2312" w:hAnsi="仿宋_GB2312" w:eastAsia="仿宋_GB2312" w:cs="仿宋_GB2312"/>
          <w:spacing w:val="0"/>
          <w:szCs w:val="32"/>
        </w:rPr>
        <w:t>污水管网排入上实环境（益阳东部新区）污水处理有限公司进行深度处理</w:t>
      </w:r>
      <w:r>
        <w:rPr>
          <w:rFonts w:hint="eastAsia" w:ascii="仿宋_GB2312" w:hAnsi="仿宋_GB2312" w:eastAsia="仿宋_GB2312" w:cs="仿宋_GB2312"/>
          <w:spacing w:val="0"/>
          <w:szCs w:val="32"/>
          <w:lang w:eastAsia="zh-CN"/>
        </w:rPr>
        <w:t>；水帘除尘废水和有机</w:t>
      </w:r>
      <w:r>
        <w:rPr>
          <w:rFonts w:hint="eastAsia" w:ascii="仿宋_GB2312" w:hAnsi="仿宋_GB2312" w:eastAsia="仿宋_GB2312" w:cs="仿宋_GB2312"/>
          <w:i w:val="0"/>
          <w:iCs w:val="0"/>
          <w:color w:val="auto"/>
          <w:spacing w:val="0"/>
          <w:szCs w:val="32"/>
          <w:lang w:eastAsia="zh-CN"/>
        </w:rPr>
        <w:t>废气喷淋废水循环回用，</w:t>
      </w:r>
      <w:r>
        <w:rPr>
          <w:rFonts w:hint="eastAsia" w:ascii="仿宋_GB2312" w:eastAsia="仿宋_GB2312"/>
          <w:color w:val="auto"/>
          <w:spacing w:val="4"/>
          <w:szCs w:val="32"/>
          <w:lang w:eastAsia="zh-CN"/>
        </w:rPr>
        <w:t>定期</w:t>
      </w:r>
      <w:r>
        <w:rPr>
          <w:rFonts w:hint="eastAsia" w:ascii="仿宋_GB2312" w:eastAsia="仿宋_GB2312"/>
          <w:color w:val="auto"/>
          <w:spacing w:val="4"/>
          <w:szCs w:val="32"/>
        </w:rPr>
        <w:t>委托具有相</w:t>
      </w:r>
      <w:r>
        <w:rPr>
          <w:rFonts w:hint="eastAsia" w:ascii="仿宋_GB2312" w:eastAsia="仿宋_GB2312"/>
          <w:color w:val="auto"/>
          <w:spacing w:val="4"/>
          <w:szCs w:val="32"/>
          <w:lang w:eastAsia="zh-CN"/>
        </w:rPr>
        <w:t>应</w:t>
      </w:r>
      <w:r>
        <w:rPr>
          <w:rFonts w:hint="eastAsia" w:ascii="仿宋_GB2312" w:eastAsia="仿宋_GB2312"/>
          <w:color w:val="auto"/>
          <w:spacing w:val="4"/>
          <w:szCs w:val="32"/>
        </w:rPr>
        <w:t>危废处置资质的单位外运处置，严禁直接外排</w:t>
      </w:r>
      <w:r>
        <w:rPr>
          <w:rFonts w:hint="eastAsia" w:ascii="仿宋_GB2312" w:hAnsi="仿宋_GB2312" w:eastAsia="仿宋_GB2312" w:cs="仿宋_GB2312"/>
          <w:spacing w:val="0"/>
          <w:szCs w:val="32"/>
          <w:lang w:eastAsia="zh-CN"/>
        </w:rPr>
        <w:t>。</w:t>
      </w:r>
    </w:p>
    <w:p>
      <w:pPr>
        <w:pStyle w:val="4"/>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w:t>
      </w:r>
      <w:r>
        <w:rPr>
          <w:rFonts w:hint="eastAsia" w:ascii="仿宋_GB2312" w:hAnsi="仿宋_GB2312" w:eastAsia="仿宋_GB2312" w:cs="仿宋_GB2312"/>
          <w:color w:val="auto"/>
          <w:spacing w:val="0"/>
          <w:szCs w:val="32"/>
        </w:rPr>
        <w:t>确保厂界噪声达到《工业企业厂界环境噪声排放标准》（GB12348-2008）中</w:t>
      </w:r>
      <w:r>
        <w:rPr>
          <w:rFonts w:hint="eastAsia" w:ascii="仿宋_GB2312" w:hAnsi="仿宋_GB2312" w:eastAsia="仿宋_GB2312" w:cs="仿宋_GB2312"/>
          <w:color w:val="auto"/>
          <w:spacing w:val="0"/>
          <w:szCs w:val="32"/>
          <w:lang w:val="en-US" w:eastAsia="zh-CN"/>
        </w:rPr>
        <w:t>3</w:t>
      </w:r>
      <w:r>
        <w:rPr>
          <w:rFonts w:hint="eastAsia" w:ascii="仿宋_GB2312" w:hAnsi="仿宋_GB2312" w:eastAsia="仿宋_GB2312" w:cs="仿宋_GB2312"/>
          <w:color w:val="auto"/>
          <w:spacing w:val="0"/>
          <w:szCs w:val="32"/>
        </w:rPr>
        <w:t>类区标准要求</w:t>
      </w:r>
      <w:r>
        <w:rPr>
          <w:rFonts w:hint="eastAsia" w:ascii="仿宋_GB2312" w:hAnsi="仿宋_GB2312" w:eastAsia="仿宋_GB2312" w:cs="仿宋_GB2312"/>
          <w:color w:val="000000"/>
          <w:spacing w:val="0"/>
          <w:szCs w:val="32"/>
        </w:rPr>
        <w:t>。</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w:t>
      </w:r>
      <w:r>
        <w:rPr>
          <w:rFonts w:hint="eastAsia" w:ascii="仿宋_GB2312" w:hAnsi="仿宋_GB2312" w:eastAsia="仿宋_GB2312" w:cs="仿宋_GB2312"/>
          <w:color w:val="auto"/>
          <w:spacing w:val="0"/>
          <w:kern w:val="0"/>
          <w:sz w:val="32"/>
          <w:szCs w:val="32"/>
          <w:lang w:val="en-US" w:eastAsia="zh-CN" w:bidi="ar"/>
        </w:rPr>
        <w:t>处理；除尘器收集的粉尘、</w:t>
      </w:r>
      <w:r>
        <w:rPr>
          <w:rFonts w:hint="eastAsia" w:ascii="仿宋_GB2312" w:hAnsi="仿宋_GB2312" w:eastAsia="仿宋_GB2312" w:cs="仿宋_GB2312"/>
          <w:color w:val="000000"/>
          <w:spacing w:val="0"/>
          <w:szCs w:val="32"/>
          <w:lang w:eastAsia="zh-CN"/>
        </w:rPr>
        <w:t>边角废料</w:t>
      </w:r>
      <w:r>
        <w:rPr>
          <w:rFonts w:hint="eastAsia" w:ascii="仿宋_GB2312" w:hAnsi="仿宋_GB2312" w:eastAsia="仿宋_GB2312" w:cs="仿宋_GB2312"/>
          <w:color w:val="000000"/>
          <w:spacing w:val="0"/>
          <w:szCs w:val="32"/>
        </w:rPr>
        <w:t>和</w:t>
      </w:r>
      <w:r>
        <w:rPr>
          <w:rFonts w:hint="eastAsia" w:ascii="仿宋_GB2312" w:hAnsi="仿宋_GB2312" w:eastAsia="仿宋_GB2312" w:cs="仿宋_GB2312"/>
          <w:color w:val="auto"/>
          <w:spacing w:val="0"/>
          <w:szCs w:val="32"/>
          <w:lang w:eastAsia="zh-CN"/>
        </w:rPr>
        <w:t>废包装材料等</w:t>
      </w:r>
      <w:r>
        <w:rPr>
          <w:rFonts w:hint="eastAsia" w:ascii="仿宋_GB2312" w:hAnsi="仿宋_GB2312" w:eastAsia="仿宋_GB2312" w:cs="仿宋_GB2312"/>
          <w:color w:val="000000"/>
          <w:spacing w:val="0"/>
          <w:sz w:val="32"/>
          <w:szCs w:val="32"/>
          <w:lang w:val="en-US" w:eastAsia="zh-CN"/>
        </w:rPr>
        <w:t>为一般工业固废，经分类收集贮存后外售综合利用；水性漆空桶、底油空桶、润滑油空桶、</w:t>
      </w:r>
      <w:r>
        <w:rPr>
          <w:rFonts w:hint="eastAsia" w:ascii="仿宋_GB2312" w:hAnsi="仿宋_GB2312" w:eastAsia="仿宋_GB2312" w:cs="仿宋_GB2312"/>
          <w:color w:val="auto"/>
          <w:spacing w:val="0"/>
          <w:szCs w:val="32"/>
        </w:rPr>
        <w:t>废润滑油</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000000"/>
          <w:spacing w:val="4"/>
          <w:szCs w:val="32"/>
        </w:rPr>
        <w:t>漆渣</w:t>
      </w:r>
      <w:r>
        <w:rPr>
          <w:rFonts w:hint="eastAsia" w:ascii="仿宋_GB2312" w:hAnsi="仿宋_GB2312" w:eastAsia="仿宋_GB2312" w:cs="仿宋_GB2312"/>
          <w:color w:val="000000"/>
          <w:spacing w:val="4"/>
          <w:szCs w:val="32"/>
          <w:lang w:eastAsia="zh-CN"/>
        </w:rPr>
        <w:t>、废过滤棉、</w:t>
      </w:r>
      <w:r>
        <w:rPr>
          <w:rFonts w:hint="eastAsia" w:ascii="仿宋_GB2312" w:hAnsi="仿宋_GB2312" w:eastAsia="仿宋_GB2312" w:cs="仿宋_GB2312"/>
          <w:color w:val="000000"/>
          <w:spacing w:val="4"/>
          <w:szCs w:val="32"/>
        </w:rPr>
        <w:t>废催化剂</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pacing w:val="0"/>
          <w:sz w:val="32"/>
          <w:szCs w:val="32"/>
          <w:lang w:val="en-US" w:eastAsia="zh-CN"/>
        </w:rPr>
        <w:t>废活性</w:t>
      </w:r>
      <w:r>
        <w:rPr>
          <w:rFonts w:hint="eastAsia" w:ascii="仿宋_GB2312" w:hAnsi="仿宋_GB2312" w:eastAsia="仿宋_GB2312" w:cs="仿宋_GB2312"/>
          <w:color w:val="auto"/>
          <w:spacing w:val="0"/>
          <w:sz w:val="32"/>
          <w:szCs w:val="32"/>
          <w:lang w:val="en-US" w:eastAsia="zh-CN"/>
        </w:rPr>
        <w:t>炭</w:t>
      </w:r>
      <w:r>
        <w:rPr>
          <w:rFonts w:hint="eastAsia" w:ascii="仿宋_GB2312" w:hAnsi="仿宋_GB2312" w:eastAsia="仿宋_GB2312" w:cs="仿宋_GB2312"/>
          <w:color w:val="auto"/>
          <w:spacing w:val="4"/>
          <w:szCs w:val="32"/>
        </w:rPr>
        <w:t>、废UV灯管</w:t>
      </w:r>
      <w:r>
        <w:rPr>
          <w:rFonts w:hint="eastAsia" w:ascii="仿宋_GB2312" w:hAnsi="仿宋_GB2312" w:eastAsia="仿宋_GB2312" w:cs="仿宋_GB2312"/>
          <w:color w:val="auto"/>
          <w:spacing w:val="4"/>
          <w:szCs w:val="32"/>
          <w:lang w:eastAsia="zh-CN"/>
        </w:rPr>
        <w:t>、水帘除尘产生的沉渣</w:t>
      </w:r>
      <w:r>
        <w:rPr>
          <w:rFonts w:hint="eastAsia" w:ascii="仿宋_GB2312" w:hAnsi="仿宋_GB2312" w:eastAsia="仿宋_GB2312" w:cs="仿宋_GB2312"/>
          <w:color w:val="auto"/>
          <w:spacing w:val="0"/>
          <w:szCs w:val="32"/>
          <w:lang w:val="en-US" w:eastAsia="zh-CN"/>
        </w:rPr>
        <w:t>及</w:t>
      </w:r>
      <w:r>
        <w:rPr>
          <w:rFonts w:hint="eastAsia" w:ascii="仿宋_GB2312" w:hAnsi="仿宋_GB2312" w:eastAsia="仿宋_GB2312" w:cs="仿宋_GB2312"/>
          <w:color w:val="auto"/>
          <w:spacing w:val="0"/>
          <w:sz w:val="32"/>
          <w:szCs w:val="32"/>
        </w:rPr>
        <w:t>含油废抹</w:t>
      </w:r>
      <w:r>
        <w:rPr>
          <w:rFonts w:hint="eastAsia" w:ascii="仿宋_GB2312" w:hAnsi="仿宋_GB2312" w:eastAsia="仿宋_GB2312" w:cs="仿宋_GB2312"/>
          <w:spacing w:val="0"/>
          <w:sz w:val="32"/>
          <w:szCs w:val="32"/>
        </w:rPr>
        <w:t>布</w:t>
      </w:r>
      <w:r>
        <w:rPr>
          <w:rFonts w:hint="eastAsia" w:ascii="仿宋_GB2312" w:hAnsi="仿宋_GB2312" w:eastAsia="仿宋_GB2312" w:cs="仿宋_GB2312"/>
          <w:spacing w:val="0"/>
          <w:sz w:val="32"/>
          <w:szCs w:val="32"/>
          <w:lang w:eastAsia="zh-CN"/>
        </w:rPr>
        <w:t>和废手套</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w:t>
      </w:r>
      <w:r>
        <w:rPr>
          <w:rFonts w:hint="eastAsia" w:ascii="仿宋_GB2312" w:hAnsi="仿宋_GB2312" w:eastAsia="仿宋_GB2312" w:cs="仿宋_GB2312"/>
          <w:color w:val="000000"/>
          <w:spacing w:val="0"/>
          <w:sz w:val="32"/>
          <w:szCs w:val="32"/>
        </w:rPr>
        <w:t>库</w:t>
      </w:r>
      <w:r>
        <w:rPr>
          <w:rFonts w:hint="eastAsia" w:ascii="仿宋_GB2312" w:hAnsi="仿宋_GB2312" w:eastAsia="仿宋_GB2312" w:cs="仿宋_GB2312"/>
          <w:color w:val="000000"/>
          <w:spacing w:val="0"/>
          <w:kern w:val="0"/>
          <w:sz w:val="32"/>
          <w:szCs w:val="32"/>
          <w:lang w:val="en-US" w:eastAsia="zh-CN" w:bidi="ar"/>
        </w:rPr>
        <w:t>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Cs w:val="32"/>
          <w:lang w:eastAsia="zh-CN"/>
        </w:rPr>
        <w:t>（五）</w:t>
      </w:r>
      <w:r>
        <w:rPr>
          <w:rFonts w:hint="eastAsia" w:ascii="仿宋_GB2312" w:hAnsi="仿宋_GB2312" w:eastAsia="仿宋_GB2312" w:cs="仿宋_GB2312"/>
          <w:color w:val="000000"/>
          <w:spacing w:val="0"/>
          <w:sz w:val="32"/>
          <w:szCs w:val="32"/>
          <w:lang w:val="en-US" w:eastAsia="zh-CN"/>
        </w:rPr>
        <w:t>加强环境风险防范。建立健全风险防控体系和事故排放污染收集系统；按国家《危险废物收集贮存运输技术规范》（HJ2025-2012）的规定，加强对危险废物在运输、贮存等各环节的安全管理。制定突发环境事件应急预案，严格落实风险防范措施，定期对事故隐患存在点进行检查，有效防止事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szCs w:val="32"/>
          <w:lang w:val="en-US" w:eastAsia="zh-CN"/>
        </w:rPr>
      </w:pPr>
      <w:r>
        <w:rPr>
          <w:rFonts w:hint="eastAsia" w:ascii="仿宋_GB2312" w:hAnsi="仿宋_GB2312" w:eastAsia="仿宋_GB2312" w:cs="仿宋_GB2312"/>
          <w:color w:val="auto"/>
          <w:spacing w:val="0"/>
          <w:szCs w:val="32"/>
          <w:lang w:val="en-US" w:eastAsia="zh-CN"/>
        </w:rPr>
        <w:t>（六）</w:t>
      </w:r>
      <w:r>
        <w:rPr>
          <w:rFonts w:hint="eastAsia" w:ascii="仿宋_GB2312" w:hAnsi="仿宋_GB2312" w:eastAsia="仿宋_GB2312" w:cs="仿宋_GB2312"/>
          <w:color w:val="auto"/>
          <w:spacing w:val="0"/>
          <w:szCs w:val="32"/>
          <w:lang w:eastAsia="zh-CN"/>
        </w:rPr>
        <w:t>污染物总量控制：</w:t>
      </w:r>
      <w:r>
        <w:rPr>
          <w:rFonts w:hint="eastAsia" w:ascii="仿宋_GB2312" w:hAnsi="仿宋_GB2312" w:eastAsia="仿宋_GB2312" w:cs="仿宋_GB2312"/>
          <w:color w:val="auto"/>
          <w:spacing w:val="0"/>
          <w:sz w:val="32"/>
          <w:szCs w:val="32"/>
          <w:lang w:val="en-US" w:eastAsia="zh-CN"/>
        </w:rPr>
        <w:t>大气污染物VOCs≦0.26t/a，</w:t>
      </w:r>
      <w:r>
        <w:rPr>
          <w:rFonts w:hint="eastAsia" w:ascii="仿宋_GB2312" w:hAnsi="仿宋_GB2312" w:eastAsia="仿宋_GB2312" w:cs="仿宋_GB2312"/>
          <w:color w:val="auto"/>
          <w:spacing w:val="8"/>
          <w:szCs w:val="32"/>
          <w:lang w:eastAsia="zh-CN"/>
        </w:rPr>
        <w:t>总量指标纳入当地环保部门总量控制管理</w:t>
      </w:r>
      <w:r>
        <w:rPr>
          <w:rFonts w:hint="eastAsia" w:ascii="仿宋_GB2312" w:hAnsi="仿宋_GB2312" w:eastAsia="仿宋_GB2312" w:cs="仿宋_GB2312"/>
          <w:color w:val="auto"/>
          <w:spacing w:val="0"/>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0"/>
          <w:szCs w:val="32"/>
        </w:rPr>
        <w:t>三、建设</w:t>
      </w:r>
      <w:r>
        <w:rPr>
          <w:rFonts w:hint="eastAsia" w:ascii="仿宋_GB2312" w:hAnsi="仿宋_GB2312" w:eastAsia="仿宋_GB2312" w:cs="仿宋_GB2312"/>
          <w:color w:val="auto"/>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auto"/>
          <w:spacing w:val="0"/>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FF0000"/>
        </w:rPr>
      </w:pPr>
      <w:r>
        <w:rPr>
          <w:rFonts w:hint="eastAsia"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 xml:space="preserve"> </w:t>
      </w:r>
      <w:r>
        <w:rPr>
          <w:rFonts w:hint="eastAsia" w:ascii="仿宋_GB2312" w:hAnsi="仿宋_GB2312" w:eastAsia="仿宋_GB2312" w:cs="仿宋_GB2312"/>
          <w:color w:val="auto"/>
        </w:rPr>
        <w:t>2020年</w:t>
      </w:r>
      <w:r>
        <w:rPr>
          <w:rFonts w:hint="eastAsia" w:ascii="仿宋_GB2312" w:hAnsi="仿宋_GB2312" w:eastAsia="仿宋_GB2312" w:cs="仿宋_GB2312"/>
          <w:color w:val="auto"/>
          <w:lang w:val="en-US" w:eastAsia="zh-CN"/>
        </w:rPr>
        <w:t>12</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21</w:t>
      </w:r>
      <w:r>
        <w:rPr>
          <w:rFonts w:hint="eastAsia" w:ascii="仿宋_GB2312" w:hAnsi="仿宋_GB2312" w:eastAsia="仿宋_GB2312" w:cs="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tentative="0">
      <w:start w:val="1"/>
      <w:numFmt w:val="chineseCounting"/>
      <w:suff w:val="nothing"/>
      <w:lvlText w:val="%1、"/>
      <w:lvlJc w:val="left"/>
      <w:rPr>
        <w:rFonts w:hint="eastAsia"/>
      </w:rPr>
    </w:lvl>
  </w:abstractNum>
  <w:abstractNum w:abstractNumId="2">
    <w:nsid w:val="64F341C9"/>
    <w:multiLevelType w:val="singleLevel"/>
    <w:tmpl w:val="64F341C9"/>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2B4AAF"/>
    <w:rsid w:val="01D03FEC"/>
    <w:rsid w:val="01D159D9"/>
    <w:rsid w:val="01ED243B"/>
    <w:rsid w:val="01ED35F8"/>
    <w:rsid w:val="02224966"/>
    <w:rsid w:val="029E3B84"/>
    <w:rsid w:val="033476DA"/>
    <w:rsid w:val="03DA560A"/>
    <w:rsid w:val="05D8789C"/>
    <w:rsid w:val="0638548F"/>
    <w:rsid w:val="06A8083C"/>
    <w:rsid w:val="070865B3"/>
    <w:rsid w:val="07354ECC"/>
    <w:rsid w:val="07511000"/>
    <w:rsid w:val="07702649"/>
    <w:rsid w:val="07C04655"/>
    <w:rsid w:val="08260CF9"/>
    <w:rsid w:val="086B7063"/>
    <w:rsid w:val="088B2B53"/>
    <w:rsid w:val="089413C5"/>
    <w:rsid w:val="08AC4B3A"/>
    <w:rsid w:val="09204535"/>
    <w:rsid w:val="092E1D92"/>
    <w:rsid w:val="09415B9F"/>
    <w:rsid w:val="095C419A"/>
    <w:rsid w:val="097C2114"/>
    <w:rsid w:val="09FA59E7"/>
    <w:rsid w:val="0A9F631F"/>
    <w:rsid w:val="0BBE60A8"/>
    <w:rsid w:val="0BF719CD"/>
    <w:rsid w:val="0BFD72E7"/>
    <w:rsid w:val="0C562ECC"/>
    <w:rsid w:val="0C9940FF"/>
    <w:rsid w:val="0CC76619"/>
    <w:rsid w:val="0D021275"/>
    <w:rsid w:val="0D9A7649"/>
    <w:rsid w:val="0DCD1C86"/>
    <w:rsid w:val="0E5C1904"/>
    <w:rsid w:val="0E75128A"/>
    <w:rsid w:val="0F4815CC"/>
    <w:rsid w:val="0F512394"/>
    <w:rsid w:val="101616EC"/>
    <w:rsid w:val="114C1B3F"/>
    <w:rsid w:val="11EA58B1"/>
    <w:rsid w:val="12BB547E"/>
    <w:rsid w:val="13B70FE9"/>
    <w:rsid w:val="13BE247F"/>
    <w:rsid w:val="140D6837"/>
    <w:rsid w:val="14360E9D"/>
    <w:rsid w:val="15653932"/>
    <w:rsid w:val="158942BB"/>
    <w:rsid w:val="16414F1E"/>
    <w:rsid w:val="167429F4"/>
    <w:rsid w:val="16843449"/>
    <w:rsid w:val="16CC5B36"/>
    <w:rsid w:val="16E81710"/>
    <w:rsid w:val="176A2F62"/>
    <w:rsid w:val="17CC45A8"/>
    <w:rsid w:val="18486CB8"/>
    <w:rsid w:val="185D46AA"/>
    <w:rsid w:val="18757D21"/>
    <w:rsid w:val="18BD66CD"/>
    <w:rsid w:val="19D42BA7"/>
    <w:rsid w:val="1A1F4F6D"/>
    <w:rsid w:val="1A2F29B2"/>
    <w:rsid w:val="1A546AE4"/>
    <w:rsid w:val="1AA17DB9"/>
    <w:rsid w:val="1B5F06EB"/>
    <w:rsid w:val="1CCE45CD"/>
    <w:rsid w:val="1D596D36"/>
    <w:rsid w:val="1DDE1448"/>
    <w:rsid w:val="1E3A67FD"/>
    <w:rsid w:val="1E3C3A52"/>
    <w:rsid w:val="1E492C66"/>
    <w:rsid w:val="1E5B2A7B"/>
    <w:rsid w:val="1E7D5104"/>
    <w:rsid w:val="1F1F5DCC"/>
    <w:rsid w:val="20095B14"/>
    <w:rsid w:val="202B0267"/>
    <w:rsid w:val="205C1174"/>
    <w:rsid w:val="209656AA"/>
    <w:rsid w:val="21910EDA"/>
    <w:rsid w:val="21D23C17"/>
    <w:rsid w:val="229D1CE8"/>
    <w:rsid w:val="22C837C6"/>
    <w:rsid w:val="231B68C4"/>
    <w:rsid w:val="24260615"/>
    <w:rsid w:val="243C0C96"/>
    <w:rsid w:val="253A2E1C"/>
    <w:rsid w:val="254C263C"/>
    <w:rsid w:val="25B51410"/>
    <w:rsid w:val="25EB3281"/>
    <w:rsid w:val="262C0CDF"/>
    <w:rsid w:val="26423EFF"/>
    <w:rsid w:val="26C7259C"/>
    <w:rsid w:val="27BA1B7C"/>
    <w:rsid w:val="27C03033"/>
    <w:rsid w:val="28BD385B"/>
    <w:rsid w:val="28E74FC6"/>
    <w:rsid w:val="297F6DFB"/>
    <w:rsid w:val="2A7677D7"/>
    <w:rsid w:val="2A814855"/>
    <w:rsid w:val="2B45236F"/>
    <w:rsid w:val="2B6C5D7B"/>
    <w:rsid w:val="2B88023B"/>
    <w:rsid w:val="2BCC1C95"/>
    <w:rsid w:val="2C36248E"/>
    <w:rsid w:val="2C9A7D53"/>
    <w:rsid w:val="2CE81886"/>
    <w:rsid w:val="2D621927"/>
    <w:rsid w:val="2E0E786C"/>
    <w:rsid w:val="2ED91A45"/>
    <w:rsid w:val="2EFF65BF"/>
    <w:rsid w:val="2FBE547D"/>
    <w:rsid w:val="302837E4"/>
    <w:rsid w:val="306D20D8"/>
    <w:rsid w:val="3073000C"/>
    <w:rsid w:val="31FF3FB0"/>
    <w:rsid w:val="328F037F"/>
    <w:rsid w:val="33000108"/>
    <w:rsid w:val="33741DC8"/>
    <w:rsid w:val="33B11EC4"/>
    <w:rsid w:val="342D458D"/>
    <w:rsid w:val="34711A93"/>
    <w:rsid w:val="348D0F94"/>
    <w:rsid w:val="35232681"/>
    <w:rsid w:val="35B4328A"/>
    <w:rsid w:val="35FA51FE"/>
    <w:rsid w:val="363D4C27"/>
    <w:rsid w:val="36570620"/>
    <w:rsid w:val="36E44291"/>
    <w:rsid w:val="37565259"/>
    <w:rsid w:val="37791BBA"/>
    <w:rsid w:val="3A1B3DAE"/>
    <w:rsid w:val="3A8E5140"/>
    <w:rsid w:val="3AE85631"/>
    <w:rsid w:val="3B0A280C"/>
    <w:rsid w:val="3B125EF8"/>
    <w:rsid w:val="3B1E05C6"/>
    <w:rsid w:val="3B74122E"/>
    <w:rsid w:val="3BA76AE1"/>
    <w:rsid w:val="3CC73909"/>
    <w:rsid w:val="3DA11C79"/>
    <w:rsid w:val="3DD36518"/>
    <w:rsid w:val="3DEE185B"/>
    <w:rsid w:val="3E184547"/>
    <w:rsid w:val="3E237685"/>
    <w:rsid w:val="3F4E171F"/>
    <w:rsid w:val="40AF71A3"/>
    <w:rsid w:val="40C73D23"/>
    <w:rsid w:val="45CF0E9E"/>
    <w:rsid w:val="45E80663"/>
    <w:rsid w:val="461448F7"/>
    <w:rsid w:val="465A498A"/>
    <w:rsid w:val="46926864"/>
    <w:rsid w:val="484425AD"/>
    <w:rsid w:val="484F7B35"/>
    <w:rsid w:val="485A6652"/>
    <w:rsid w:val="48A069BA"/>
    <w:rsid w:val="48AE3800"/>
    <w:rsid w:val="497A5AEC"/>
    <w:rsid w:val="4993613B"/>
    <w:rsid w:val="49B07B17"/>
    <w:rsid w:val="4A602F35"/>
    <w:rsid w:val="4A703499"/>
    <w:rsid w:val="4A9B4753"/>
    <w:rsid w:val="4AB744D3"/>
    <w:rsid w:val="4B2A781A"/>
    <w:rsid w:val="4B785AD6"/>
    <w:rsid w:val="4BE354F9"/>
    <w:rsid w:val="4BE51D09"/>
    <w:rsid w:val="4DD816AB"/>
    <w:rsid w:val="4DEE12CE"/>
    <w:rsid w:val="4E6A7DDF"/>
    <w:rsid w:val="4F1B62EC"/>
    <w:rsid w:val="4F1E6B4A"/>
    <w:rsid w:val="50B14EA5"/>
    <w:rsid w:val="51782017"/>
    <w:rsid w:val="51DB6FAB"/>
    <w:rsid w:val="53D57E72"/>
    <w:rsid w:val="53F34F30"/>
    <w:rsid w:val="54952865"/>
    <w:rsid w:val="54B84CAA"/>
    <w:rsid w:val="55366F69"/>
    <w:rsid w:val="553B6A5A"/>
    <w:rsid w:val="55982951"/>
    <w:rsid w:val="55EC411F"/>
    <w:rsid w:val="56BE40DD"/>
    <w:rsid w:val="57694AA2"/>
    <w:rsid w:val="577566ED"/>
    <w:rsid w:val="57B24BFC"/>
    <w:rsid w:val="58026A51"/>
    <w:rsid w:val="58B71C90"/>
    <w:rsid w:val="591B69A8"/>
    <w:rsid w:val="59D71C64"/>
    <w:rsid w:val="5A107B8D"/>
    <w:rsid w:val="5A232275"/>
    <w:rsid w:val="5A3263A9"/>
    <w:rsid w:val="5A42464D"/>
    <w:rsid w:val="5A532664"/>
    <w:rsid w:val="5AFE2E05"/>
    <w:rsid w:val="5B2C0540"/>
    <w:rsid w:val="5BF53B92"/>
    <w:rsid w:val="5D1839FE"/>
    <w:rsid w:val="5E033DD6"/>
    <w:rsid w:val="5E1965F4"/>
    <w:rsid w:val="5F010883"/>
    <w:rsid w:val="5FBA4E4C"/>
    <w:rsid w:val="600F468F"/>
    <w:rsid w:val="60470972"/>
    <w:rsid w:val="605E3F02"/>
    <w:rsid w:val="60E0450D"/>
    <w:rsid w:val="6103003C"/>
    <w:rsid w:val="61040EA5"/>
    <w:rsid w:val="616854FA"/>
    <w:rsid w:val="635C7308"/>
    <w:rsid w:val="657A6729"/>
    <w:rsid w:val="657F402D"/>
    <w:rsid w:val="65C62AAF"/>
    <w:rsid w:val="66A2129D"/>
    <w:rsid w:val="67990F2E"/>
    <w:rsid w:val="679E4A51"/>
    <w:rsid w:val="68A97E8F"/>
    <w:rsid w:val="68EA26DC"/>
    <w:rsid w:val="69757189"/>
    <w:rsid w:val="6A476406"/>
    <w:rsid w:val="6A737633"/>
    <w:rsid w:val="6AB13D6C"/>
    <w:rsid w:val="6ADD0FBB"/>
    <w:rsid w:val="6BB53802"/>
    <w:rsid w:val="6C04239A"/>
    <w:rsid w:val="6C486736"/>
    <w:rsid w:val="6C4A2A31"/>
    <w:rsid w:val="6DF731D4"/>
    <w:rsid w:val="6E2E75B8"/>
    <w:rsid w:val="6FAB56DD"/>
    <w:rsid w:val="707779B5"/>
    <w:rsid w:val="709E4621"/>
    <w:rsid w:val="711235A4"/>
    <w:rsid w:val="71332ADA"/>
    <w:rsid w:val="717E1D57"/>
    <w:rsid w:val="718944C6"/>
    <w:rsid w:val="7235034F"/>
    <w:rsid w:val="724A1F83"/>
    <w:rsid w:val="72D17DDC"/>
    <w:rsid w:val="72E9407A"/>
    <w:rsid w:val="74585A10"/>
    <w:rsid w:val="754F0C44"/>
    <w:rsid w:val="76184CB6"/>
    <w:rsid w:val="76440617"/>
    <w:rsid w:val="77E761FD"/>
    <w:rsid w:val="78485F58"/>
    <w:rsid w:val="793C4517"/>
    <w:rsid w:val="798D56F0"/>
    <w:rsid w:val="7AA95265"/>
    <w:rsid w:val="7B41207C"/>
    <w:rsid w:val="7CC32269"/>
    <w:rsid w:val="7CE02C47"/>
    <w:rsid w:val="7D193810"/>
    <w:rsid w:val="7D267D83"/>
    <w:rsid w:val="7D7A2C5C"/>
    <w:rsid w:val="7D942D17"/>
    <w:rsid w:val="7EEE02D5"/>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annotation text"/>
    <w:basedOn w:val="1"/>
    <w:link w:val="16"/>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semiHidden/>
    <w:qFormat/>
    <w:uiPriority w:val="99"/>
    <w:rPr>
      <w:rFonts w:ascii="Times New Roman" w:hAnsi="Times New Roman" w:eastAsia="华文仿宋" w:cs="Times New Roman"/>
      <w:sz w:val="18"/>
      <w:szCs w:val="18"/>
    </w:rPr>
  </w:style>
  <w:style w:type="character" w:customStyle="1" w:styleId="13">
    <w:name w:val="页脚 Char"/>
    <w:basedOn w:val="10"/>
    <w:link w:val="6"/>
    <w:semiHidden/>
    <w:qFormat/>
    <w:uiPriority w:val="99"/>
    <w:rPr>
      <w:rFonts w:ascii="Times New Roman" w:hAnsi="Times New Roman" w:eastAsia="华文仿宋" w:cs="Times New Roman"/>
      <w:sz w:val="18"/>
      <w:szCs w:val="18"/>
    </w:rPr>
  </w:style>
  <w:style w:type="character" w:customStyle="1" w:styleId="14">
    <w:name w:val="文档结构图 Char"/>
    <w:basedOn w:val="10"/>
    <w:link w:val="3"/>
    <w:semiHidden/>
    <w:qFormat/>
    <w:uiPriority w:val="99"/>
    <w:rPr>
      <w:rFonts w:ascii="宋体"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华文仿宋" w:cs="Times New Roman"/>
      <w:sz w:val="18"/>
      <w:szCs w:val="18"/>
    </w:rPr>
  </w:style>
  <w:style w:type="character" w:customStyle="1" w:styleId="16">
    <w:name w:val="批注文字 Char"/>
    <w:basedOn w:val="10"/>
    <w:link w:val="4"/>
    <w:qFormat/>
    <w:uiPriority w:val="0"/>
    <w:rPr>
      <w:rFonts w:ascii="Times New Roman" w:hAnsi="Times New Roman" w:eastAsia="华文仿宋" w:cs="Times New Roman"/>
      <w:sz w:val="32"/>
      <w:szCs w:val="24"/>
    </w:rPr>
  </w:style>
  <w:style w:type="character" w:customStyle="1" w:styleId="17">
    <w:name w:val="批注主题 Char"/>
    <w:basedOn w:val="16"/>
    <w:link w:val="8"/>
    <w:semiHidden/>
    <w:qFormat/>
    <w:uiPriority w:val="99"/>
    <w:rPr>
      <w:rFonts w:ascii="Times New Roman" w:hAnsi="Times New Roman" w:eastAsia="华文仿宋" w:cs="Times New Roman"/>
      <w:b/>
      <w:bCs/>
      <w:sz w:val="32"/>
      <w:szCs w:val="24"/>
    </w:rPr>
  </w:style>
  <w:style w:type="paragraph" w:styleId="18">
    <w:name w:val="List Paragraph"/>
    <w:basedOn w:val="1"/>
    <w:qFormat/>
    <w:uiPriority w:val="34"/>
    <w:pPr>
      <w:ind w:firstLine="420" w:firstLineChars="200"/>
    </w:pPr>
  </w:style>
  <w:style w:type="character" w:customStyle="1" w:styleId="19">
    <w:name w:val="fontstyle01"/>
    <w:basedOn w:val="10"/>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TotalTime>
  <ScaleCrop>false</ScaleCrop>
  <LinksUpToDate>false</LinksUpToDate>
  <CharactersWithSpaces>1508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2021-01-11T09:51:30Z</cp:lastPrinted>
  <dcterms:modified xsi:type="dcterms:W3CDTF">2021-01-11T10:00:02Z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